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6" w:lineRule="exact"/>
        <w:rPr>
          <w:sz w:val="24"/>
          <w:szCs w:val="24"/>
          <w:color w:val="auto"/>
        </w:rPr>
      </w:pPr>
    </w:p>
    <w:p>
      <w:pPr>
        <w:jc w:val="center"/>
        <w:ind w:right="-660"/>
        <w:spacing w:after="0"/>
        <w:rPr>
          <w:sz w:val="20"/>
          <w:szCs w:val="20"/>
          <w:color w:val="auto"/>
        </w:rPr>
      </w:pPr>
      <w:r>
        <w:rPr>
          <w:rFonts w:ascii="Arial" w:cs="Arial" w:eastAsia="Arial" w:hAnsi="Arial"/>
          <w:sz w:val="25"/>
          <w:szCs w:val="25"/>
          <w:b w:val="1"/>
          <w:bCs w:val="1"/>
          <w:color w:val="auto"/>
        </w:rPr>
        <w:t>UNITED STATES</w:t>
      </w:r>
    </w:p>
    <w:p>
      <w:pPr>
        <w:spacing w:after="0" w:line="5" w:lineRule="exact"/>
        <w:rPr>
          <w:sz w:val="24"/>
          <w:szCs w:val="24"/>
          <w:color w:val="auto"/>
        </w:rPr>
      </w:pPr>
    </w:p>
    <w:p>
      <w:pPr>
        <w:jc w:val="center"/>
        <w:ind w:right="-66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40"/>
        <w:spacing w:after="0"/>
        <w:rPr>
          <w:sz w:val="20"/>
          <w:szCs w:val="20"/>
          <w:color w:val="auto"/>
        </w:rPr>
      </w:pPr>
      <w:r>
        <w:rPr>
          <w:rFonts w:ascii="Arial" w:cs="Arial" w:eastAsia="Arial" w:hAnsi="Arial"/>
          <w:sz w:val="25"/>
          <w:szCs w:val="25"/>
          <w:b w:val="1"/>
          <w:bCs w:val="1"/>
          <w:color w:val="auto"/>
        </w:rPr>
        <w:t>Washington, D.C. 20549</w:t>
      </w:r>
    </w:p>
    <w:p>
      <w:pPr>
        <w:spacing w:after="0" w:line="112" w:lineRule="exact"/>
        <w:rPr>
          <w:sz w:val="24"/>
          <w:szCs w:val="24"/>
          <w:color w:val="auto"/>
        </w:rPr>
      </w:pPr>
    </w:p>
    <w:p>
      <w:pPr>
        <w:ind w:left="3400"/>
        <w:spacing w:after="0"/>
        <w:rPr>
          <w:sz w:val="20"/>
          <w:szCs w:val="20"/>
          <w:color w:val="auto"/>
        </w:rPr>
      </w:pPr>
      <w:r>
        <w:rPr>
          <w:rFonts w:ascii="Arial" w:cs="Arial" w:eastAsia="Arial" w:hAnsi="Arial"/>
          <w:sz w:val="25"/>
          <w:szCs w:val="25"/>
          <w:b w:val="1"/>
          <w:bCs w:val="1"/>
          <w:color w:val="auto"/>
        </w:rPr>
        <w:t>SCHEDULE 14A INFORMATION</w:t>
      </w:r>
    </w:p>
    <w:p>
      <w:pPr>
        <w:spacing w:after="0" w:line="140"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3"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Securities Exchange Act of 1934</w:t>
      </w:r>
    </w:p>
    <w:p>
      <w:pPr>
        <w:spacing w:after="0" w:line="104" w:lineRule="exact"/>
        <w:rPr>
          <w:sz w:val="24"/>
          <w:szCs w:val="24"/>
          <w:color w:val="auto"/>
        </w:rPr>
      </w:pPr>
    </w:p>
    <w:p>
      <w:pPr>
        <w:ind w:left="12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1" w:lineRule="exact"/>
        <w:rPr>
          <w:sz w:val="24"/>
          <w:szCs w:val="24"/>
          <w:color w:val="auto"/>
        </w:rPr>
      </w:pPr>
    </w:p>
    <w:p>
      <w:pPr>
        <w:ind w:left="12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75"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Check the appropriate box:</w:t>
      </w:r>
    </w:p>
    <w:p>
      <w:pPr>
        <w:spacing w:after="0" w:line="58" w:lineRule="exact"/>
        <w:rPr>
          <w:sz w:val="24"/>
          <w:szCs w:val="24"/>
          <w:color w:val="auto"/>
        </w:rPr>
      </w:pPr>
    </w:p>
    <w:p>
      <w:pPr>
        <w:ind w:left="1580" w:hanging="359"/>
        <w:spacing w:after="0"/>
        <w:tabs>
          <w:tab w:leader="none" w:pos="1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2" w:lineRule="exact"/>
        <w:rPr>
          <w:sz w:val="24"/>
          <w:szCs w:val="24"/>
          <w:color w:val="auto"/>
        </w:rPr>
      </w:pPr>
    </w:p>
    <w:p>
      <w:pPr>
        <w:ind w:left="1580" w:hanging="359"/>
        <w:spacing w:after="0"/>
        <w:tabs>
          <w:tab w:leader="none" w:pos="1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2" w:lineRule="exact"/>
        <w:rPr>
          <w:rFonts w:ascii="MS PGothic" w:cs="MS PGothic" w:eastAsia="MS PGothic" w:hAnsi="MS PGothic"/>
          <w:sz w:val="18"/>
          <w:szCs w:val="18"/>
          <w:color w:val="auto"/>
        </w:rPr>
      </w:pPr>
    </w:p>
    <w:p>
      <w:pPr>
        <w:ind w:left="1580" w:hanging="359"/>
        <w:spacing w:after="0"/>
        <w:tabs>
          <w:tab w:leader="none" w:pos="1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5" w:lineRule="exact"/>
        <w:rPr>
          <w:rFonts w:ascii="MS PGothic" w:cs="MS PGothic" w:eastAsia="MS PGothic" w:hAnsi="MS PGothic"/>
          <w:sz w:val="18"/>
          <w:szCs w:val="18"/>
          <w:color w:val="auto"/>
        </w:rPr>
      </w:pPr>
    </w:p>
    <w:p>
      <w:pPr>
        <w:ind w:left="1580" w:hanging="359"/>
        <w:spacing w:after="0"/>
        <w:tabs>
          <w:tab w:leader="none" w:pos="1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4" w:lineRule="exact"/>
        <w:rPr>
          <w:rFonts w:ascii="MS PGothic" w:cs="MS PGothic" w:eastAsia="MS PGothic" w:hAnsi="MS PGothic"/>
          <w:sz w:val="18"/>
          <w:szCs w:val="18"/>
          <w:color w:val="auto"/>
        </w:rPr>
      </w:pPr>
    </w:p>
    <w:p>
      <w:pPr>
        <w:ind w:left="1580" w:hanging="359"/>
        <w:spacing w:after="0"/>
        <w:tabs>
          <w:tab w:leader="none" w:pos="1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31" w:lineRule="exact"/>
        <w:rPr>
          <w:sz w:val="24"/>
          <w:szCs w:val="24"/>
          <w:color w:val="auto"/>
        </w:rPr>
      </w:pPr>
    </w:p>
    <w:p>
      <w:pPr>
        <w:jc w:val="center"/>
        <w:ind w:right="-740"/>
        <w:spacing w:after="0"/>
        <w:rPr>
          <w:sz w:val="20"/>
          <w:szCs w:val="20"/>
          <w:color w:val="auto"/>
        </w:rPr>
      </w:pPr>
      <w:r>
        <w:rPr>
          <w:rFonts w:ascii="Arial" w:cs="Arial" w:eastAsia="Arial" w:hAnsi="Arial"/>
          <w:sz w:val="25"/>
          <w:szCs w:val="2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779145</wp:posOffset>
            </wp:positionH>
            <wp:positionV relativeFrom="paragraph">
              <wp:posOffset>33655</wp:posOffset>
            </wp:positionV>
            <wp:extent cx="5109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03"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13"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779145</wp:posOffset>
            </wp:positionH>
            <wp:positionV relativeFrom="paragraph">
              <wp:posOffset>48895</wp:posOffset>
            </wp:positionV>
            <wp:extent cx="5109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00"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Payment of Filing Fee (Check the appropriate box):</w:t>
      </w:r>
    </w:p>
    <w:p>
      <w:pPr>
        <w:spacing w:after="0" w:line="58" w:lineRule="exact"/>
        <w:rPr>
          <w:sz w:val="24"/>
          <w:szCs w:val="24"/>
          <w:color w:val="auto"/>
        </w:rPr>
      </w:pPr>
    </w:p>
    <w:p>
      <w:pPr>
        <w:ind w:left="1580" w:hanging="359"/>
        <w:spacing w:after="0"/>
        <w:tabs>
          <w:tab w:leader="none" w:pos="1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7" w:lineRule="exact"/>
        <w:rPr>
          <w:sz w:val="24"/>
          <w:szCs w:val="24"/>
          <w:color w:val="auto"/>
        </w:rPr>
      </w:pPr>
    </w:p>
    <w:p>
      <w:pPr>
        <w:ind w:left="1580" w:hanging="359"/>
        <w:spacing w:after="0"/>
        <w:tabs>
          <w:tab w:leader="none" w:pos="1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18"/>
          <w:szCs w:val="18"/>
          <w:color w:val="auto"/>
        </w:rPr>
      </w:pPr>
    </w:p>
    <w:p>
      <w:pPr>
        <w:ind w:left="1580" w:hanging="359"/>
        <w:spacing w:after="0"/>
        <w:tabs>
          <w:tab w:leader="none" w:pos="1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w:t>
      </w:r>
    </w:p>
    <w:p>
      <w:pPr>
        <w:spacing w:after="0" w:line="20" w:lineRule="exact"/>
        <w:rPr>
          <w:rFonts w:ascii="MS PGothic" w:cs="MS PGothic" w:eastAsia="MS PGothic" w:hAnsi="MS PGothic"/>
          <w:sz w:val="18"/>
          <w:szCs w:val="18"/>
          <w:color w:val="auto"/>
        </w:rPr>
      </w:pPr>
    </w:p>
    <w:p>
      <w:pPr>
        <w:ind w:left="1580"/>
        <w:spacing w:after="0"/>
        <w:rPr>
          <w:rFonts w:ascii="MS PGothic" w:cs="MS PGothic" w:eastAsia="MS PGothic" w:hAnsi="MS PGothic"/>
          <w:sz w:val="18"/>
          <w:szCs w:val="18"/>
          <w:color w:val="auto"/>
        </w:rPr>
      </w:pPr>
      <w:r>
        <w:rPr>
          <w:rFonts w:ascii="Arial" w:cs="Arial" w:eastAsia="Arial" w:hAnsi="Arial"/>
          <w:sz w:val="18"/>
          <w:szCs w:val="18"/>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3571240</wp:posOffset>
            </wp:positionV>
            <wp:extent cx="668972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201"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600075</wp:posOffset>
            </wp:positionV>
            <wp:extent cx="1411605" cy="70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1605" cy="70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April 3, 2023</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Dear Fellow Shareholder:</w:t>
      </w:r>
    </w:p>
    <w:p>
      <w:pPr>
        <w:spacing w:after="0" w:line="150" w:lineRule="exact"/>
        <w:rPr>
          <w:sz w:val="20"/>
          <w:szCs w:val="20"/>
          <w:color w:val="auto"/>
        </w:rPr>
      </w:pPr>
    </w:p>
    <w:p>
      <w:pPr>
        <w:ind w:left="1220" w:right="519"/>
        <w:spacing w:after="0" w:line="250" w:lineRule="auto"/>
        <w:rPr>
          <w:sz w:val="20"/>
          <w:szCs w:val="20"/>
          <w:color w:val="auto"/>
        </w:rPr>
      </w:pPr>
      <w:r>
        <w:rPr>
          <w:rFonts w:ascii="Arial" w:cs="Arial" w:eastAsia="Arial" w:hAnsi="Arial"/>
          <w:sz w:val="18"/>
          <w:szCs w:val="18"/>
          <w:color w:val="auto"/>
        </w:rPr>
        <w:t>On behalf of the Board of Directors, I cordially invite you to attend the Annual Meeting of Shareholders of Altisource Portfolio Solutions S.A. (the “Annual Meeting”), which will be held at the registered office of the Company located at 33, Boulevard Prince Henri, L-1724 Luxembourg City, Grand Duchy of Luxembourg on Tuesday, May 16, 2023, at 9:00 a.m. Central European Time. Further details regarding admission to the Annual Meeting as well as the business to be conducted at the meeting is more fully described in the accompanying materials.</w:t>
      </w:r>
    </w:p>
    <w:p>
      <w:pPr>
        <w:spacing w:after="0" w:line="334" w:lineRule="exact"/>
        <w:rPr>
          <w:sz w:val="20"/>
          <w:szCs w:val="20"/>
          <w:color w:val="auto"/>
        </w:rPr>
      </w:pPr>
    </w:p>
    <w:p>
      <w:pPr>
        <w:ind w:left="1220" w:right="579"/>
        <w:spacing w:after="0" w:line="250" w:lineRule="auto"/>
        <w:rPr>
          <w:sz w:val="20"/>
          <w:szCs w:val="20"/>
          <w:color w:val="auto"/>
        </w:rPr>
      </w:pPr>
      <w:r>
        <w:rPr>
          <w:rFonts w:ascii="Arial" w:cs="Arial" w:eastAsia="Arial" w:hAnsi="Arial"/>
          <w:sz w:val="18"/>
          <w:szCs w:val="18"/>
          <w:color w:val="auto"/>
        </w:rPr>
        <w:t>We intend to hold the Annual Meeting in person. If it is not possible to hold the Annual Meeting in person, or if we conclude that providing alternatives for access by remote communication is appropriate, we will announce alternative or additional arrangements as promptly as practicable, which may include conducting the Annual Meeting solely by means of remote attendance or conducting a hybrid Annual Meeting with the option for in-person or remote attendance. Please monitor our press releases at http://ir.altisource.com/press-releases for updated information.</w:t>
      </w:r>
    </w:p>
    <w:p>
      <w:pPr>
        <w:spacing w:after="0" w:line="321" w:lineRule="exact"/>
        <w:rPr>
          <w:sz w:val="20"/>
          <w:szCs w:val="20"/>
          <w:color w:val="auto"/>
        </w:rPr>
      </w:pPr>
    </w:p>
    <w:p>
      <w:pPr>
        <w:ind w:left="1220" w:right="619"/>
        <w:spacing w:after="0" w:line="249"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or by mail as described in the accompanying materials for the Annual Meeting. If you hold your shares through a bank or broker, please follow the voting instructions you receive from your bank or broker. This will not prevent you from voting in person but will ensure that your vote is counted if you are unable to attend or are limited to remote attendance.</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Thank you for your support of and interest in Altisource Portfolio Solutions S.A.</w:t>
      </w:r>
    </w:p>
    <w:p>
      <w:pPr>
        <w:spacing w:after="0" w:line="200" w:lineRule="exact"/>
        <w:rPr>
          <w:sz w:val="20"/>
          <w:szCs w:val="20"/>
          <w:color w:val="auto"/>
        </w:rPr>
      </w:pP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Sincerely,</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William B. Shepro</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2335530</wp:posOffset>
            </wp:positionV>
            <wp:extent cx="668972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ALTISOURCE PORTFOLIO SOLUTIONS S.A.</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PROXY STATEMENT</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TABLE OF CONTENTS</w:t>
      </w:r>
    </w:p>
    <w:p>
      <w:pPr>
        <w:spacing w:after="0" w:line="61" w:lineRule="exact"/>
        <w:rPr>
          <w:sz w:val="20"/>
          <w:szCs w:val="20"/>
          <w:color w:val="auto"/>
        </w:rPr>
      </w:pPr>
    </w:p>
    <w:p>
      <w:pPr>
        <w:jc w:val="both"/>
        <w:ind w:left="1220"/>
        <w:spacing w:after="0"/>
        <w:tabs>
          <w:tab w:leader="none" w:pos="10640" w:val="left"/>
        </w:tabs>
        <w:rPr>
          <w:sz w:val="20"/>
          <w:szCs w:val="20"/>
          <w:color w:val="auto"/>
        </w:rPr>
      </w:pPr>
      <w:r>
        <w:rPr>
          <w:rFonts w:ascii="Arial" w:cs="Arial" w:eastAsia="Arial" w:hAnsi="Arial"/>
          <w:sz w:val="28"/>
          <w:szCs w:val="28"/>
          <w:b w:val="1"/>
          <w:bCs w:val="1"/>
          <w:color w:val="auto"/>
          <w:vertAlign w:val="subscript"/>
        </w:rPr>
        <w:t>​</w:t>
      </w:r>
      <w:r>
        <w:rPr>
          <w:sz w:val="20"/>
          <w:szCs w:val="20"/>
          <w:color w:val="auto"/>
        </w:rPr>
        <w:tab/>
      </w: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PAG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24130</wp:posOffset>
            </wp:positionV>
            <wp:extent cx="6180455" cy="327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327660"/>
                    </a:xfrm>
                    <a:prstGeom prst="rect">
                      <a:avLst/>
                    </a:prstGeom>
                    <a:noFill/>
                  </pic:spPr>
                </pic:pic>
              </a:graphicData>
            </a:graphic>
          </wp:anchor>
        </w:drawing>
      </w:r>
    </w:p>
    <w:p>
      <w:pPr>
        <w:sectPr>
          <w:pgSz w:w="11900" w:h="16838" w:orient="portrait"/>
          <w:cols w:equalWidth="0" w:num="1">
            <w:col w:w="10960"/>
          </w:cols>
          <w:pgMar w:left="700" w:top="95" w:right="239" w:bottom="1440" w:gutter="0" w:footer="0" w:header="0"/>
        </w:sectPr>
      </w:pPr>
    </w:p>
    <w:p>
      <w:pPr>
        <w:spacing w:after="0" w:line="87" w:lineRule="exact"/>
        <w:rPr>
          <w:sz w:val="20"/>
          <w:szCs w:val="20"/>
          <w:color w:val="auto"/>
        </w:rPr>
      </w:pPr>
    </w:p>
    <w:p>
      <w:pPr>
        <w:ind w:left="1400" w:right="100" w:hanging="175"/>
        <w:spacing w:after="0" w:line="304" w:lineRule="auto"/>
        <w:rPr>
          <w:sz w:val="20"/>
          <w:szCs w:val="20"/>
          <w:color w:val="auto"/>
        </w:rPr>
      </w:pPr>
      <w:r>
        <w:rPr>
          <w:rFonts w:ascii="Arial" w:cs="Arial" w:eastAsia="Arial" w:hAnsi="Arial"/>
          <w:sz w:val="17"/>
          <w:szCs w:val="17"/>
          <w:u w:val="single" w:color="auto"/>
          <w:color w:val="0000EE"/>
        </w:rPr>
        <w:t>NOTICE OF ANNUAL MEETING OF SHAREHOLDERS AND IMPORTANT NOTICE REGARDING THE AVAILABILITY OF PROXY MATERIALS FOR THE ANNUAL MEETING OF SHAREHOLDERS TO BE HELD ON MAY 16, 2023</w:t>
      </w:r>
    </w:p>
    <w:p>
      <w:pPr>
        <w:spacing w:after="0" w:line="34"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193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0455" cy="193040"/>
                    </a:xfrm>
                    <a:prstGeom prst="rect">
                      <a:avLst/>
                    </a:prstGeom>
                    <a:noFill/>
                  </pic:spPr>
                </pic:pic>
              </a:graphicData>
            </a:graphic>
          </wp:anchor>
        </w:drawing>
      </w:r>
    </w:p>
    <w:p>
      <w:pPr>
        <w:spacing w:after="0" w:line="7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PROXY STATEMENT—ANNUAL MEETING OF SHAREHOLDERS</w:t>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193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0455" cy="193040"/>
                    </a:xfrm>
                    <a:prstGeom prst="rect">
                      <a:avLst/>
                    </a:prstGeom>
                    <a:noFill/>
                  </pic:spPr>
                </pic:pic>
              </a:graphicData>
            </a:graphic>
          </wp:anchor>
        </w:drawing>
      </w:r>
    </w:p>
    <w:p>
      <w:pPr>
        <w:spacing w:after="0" w:line="7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BOARD OF DIRECTORS AND CORPORATE GOVERNANCE</w:t>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193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0455" cy="193040"/>
                    </a:xfrm>
                    <a:prstGeom prst="rect">
                      <a:avLst/>
                    </a:prstGeom>
                    <a:noFill/>
                  </pic:spPr>
                </pic:pic>
              </a:graphicData>
            </a:graphic>
          </wp:anchor>
        </w:drawing>
      </w:r>
    </w:p>
    <w:p>
      <w:pPr>
        <w:spacing w:after="0" w:line="7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EXECUTIVE OFFICERS WHO ARE NOT DIRECTORS</w:t>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201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9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EXECUTIVE COMPENSATION</w:t>
      </w:r>
    </w:p>
    <w:p>
      <w:pPr>
        <w:spacing w:after="0" w:line="97" w:lineRule="exact"/>
        <w:rPr>
          <w:sz w:val="20"/>
          <w:szCs w:val="20"/>
          <w:color w:val="auto"/>
        </w:rPr>
      </w:pPr>
    </w:p>
    <w:p>
      <w:pPr>
        <w:ind w:left="1400" w:hanging="175"/>
        <w:spacing w:after="0" w:line="259" w:lineRule="auto"/>
        <w:rPr>
          <w:sz w:val="20"/>
          <w:szCs w:val="20"/>
          <w:color w:val="auto"/>
        </w:rPr>
      </w:pPr>
      <w:r>
        <w:rPr>
          <w:rFonts w:ascii="Arial" w:cs="Arial" w:eastAsia="Arial" w:hAnsi="Arial"/>
          <w:sz w:val="18"/>
          <w:szCs w:val="18"/>
          <w:u w:val="single" w:color="auto"/>
          <w:color w:val="0000EE"/>
        </w:rPr>
        <w:t>PROPOSAL TWO: APPROVAL AND RATIFICATION OF THE AUDIT COMMITTEE’S APPOINTMENT OF THE INDEPENDENT REGISTERED CERTIFIED PUBLIC ACCOUNTING FIRM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5080</wp:posOffset>
            </wp:positionV>
            <wp:extent cx="6180455" cy="335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0455" cy="335915"/>
                    </a:xfrm>
                    <a:prstGeom prst="rect">
                      <a:avLst/>
                    </a:prstGeom>
                    <a:noFill/>
                  </pic:spPr>
                </pic:pic>
              </a:graphicData>
            </a:graphic>
          </wp:anchor>
        </w:drawing>
      </w:r>
    </w:p>
    <w:p>
      <w:pPr>
        <w:spacing w:after="0" w:line="51" w:lineRule="exact"/>
        <w:rPr>
          <w:sz w:val="20"/>
          <w:szCs w:val="20"/>
          <w:color w:val="auto"/>
        </w:rPr>
      </w:pPr>
    </w:p>
    <w:p>
      <w:pPr>
        <w:ind w:left="1400" w:right="280" w:hanging="175"/>
        <w:spacing w:after="0" w:line="274" w:lineRule="auto"/>
        <w:rPr>
          <w:sz w:val="20"/>
          <w:szCs w:val="20"/>
          <w:color w:val="auto"/>
        </w:rPr>
      </w:pPr>
      <w:r>
        <w:rPr>
          <w:rFonts w:ascii="Arial" w:cs="Arial" w:eastAsia="Arial" w:hAnsi="Arial"/>
          <w:sz w:val="18"/>
          <w:szCs w:val="18"/>
          <w:u w:val="single" w:color="auto"/>
          <w:color w:val="0000EE"/>
        </w:rPr>
        <w:t>PROPOSAL THREE: APPOINTMENT OF THE INDEPENDENT REGISTERED CERTIFIED PUBLIC ACCOUNTING FIRM AND CERTIFIED AUDITOR</w:t>
      </w:r>
    </w:p>
    <w:p>
      <w:pPr>
        <w:spacing w:after="0" w:line="70"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201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9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EXTERNAL AUDITOR FEES</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 xml:space="preserve">PROPOSAL FOUR: APPOINTMENT OF THE SUPERVISORY AUDITOR </w:t>
      </w:r>
      <w:r>
        <w:rPr>
          <w:rFonts w:ascii="Arial" w:cs="Arial" w:eastAsia="Arial" w:hAnsi="Arial"/>
          <w:sz w:val="18"/>
          <w:szCs w:val="18"/>
          <w:i w:val="1"/>
          <w:iCs w:val="1"/>
          <w:u w:val="single" w:color="auto"/>
          <w:color w:val="0000EE"/>
        </w:rPr>
        <w:t>(COMMISSAIRE AUX COMPTES)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201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9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PROPOSAL FIVE: APPROVAL OF THE COMPANY’S LUXEMBOURG STATUTORY ACCOUNTS</w:t>
      </w:r>
    </w:p>
    <w:p>
      <w:pPr>
        <w:spacing w:after="0" w:line="97" w:lineRule="exact"/>
        <w:rPr>
          <w:sz w:val="20"/>
          <w:szCs w:val="20"/>
          <w:color w:val="auto"/>
        </w:rPr>
      </w:pPr>
    </w:p>
    <w:p>
      <w:pPr>
        <w:ind w:left="1400" w:hanging="175"/>
        <w:spacing w:after="0" w:line="259" w:lineRule="auto"/>
        <w:rPr>
          <w:sz w:val="20"/>
          <w:szCs w:val="20"/>
          <w:color w:val="auto"/>
        </w:rPr>
      </w:pPr>
      <w:r>
        <w:rPr>
          <w:rFonts w:ascii="Arial" w:cs="Arial" w:eastAsia="Arial" w:hAnsi="Arial"/>
          <w:sz w:val="18"/>
          <w:szCs w:val="18"/>
          <w:u w:val="single" w:color="auto"/>
          <w:color w:val="0000EE"/>
        </w:rPr>
        <w:t>PROPOSAL SIX: RECEIPT AND APPROVAL OF THE DIRECTORS’ REPORT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5080</wp:posOffset>
            </wp:positionV>
            <wp:extent cx="6180455" cy="201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64"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PROPOSAL SEVEN: ALLOCATION OF THE RESULTS IN THE LUXEMBOURG ANNUAL ACCOUNTS</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PROPOSAL EIGHT: DISCHARGE OF THE DIRECTORS AND THE SUPERVISORY AUDITOR</w:t>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17"/>
          <w:szCs w:val="17"/>
          <w:u w:val="single" w:color="auto"/>
          <w:color w:val="0000EE"/>
          <w:shd w:val="clear" w:color="auto" w:fill="CCEEFF"/>
        </w:rPr>
        <w:t>PROPOSAL NINE: APPROVAL OF THE RENEWAL AND AMENDMENT OF OUR SHARE REPURCHASE PROGRAM</w:t>
      </w:r>
    </w:p>
    <w:p>
      <w:pPr>
        <w:spacing w:after="0" w:line="122" w:lineRule="exact"/>
        <w:rPr>
          <w:sz w:val="20"/>
          <w:szCs w:val="20"/>
          <w:color w:val="auto"/>
        </w:rPr>
      </w:pPr>
    </w:p>
    <w:p>
      <w:pPr>
        <w:ind w:left="1400" w:right="180" w:hanging="175"/>
        <w:spacing w:after="0" w:line="274" w:lineRule="auto"/>
        <w:rPr>
          <w:sz w:val="20"/>
          <w:szCs w:val="20"/>
          <w:color w:val="auto"/>
        </w:rPr>
      </w:pPr>
      <w:r>
        <w:rPr>
          <w:rFonts w:ascii="Arial" w:cs="Arial" w:eastAsia="Arial" w:hAnsi="Arial"/>
          <w:sz w:val="18"/>
          <w:szCs w:val="18"/>
          <w:u w:val="single" w:color="auto"/>
          <w:color w:val="0000EE"/>
        </w:rPr>
        <w:t>PROPOSAL TEN: ADVISORY ACKNOWLEDGMENT OF THE SALE BY THE COMPANY OF 4,550,000 SHARES OF COMMON STOCK HELD AS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-3175</wp:posOffset>
            </wp:positionV>
            <wp:extent cx="6180455" cy="201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PROPOSAL ELEVEN: ADVISORY VOTE ON EXECUTIVE COMPENSATION (“SAY-ON-PAY”)</w:t>
      </w:r>
    </w:p>
    <w:p>
      <w:pPr>
        <w:spacing w:after="0" w:line="97" w:lineRule="exact"/>
        <w:rPr>
          <w:sz w:val="20"/>
          <w:szCs w:val="20"/>
          <w:color w:val="auto"/>
        </w:rPr>
      </w:pPr>
    </w:p>
    <w:p>
      <w:pPr>
        <w:ind w:left="1400" w:right="1020" w:hanging="175"/>
        <w:spacing w:after="0" w:line="274" w:lineRule="auto"/>
        <w:rPr>
          <w:sz w:val="20"/>
          <w:szCs w:val="20"/>
          <w:color w:val="auto"/>
        </w:rPr>
      </w:pPr>
      <w:r>
        <w:rPr>
          <w:rFonts w:ascii="Arial" w:cs="Arial" w:eastAsia="Arial" w:hAnsi="Arial"/>
          <w:sz w:val="18"/>
          <w:szCs w:val="18"/>
          <w:u w:val="single" w:color="auto"/>
          <w:color w:val="0000EE"/>
        </w:rPr>
        <w:t>PROPOSAL TWELVE: ADVISORY VOTE ON THE FREQUENCY OF THE EXECUTIVE COMPENSATION SHAREHOLDER ADVISORY VOTE (“SAY-ON-FREQUENCY”)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-3175</wp:posOffset>
            </wp:positionV>
            <wp:extent cx="6180455" cy="201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BUSINESS RELATIONSHIPS AND RELATED PERSON TRANSACTIONS</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201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9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ANNUAL REPORT</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OTHER MATTERS</w:t>
      </w:r>
    </w:p>
    <w:p>
      <w:pPr>
        <w:spacing w:after="0" w:line="200" w:lineRule="exact"/>
        <w:rPr>
          <w:sz w:val="20"/>
          <w:szCs w:val="20"/>
          <w:color w:val="auto"/>
        </w:rPr>
      </w:pPr>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83" w:hanging="83"/>
        <w:spacing w:after="0"/>
        <w:tabs>
          <w:tab w:leader="none" w:pos="83"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3</w:t>
      </w:r>
    </w:p>
    <w:p>
      <w:pPr>
        <w:spacing w:after="0" w:line="51" w:lineRule="exact"/>
        <w:rPr>
          <w:rFonts w:ascii="Arial" w:cs="Arial" w:eastAsia="Arial" w:hAnsi="Arial"/>
          <w:sz w:val="18"/>
          <w:szCs w:val="18"/>
          <w:color w:val="auto"/>
        </w:rPr>
      </w:pPr>
    </w:p>
    <w:p>
      <w:pPr>
        <w:ind w:left="83" w:hanging="83"/>
        <w:spacing w:after="0" w:line="226" w:lineRule="auto"/>
        <w:tabs>
          <w:tab w:leader="none" w:pos="8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35"/>
          <w:szCs w:val="35"/>
          <w:u w:val="single" w:color="auto"/>
          <w:color w:val="0000EE"/>
          <w:vertAlign w:val="superscript"/>
        </w:rPr>
        <w:t>6</w:t>
      </w: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14</w:t>
      </w:r>
    </w:p>
    <w:p>
      <w:pPr>
        <w:spacing w:after="0" w:line="28" w:lineRule="exact"/>
        <w:rPr>
          <w:rFonts w:ascii="Arial" w:cs="Arial" w:eastAsia="Arial" w:hAnsi="Arial"/>
          <w:sz w:val="14"/>
          <w:szCs w:val="14"/>
          <w:color w:val="auto"/>
        </w:rPr>
      </w:pPr>
    </w:p>
    <w:p>
      <w:pPr>
        <w:ind w:left="83" w:hanging="83"/>
        <w:spacing w:after="0" w:line="180" w:lineRule="auto"/>
        <w:tabs>
          <w:tab w:leader="none" w:pos="83" w:val="left"/>
        </w:tabs>
        <w:numPr>
          <w:ilvl w:val="0"/>
          <w:numId w:val="5"/>
        </w:numPr>
        <w:rPr>
          <w:rFonts w:ascii="Arial" w:cs="Arial" w:eastAsia="Arial" w:hAnsi="Arial"/>
          <w:sz w:val="25"/>
          <w:szCs w:val="25"/>
          <w:color w:val="auto"/>
          <w:vertAlign w:val="subscript"/>
        </w:rPr>
      </w:pPr>
      <w:r>
        <w:rPr>
          <w:rFonts w:ascii="Arial" w:cs="Arial" w:eastAsia="Arial" w:hAnsi="Arial"/>
          <w:sz w:val="14"/>
          <w:szCs w:val="14"/>
          <w:color w:val="auto"/>
        </w:rPr>
        <w:t xml:space="preserve">​ </w:t>
      </w:r>
      <w:r>
        <w:rPr>
          <w:rFonts w:ascii="Arial" w:cs="Arial" w:eastAsia="Arial" w:hAnsi="Arial"/>
          <w:sz w:val="14"/>
          <w:szCs w:val="14"/>
          <w:u w:val="single" w:color="auto"/>
          <w:color w:val="0000EE"/>
        </w:rPr>
        <w:t>17</w:t>
      </w:r>
    </w:p>
    <w:p>
      <w:pPr>
        <w:spacing w:after="0" w:line="72" w:lineRule="exact"/>
        <w:rPr>
          <w:rFonts w:ascii="Arial" w:cs="Arial" w:eastAsia="Arial" w:hAnsi="Arial"/>
          <w:sz w:val="25"/>
          <w:szCs w:val="25"/>
          <w:color w:val="auto"/>
          <w:vertAlign w:val="subscript"/>
        </w:rPr>
      </w:pP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20</w:t>
      </w:r>
    </w:p>
    <w:p>
      <w:pPr>
        <w:spacing w:after="0" w:line="44" w:lineRule="exact"/>
        <w:rPr>
          <w:rFonts w:ascii="Arial" w:cs="Arial" w:eastAsia="Arial" w:hAnsi="Arial"/>
          <w:sz w:val="14"/>
          <w:szCs w:val="14"/>
          <w:color w:val="auto"/>
        </w:rPr>
      </w:pP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28</w:t>
      </w:r>
    </w:p>
    <w:p>
      <w:pPr>
        <w:spacing w:after="0" w:line="28" w:lineRule="exact"/>
        <w:rPr>
          <w:rFonts w:ascii="Arial" w:cs="Arial" w:eastAsia="Arial" w:hAnsi="Arial"/>
          <w:sz w:val="14"/>
          <w:szCs w:val="14"/>
          <w:color w:val="auto"/>
        </w:rPr>
      </w:pP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31</w:t>
      </w:r>
    </w:p>
    <w:p>
      <w:pPr>
        <w:spacing w:after="0" w:line="28" w:lineRule="exact"/>
        <w:rPr>
          <w:rFonts w:ascii="Arial" w:cs="Arial" w:eastAsia="Arial" w:hAnsi="Arial"/>
          <w:sz w:val="14"/>
          <w:szCs w:val="14"/>
          <w:color w:val="auto"/>
        </w:rPr>
      </w:pPr>
    </w:p>
    <w:p>
      <w:pPr>
        <w:ind w:left="83" w:hanging="83"/>
        <w:spacing w:after="0" w:line="180" w:lineRule="auto"/>
        <w:tabs>
          <w:tab w:leader="none" w:pos="83" w:val="left"/>
        </w:tabs>
        <w:numPr>
          <w:ilvl w:val="0"/>
          <w:numId w:val="5"/>
        </w:numPr>
        <w:rPr>
          <w:rFonts w:ascii="Arial" w:cs="Arial" w:eastAsia="Arial" w:hAnsi="Arial"/>
          <w:sz w:val="25"/>
          <w:szCs w:val="25"/>
          <w:color w:val="auto"/>
          <w:vertAlign w:val="subscript"/>
        </w:rPr>
      </w:pPr>
      <w:r>
        <w:rPr>
          <w:rFonts w:ascii="Arial" w:cs="Arial" w:eastAsia="Arial" w:hAnsi="Arial"/>
          <w:sz w:val="14"/>
          <w:szCs w:val="14"/>
          <w:color w:val="auto"/>
        </w:rPr>
        <w:t xml:space="preserve">​ </w:t>
      </w:r>
      <w:r>
        <w:rPr>
          <w:rFonts w:ascii="Arial" w:cs="Arial" w:eastAsia="Arial" w:hAnsi="Arial"/>
          <w:sz w:val="14"/>
          <w:szCs w:val="14"/>
          <w:u w:val="single" w:color="auto"/>
          <w:color w:val="0000EE"/>
        </w:rPr>
        <w:t>32</w:t>
      </w:r>
    </w:p>
    <w:p>
      <w:pPr>
        <w:spacing w:after="0" w:line="86" w:lineRule="exact"/>
        <w:rPr>
          <w:rFonts w:ascii="Arial" w:cs="Arial" w:eastAsia="Arial" w:hAnsi="Arial"/>
          <w:sz w:val="25"/>
          <w:szCs w:val="25"/>
          <w:color w:val="auto"/>
          <w:vertAlign w:val="subscript"/>
        </w:rPr>
      </w:pP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35</w:t>
      </w:r>
    </w:p>
    <w:p>
      <w:pPr>
        <w:spacing w:after="0" w:line="200" w:lineRule="exact"/>
        <w:rPr>
          <w:rFonts w:ascii="Arial" w:cs="Arial" w:eastAsia="Arial" w:hAnsi="Arial"/>
          <w:sz w:val="14"/>
          <w:szCs w:val="14"/>
          <w:color w:val="auto"/>
        </w:rPr>
      </w:pPr>
    </w:p>
    <w:p>
      <w:pPr>
        <w:spacing w:after="0" w:line="251" w:lineRule="exact"/>
        <w:rPr>
          <w:rFonts w:ascii="Arial" w:cs="Arial" w:eastAsia="Arial" w:hAnsi="Arial"/>
          <w:sz w:val="14"/>
          <w:szCs w:val="14"/>
          <w:color w:val="auto"/>
        </w:rPr>
      </w:pPr>
    </w:p>
    <w:p>
      <w:pPr>
        <w:ind w:left="83" w:hanging="83"/>
        <w:spacing w:after="0"/>
        <w:tabs>
          <w:tab w:leader="none" w:pos="83"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EE"/>
        </w:rPr>
        <w:t>46</w:t>
      </w:r>
    </w:p>
    <w:p>
      <w:pPr>
        <w:spacing w:after="0" w:line="356" w:lineRule="exact"/>
        <w:rPr>
          <w:rFonts w:ascii="Arial" w:cs="Arial" w:eastAsia="Arial" w:hAnsi="Arial"/>
          <w:sz w:val="15"/>
          <w:szCs w:val="15"/>
          <w:color w:val="auto"/>
        </w:rPr>
      </w:pPr>
    </w:p>
    <w:p>
      <w:pPr>
        <w:ind w:left="83" w:hanging="83"/>
        <w:spacing w:after="0"/>
        <w:tabs>
          <w:tab w:leader="none" w:pos="83"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EE"/>
        </w:rPr>
        <w:t>47</w:t>
      </w:r>
    </w:p>
    <w:p>
      <w:pPr>
        <w:spacing w:after="0" w:line="85" w:lineRule="exact"/>
        <w:rPr>
          <w:rFonts w:ascii="Arial" w:cs="Arial" w:eastAsia="Arial" w:hAnsi="Arial"/>
          <w:sz w:val="15"/>
          <w:szCs w:val="15"/>
          <w:color w:val="auto"/>
        </w:rPr>
      </w:pPr>
    </w:p>
    <w:p>
      <w:pPr>
        <w:ind w:left="83" w:hanging="83"/>
        <w:spacing w:after="0" w:line="219" w:lineRule="auto"/>
        <w:tabs>
          <w:tab w:leader="none" w:pos="83" w:val="left"/>
        </w:tabs>
        <w:numPr>
          <w:ilvl w:val="0"/>
          <w:numId w:val="5"/>
        </w:numPr>
        <w:rPr>
          <w:rFonts w:ascii="Arial" w:cs="Arial" w:eastAsia="Arial" w:hAnsi="Arial"/>
          <w:sz w:val="29"/>
          <w:szCs w:val="29"/>
          <w:color w:val="auto"/>
          <w:vertAlign w:val="subscript"/>
        </w:rPr>
      </w:pPr>
      <w:r>
        <w:rPr>
          <w:rFonts w:ascii="Arial" w:cs="Arial" w:eastAsia="Arial" w:hAnsi="Arial"/>
          <w:sz w:val="15"/>
          <w:szCs w:val="15"/>
          <w:color w:val="auto"/>
        </w:rPr>
        <w:t xml:space="preserve">​ </w:t>
      </w:r>
      <w:r>
        <w:rPr>
          <w:rFonts w:ascii="Arial" w:cs="Arial" w:eastAsia="Arial" w:hAnsi="Arial"/>
          <w:sz w:val="15"/>
          <w:szCs w:val="15"/>
          <w:u w:val="single" w:color="auto"/>
          <w:color w:val="0000EE"/>
        </w:rPr>
        <w:t>48</w:t>
      </w:r>
    </w:p>
    <w:p>
      <w:pPr>
        <w:spacing w:after="0" w:line="86" w:lineRule="exact"/>
        <w:rPr>
          <w:rFonts w:ascii="Arial" w:cs="Arial" w:eastAsia="Arial" w:hAnsi="Arial"/>
          <w:sz w:val="29"/>
          <w:szCs w:val="29"/>
          <w:color w:val="auto"/>
          <w:vertAlign w:val="subscript"/>
        </w:rPr>
      </w:pP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49</w:t>
      </w:r>
    </w:p>
    <w:p>
      <w:pPr>
        <w:spacing w:after="0" w:line="57" w:lineRule="exact"/>
        <w:rPr>
          <w:rFonts w:ascii="Arial" w:cs="Arial" w:eastAsia="Arial" w:hAnsi="Arial"/>
          <w:sz w:val="14"/>
          <w:szCs w:val="14"/>
          <w:color w:val="auto"/>
        </w:rPr>
      </w:pP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51</w:t>
      </w:r>
    </w:p>
    <w:p>
      <w:pPr>
        <w:spacing w:after="0" w:line="41" w:lineRule="exact"/>
        <w:rPr>
          <w:rFonts w:ascii="Arial" w:cs="Arial" w:eastAsia="Arial" w:hAnsi="Arial"/>
          <w:sz w:val="14"/>
          <w:szCs w:val="14"/>
          <w:color w:val="auto"/>
        </w:rPr>
      </w:pPr>
    </w:p>
    <w:p>
      <w:pPr>
        <w:ind w:left="83" w:hanging="83"/>
        <w:spacing w:after="0" w:line="180" w:lineRule="auto"/>
        <w:tabs>
          <w:tab w:leader="none" w:pos="83" w:val="left"/>
        </w:tabs>
        <w:numPr>
          <w:ilvl w:val="0"/>
          <w:numId w:val="5"/>
        </w:numPr>
        <w:rPr>
          <w:rFonts w:ascii="Arial" w:cs="Arial" w:eastAsia="Arial" w:hAnsi="Arial"/>
          <w:sz w:val="25"/>
          <w:szCs w:val="25"/>
          <w:color w:val="auto"/>
          <w:vertAlign w:val="subscript"/>
        </w:rPr>
      </w:pPr>
      <w:r>
        <w:rPr>
          <w:rFonts w:ascii="Arial" w:cs="Arial" w:eastAsia="Arial" w:hAnsi="Arial"/>
          <w:sz w:val="14"/>
          <w:szCs w:val="14"/>
          <w:color w:val="auto"/>
        </w:rPr>
        <w:t xml:space="preserve">​ </w:t>
      </w:r>
      <w:r>
        <w:rPr>
          <w:rFonts w:ascii="Arial" w:cs="Arial" w:eastAsia="Arial" w:hAnsi="Arial"/>
          <w:sz w:val="14"/>
          <w:szCs w:val="14"/>
          <w:u w:val="single" w:color="auto"/>
          <w:color w:val="0000EE"/>
        </w:rPr>
        <w:t>52</w:t>
      </w:r>
    </w:p>
    <w:p>
      <w:pPr>
        <w:spacing w:after="0" w:line="200" w:lineRule="exact"/>
        <w:rPr>
          <w:rFonts w:ascii="Arial" w:cs="Arial" w:eastAsia="Arial" w:hAnsi="Arial"/>
          <w:sz w:val="25"/>
          <w:szCs w:val="25"/>
          <w:color w:val="auto"/>
          <w:vertAlign w:val="subscript"/>
        </w:rPr>
      </w:pPr>
    </w:p>
    <w:p>
      <w:pPr>
        <w:spacing w:after="0" w:line="296" w:lineRule="exact"/>
        <w:rPr>
          <w:rFonts w:ascii="Arial" w:cs="Arial" w:eastAsia="Arial" w:hAnsi="Arial"/>
          <w:sz w:val="25"/>
          <w:szCs w:val="25"/>
          <w:color w:val="auto"/>
          <w:vertAlign w:val="subscript"/>
        </w:rPr>
      </w:pPr>
    </w:p>
    <w:p>
      <w:pPr>
        <w:ind w:left="83" w:hanging="83"/>
        <w:spacing w:after="0"/>
        <w:tabs>
          <w:tab w:leader="none" w:pos="83"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EE"/>
        </w:rPr>
        <w:t>53</w:t>
      </w:r>
    </w:p>
    <w:p>
      <w:pPr>
        <w:spacing w:after="0" w:line="85" w:lineRule="exact"/>
        <w:rPr>
          <w:rFonts w:ascii="Arial" w:cs="Arial" w:eastAsia="Arial" w:hAnsi="Arial"/>
          <w:sz w:val="15"/>
          <w:szCs w:val="15"/>
          <w:color w:val="auto"/>
        </w:rPr>
      </w:pPr>
    </w:p>
    <w:p>
      <w:pPr>
        <w:ind w:left="83" w:hanging="83"/>
        <w:spacing w:after="0" w:line="219" w:lineRule="auto"/>
        <w:tabs>
          <w:tab w:leader="none" w:pos="83" w:val="left"/>
        </w:tabs>
        <w:numPr>
          <w:ilvl w:val="0"/>
          <w:numId w:val="5"/>
        </w:numPr>
        <w:rPr>
          <w:rFonts w:ascii="Arial" w:cs="Arial" w:eastAsia="Arial" w:hAnsi="Arial"/>
          <w:sz w:val="29"/>
          <w:szCs w:val="29"/>
          <w:color w:val="auto"/>
          <w:vertAlign w:val="subscript"/>
        </w:rPr>
      </w:pPr>
      <w:r>
        <w:rPr>
          <w:rFonts w:ascii="Arial" w:cs="Arial" w:eastAsia="Arial" w:hAnsi="Arial"/>
          <w:sz w:val="15"/>
          <w:szCs w:val="15"/>
          <w:color w:val="auto"/>
        </w:rPr>
        <w:t xml:space="preserve">​ </w:t>
      </w:r>
      <w:r>
        <w:rPr>
          <w:rFonts w:ascii="Arial" w:cs="Arial" w:eastAsia="Arial" w:hAnsi="Arial"/>
          <w:sz w:val="15"/>
          <w:szCs w:val="15"/>
          <w:u w:val="single" w:color="auto"/>
          <w:color w:val="0000EE"/>
        </w:rPr>
        <w:t>54</w:t>
      </w:r>
    </w:p>
    <w:p>
      <w:pPr>
        <w:spacing w:after="0" w:line="86" w:lineRule="exact"/>
        <w:rPr>
          <w:rFonts w:ascii="Arial" w:cs="Arial" w:eastAsia="Arial" w:hAnsi="Arial"/>
          <w:sz w:val="29"/>
          <w:szCs w:val="29"/>
          <w:color w:val="auto"/>
          <w:vertAlign w:val="subscript"/>
        </w:rPr>
      </w:pP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55</w:t>
      </w:r>
    </w:p>
    <w:p>
      <w:pPr>
        <w:spacing w:after="0" w:line="44" w:lineRule="exact"/>
        <w:rPr>
          <w:rFonts w:ascii="Arial" w:cs="Arial" w:eastAsia="Arial" w:hAnsi="Arial"/>
          <w:sz w:val="14"/>
          <w:szCs w:val="14"/>
          <w:color w:val="auto"/>
        </w:rPr>
      </w:pPr>
    </w:p>
    <w:p>
      <w:pPr>
        <w:ind w:left="83" w:hanging="83"/>
        <w:spacing w:after="0"/>
        <w:tabs>
          <w:tab w:leader="none" w:pos="83" w:val="left"/>
        </w:tabs>
        <w:numPr>
          <w:ilvl w:val="0"/>
          <w:numId w:val="5"/>
        </w:numPr>
        <w:rPr>
          <w:rFonts w:ascii="Arial" w:cs="Arial" w:eastAsia="Arial" w:hAnsi="Arial"/>
          <w:sz w:val="15"/>
          <w:szCs w:val="15"/>
          <w:color w:val="auto"/>
          <w:shd w:val="clear" w:color="auto" w:fill="CCEEFF"/>
        </w:rPr>
      </w:pPr>
      <w:r>
        <w:rPr>
          <w:rFonts w:ascii="Arial" w:cs="Arial" w:eastAsia="Arial" w:hAnsi="Arial"/>
          <w:sz w:val="15"/>
          <w:szCs w:val="15"/>
          <w:b w:val="1"/>
          <w:bCs w:val="1"/>
          <w:color w:val="auto"/>
          <w:shd w:val="clear" w:color="auto" w:fill="CCEEFF"/>
        </w:rPr>
        <w:t xml:space="preserve">​ </w:t>
      </w:r>
      <w:r>
        <w:rPr>
          <w:rFonts w:ascii="Arial" w:cs="Arial" w:eastAsia="Arial" w:hAnsi="Arial"/>
          <w:sz w:val="15"/>
          <w:szCs w:val="15"/>
          <w:u w:val="single" w:color="auto"/>
          <w:color w:val="0000EE"/>
          <w:shd w:val="clear" w:color="auto" w:fill="CCEEFF"/>
        </w:rPr>
        <w:t>56</w:t>
      </w:r>
    </w:p>
    <w:p>
      <w:pPr>
        <w:spacing w:after="0" w:line="340" w:lineRule="exact"/>
        <w:rPr>
          <w:rFonts w:ascii="Arial" w:cs="Arial" w:eastAsia="Arial" w:hAnsi="Arial"/>
          <w:sz w:val="15"/>
          <w:szCs w:val="15"/>
          <w:color w:val="auto"/>
          <w:shd w:val="clear" w:color="auto" w:fill="CCEEFF"/>
        </w:rPr>
      </w:pPr>
    </w:p>
    <w:p>
      <w:pPr>
        <w:ind w:left="83" w:hanging="83"/>
        <w:spacing w:after="0"/>
        <w:tabs>
          <w:tab w:leader="none" w:pos="83"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EE"/>
        </w:rPr>
        <w:t>57</w:t>
      </w:r>
    </w:p>
    <w:p>
      <w:pPr>
        <w:spacing w:after="0" w:line="158" w:lineRule="exact"/>
        <w:rPr>
          <w:rFonts w:ascii="Arial" w:cs="Arial" w:eastAsia="Arial" w:hAnsi="Arial"/>
          <w:sz w:val="15"/>
          <w:szCs w:val="15"/>
          <w:color w:val="auto"/>
        </w:rPr>
      </w:pP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58</w:t>
      </w:r>
    </w:p>
    <w:p>
      <w:pPr>
        <w:spacing w:after="0" w:line="240" w:lineRule="exact"/>
        <w:rPr>
          <w:rFonts w:ascii="Arial" w:cs="Arial" w:eastAsia="Arial" w:hAnsi="Arial"/>
          <w:sz w:val="14"/>
          <w:szCs w:val="14"/>
          <w:color w:val="auto"/>
        </w:rPr>
      </w:pPr>
    </w:p>
    <w:p>
      <w:pPr>
        <w:ind w:left="83" w:hanging="83"/>
        <w:spacing w:after="0"/>
        <w:tabs>
          <w:tab w:leader="none" w:pos="83"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EE"/>
        </w:rPr>
        <w:t>59</w:t>
      </w:r>
    </w:p>
    <w:p>
      <w:pPr>
        <w:spacing w:after="0" w:line="85" w:lineRule="exact"/>
        <w:rPr>
          <w:rFonts w:ascii="Arial" w:cs="Arial" w:eastAsia="Arial" w:hAnsi="Arial"/>
          <w:sz w:val="15"/>
          <w:szCs w:val="15"/>
          <w:color w:val="auto"/>
        </w:rPr>
      </w:pPr>
    </w:p>
    <w:p>
      <w:pPr>
        <w:ind w:left="83" w:hanging="83"/>
        <w:spacing w:after="0" w:line="219" w:lineRule="auto"/>
        <w:tabs>
          <w:tab w:leader="none" w:pos="83" w:val="left"/>
        </w:tabs>
        <w:numPr>
          <w:ilvl w:val="0"/>
          <w:numId w:val="5"/>
        </w:numPr>
        <w:rPr>
          <w:rFonts w:ascii="Arial" w:cs="Arial" w:eastAsia="Arial" w:hAnsi="Arial"/>
          <w:sz w:val="29"/>
          <w:szCs w:val="29"/>
          <w:color w:val="auto"/>
          <w:vertAlign w:val="subscript"/>
        </w:rPr>
      </w:pPr>
      <w:r>
        <w:rPr>
          <w:rFonts w:ascii="Arial" w:cs="Arial" w:eastAsia="Arial" w:hAnsi="Arial"/>
          <w:sz w:val="15"/>
          <w:szCs w:val="15"/>
          <w:color w:val="auto"/>
        </w:rPr>
        <w:t xml:space="preserve">​ </w:t>
      </w:r>
      <w:r>
        <w:rPr>
          <w:rFonts w:ascii="Arial" w:cs="Arial" w:eastAsia="Arial" w:hAnsi="Arial"/>
          <w:sz w:val="15"/>
          <w:szCs w:val="15"/>
          <w:u w:val="single" w:color="auto"/>
          <w:color w:val="0000EE"/>
        </w:rPr>
        <w:t>60</w:t>
      </w:r>
    </w:p>
    <w:p>
      <w:pPr>
        <w:spacing w:after="0" w:line="86" w:lineRule="exact"/>
        <w:rPr>
          <w:rFonts w:ascii="Arial" w:cs="Arial" w:eastAsia="Arial" w:hAnsi="Arial"/>
          <w:sz w:val="29"/>
          <w:szCs w:val="29"/>
          <w:color w:val="auto"/>
          <w:vertAlign w:val="subscript"/>
        </w:rPr>
      </w:pP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61</w:t>
      </w:r>
    </w:p>
    <w:p>
      <w:pPr>
        <w:spacing w:after="0" w:line="57" w:lineRule="exact"/>
        <w:rPr>
          <w:rFonts w:ascii="Arial" w:cs="Arial" w:eastAsia="Arial" w:hAnsi="Arial"/>
          <w:sz w:val="14"/>
          <w:szCs w:val="14"/>
          <w:color w:val="auto"/>
        </w:rPr>
      </w:pP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61</w:t>
      </w:r>
    </w:p>
    <w:p>
      <w:pPr>
        <w:spacing w:after="0" w:line="41" w:lineRule="exact"/>
        <w:rPr>
          <w:rFonts w:ascii="Arial" w:cs="Arial" w:eastAsia="Arial" w:hAnsi="Arial"/>
          <w:sz w:val="14"/>
          <w:szCs w:val="14"/>
          <w:color w:val="auto"/>
        </w:rPr>
      </w:pPr>
    </w:p>
    <w:p>
      <w:pPr>
        <w:ind w:left="83" w:hanging="83"/>
        <w:spacing w:after="0"/>
        <w:tabs>
          <w:tab w:leader="none" w:pos="8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62</w:t>
      </w:r>
    </w:p>
    <w:p>
      <w:pPr>
        <w:sectPr>
          <w:pgSz w:w="11900" w:h="16838" w:orient="portrait"/>
          <w:cols w:equalWidth="0" w:num="2">
            <w:col w:w="10600" w:space="57"/>
            <w:col w:w="303"/>
          </w:cols>
          <w:pgMar w:left="700" w:top="95" w:right="23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759"/>
          </w:cols>
          <w:pgMar w:left="700" w:top="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ALTISOURCE PORTFOLIO SOLUTIONS S.A.</w:t>
      </w:r>
    </w:p>
    <w:p>
      <w:pPr>
        <w:spacing w:after="0" w:line="23"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33, Boulevard Prince Henri</w:t>
      </w:r>
    </w:p>
    <w:p>
      <w:pPr>
        <w:spacing w:after="0" w:line="5"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L-1724 Luxembourg City</w:t>
      </w:r>
    </w:p>
    <w:p>
      <w:pPr>
        <w:spacing w:after="0" w:line="5"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Grand Duchy of Luxembourg</w:t>
      </w:r>
    </w:p>
    <w:p>
      <w:pPr>
        <w:spacing w:after="0" w:line="5"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R.C.S. Luxembourg B72391</w:t>
      </w:r>
    </w:p>
    <w:p>
      <w:pPr>
        <w:spacing w:after="0" w:line="199"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NOTICE OF ANNUAL MEETING OF SHAREHOLDERS AND</w:t>
      </w:r>
    </w:p>
    <w:p>
      <w:pPr>
        <w:spacing w:after="0" w:line="23"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5" w:lineRule="exact"/>
        <w:rPr>
          <w:sz w:val="20"/>
          <w:szCs w:val="20"/>
          <w:color w:val="auto"/>
        </w:rPr>
      </w:pPr>
    </w:p>
    <w:p>
      <w:pPr>
        <w:jc w:val="center"/>
        <w:ind w:left="1820"/>
        <w:spacing w:after="0"/>
        <w:rPr>
          <w:sz w:val="20"/>
          <w:szCs w:val="20"/>
          <w:color w:val="auto"/>
        </w:rPr>
      </w:pPr>
      <w:r>
        <w:rPr>
          <w:rFonts w:ascii="Arial" w:cs="Arial" w:eastAsia="Arial" w:hAnsi="Arial"/>
          <w:sz w:val="17"/>
          <w:szCs w:val="17"/>
          <w:b w:val="1"/>
          <w:bCs w:val="1"/>
          <w:color w:val="auto"/>
        </w:rPr>
        <w:t>FOR THE ANNUAL MEETING OF SHAREHOLDERS TO BE HELD ON MAY 16, 2023</w:t>
      </w:r>
    </w:p>
    <w:p>
      <w:pPr>
        <w:spacing w:after="0" w:line="210" w:lineRule="exact"/>
        <w:rPr>
          <w:sz w:val="20"/>
          <w:szCs w:val="20"/>
          <w:color w:val="auto"/>
        </w:rPr>
      </w:pPr>
    </w:p>
    <w:p>
      <w:pPr>
        <w:ind w:left="1220"/>
        <w:spacing w:after="0"/>
        <w:rPr>
          <w:sz w:val="20"/>
          <w:szCs w:val="20"/>
          <w:color w:val="auto"/>
        </w:rPr>
      </w:pPr>
      <w:r>
        <w:rPr>
          <w:rFonts w:ascii="Arial" w:cs="Arial" w:eastAsia="Arial" w:hAnsi="Arial"/>
          <w:sz w:val="18"/>
          <w:szCs w:val="18"/>
          <w:b w:val="1"/>
          <w:bCs w:val="1"/>
          <w:u w:val="single" w:color="auto"/>
          <w:color w:val="auto"/>
        </w:rPr>
        <w:t>NOTICE</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Annual Meeting of Shareholders (“Annual Meeting”) will be held:</w:t>
      </w:r>
    </w:p>
    <w:p>
      <w:pPr>
        <w:spacing w:after="0" w:line="294" w:lineRule="exact"/>
        <w:rPr>
          <w:sz w:val="20"/>
          <w:szCs w:val="20"/>
          <w:color w:val="auto"/>
        </w:rPr>
      </w:pPr>
    </w:p>
    <w:tbl>
      <w:tblPr>
        <w:tblLayout w:type="fixed"/>
        <w:tblInd w:w="1580" w:type="dxa"/>
        <w:tblCellMar>
          <w:top w:w="0" w:type="dxa"/>
          <w:left w:w="0" w:type="dxa"/>
          <w:bottom w:w="0" w:type="dxa"/>
          <w:right w:w="0" w:type="dxa"/>
        </w:tblCellMar>
      </w:tblPr>
      <w:tr>
        <w:trPr>
          <w:trHeight w:val="225"/>
        </w:trPr>
        <w:tc>
          <w:tcPr>
            <w:tcW w:w="6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30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Tuesday, May 16, 2023</w:t>
            </w:r>
          </w:p>
        </w:tc>
        <w:tc>
          <w:tcPr>
            <w:tcW w:w="0" w:type="dxa"/>
            <w:vAlign w:val="bottom"/>
          </w:tcPr>
          <w:p>
            <w:pPr>
              <w:spacing w:after="0"/>
              <w:rPr>
                <w:sz w:val="1"/>
                <w:szCs w:val="1"/>
                <w:color w:val="auto"/>
              </w:rPr>
            </w:pPr>
          </w:p>
        </w:tc>
      </w:tr>
      <w:tr>
        <w:trPr>
          <w:trHeight w:val="178"/>
        </w:trPr>
        <w:tc>
          <w:tcPr>
            <w:tcW w:w="62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34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 ​</w:t>
            </w: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9:00 a.m. Central European Time</w:t>
            </w:r>
          </w:p>
        </w:tc>
        <w:tc>
          <w:tcPr>
            <w:tcW w:w="0" w:type="dxa"/>
            <w:vAlign w:val="bottom"/>
          </w:tcPr>
          <w:p>
            <w:pPr>
              <w:spacing w:after="0"/>
              <w:rPr>
                <w:sz w:val="1"/>
                <w:szCs w:val="1"/>
                <w:color w:val="auto"/>
              </w:rPr>
            </w:pPr>
          </w:p>
        </w:tc>
      </w:tr>
      <w:tr>
        <w:trPr>
          <w:trHeight w:val="155"/>
        </w:trPr>
        <w:tc>
          <w:tcPr>
            <w:tcW w:w="620" w:type="dxa"/>
            <w:vAlign w:val="bottom"/>
          </w:tcPr>
          <w:p>
            <w:pPr>
              <w:spacing w:after="0" w:line="155" w:lineRule="exact"/>
              <w:rPr>
                <w:sz w:val="20"/>
                <w:szCs w:val="20"/>
                <w:color w:val="auto"/>
              </w:rPr>
            </w:pPr>
            <w:r>
              <w:rPr>
                <w:rFonts w:ascii="Arial" w:cs="Arial" w:eastAsia="Arial" w:hAnsi="Arial"/>
                <w:sz w:val="17"/>
                <w:szCs w:val="17"/>
                <w:b w:val="1"/>
                <w:bCs w:val="1"/>
                <w:color w:val="auto"/>
              </w:rPr>
              <w:t>Time:</w:t>
            </w:r>
          </w:p>
        </w:tc>
        <w:tc>
          <w:tcPr>
            <w:tcW w:w="34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340" w:type="dxa"/>
            <w:vAlign w:val="bottom"/>
          </w:tcPr>
          <w:p>
            <w:pPr>
              <w:ind w:left="160"/>
              <w:spacing w:after="0" w:line="176" w:lineRule="exact"/>
              <w:rPr>
                <w:sz w:val="20"/>
                <w:szCs w:val="20"/>
                <w:color w:val="auto"/>
              </w:rPr>
            </w:pPr>
            <w:r>
              <w:rPr>
                <w:rFonts w:ascii="Arial" w:cs="Arial" w:eastAsia="Arial" w:hAnsi="Arial"/>
                <w:sz w:val="18"/>
                <w:szCs w:val="18"/>
                <w:color w:val="auto"/>
              </w:rPr>
              <w:t>​ ​</w:t>
            </w: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Altisource Portfolio Solutions S.A.</w:t>
            </w:r>
          </w:p>
        </w:tc>
        <w:tc>
          <w:tcPr>
            <w:tcW w:w="0" w:type="dxa"/>
            <w:vAlign w:val="bottom"/>
          </w:tcPr>
          <w:p>
            <w:pPr>
              <w:spacing w:after="0"/>
              <w:rPr>
                <w:sz w:val="1"/>
                <w:szCs w:val="1"/>
                <w:color w:val="auto"/>
              </w:rPr>
            </w:pPr>
          </w:p>
        </w:tc>
      </w:tr>
      <w:tr>
        <w:trPr>
          <w:trHeight w:val="118"/>
        </w:trPr>
        <w:tc>
          <w:tcPr>
            <w:tcW w:w="96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Location:</w:t>
            </w: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2560"/>
        <w:spacing w:after="0" w:line="230" w:lineRule="auto"/>
        <w:rPr>
          <w:sz w:val="20"/>
          <w:szCs w:val="20"/>
          <w:color w:val="auto"/>
        </w:rPr>
      </w:pPr>
      <w:r>
        <w:rPr>
          <w:rFonts w:ascii="Arial" w:cs="Arial" w:eastAsia="Arial" w:hAnsi="Arial"/>
          <w:sz w:val="18"/>
          <w:szCs w:val="18"/>
          <w:color w:val="auto"/>
        </w:rPr>
        <w:t>33, Boulevard Prince Henri</w:t>
      </w:r>
    </w:p>
    <w:p>
      <w:pPr>
        <w:ind w:left="2560"/>
        <w:spacing w:after="0"/>
        <w:rPr>
          <w:sz w:val="20"/>
          <w:szCs w:val="20"/>
          <w:color w:val="auto"/>
        </w:rPr>
      </w:pPr>
      <w:r>
        <w:rPr>
          <w:rFonts w:ascii="Arial" w:cs="Arial" w:eastAsia="Arial" w:hAnsi="Arial"/>
          <w:sz w:val="18"/>
          <w:szCs w:val="18"/>
          <w:color w:val="auto"/>
        </w:rPr>
        <w:t>L-1724 Luxembourg City</w:t>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Grand Duchy of Luxembourg</w:t>
      </w:r>
    </w:p>
    <w:p>
      <w:pPr>
        <w:spacing w:after="0" w:line="238" w:lineRule="exact"/>
        <w:rPr>
          <w:sz w:val="20"/>
          <w:szCs w:val="20"/>
          <w:color w:val="auto"/>
        </w:rPr>
      </w:pPr>
    </w:p>
    <w:p>
      <w:pPr>
        <w:ind w:left="1220"/>
        <w:spacing w:after="0"/>
        <w:rPr>
          <w:sz w:val="20"/>
          <w:szCs w:val="20"/>
          <w:color w:val="auto"/>
        </w:rPr>
      </w:pPr>
      <w:r>
        <w:rPr>
          <w:rFonts w:ascii="Arial" w:cs="Arial" w:eastAsia="Arial" w:hAnsi="Arial"/>
          <w:sz w:val="18"/>
          <w:szCs w:val="18"/>
          <w:b w:val="1"/>
          <w:bCs w:val="1"/>
          <w:u w:val="single" w:color="auto"/>
          <w:color w:val="auto"/>
        </w:rPr>
        <w:t>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62" w:lineRule="exact"/>
        <w:rPr>
          <w:sz w:val="20"/>
          <w:szCs w:val="20"/>
          <w:color w:val="auto"/>
        </w:rPr>
      </w:pPr>
    </w:p>
    <w:p>
      <w:pPr>
        <w:sectPr>
          <w:pgSz w:w="11900" w:h="16838" w:orient="portrait"/>
          <w:cols w:equalWidth="0" w:num="2">
            <w:col w:w="8660" w:space="240"/>
            <w:col w:w="859"/>
          </w:cols>
          <w:pgMar w:left="700" w:top="95" w:right="1440" w:bottom="1440" w:gutter="0" w:footer="0" w:header="0"/>
          <w:type w:val="continuous"/>
        </w:sectPr>
      </w:pPr>
    </w:p>
    <w:p>
      <w:pPr>
        <w:ind w:left="1760" w:right="859" w:hanging="186"/>
        <w:spacing w:after="0" w:line="274"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five (5) Directors to serve until the next annual meeting of shareholders or until their respective successors have been elected and qualified;</w:t>
      </w:r>
    </w:p>
    <w:p>
      <w:pPr>
        <w:spacing w:after="0" w:line="56" w:lineRule="exact"/>
        <w:rPr>
          <w:rFonts w:ascii="Arial" w:cs="Arial" w:eastAsia="Arial" w:hAnsi="Arial"/>
          <w:sz w:val="18"/>
          <w:szCs w:val="18"/>
          <w:color w:val="auto"/>
        </w:rPr>
      </w:pPr>
    </w:p>
    <w:p>
      <w:pPr>
        <w:ind w:left="1760" w:right="1079" w:hanging="186"/>
        <w:spacing w:after="0" w:line="259"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and ratify the Audit Committee’s appointment of RSM US LLP as our independent registered certified public accounting firm for the year ended December 31, 2022;</w:t>
      </w:r>
    </w:p>
    <w:p>
      <w:pPr>
        <w:spacing w:after="0" w:line="71" w:lineRule="exact"/>
        <w:rPr>
          <w:rFonts w:ascii="Arial" w:cs="Arial" w:eastAsia="Arial" w:hAnsi="Arial"/>
          <w:sz w:val="18"/>
          <w:szCs w:val="18"/>
          <w:color w:val="auto"/>
        </w:rPr>
      </w:pPr>
    </w:p>
    <w:p>
      <w:pPr>
        <w:ind w:left="1760" w:right="519" w:hanging="186"/>
        <w:spacing w:after="0" w:line="255"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To approve the appointment of RSM US LLP to be our independent registered certified public accounting firm for the year ending December 31, 2023 and until the Company’s 2024 annual meeting of shareholders, and the appointment of Atwell S.à r.l. to be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the same period;</w:t>
      </w:r>
    </w:p>
    <w:p>
      <w:pPr>
        <w:spacing w:after="0" w:line="73" w:lineRule="exact"/>
        <w:rPr>
          <w:rFonts w:ascii="Arial" w:cs="Arial" w:eastAsia="Arial" w:hAnsi="Arial"/>
          <w:sz w:val="18"/>
          <w:szCs w:val="18"/>
          <w:color w:val="auto"/>
        </w:rPr>
      </w:pPr>
    </w:p>
    <w:p>
      <w:pPr>
        <w:ind w:left="1760" w:right="639" w:hanging="186"/>
        <w:spacing w:after="0" w:line="250"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To approve the appointment of Michelle D. Esterman, Chief Financial Officer of the Company, to be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to report on Altisource Portfolio Solutions S.A.’s unconsolidated annual accounts prepared in accordance with accounting principles generally accepted in Luxembourg (the “Luxembourg Annual Accounts”) for the year ending December 31, 2023 and until the Company’s 2029 annual meeting of shareholders, or until her successor is duly elected and qualified;</w:t>
      </w:r>
    </w:p>
    <w:p>
      <w:pPr>
        <w:spacing w:after="0" w:line="294" w:lineRule="exact"/>
        <w:rPr>
          <w:rFonts w:ascii="Arial" w:cs="Arial" w:eastAsia="Arial" w:hAnsi="Arial"/>
          <w:sz w:val="18"/>
          <w:szCs w:val="18"/>
          <w:color w:val="auto"/>
        </w:rPr>
      </w:pPr>
    </w:p>
    <w:p>
      <w:pPr>
        <w:ind w:left="1760" w:right="619" w:hanging="186"/>
        <w:spacing w:after="0" w:line="251"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Altisource Portfolio Solutions S.A.’s Luxembourg Annual Accounts for the year ended December 31, 2022 and Altisource Portfolio Solutions S.A.’s consolidated financial statements prepared in accordance with International Financial Reporting Standards (“IFRS”) (the “Consolidated Accounts” and, together with the Luxembourg Annual Accounts, the “Luxembourg Statutory Accounts”) as of and for the year ended December 31, 2022;</w:t>
      </w:r>
    </w:p>
    <w:p>
      <w:pPr>
        <w:spacing w:after="0" w:line="294" w:lineRule="exact"/>
        <w:rPr>
          <w:rFonts w:ascii="Arial" w:cs="Arial" w:eastAsia="Arial" w:hAnsi="Arial"/>
          <w:sz w:val="18"/>
          <w:szCs w:val="18"/>
          <w:color w:val="auto"/>
        </w:rPr>
      </w:pPr>
    </w:p>
    <w:p>
      <w:pPr>
        <w:ind w:left="1760" w:right="719" w:hanging="186"/>
        <w:spacing w:after="0" w:line="256"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To receive and approve the Directors’ report for the Luxembourg Statutory Accounts for the year ended December 31, 2022 and to receive the report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Luxembourg Annual Accounts for the same period;</w:t>
      </w:r>
    </w:p>
    <w:p>
      <w:pPr>
        <w:spacing w:after="0" w:line="290" w:lineRule="exact"/>
        <w:rPr>
          <w:rFonts w:ascii="Arial" w:cs="Arial" w:eastAsia="Arial" w:hAnsi="Arial"/>
          <w:sz w:val="18"/>
          <w:szCs w:val="18"/>
          <w:color w:val="auto"/>
        </w:rPr>
      </w:pPr>
    </w:p>
    <w:p>
      <w:pPr>
        <w:ind w:left="1760" w:right="1279" w:hanging="186"/>
        <w:spacing w:after="0" w:line="274"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allocate the results in the Luxembourg Annual Accounts for the year ended December 31, 2022;</w:t>
      </w:r>
    </w:p>
    <w:p>
      <w:pPr>
        <w:spacing w:after="0" w:line="56" w:lineRule="exact"/>
        <w:rPr>
          <w:rFonts w:ascii="Arial" w:cs="Arial" w:eastAsia="Arial" w:hAnsi="Arial"/>
          <w:sz w:val="18"/>
          <w:szCs w:val="18"/>
          <w:color w:val="auto"/>
        </w:rPr>
      </w:pPr>
    </w:p>
    <w:p>
      <w:pPr>
        <w:ind w:left="1760" w:right="659" w:hanging="186"/>
        <w:spacing w:after="0" w:line="256"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To discharge each of the Directors of Altisource Portfolio Solutions S.A. for the performance of their mandates for the year ended December 31, 2022 and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w:t>
      </w:r>
    </w:p>
    <w:p>
      <w:pPr>
        <w:spacing w:after="0" w:line="290" w:lineRule="exact"/>
        <w:rPr>
          <w:rFonts w:ascii="Arial" w:cs="Arial" w:eastAsia="Arial" w:hAnsi="Arial"/>
          <w:sz w:val="18"/>
          <w:szCs w:val="18"/>
          <w:color w:val="auto"/>
        </w:rPr>
      </w:pPr>
    </w:p>
    <w:p>
      <w:pPr>
        <w:ind w:left="1760" w:right="779" w:hanging="186"/>
        <w:spacing w:after="0" w:line="259"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renewal and amendment of our share repurchase program such that Altisource Portfolio Solutions S.A. is authorized, for a period of five years from the date of the Annual Meeting, to repurchase</w:t>
      </w: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760" w:right="599"/>
        <w:spacing w:after="0" w:line="255" w:lineRule="auto"/>
        <w:rPr>
          <w:sz w:val="20"/>
          <w:szCs w:val="20"/>
          <w:color w:val="auto"/>
        </w:rPr>
      </w:pPr>
      <w:r>
        <w:rPr>
          <w:rFonts w:ascii="Arial" w:cs="Arial" w:eastAsia="Arial" w:hAnsi="Arial"/>
          <w:sz w:val="18"/>
          <w:szCs w:val="18"/>
          <w:color w:val="auto"/>
        </w:rPr>
        <w:t>up to fifteen percent (15%) of the outstanding shares of its common stock (as of the close of business on the date of the Annual Meeting) at a minimum price of one dollar ($1.00) per share and a maximum price of twenty-five dollars ($25.00) per share, with the maximum price to be adjusted for any stock splits and reverse stock splits;</w:t>
      </w:r>
    </w:p>
    <w:p>
      <w:pPr>
        <w:spacing w:after="0" w:line="73" w:lineRule="exact"/>
        <w:rPr>
          <w:sz w:val="20"/>
          <w:szCs w:val="20"/>
          <w:color w:val="auto"/>
        </w:rPr>
      </w:pPr>
    </w:p>
    <w:p>
      <w:pPr>
        <w:ind w:left="1760" w:right="599" w:hanging="186"/>
        <w:spacing w:after="0" w:line="259"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acknowledge, on an advisory (non-binding) basis, the sale by the Company of 4,550,000 shares of common stock held as treasury shares on February 14, 2023 in a public offering of shares at a price of five dollars ($5.00) per share;</w:t>
      </w:r>
    </w:p>
    <w:p>
      <w:pPr>
        <w:spacing w:after="0" w:line="71" w:lineRule="exact"/>
        <w:rPr>
          <w:rFonts w:ascii="Arial" w:cs="Arial" w:eastAsia="Arial" w:hAnsi="Arial"/>
          <w:sz w:val="18"/>
          <w:szCs w:val="18"/>
          <w:color w:val="auto"/>
        </w:rPr>
      </w:pPr>
    </w:p>
    <w:p>
      <w:pPr>
        <w:ind w:left="1760" w:right="1019" w:hanging="186"/>
        <w:spacing w:after="0" w:line="274"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Altisource’s named executive officers as disclosed in this proxy statement (“Say-on-Pay”);</w:t>
      </w:r>
    </w:p>
    <w:p>
      <w:pPr>
        <w:spacing w:after="0" w:line="56" w:lineRule="exact"/>
        <w:rPr>
          <w:rFonts w:ascii="Arial" w:cs="Arial" w:eastAsia="Arial" w:hAnsi="Arial"/>
          <w:sz w:val="18"/>
          <w:szCs w:val="18"/>
          <w:color w:val="auto"/>
        </w:rPr>
      </w:pPr>
    </w:p>
    <w:p>
      <w:pPr>
        <w:ind w:left="1760" w:right="779" w:hanging="186"/>
        <w:spacing w:after="0" w:line="274"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(non-binding) basis, the frequency of future shareholder advisory votes on executive compensation (“Say-on-Frequency”); and</w:t>
      </w:r>
    </w:p>
    <w:p>
      <w:pPr>
        <w:spacing w:after="0" w:line="56" w:lineRule="exact"/>
        <w:rPr>
          <w:rFonts w:ascii="Arial" w:cs="Arial" w:eastAsia="Arial" w:hAnsi="Arial"/>
          <w:sz w:val="18"/>
          <w:szCs w:val="18"/>
          <w:color w:val="auto"/>
        </w:rPr>
      </w:pPr>
    </w:p>
    <w:p>
      <w:pPr>
        <w:ind w:left="1760" w:right="559" w:hanging="186"/>
        <w:spacing w:after="0" w:line="274"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161" w:lineRule="exact"/>
        <w:rPr>
          <w:sz w:val="20"/>
          <w:szCs w:val="20"/>
          <w:color w:val="auto"/>
        </w:rPr>
      </w:pPr>
    </w:p>
    <w:p>
      <w:pPr>
        <w:ind w:left="1220"/>
        <w:spacing w:after="0"/>
        <w:rPr>
          <w:sz w:val="20"/>
          <w:szCs w:val="20"/>
          <w:color w:val="auto"/>
        </w:rPr>
      </w:pPr>
      <w:r>
        <w:rPr>
          <w:rFonts w:ascii="Arial" w:cs="Arial" w:eastAsia="Arial" w:hAnsi="Arial"/>
          <w:sz w:val="18"/>
          <w:szCs w:val="18"/>
          <w:b w:val="1"/>
          <w:bCs w:val="1"/>
          <w:u w:val="single" w:color="auto"/>
          <w:color w:val="auto"/>
        </w:rPr>
        <w:t>PROCEDURES</w:t>
      </w:r>
    </w:p>
    <w:p>
      <w:pPr>
        <w:spacing w:after="0" w:line="113" w:lineRule="exact"/>
        <w:rPr>
          <w:sz w:val="20"/>
          <w:szCs w:val="20"/>
          <w:color w:val="auto"/>
        </w:rPr>
      </w:pPr>
    </w:p>
    <w:p>
      <w:pPr>
        <w:ind w:left="1760" w:right="659" w:hanging="186"/>
        <w:spacing w:after="0" w:line="274" w:lineRule="auto"/>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of Directors has fixed March 24, 2023 as the record date for the determination of shareholders entitled to notice of and to vote at the Annual Meeting.</w:t>
      </w:r>
    </w:p>
    <w:p>
      <w:pPr>
        <w:spacing w:after="0" w:line="56" w:lineRule="exact"/>
        <w:rPr>
          <w:rFonts w:ascii="Arial" w:cs="Arial" w:eastAsia="Arial" w:hAnsi="Arial"/>
          <w:sz w:val="18"/>
          <w:szCs w:val="18"/>
          <w:color w:val="auto"/>
        </w:rPr>
      </w:pPr>
    </w:p>
    <w:p>
      <w:pPr>
        <w:ind w:left="1760" w:right="499" w:hanging="186"/>
        <w:spacing w:after="0" w:line="274" w:lineRule="auto"/>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Only shareholders as of the close of business on the record date will be able to vote at the Annual Meeting.</w:t>
      </w:r>
    </w:p>
    <w:p>
      <w:pPr>
        <w:spacing w:after="0" w:line="56" w:lineRule="exact"/>
        <w:rPr>
          <w:rFonts w:ascii="Arial" w:cs="Arial" w:eastAsia="Arial" w:hAnsi="Arial"/>
          <w:sz w:val="18"/>
          <w:szCs w:val="18"/>
          <w:color w:val="auto"/>
        </w:rPr>
      </w:pPr>
    </w:p>
    <w:p>
      <w:pPr>
        <w:ind w:left="1760" w:right="499" w:hanging="186"/>
        <w:spacing w:after="0" w:line="250" w:lineRule="auto"/>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w:t>
      </w:r>
    </w:p>
    <w:p>
      <w:pPr>
        <w:ind w:left="1760" w:right="599"/>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Even if you plan to attend the Annual Meeting, we recommend that you vote your shares in advance of the meeting pursuant to the instructions listed in the accompanying materials so that your vote will be counted if you are unable to attend or are limited to remote attendance.</w:t>
      </w:r>
    </w:p>
    <w:p>
      <w:pPr>
        <w:spacing w:after="0" w:line="67" w:lineRule="exact"/>
        <w:rPr>
          <w:rFonts w:ascii="Arial" w:cs="Arial" w:eastAsia="Arial" w:hAnsi="Arial"/>
          <w:sz w:val="18"/>
          <w:szCs w:val="18"/>
          <w:color w:val="auto"/>
        </w:rPr>
      </w:pPr>
    </w:p>
    <w:p>
      <w:pPr>
        <w:ind w:left="1760" w:right="539" w:hanging="186"/>
        <w:spacing w:after="0" w:line="249" w:lineRule="auto"/>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proxy statement for our Annual Meeting of Shareholders and our annual report to shareholders on Form 10-K for the year ended December 31, 2022 will be available on our website under Investor Relations—Financial Information at </w:t>
      </w:r>
      <w:r>
        <w:rPr>
          <w:rFonts w:ascii="Arial" w:cs="Arial" w:eastAsia="Arial" w:hAnsi="Arial"/>
          <w:sz w:val="18"/>
          <w:szCs w:val="18"/>
          <w:u w:val="single" w:color="auto"/>
          <w:color w:val="auto"/>
        </w:rPr>
        <w:t>https://ir.altisource.com/financial-information</w:t>
      </w:r>
      <w:r>
        <w:rPr>
          <w:rFonts w:ascii="Arial" w:cs="Arial" w:eastAsia="Arial" w:hAnsi="Arial"/>
          <w:sz w:val="18"/>
          <w:szCs w:val="18"/>
          <w:color w:val="auto"/>
        </w:rPr>
        <w:t xml:space="preserve">. In accordance with Securities and Exchange Commission rules, you may also access our proxy statement and annual report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 website that does not identify or track visitors to the site, by entering the Control Number found on your Notice and Access Card, your proxy card or your email notification, as applicable.</w:t>
      </w:r>
    </w:p>
    <w:p>
      <w:pPr>
        <w:spacing w:after="0" w:line="296" w:lineRule="exact"/>
        <w:rPr>
          <w:rFonts w:ascii="Arial" w:cs="Arial" w:eastAsia="Arial" w:hAnsi="Arial"/>
          <w:sz w:val="18"/>
          <w:szCs w:val="18"/>
          <w:color w:val="auto"/>
        </w:rPr>
      </w:pPr>
    </w:p>
    <w:p>
      <w:pPr>
        <w:ind w:left="1760" w:right="599" w:hanging="186"/>
        <w:spacing w:after="0" w:line="254" w:lineRule="auto"/>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 (33</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 stock able to be voted, whether represented in person or by proxy, will constitute a quorum for the transaction of business at the Annual Meeting.</w:t>
      </w:r>
    </w:p>
    <w:p>
      <w:pPr>
        <w:spacing w:after="0" w:line="75" w:lineRule="exact"/>
        <w:rPr>
          <w:rFonts w:ascii="Arial" w:cs="Arial" w:eastAsia="Arial" w:hAnsi="Arial"/>
          <w:sz w:val="18"/>
          <w:szCs w:val="18"/>
          <w:color w:val="auto"/>
        </w:rPr>
      </w:pPr>
    </w:p>
    <w:p>
      <w:pPr>
        <w:ind w:left="1760" w:right="519" w:hanging="186"/>
        <w:spacing w:after="0" w:line="249" w:lineRule="auto"/>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Luxembourg Statutory Accounts, the Directors’ report for the Luxembourg Statutory Accounts, the report of the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the Consolidated Accounts and the report of the supervisory auditor </w:t>
      </w:r>
      <w:r>
        <w:rPr>
          <w:rFonts w:ascii="Arial" w:cs="Arial" w:eastAsia="Arial" w:hAnsi="Arial"/>
          <w:sz w:val="18"/>
          <w:szCs w:val="18"/>
          <w:i w:val="1"/>
          <w:iCs w:val="1"/>
          <w:color w:val="auto"/>
        </w:rPr>
        <w:t>(Commissaire aux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Comptes) </w:t>
      </w:r>
      <w:r>
        <w:rPr>
          <w:rFonts w:ascii="Arial" w:cs="Arial" w:eastAsia="Arial" w:hAnsi="Arial"/>
          <w:sz w:val="18"/>
          <w:szCs w:val="18"/>
          <w:color w:val="auto"/>
        </w:rPr>
        <w:t>for the Luxembourg Annual Accounts will be available for inspection at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registered office during business hours, by appointment, subject to location limitations, if any, that may be imposed by the Luxembourg government, from May 2, 2023 until the conclusion of the Annual Meeting. Beginning May 2, 2023, .pdf copies will also be available to any shareholder who requests them by writing to our Corporate Secretary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By authorization of the Board of Directors,</w:t>
      </w:r>
    </w:p>
    <w:p>
      <w:pPr>
        <w:spacing w:after="0" w:line="200" w:lineRule="exact"/>
        <w:rPr>
          <w:sz w:val="20"/>
          <w:szCs w:val="20"/>
          <w:color w:val="auto"/>
        </w:rPr>
      </w:pP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Gregory J. Ritts</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Corporate Secretary</w:t>
      </w:r>
    </w:p>
    <w:p>
      <w:pPr>
        <w:spacing w:after="0" w:line="25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April 3, 2023</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ind w:left="1220" w:right="579"/>
        <w:spacing w:after="0" w:line="252"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information you should consider. Please read this entire proxy statement carefully before voting.</w:t>
      </w:r>
    </w:p>
    <w:p>
      <w:pPr>
        <w:spacing w:after="0" w:line="16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Meeting Information</w:t>
      </w:r>
    </w:p>
    <w:p>
      <w:pPr>
        <w:spacing w:after="0" w:line="119" w:lineRule="exact"/>
        <w:rPr>
          <w:sz w:val="20"/>
          <w:szCs w:val="20"/>
          <w:color w:val="auto"/>
        </w:rPr>
      </w:pPr>
    </w:p>
    <w:p>
      <w:pPr>
        <w:ind w:left="1760" w:hanging="186"/>
        <w:spacing w:after="0"/>
        <w:tabs>
          <w:tab w:leader="none" w:pos="1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Date: Tuesday, May 16, 2023</w:t>
      </w:r>
    </w:p>
    <w:p>
      <w:pPr>
        <w:spacing w:after="0" w:line="110" w:lineRule="exact"/>
        <w:rPr>
          <w:rFonts w:ascii="Arial" w:cs="Arial" w:eastAsia="Arial" w:hAnsi="Arial"/>
          <w:sz w:val="18"/>
          <w:szCs w:val="18"/>
          <w:color w:val="auto"/>
        </w:rPr>
      </w:pPr>
    </w:p>
    <w:p>
      <w:pPr>
        <w:ind w:left="1760" w:hanging="186"/>
        <w:spacing w:after="0"/>
        <w:tabs>
          <w:tab w:leader="none" w:pos="1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Meeting Time: 9:00 a.m. Central European Time</w:t>
      </w:r>
    </w:p>
    <w:p>
      <w:pPr>
        <w:spacing w:after="0" w:line="97" w:lineRule="exact"/>
        <w:rPr>
          <w:rFonts w:ascii="Arial" w:cs="Arial" w:eastAsia="Arial" w:hAnsi="Arial"/>
          <w:sz w:val="18"/>
          <w:szCs w:val="18"/>
          <w:color w:val="auto"/>
        </w:rPr>
      </w:pPr>
    </w:p>
    <w:p>
      <w:pPr>
        <w:ind w:left="1760" w:right="1379" w:hanging="186"/>
        <w:spacing w:after="0" w:line="274" w:lineRule="auto"/>
        <w:tabs>
          <w:tab w:leader="none" w:pos="1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 33, Boulevard Prince Henri, L-1724 Luxembourg City, Grand Duchy of Luxembourg</w:t>
      </w:r>
    </w:p>
    <w:p>
      <w:pPr>
        <w:spacing w:after="0" w:line="56" w:lineRule="exact"/>
        <w:rPr>
          <w:rFonts w:ascii="Arial" w:cs="Arial" w:eastAsia="Arial" w:hAnsi="Arial"/>
          <w:sz w:val="18"/>
          <w:szCs w:val="18"/>
          <w:color w:val="auto"/>
        </w:rPr>
      </w:pPr>
    </w:p>
    <w:p>
      <w:pPr>
        <w:ind w:left="1760" w:hanging="186"/>
        <w:spacing w:after="0"/>
        <w:tabs>
          <w:tab w:leader="none" w:pos="1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 Date: March 24, 2023</w:t>
      </w:r>
    </w:p>
    <w:p>
      <w:pPr>
        <w:spacing w:after="0" w:line="110" w:lineRule="exact"/>
        <w:rPr>
          <w:rFonts w:ascii="Arial" w:cs="Arial" w:eastAsia="Arial" w:hAnsi="Arial"/>
          <w:sz w:val="18"/>
          <w:szCs w:val="18"/>
          <w:color w:val="auto"/>
        </w:rPr>
      </w:pPr>
    </w:p>
    <w:p>
      <w:pPr>
        <w:ind w:left="1760" w:right="859" w:hanging="186"/>
        <w:spacing w:after="0" w:line="274" w:lineRule="auto"/>
        <w:tabs>
          <w:tab w:leader="none" w:pos="1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Agenda: The meeting will cover the proposals listed below, and any other business that may properly come before the meeting</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Annual Meeting, Voting Matters and Board Recommendations</w:t>
      </w:r>
    </w:p>
    <w:p>
      <w:pPr>
        <w:spacing w:after="0" w:line="148" w:lineRule="exact"/>
        <w:rPr>
          <w:sz w:val="20"/>
          <w:szCs w:val="20"/>
          <w:color w:val="auto"/>
        </w:rPr>
      </w:pPr>
    </w:p>
    <w:tbl>
      <w:tblPr>
        <w:tblLayout w:type="fixed"/>
        <w:tblInd w:w="1220" w:type="dxa"/>
        <w:tblCellMar>
          <w:top w:w="0" w:type="dxa"/>
          <w:left w:w="0" w:type="dxa"/>
          <w:bottom w:w="0" w:type="dxa"/>
          <w:right w:w="0" w:type="dxa"/>
        </w:tblCellMar>
      </w:tblPr>
      <w:tr>
        <w:trPr>
          <w:trHeight w:val="199"/>
        </w:trPr>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5960" w:type="dxa"/>
            <w:vAlign w:val="bottom"/>
            <w:tcBorders>
              <w:bottom w:val="single" w:sz="8" w:color="auto"/>
            </w:tcBorders>
          </w:tcPr>
          <w:p>
            <w:pPr>
              <w:ind w:left="2620"/>
              <w:spacing w:after="0"/>
              <w:rPr>
                <w:sz w:val="20"/>
                <w:szCs w:val="20"/>
                <w:color w:val="auto"/>
              </w:rPr>
            </w:pPr>
            <w:r>
              <w:rPr>
                <w:rFonts w:ascii="Arial" w:cs="Arial" w:eastAsia="Arial" w:hAnsi="Arial"/>
                <w:sz w:val="16"/>
                <w:szCs w:val="16"/>
                <w:b w:val="1"/>
                <w:bCs w:val="1"/>
                <w:color w:val="auto"/>
              </w:rPr>
              <w:t>Annual Meeting of Shareholders</w:t>
            </w: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2"/>
        </w:trPr>
        <w:tc>
          <w:tcPr>
            <w:tcW w:w="18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5960" w:type="dxa"/>
            <w:vAlign w:val="bottom"/>
          </w:tcPr>
          <w:p>
            <w:pPr>
              <w:ind w:left="2500"/>
              <w:spacing w:after="0"/>
              <w:rPr>
                <w:sz w:val="20"/>
                <w:szCs w:val="20"/>
                <w:color w:val="auto"/>
              </w:rPr>
            </w:pPr>
            <w:r>
              <w:rPr>
                <w:rFonts w:ascii="Arial" w:cs="Arial" w:eastAsia="Arial" w:hAnsi="Arial"/>
                <w:sz w:val="16"/>
                <w:szCs w:val="16"/>
                <w:b w:val="1"/>
                <w:bCs w:val="1"/>
                <w:color w:val="auto"/>
              </w:rPr>
              <w:t>Proposals</w:t>
            </w:r>
          </w:p>
        </w:tc>
        <w:tc>
          <w:tcPr>
            <w:tcW w:w="220" w:type="dxa"/>
            <w:vAlign w:val="bottom"/>
          </w:tcPr>
          <w:p>
            <w:pPr>
              <w:ind w:left="60"/>
              <w:spacing w:after="0"/>
              <w:rPr>
                <w:sz w:val="20"/>
                <w:szCs w:val="20"/>
                <w:color w:val="auto"/>
              </w:rPr>
            </w:pPr>
            <w:r>
              <w:rPr>
                <w:rFonts w:ascii="Arial" w:cs="Arial" w:eastAsia="Arial" w:hAnsi="Arial"/>
                <w:sz w:val="16"/>
                <w:szCs w:val="16"/>
                <w:b w:val="1"/>
                <w:bCs w:val="1"/>
                <w:color w:val="auto"/>
              </w:rPr>
              <w:t>​ ​</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8"/>
              </w:rPr>
              <w:t>Recommendation</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0" w:type="dxa"/>
            <w:vAlign w:val="bottom"/>
            <w:tcBorders>
              <w:top w:val="single" w:sz="8" w:color="auto"/>
            </w:tcBorders>
          </w:tcPr>
          <w:p>
            <w:pPr>
              <w:spacing w:after="0" w:line="126" w:lineRule="exact"/>
              <w:rPr>
                <w:sz w:val="20"/>
                <w:szCs w:val="20"/>
                <w:color w:val="auto"/>
              </w:rPr>
            </w:pPr>
            <w:r>
              <w:rPr>
                <w:rFonts w:ascii="Arial" w:cs="Arial" w:eastAsia="Arial" w:hAnsi="Arial"/>
                <w:sz w:val="14"/>
                <w:szCs w:val="14"/>
                <w:color w:val="auto"/>
              </w:rPr>
              <w:t>​</w:t>
            </w:r>
          </w:p>
        </w:tc>
        <w:tc>
          <w:tcPr>
            <w:tcW w:w="5960" w:type="dxa"/>
            <w:vAlign w:val="bottom"/>
            <w:tcBorders>
              <w:top w:val="single" w:sz="8" w:color="auto"/>
            </w:tcBorders>
            <w:vMerge w:val="restart"/>
          </w:tcPr>
          <w:p>
            <w:pPr>
              <w:ind w:left="140"/>
              <w:spacing w:after="0" w:line="154" w:lineRule="exact"/>
              <w:rPr>
                <w:sz w:val="20"/>
                <w:szCs w:val="20"/>
                <w:color w:val="auto"/>
              </w:rPr>
            </w:pPr>
            <w:r>
              <w:rPr>
                <w:rFonts w:ascii="Arial" w:cs="Arial" w:eastAsia="Arial" w:hAnsi="Arial"/>
                <w:sz w:val="16"/>
                <w:szCs w:val="16"/>
                <w:color w:val="auto"/>
              </w:rPr>
              <w:t>Election of Directors</w:t>
            </w:r>
          </w:p>
        </w:tc>
        <w:tc>
          <w:tcPr>
            <w:tcW w:w="220" w:type="dxa"/>
            <w:vAlign w:val="bottom"/>
          </w:tcPr>
          <w:p>
            <w:pPr>
              <w:spacing w:after="0" w:line="126" w:lineRule="exact"/>
              <w:rPr>
                <w:sz w:val="20"/>
                <w:szCs w:val="20"/>
                <w:color w:val="auto"/>
              </w:rPr>
            </w:pPr>
            <w:r>
              <w:rPr>
                <w:rFonts w:ascii="Arial" w:cs="Arial" w:eastAsia="Arial" w:hAnsi="Arial"/>
                <w:sz w:val="14"/>
                <w:szCs w:val="14"/>
                <w:color w:val="auto"/>
              </w:rPr>
              <w:t>​ ​</w:t>
            </w:r>
          </w:p>
        </w:tc>
        <w:tc>
          <w:tcPr>
            <w:tcW w:w="1680" w:type="dxa"/>
            <w:vAlign w:val="bottom"/>
            <w:tcBorders>
              <w:top w:val="single" w:sz="8" w:color="auto"/>
            </w:tcBorders>
            <w:vMerge w:val="restart"/>
          </w:tcPr>
          <w:p>
            <w:pPr>
              <w:jc w:val="center"/>
              <w:spacing w:after="0" w:line="15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FOR each nominee</w:t>
            </w:r>
          </w:p>
        </w:tc>
        <w:tc>
          <w:tcPr>
            <w:tcW w:w="60" w:type="dxa"/>
            <w:vAlign w:val="bottom"/>
          </w:tcPr>
          <w:p>
            <w:pPr>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180" w:type="dxa"/>
            <w:vAlign w:val="bottom"/>
            <w:gridSpan w:val="2"/>
          </w:tcPr>
          <w:p>
            <w:pPr>
              <w:spacing w:after="0" w:line="29" w:lineRule="exact"/>
              <w:rPr>
                <w:sz w:val="20"/>
                <w:szCs w:val="20"/>
                <w:color w:val="auto"/>
              </w:rPr>
            </w:pPr>
            <w:r>
              <w:rPr>
                <w:rFonts w:ascii="Arial" w:cs="Arial" w:eastAsia="Arial" w:hAnsi="Arial"/>
                <w:sz w:val="3"/>
                <w:szCs w:val="3"/>
                <w:color w:val="auto"/>
              </w:rPr>
              <w:t>•</w:t>
            </w:r>
          </w:p>
        </w:tc>
        <w:tc>
          <w:tcPr>
            <w:tcW w:w="59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80" w:type="dxa"/>
            <w:vAlign w:val="bottom"/>
            <w:gridSpan w:val="2"/>
          </w:tcPr>
          <w:p>
            <w:pPr>
              <w:spacing w:after="0" w:line="170"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4"/>
                <w:szCs w:val="14"/>
                <w:color w:val="auto"/>
              </w:rPr>
            </w:pPr>
          </w:p>
        </w:tc>
        <w:tc>
          <w:tcPr>
            <w:tcW w:w="220" w:type="dxa"/>
            <w:vAlign w:val="bottom"/>
          </w:tcPr>
          <w:p>
            <w:pPr>
              <w:spacing w:after="0" w:line="170" w:lineRule="exact"/>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6140" w:type="dxa"/>
            <w:vAlign w:val="bottom"/>
            <w:gridSpan w:val="3"/>
          </w:tcPr>
          <w:p>
            <w:pPr>
              <w:spacing w:after="0"/>
              <w:rPr>
                <w:sz w:val="20"/>
                <w:szCs w:val="20"/>
                <w:color w:val="auto"/>
              </w:rPr>
            </w:pPr>
            <w:r>
              <w:rPr>
                <w:rFonts w:ascii="Arial" w:cs="Arial" w:eastAsia="Arial" w:hAnsi="Arial"/>
                <w:sz w:val="3"/>
                <w:szCs w:val="3"/>
                <w:color w:val="auto"/>
              </w:rPr>
              <w:t>•   Approval and Ratification the Audit Committee’s appointment of RSM US</w:t>
            </w:r>
          </w:p>
        </w:tc>
        <w:tc>
          <w:tcPr>
            <w:tcW w:w="2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60" w:type="dxa"/>
            <w:vAlign w:val="bottom"/>
          </w:tcPr>
          <w:p>
            <w:pPr>
              <w:ind w:left="140"/>
              <w:spacing w:after="0"/>
              <w:rPr>
                <w:sz w:val="20"/>
                <w:szCs w:val="20"/>
                <w:color w:val="auto"/>
              </w:rPr>
            </w:pPr>
            <w:r>
              <w:rPr>
                <w:rFonts w:ascii="Arial" w:cs="Arial" w:eastAsia="Arial" w:hAnsi="Arial"/>
                <w:sz w:val="16"/>
                <w:szCs w:val="16"/>
                <w:color w:val="auto"/>
              </w:rPr>
              <w:t>LLP as the Company’s Independent Registered Certified Public</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960" w:type="dxa"/>
            <w:vAlign w:val="bottom"/>
          </w:tcPr>
          <w:p>
            <w:pPr>
              <w:ind w:left="140"/>
              <w:spacing w:after="0"/>
              <w:rPr>
                <w:sz w:val="20"/>
                <w:szCs w:val="20"/>
                <w:color w:val="auto"/>
              </w:rPr>
            </w:pPr>
            <w:r>
              <w:rPr>
                <w:rFonts w:ascii="Arial" w:cs="Arial" w:eastAsia="Arial" w:hAnsi="Arial"/>
                <w:sz w:val="16"/>
                <w:szCs w:val="16"/>
                <w:color w:val="auto"/>
              </w:rPr>
              <w:t>Accounting Firm for the year ended December 31, 2022</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80" w:type="dxa"/>
            <w:vAlign w:val="bottom"/>
            <w:gridSpan w:val="2"/>
            <w:vMerge w:val="continue"/>
          </w:tcPr>
          <w:p>
            <w:pPr>
              <w:spacing w:after="0"/>
              <w:rPr>
                <w:sz w:val="11"/>
                <w:szCs w:val="11"/>
                <w:color w:val="auto"/>
              </w:rPr>
            </w:pPr>
          </w:p>
        </w:tc>
        <w:tc>
          <w:tcPr>
            <w:tcW w:w="596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6140" w:type="dxa"/>
            <w:vAlign w:val="bottom"/>
            <w:gridSpan w:val="3"/>
          </w:tcPr>
          <w:p>
            <w:pPr>
              <w:spacing w:after="0"/>
              <w:rPr>
                <w:sz w:val="20"/>
                <w:szCs w:val="20"/>
                <w:color w:val="auto"/>
              </w:rPr>
            </w:pPr>
            <w:r>
              <w:rPr>
                <w:rFonts w:ascii="Arial" w:cs="Arial" w:eastAsia="Arial" w:hAnsi="Arial"/>
                <w:sz w:val="3"/>
                <w:szCs w:val="3"/>
                <w:color w:val="auto"/>
              </w:rPr>
              <w:t>•   Appointment of the Company’s Independent Registered Certified Public</w:t>
            </w:r>
          </w:p>
        </w:tc>
        <w:tc>
          <w:tcPr>
            <w:tcW w:w="2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960" w:type="dxa"/>
            <w:vAlign w:val="bottom"/>
          </w:tcPr>
          <w:p>
            <w:pPr>
              <w:ind w:left="140"/>
              <w:spacing w:after="0"/>
              <w:rPr>
                <w:sz w:val="20"/>
                <w:szCs w:val="20"/>
                <w:color w:val="auto"/>
              </w:rPr>
            </w:pPr>
            <w:r>
              <w:rPr>
                <w:rFonts w:ascii="Arial" w:cs="Arial" w:eastAsia="Arial" w:hAnsi="Arial"/>
                <w:sz w:val="16"/>
                <w:szCs w:val="16"/>
                <w:color w:val="auto"/>
              </w:rPr>
              <w:t>Accounting Firm and Certified Auditor</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2"/>
        </w:trPr>
        <w:tc>
          <w:tcPr>
            <w:tcW w:w="180" w:type="dxa"/>
            <w:vAlign w:val="bottom"/>
            <w:gridSpan w:val="2"/>
            <w:vMerge w:val="continue"/>
          </w:tcPr>
          <w:p>
            <w:pPr>
              <w:spacing w:after="0"/>
              <w:rPr>
                <w:sz w:val="10"/>
                <w:szCs w:val="10"/>
                <w:color w:val="auto"/>
              </w:rPr>
            </w:pPr>
          </w:p>
        </w:tc>
        <w:tc>
          <w:tcPr>
            <w:tcW w:w="59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6140" w:type="dxa"/>
            <w:vAlign w:val="bottom"/>
            <w:gridSpan w:val="3"/>
          </w:tcPr>
          <w:p>
            <w:pPr>
              <w:spacing w:after="0" w:line="28" w:lineRule="exact"/>
              <w:rPr>
                <w:sz w:val="20"/>
                <w:szCs w:val="20"/>
                <w:color w:val="auto"/>
              </w:rPr>
            </w:pPr>
            <w:r>
              <w:rPr>
                <w:rFonts w:ascii="Arial" w:cs="Arial" w:eastAsia="Arial" w:hAnsi="Arial"/>
                <w:sz w:val="3"/>
                <w:szCs w:val="3"/>
                <w:color w:val="auto"/>
              </w:rPr>
              <w:t xml:space="preserve">•   Appointment of the Company’s Supervisory Auditor </w:t>
            </w:r>
            <w:r>
              <w:rPr>
                <w:rFonts w:ascii="Arial" w:cs="Arial" w:eastAsia="Arial" w:hAnsi="Arial"/>
                <w:sz w:val="3"/>
                <w:szCs w:val="3"/>
                <w:i w:val="1"/>
                <w:iCs w:val="1"/>
                <w:color w:val="auto"/>
              </w:rPr>
              <w:t>(Commissaire aux</w:t>
            </w:r>
          </w:p>
        </w:tc>
        <w:tc>
          <w:tcPr>
            <w:tcW w:w="2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960" w:type="dxa"/>
            <w:vAlign w:val="bottom"/>
          </w:tcPr>
          <w:p>
            <w:pPr>
              <w:ind w:left="140"/>
              <w:spacing w:after="0"/>
              <w:rPr>
                <w:sz w:val="20"/>
                <w:szCs w:val="20"/>
                <w:color w:val="auto"/>
              </w:rPr>
            </w:pPr>
            <w:r>
              <w:rPr>
                <w:rFonts w:ascii="Arial" w:cs="Arial" w:eastAsia="Arial" w:hAnsi="Arial"/>
                <w:sz w:val="16"/>
                <w:szCs w:val="16"/>
                <w:i w:val="1"/>
                <w:iCs w:val="1"/>
                <w:color w:val="auto"/>
              </w:rPr>
              <w:t>Comptes)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80" w:type="dxa"/>
            <w:vAlign w:val="bottom"/>
            <w:gridSpan w:val="2"/>
            <w:vMerge w:val="continue"/>
          </w:tcPr>
          <w:p>
            <w:pPr>
              <w:spacing w:after="0"/>
              <w:rPr>
                <w:sz w:val="9"/>
                <w:szCs w:val="9"/>
                <w:color w:val="auto"/>
              </w:rPr>
            </w:pPr>
          </w:p>
        </w:tc>
        <w:tc>
          <w:tcPr>
            <w:tcW w:w="59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140" w:type="dxa"/>
            <w:vAlign w:val="bottom"/>
            <w:gridSpan w:val="3"/>
          </w:tcPr>
          <w:p>
            <w:pPr>
              <w:spacing w:after="0" w:line="29" w:lineRule="exact"/>
              <w:rPr>
                <w:sz w:val="20"/>
                <w:szCs w:val="20"/>
                <w:color w:val="auto"/>
              </w:rPr>
            </w:pPr>
            <w:r>
              <w:rPr>
                <w:rFonts w:ascii="Arial" w:cs="Arial" w:eastAsia="Arial" w:hAnsi="Arial"/>
                <w:sz w:val="3"/>
                <w:szCs w:val="3"/>
                <w:color w:val="auto"/>
              </w:rPr>
              <w:t>•   Approval of the Company’s 2022 Statutory Accounts</w:t>
            </w:r>
          </w:p>
        </w:tc>
        <w:tc>
          <w:tcPr>
            <w:tcW w:w="2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80" w:type="dxa"/>
            <w:vAlign w:val="bottom"/>
            <w:gridSpan w:val="2"/>
          </w:tcPr>
          <w:p>
            <w:pPr>
              <w:spacing w:after="0" w:line="170"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4"/>
                <w:szCs w:val="14"/>
                <w:color w:val="auto"/>
              </w:rPr>
            </w:pPr>
          </w:p>
        </w:tc>
        <w:tc>
          <w:tcPr>
            <w:tcW w:w="220" w:type="dxa"/>
            <w:vAlign w:val="bottom"/>
          </w:tcPr>
          <w:p>
            <w:pPr>
              <w:spacing w:after="0" w:line="170" w:lineRule="exact"/>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6140" w:type="dxa"/>
            <w:vAlign w:val="bottom"/>
            <w:gridSpan w:val="3"/>
          </w:tcPr>
          <w:p>
            <w:pPr>
              <w:spacing w:after="0"/>
              <w:rPr>
                <w:sz w:val="20"/>
                <w:szCs w:val="20"/>
                <w:color w:val="auto"/>
              </w:rPr>
            </w:pPr>
            <w:r>
              <w:rPr>
                <w:rFonts w:ascii="Arial" w:cs="Arial" w:eastAsia="Arial" w:hAnsi="Arial"/>
                <w:sz w:val="3"/>
                <w:szCs w:val="3"/>
                <w:color w:val="auto"/>
              </w:rPr>
              <w:t>•   Receipt and Approval of the Directors’ Report for the Luxembourg</w:t>
            </w:r>
          </w:p>
        </w:tc>
        <w:tc>
          <w:tcPr>
            <w:tcW w:w="2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60" w:type="dxa"/>
            <w:vAlign w:val="bottom"/>
          </w:tcPr>
          <w:p>
            <w:pPr>
              <w:ind w:left="140"/>
              <w:spacing w:after="0"/>
              <w:rPr>
                <w:sz w:val="20"/>
                <w:szCs w:val="20"/>
                <w:color w:val="auto"/>
              </w:rPr>
            </w:pPr>
            <w:r>
              <w:rPr>
                <w:rFonts w:ascii="Arial" w:cs="Arial" w:eastAsia="Arial" w:hAnsi="Arial"/>
                <w:sz w:val="16"/>
                <w:szCs w:val="16"/>
                <w:color w:val="auto"/>
              </w:rPr>
              <w:t>Statutory Accounts and Receipt of the Supervisory Auditor’s Report for the</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960" w:type="dxa"/>
            <w:vAlign w:val="bottom"/>
          </w:tcPr>
          <w:p>
            <w:pPr>
              <w:ind w:left="140"/>
              <w:spacing w:after="0"/>
              <w:rPr>
                <w:sz w:val="20"/>
                <w:szCs w:val="20"/>
                <w:color w:val="auto"/>
              </w:rPr>
            </w:pPr>
            <w:r>
              <w:rPr>
                <w:rFonts w:ascii="Arial" w:cs="Arial" w:eastAsia="Arial" w:hAnsi="Arial"/>
                <w:sz w:val="16"/>
                <w:szCs w:val="16"/>
                <w:color w:val="auto"/>
              </w:rPr>
              <w:t>Luxembourg Annual Accounts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2"/>
        </w:trPr>
        <w:tc>
          <w:tcPr>
            <w:tcW w:w="180" w:type="dxa"/>
            <w:vAlign w:val="bottom"/>
            <w:gridSpan w:val="2"/>
            <w:vMerge w:val="continue"/>
          </w:tcPr>
          <w:p>
            <w:pPr>
              <w:spacing w:after="0"/>
              <w:rPr>
                <w:sz w:val="10"/>
                <w:szCs w:val="10"/>
                <w:color w:val="auto"/>
              </w:rPr>
            </w:pPr>
          </w:p>
        </w:tc>
        <w:tc>
          <w:tcPr>
            <w:tcW w:w="59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140" w:type="dxa"/>
            <w:vAlign w:val="bottom"/>
            <w:gridSpan w:val="3"/>
          </w:tcPr>
          <w:p>
            <w:pPr>
              <w:spacing w:after="0" w:line="27" w:lineRule="exact"/>
              <w:rPr>
                <w:sz w:val="20"/>
                <w:szCs w:val="20"/>
                <w:color w:val="auto"/>
              </w:rPr>
            </w:pPr>
            <w:r>
              <w:rPr>
                <w:rFonts w:ascii="Arial" w:cs="Arial" w:eastAsia="Arial" w:hAnsi="Arial"/>
                <w:sz w:val="3"/>
                <w:szCs w:val="3"/>
                <w:color w:val="auto"/>
              </w:rPr>
              <w:t>•   Allocation of the Results in the Luxembourg Annual Accounts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continue"/>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9"/>
        </w:trPr>
        <w:tc>
          <w:tcPr>
            <w:tcW w:w="180" w:type="dxa"/>
            <w:vAlign w:val="bottom"/>
            <w:gridSpan w:val="2"/>
          </w:tcPr>
          <w:p>
            <w:pPr>
              <w:spacing w:after="0" w:line="159"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140" w:type="dxa"/>
            <w:vAlign w:val="bottom"/>
            <w:gridSpan w:val="3"/>
          </w:tcPr>
          <w:p>
            <w:pPr>
              <w:spacing w:after="0" w:line="27" w:lineRule="exact"/>
              <w:rPr>
                <w:sz w:val="20"/>
                <w:szCs w:val="20"/>
                <w:color w:val="auto"/>
              </w:rPr>
            </w:pPr>
            <w:r>
              <w:rPr>
                <w:rFonts w:ascii="Arial" w:cs="Arial" w:eastAsia="Arial" w:hAnsi="Arial"/>
                <w:sz w:val="3"/>
                <w:szCs w:val="3"/>
                <w:color w:val="auto"/>
              </w:rPr>
              <w:t>•   Discharge of the Directors and the Supervisory Auditor</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continue"/>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9"/>
        </w:trPr>
        <w:tc>
          <w:tcPr>
            <w:tcW w:w="180" w:type="dxa"/>
            <w:vAlign w:val="bottom"/>
            <w:gridSpan w:val="2"/>
          </w:tcPr>
          <w:p>
            <w:pPr>
              <w:spacing w:after="0" w:line="159"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140" w:type="dxa"/>
            <w:vAlign w:val="bottom"/>
            <w:gridSpan w:val="3"/>
          </w:tcPr>
          <w:p>
            <w:pPr>
              <w:spacing w:after="0" w:line="29" w:lineRule="exact"/>
              <w:rPr>
                <w:sz w:val="20"/>
                <w:szCs w:val="20"/>
                <w:color w:val="auto"/>
              </w:rPr>
            </w:pPr>
            <w:r>
              <w:rPr>
                <w:rFonts w:ascii="Arial" w:cs="Arial" w:eastAsia="Arial" w:hAnsi="Arial"/>
                <w:sz w:val="3"/>
                <w:szCs w:val="3"/>
                <w:color w:val="auto"/>
              </w:rPr>
              <w:t>•   Approve the Renewal and Amendment of our Share Repurchase Program</w:t>
            </w:r>
          </w:p>
        </w:tc>
        <w:tc>
          <w:tcPr>
            <w:tcW w:w="2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80" w:type="dxa"/>
            <w:vAlign w:val="bottom"/>
            <w:gridSpan w:val="2"/>
          </w:tcPr>
          <w:p>
            <w:pPr>
              <w:spacing w:after="0" w:line="170"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4"/>
                <w:szCs w:val="14"/>
                <w:color w:val="auto"/>
              </w:rPr>
            </w:pPr>
          </w:p>
        </w:tc>
        <w:tc>
          <w:tcPr>
            <w:tcW w:w="220" w:type="dxa"/>
            <w:vAlign w:val="bottom"/>
          </w:tcPr>
          <w:p>
            <w:pPr>
              <w:spacing w:after="0" w:line="170" w:lineRule="exact"/>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6140" w:type="dxa"/>
            <w:vAlign w:val="bottom"/>
            <w:gridSpan w:val="3"/>
          </w:tcPr>
          <w:p>
            <w:pPr>
              <w:spacing w:after="0"/>
              <w:rPr>
                <w:sz w:val="20"/>
                <w:szCs w:val="20"/>
                <w:color w:val="auto"/>
              </w:rPr>
            </w:pPr>
            <w:r>
              <w:rPr>
                <w:rFonts w:ascii="Arial" w:cs="Arial" w:eastAsia="Arial" w:hAnsi="Arial"/>
                <w:sz w:val="3"/>
                <w:szCs w:val="3"/>
                <w:color w:val="auto"/>
              </w:rPr>
              <w:t>•   Advisory Acknowledgment of the Sale by the Company of 4,550,000</w:t>
            </w:r>
          </w:p>
        </w:tc>
        <w:tc>
          <w:tcPr>
            <w:tcW w:w="2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960" w:type="dxa"/>
            <w:vAlign w:val="bottom"/>
          </w:tcPr>
          <w:p>
            <w:pPr>
              <w:ind w:left="140"/>
              <w:spacing w:after="0"/>
              <w:rPr>
                <w:sz w:val="20"/>
                <w:szCs w:val="20"/>
                <w:color w:val="auto"/>
              </w:rPr>
            </w:pPr>
            <w:r>
              <w:rPr>
                <w:rFonts w:ascii="Arial" w:cs="Arial" w:eastAsia="Arial" w:hAnsi="Arial"/>
                <w:sz w:val="16"/>
                <w:szCs w:val="16"/>
                <w:color w:val="auto"/>
              </w:rPr>
              <w:t>Shares of Common Stock held as Treasury Shares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2"/>
        </w:trPr>
        <w:tc>
          <w:tcPr>
            <w:tcW w:w="180" w:type="dxa"/>
            <w:vAlign w:val="bottom"/>
            <w:gridSpan w:val="2"/>
            <w:vMerge w:val="continue"/>
          </w:tcPr>
          <w:p>
            <w:pPr>
              <w:spacing w:after="0"/>
              <w:rPr>
                <w:sz w:val="10"/>
                <w:szCs w:val="10"/>
                <w:color w:val="auto"/>
              </w:rPr>
            </w:pPr>
          </w:p>
        </w:tc>
        <w:tc>
          <w:tcPr>
            <w:tcW w:w="59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6140" w:type="dxa"/>
            <w:vAlign w:val="bottom"/>
            <w:gridSpan w:val="3"/>
          </w:tcPr>
          <w:p>
            <w:pPr>
              <w:spacing w:after="0" w:line="29" w:lineRule="exact"/>
              <w:rPr>
                <w:sz w:val="20"/>
                <w:szCs w:val="20"/>
                <w:color w:val="auto"/>
              </w:rPr>
            </w:pPr>
            <w:r>
              <w:rPr>
                <w:rFonts w:ascii="Arial" w:cs="Arial" w:eastAsia="Arial" w:hAnsi="Arial"/>
                <w:sz w:val="3"/>
                <w:szCs w:val="3"/>
                <w:color w:val="auto"/>
              </w:rPr>
              <w:t>•   Advisory Vote on Executive Compensation (“Say-on-Pay”)</w:t>
            </w:r>
          </w:p>
        </w:tc>
        <w:tc>
          <w:tcPr>
            <w:tcW w:w="2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80" w:type="dxa"/>
            <w:vAlign w:val="bottom"/>
            <w:gridSpan w:val="2"/>
          </w:tcPr>
          <w:p>
            <w:pPr>
              <w:spacing w:after="0" w:line="170"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4"/>
                <w:szCs w:val="14"/>
                <w:color w:val="auto"/>
              </w:rPr>
            </w:pPr>
          </w:p>
        </w:tc>
        <w:tc>
          <w:tcPr>
            <w:tcW w:w="220" w:type="dxa"/>
            <w:vAlign w:val="bottom"/>
          </w:tcPr>
          <w:p>
            <w:pPr>
              <w:spacing w:after="0" w:line="170" w:lineRule="exact"/>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5"/>
        </w:trPr>
        <w:tc>
          <w:tcPr>
            <w:tcW w:w="6140" w:type="dxa"/>
            <w:vAlign w:val="bottom"/>
            <w:gridSpan w:val="3"/>
          </w:tcPr>
          <w:p>
            <w:pPr>
              <w:spacing w:after="0" w:line="55" w:lineRule="exact"/>
              <w:rPr>
                <w:sz w:val="20"/>
                <w:szCs w:val="20"/>
                <w:color w:val="auto"/>
              </w:rPr>
            </w:pPr>
            <w:r>
              <w:rPr>
                <w:rFonts w:ascii="Arial" w:cs="Arial" w:eastAsia="Arial" w:hAnsi="Arial"/>
                <w:sz w:val="6"/>
                <w:szCs w:val="6"/>
                <w:color w:val="auto"/>
              </w:rPr>
              <w:t>•   Advisory Vote on the Frequency of the Executive Compensation</w:t>
            </w:r>
          </w:p>
        </w:tc>
        <w:tc>
          <w:tcPr>
            <w:tcW w:w="22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6"/>
          <w:szCs w:val="16"/>
          <w:color w:val="auto"/>
        </w:rPr>
        <w:t>Shareholder Advisory Vote (“Say-on-Frequency”)</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Highlights</w:t>
      </w:r>
    </w:p>
    <w:p>
      <w:pPr>
        <w:spacing w:after="0" w:line="6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Altisource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an integrated service provider and marketplace for the real estate and</w:t>
      </w:r>
    </w:p>
    <w:p>
      <w:pPr>
        <w:ind w:left="1220" w:right="719"/>
        <w:spacing w:after="0" w:line="238" w:lineRule="auto"/>
        <w:rPr>
          <w:sz w:val="20"/>
          <w:szCs w:val="20"/>
          <w:color w:val="auto"/>
        </w:rPr>
      </w:pPr>
      <w:r>
        <w:rPr>
          <w:rFonts w:ascii="Arial" w:cs="Arial" w:eastAsia="Arial" w:hAnsi="Arial"/>
          <w:sz w:val="18"/>
          <w:szCs w:val="18"/>
          <w:color w:val="auto"/>
        </w:rPr>
        <w:t>mortgage industries. Combining operational excellence with a suite of innovative services and technologies, Altisource helps solve the demands of the ever-changing markets we serve. Traded on the Nasdaq Global Select Market under the symbol “ASPS,” Altisource is organized under the laws of the Grand Duchy of Luxembourg.</w:t>
      </w:r>
    </w:p>
    <w:p>
      <w:pPr>
        <w:spacing w:after="0" w:line="116" w:lineRule="exact"/>
        <w:rPr>
          <w:sz w:val="20"/>
          <w:szCs w:val="20"/>
          <w:color w:val="auto"/>
        </w:rPr>
      </w:pPr>
    </w:p>
    <w:p>
      <w:pPr>
        <w:ind w:left="1220" w:right="779"/>
        <w:spacing w:after="0" w:line="245" w:lineRule="auto"/>
        <w:rPr>
          <w:sz w:val="20"/>
          <w:szCs w:val="20"/>
          <w:color w:val="auto"/>
        </w:rPr>
      </w:pPr>
      <w:r>
        <w:rPr>
          <w:rFonts w:ascii="Arial" w:cs="Arial" w:eastAsia="Arial" w:hAnsi="Arial"/>
          <w:sz w:val="18"/>
          <w:szCs w:val="18"/>
          <w:color w:val="auto"/>
        </w:rPr>
        <w:t>Set forth below is a partial summary of Altisource’s 2022 performance. Please refer to our 2022 Annual Report filed on Form 10-K for a more complete description of our 2022 performance.</w:t>
      </w:r>
    </w:p>
    <w:p>
      <w:pPr>
        <w:spacing w:after="0" w:line="319"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Corporate and Financial</w:t>
      </w:r>
    </w:p>
    <w:p>
      <w:pPr>
        <w:spacing w:after="0" w:line="111" w:lineRule="exact"/>
        <w:rPr>
          <w:sz w:val="20"/>
          <w:szCs w:val="20"/>
          <w:color w:val="auto"/>
        </w:rPr>
      </w:pPr>
    </w:p>
    <w:p>
      <w:pPr>
        <w:ind w:left="1400" w:right="679" w:hanging="179"/>
        <w:spacing w:after="0" w:line="252"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spent 2022 focused on building a product and sales pipeline, as described below, improving operational efficiencies, reducing costs, and strengthening the balance sheet as the Company continued to seek to mitigate the impacts of the COVID-19 pandemic, governmental moratoriums and loss mitigation measures that affect the timing of the recovery of the market for default-related services</w:t>
      </w:r>
    </w:p>
    <w:p>
      <w:pPr>
        <w:spacing w:after="0" w:line="77" w:lineRule="exact"/>
        <w:rPr>
          <w:rFonts w:ascii="Arial" w:cs="Arial" w:eastAsia="Arial" w:hAnsi="Arial"/>
          <w:sz w:val="18"/>
          <w:szCs w:val="18"/>
          <w:color w:val="auto"/>
        </w:rPr>
      </w:pPr>
    </w:p>
    <w:p>
      <w:pPr>
        <w:ind w:left="1400" w:right="759" w:hanging="179"/>
        <w:spacing w:after="0" w:line="274"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full year 2022 corporate and others costs by $31.0 million, representing a 32% reduction, compared to full year 2021</w:t>
      </w:r>
    </w:p>
    <w:p>
      <w:pPr>
        <w:spacing w:after="0" w:line="56" w:lineRule="exact"/>
        <w:rPr>
          <w:rFonts w:ascii="Arial" w:cs="Arial" w:eastAsia="Arial" w:hAnsi="Arial"/>
          <w:sz w:val="18"/>
          <w:szCs w:val="18"/>
          <w:color w:val="auto"/>
        </w:rPr>
      </w:pPr>
    </w:p>
    <w:p>
      <w:pPr>
        <w:ind w:left="1400" w:hanging="179"/>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Ended 2022 with $51.0 million of cash and cash equivalents</w:t>
      </w: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ind w:left="1400" w:hanging="17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Ended 2022 with $196.2 million of net debt</w:t>
      </w:r>
    </w:p>
    <w:p>
      <w:pPr>
        <w:spacing w:after="0" w:line="97" w:lineRule="exact"/>
        <w:rPr>
          <w:rFonts w:ascii="Arial" w:cs="Arial" w:eastAsia="Arial" w:hAnsi="Arial"/>
          <w:sz w:val="18"/>
          <w:szCs w:val="18"/>
          <w:color w:val="auto"/>
        </w:rPr>
      </w:pPr>
    </w:p>
    <w:p>
      <w:pPr>
        <w:ind w:left="1400" w:right="799" w:hanging="179"/>
        <w:spacing w:after="0" w:line="250"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December 12, 2022, we filed a Form S-3 registration statement containing two prospectuses: (i) a base prospectus covering the offering, issuance and sale of up to $100,000,000 in the aggregate of our common stock and/or warrants to purchase our common stock, consisting of some or all of these securities; and (ii) a sales agreement prospectus covering the offering, issuance and sale of up to a maximum aggregate offering price of $25,000,000 of our common stock (as of the date of this filing, we have not sold any common stock under the aforementioned sales agreement prospectus)</w:t>
      </w:r>
    </w:p>
    <w:p>
      <w:pPr>
        <w:spacing w:after="0" w:line="78" w:lineRule="exact"/>
        <w:rPr>
          <w:rFonts w:ascii="Arial" w:cs="Arial" w:eastAsia="Arial" w:hAnsi="Arial"/>
          <w:sz w:val="18"/>
          <w:szCs w:val="18"/>
          <w:color w:val="auto"/>
        </w:rPr>
      </w:pPr>
    </w:p>
    <w:p>
      <w:pPr>
        <w:ind w:left="1400" w:right="499" w:hanging="179"/>
        <w:spacing w:after="0" w:line="249"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February 9, 2023, we executed: (i) an amendment to our term loans (the “Term Loan Amendment”) which, among other things, extends the maturity date to April 2025 with an option to extend to April 2026, subject to certain prepayment and other terms and conditions; and (ii) an amendment to our revolving credit agreement with STS Master Fund, Ltd. which, among other things, provides a revolving credit facility of $15 million with a maturity date coterminous with the Term Loan Amendment maturity date, as it may be extended. Both the Term Loan Amendment and the amendment to our revolving credit agreement became effective February 14, 2023</w:t>
      </w:r>
    </w:p>
    <w:p>
      <w:pPr>
        <w:spacing w:after="0" w:line="296" w:lineRule="exact"/>
        <w:rPr>
          <w:rFonts w:ascii="Arial" w:cs="Arial" w:eastAsia="Arial" w:hAnsi="Arial"/>
          <w:sz w:val="18"/>
          <w:szCs w:val="18"/>
          <w:color w:val="auto"/>
        </w:rPr>
      </w:pPr>
    </w:p>
    <w:p>
      <w:pPr>
        <w:ind w:left="1400" w:right="519" w:hanging="179"/>
        <w:spacing w:after="0" w:line="252"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February 14, 2023, we closed on an underwritten public offering to sell 4,550,000 shares of our common stock (inclusive of 550,000 shares that were sold pursuant to the underwriters’ full exercise of their option to purchase additional shares of common stock), at a price of $5.00 per share, generating net proceeds of approximately $21.2 million, after deducting the underwriting discounts and commissions and other offering expenses</w:t>
      </w:r>
    </w:p>
    <w:p>
      <w:pPr>
        <w:spacing w:after="0" w:line="77" w:lineRule="exact"/>
        <w:rPr>
          <w:rFonts w:ascii="Arial" w:cs="Arial" w:eastAsia="Arial" w:hAnsi="Arial"/>
          <w:sz w:val="18"/>
          <w:szCs w:val="18"/>
          <w:color w:val="auto"/>
        </w:rPr>
      </w:pPr>
    </w:p>
    <w:p>
      <w:pPr>
        <w:jc w:val="both"/>
        <w:ind w:left="1400" w:right="639" w:hanging="179"/>
        <w:spacing w:after="0" w:line="255"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February 22, 2023, we used $20 million of the net proceeds of the underwritten public offering to repay our term loans. This paydown reduced the Payment in Kind interest rate applicable under the Term Loan Amendment and reduced the number of shares of ASPS common stock subject to warrants held by the lenders</w:t>
      </w:r>
    </w:p>
    <w:p>
      <w:pPr>
        <w:spacing w:after="0" w:line="100"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Business and Industry Highlights</w:t>
      </w:r>
    </w:p>
    <w:p>
      <w:pPr>
        <w:spacing w:after="0" w:line="111" w:lineRule="exact"/>
        <w:rPr>
          <w:sz w:val="20"/>
          <w:szCs w:val="20"/>
          <w:color w:val="auto"/>
        </w:rPr>
      </w:pPr>
    </w:p>
    <w:p>
      <w:pPr>
        <w:ind w:left="1400" w:right="659" w:hanging="179"/>
        <w:spacing w:after="0" w:line="259"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Servicer and Real Estate segment continues to benefit from the restart of the default business and efficiency initiatives with 47% gross profit growth on 4% service revenue growth in 2022, compared to 2021</w:t>
      </w:r>
    </w:p>
    <w:p>
      <w:pPr>
        <w:spacing w:after="0" w:line="71" w:lineRule="exact"/>
        <w:rPr>
          <w:rFonts w:ascii="Arial" w:cs="Arial" w:eastAsia="Arial" w:hAnsi="Arial"/>
          <w:sz w:val="18"/>
          <w:szCs w:val="18"/>
          <w:color w:val="auto"/>
        </w:rPr>
      </w:pPr>
    </w:p>
    <w:p>
      <w:pPr>
        <w:ind w:left="1400" w:right="619" w:hanging="179"/>
        <w:spacing w:after="0" w:line="252"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Industrywide foreclosure initiations were 409% higher in 2022, compared to 2021 (although still 44% lower than the pre-COVID-19 period in 2019), as the foreclosure market is beginning to recover following expiration of the Federal government’s foreclosure moratorium on July 31, 2021 and the Consumer Financial Protection Bureau’s temporary loss mitigation measures on December 31, 2021</w:t>
      </w:r>
    </w:p>
    <w:p>
      <w:pPr>
        <w:spacing w:after="0" w:line="77" w:lineRule="exact"/>
        <w:rPr>
          <w:rFonts w:ascii="Arial" w:cs="Arial" w:eastAsia="Arial" w:hAnsi="Arial"/>
          <w:sz w:val="18"/>
          <w:szCs w:val="18"/>
          <w:color w:val="auto"/>
        </w:rPr>
      </w:pPr>
    </w:p>
    <w:p>
      <w:pPr>
        <w:ind w:left="1400" w:right="619" w:hanging="179"/>
        <w:spacing w:after="0" w:line="274"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Industrywide foreclosure sales were 39% higher in 2022, compared to 2021 (although still 63% lower than the pre-COVID-19 period in 2019)</w:t>
      </w:r>
    </w:p>
    <w:p>
      <w:pPr>
        <w:spacing w:after="0" w:line="83" w:lineRule="exact"/>
        <w:rPr>
          <w:sz w:val="20"/>
          <w:szCs w:val="20"/>
          <w:color w:val="auto"/>
        </w:rPr>
      </w:pPr>
    </w:p>
    <w:p>
      <w:pPr>
        <w:ind w:left="1580" w:hanging="359"/>
        <w:spacing w:after="0"/>
        <w:tabs>
          <w:tab w:leader="none" w:pos="1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sales pipeline in the Servicer and Real Estate segment represents</w:t>
      </w:r>
    </w:p>
    <w:p>
      <w:pPr>
        <w:spacing w:after="0" w:line="20" w:lineRule="exact"/>
        <w:rPr>
          <w:rFonts w:ascii="Arial" w:cs="Arial" w:eastAsia="Arial" w:hAnsi="Arial"/>
          <w:sz w:val="18"/>
          <w:szCs w:val="18"/>
          <w:color w:val="auto"/>
        </w:rPr>
      </w:pPr>
    </w:p>
    <w:p>
      <w:pPr>
        <w:ind w:left="1580" w:right="619"/>
        <w:spacing w:after="0" w:line="255" w:lineRule="auto"/>
        <w:rPr>
          <w:rFonts w:ascii="Arial" w:cs="Arial" w:eastAsia="Arial" w:hAnsi="Arial"/>
          <w:sz w:val="18"/>
          <w:szCs w:val="18"/>
          <w:color w:val="auto"/>
        </w:rPr>
      </w:pPr>
      <w:r>
        <w:rPr>
          <w:rFonts w:ascii="Arial" w:cs="Arial" w:eastAsia="Arial" w:hAnsi="Arial"/>
          <w:sz w:val="18"/>
          <w:szCs w:val="18"/>
          <w:color w:val="auto"/>
        </w:rPr>
        <w:t>$41 million to $51 million in estimated annual revenue on a stabilized basis based upon our forecasted probability of closing</w:t>
      </w:r>
    </w:p>
    <w:p>
      <w:pPr>
        <w:spacing w:after="0" w:line="113" w:lineRule="exact"/>
        <w:rPr>
          <w:rFonts w:ascii="Arial" w:cs="Arial" w:eastAsia="Arial" w:hAnsi="Arial"/>
          <w:sz w:val="18"/>
          <w:szCs w:val="18"/>
          <w:color w:val="auto"/>
        </w:rPr>
      </w:pPr>
    </w:p>
    <w:p>
      <w:pPr>
        <w:ind w:left="1580" w:hanging="359"/>
        <w:spacing w:after="0"/>
        <w:tabs>
          <w:tab w:leader="none" w:pos="1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sales pipeline in the Origination segment represents $20 million to</w:t>
      </w:r>
    </w:p>
    <w:p>
      <w:pPr>
        <w:spacing w:after="0" w:line="20" w:lineRule="exact"/>
        <w:rPr>
          <w:rFonts w:ascii="Arial" w:cs="Arial" w:eastAsia="Arial" w:hAnsi="Arial"/>
          <w:sz w:val="18"/>
          <w:szCs w:val="18"/>
          <w:color w:val="auto"/>
        </w:rPr>
      </w:pPr>
    </w:p>
    <w:p>
      <w:pPr>
        <w:ind w:left="1580" w:right="539"/>
        <w:spacing w:after="0" w:line="255" w:lineRule="auto"/>
        <w:rPr>
          <w:rFonts w:ascii="Arial" w:cs="Arial" w:eastAsia="Arial" w:hAnsi="Arial"/>
          <w:sz w:val="18"/>
          <w:szCs w:val="18"/>
          <w:color w:val="auto"/>
        </w:rPr>
      </w:pPr>
      <w:r>
        <w:rPr>
          <w:rFonts w:ascii="Arial" w:cs="Arial" w:eastAsia="Arial" w:hAnsi="Arial"/>
          <w:sz w:val="18"/>
          <w:szCs w:val="18"/>
          <w:color w:val="auto"/>
        </w:rPr>
        <w:t>$25 million in estimated annual revenue on a stabilized basis based upon our forecasted probability of closing</w:t>
      </w:r>
    </w:p>
    <w:p>
      <w:pPr>
        <w:spacing w:after="0" w:line="100" w:lineRule="exact"/>
        <w:rPr>
          <w:rFonts w:ascii="Arial" w:cs="Arial" w:eastAsia="Arial" w:hAnsi="Arial"/>
          <w:sz w:val="18"/>
          <w:szCs w:val="18"/>
          <w:color w:val="auto"/>
        </w:rPr>
      </w:pPr>
    </w:p>
    <w:p>
      <w:pPr>
        <w:ind w:left="1580" w:right="719" w:hanging="359"/>
        <w:spacing w:after="0" w:line="259" w:lineRule="auto"/>
        <w:tabs>
          <w:tab w:leader="none" w:pos="1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Servicer and Real Estate segment and Origination segment had strong sales wins that we estimate represent $9.4 million and $21.6 million, respectively, of annualized revenue on a stabilized basis</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Culture and Community Support</w:t>
      </w:r>
    </w:p>
    <w:p>
      <w:pPr>
        <w:spacing w:after="0" w:line="150" w:lineRule="exact"/>
        <w:rPr>
          <w:sz w:val="20"/>
          <w:szCs w:val="20"/>
          <w:color w:val="auto"/>
        </w:rPr>
      </w:pPr>
    </w:p>
    <w:p>
      <w:pPr>
        <w:jc w:val="both"/>
        <w:ind w:left="1220" w:right="859"/>
        <w:spacing w:after="0" w:line="244" w:lineRule="auto"/>
        <w:rPr>
          <w:sz w:val="20"/>
          <w:szCs w:val="20"/>
          <w:color w:val="auto"/>
        </w:rPr>
      </w:pPr>
      <w:r>
        <w:rPr>
          <w:rFonts w:ascii="Arial" w:cs="Arial" w:eastAsia="Arial" w:hAnsi="Arial"/>
          <w:sz w:val="18"/>
          <w:szCs w:val="18"/>
          <w:color w:val="auto"/>
        </w:rPr>
        <w:t>During 2022 we revised the Company’s vision and mission statements to further adapt to Altisource’s evolution as a service provider and better represent the Company’s strategic plan to achieve superior financial performance over the next five years:</w:t>
      </w:r>
    </w:p>
    <w:p>
      <w:pPr>
        <w:spacing w:after="0" w:line="70" w:lineRule="exact"/>
        <w:rPr>
          <w:sz w:val="20"/>
          <w:szCs w:val="20"/>
          <w:color w:val="auto"/>
        </w:rPr>
      </w:pPr>
    </w:p>
    <w:p>
      <w:pPr>
        <w:ind w:left="1760" w:hanging="186"/>
        <w:spacing w:after="0"/>
        <w:tabs>
          <w:tab w:leader="none" w:pos="1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Vision statement: Drive innovation that powers the mortgage and real estate lifecycle</w:t>
      </w:r>
    </w:p>
    <w:p>
      <w:pPr>
        <w:spacing w:after="0" w:line="110" w:lineRule="exact"/>
        <w:rPr>
          <w:rFonts w:ascii="Arial" w:cs="Arial" w:eastAsia="Arial" w:hAnsi="Arial"/>
          <w:sz w:val="18"/>
          <w:szCs w:val="18"/>
          <w:color w:val="auto"/>
        </w:rPr>
      </w:pPr>
    </w:p>
    <w:p>
      <w:pPr>
        <w:ind w:left="1760" w:right="819" w:hanging="186"/>
        <w:spacing w:after="0" w:line="274" w:lineRule="auto"/>
        <w:tabs>
          <w:tab w:leader="none" w:pos="1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Mission statement: To be the trusted provider of mortgage and real estate solutions that help our customers thrive</w:t>
      </w:r>
    </w:p>
    <w:p>
      <w:pPr>
        <w:spacing w:after="0" w:line="96" w:lineRule="exact"/>
        <w:rPr>
          <w:sz w:val="20"/>
          <w:szCs w:val="20"/>
          <w:color w:val="auto"/>
        </w:rPr>
      </w:pPr>
    </w:p>
    <w:p>
      <w:pPr>
        <w:ind w:left="1220" w:right="579"/>
        <w:spacing w:after="0" w:line="258" w:lineRule="auto"/>
        <w:rPr>
          <w:sz w:val="20"/>
          <w:szCs w:val="20"/>
          <w:color w:val="auto"/>
        </w:rPr>
      </w:pPr>
      <w:r>
        <w:rPr>
          <w:rFonts w:ascii="Arial" w:cs="Arial" w:eastAsia="Arial" w:hAnsi="Arial"/>
          <w:sz w:val="18"/>
          <w:szCs w:val="18"/>
          <w:color w:val="auto"/>
        </w:rPr>
        <w:t>Altisource continued to focus on innovation in support of our clients’ success and these new vison and mission statements reflect important aspects of our corporate culture.</w:t>
      </w: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758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jc w:val="both"/>
        <w:ind w:left="1220" w:right="639"/>
        <w:spacing w:after="0" w:line="259" w:lineRule="auto"/>
        <w:rPr>
          <w:sz w:val="20"/>
          <w:szCs w:val="20"/>
          <w:color w:val="auto"/>
        </w:rPr>
      </w:pPr>
      <w:r>
        <w:rPr>
          <w:rFonts w:ascii="Arial" w:cs="Arial" w:eastAsia="Arial" w:hAnsi="Arial"/>
          <w:sz w:val="18"/>
          <w:szCs w:val="18"/>
          <w:color w:val="auto"/>
        </w:rPr>
        <w:t>In combination with Altisource’s core values listed below, which are regularly referenced in our employee communications, the new vision and mission statements guide the conduct of Altisource and its employees.</w:t>
      </w:r>
    </w:p>
    <w:p>
      <w:pPr>
        <w:spacing w:after="0" w:line="98" w:lineRule="exact"/>
        <w:rPr>
          <w:sz w:val="20"/>
          <w:szCs w:val="20"/>
          <w:color w:val="auto"/>
        </w:rPr>
      </w:pPr>
    </w:p>
    <w:p>
      <w:pPr>
        <w:ind w:left="1220" w:right="1159"/>
        <w:spacing w:after="0" w:line="274" w:lineRule="auto"/>
        <w:rPr>
          <w:sz w:val="20"/>
          <w:szCs w:val="20"/>
          <w:color w:val="auto"/>
        </w:rPr>
      </w:pPr>
      <w:r>
        <w:rPr>
          <w:rFonts w:ascii="Arial" w:cs="Arial" w:eastAsia="Arial" w:hAnsi="Arial"/>
          <w:sz w:val="18"/>
          <w:szCs w:val="18"/>
          <w:color w:val="auto"/>
        </w:rPr>
        <w:t>During 2022, we did not use corporate funds for the purposes of political advocacy or campaign contributions.</w:t>
      </w:r>
    </w:p>
    <w:p>
      <w:pPr>
        <w:spacing w:after="0" w:line="96"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Our Core Values:</w:t>
      </w:r>
    </w:p>
    <w:p>
      <w:pPr>
        <w:spacing w:after="0" w:line="109" w:lineRule="exact"/>
        <w:rPr>
          <w:sz w:val="20"/>
          <w:szCs w:val="20"/>
          <w:color w:val="auto"/>
        </w:rPr>
      </w:pPr>
    </w:p>
    <w:p>
      <w:pPr>
        <w:ind w:left="1760" w:right="699" w:hanging="186"/>
        <w:spacing w:after="0" w:line="276" w:lineRule="auto"/>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Act with Integrity</w:t>
      </w:r>
      <w:r>
        <w:rPr>
          <w:rFonts w:ascii="Arial" w:cs="Arial" w:eastAsia="Arial" w:hAnsi="Arial"/>
          <w:sz w:val="18"/>
          <w:szCs w:val="18"/>
          <w:color w:val="auto"/>
        </w:rPr>
        <w:t>—Exhibit unwavering integrity, compliance and ethical conduct at all</w:t>
      </w:r>
      <w:r>
        <w:rPr>
          <w:rFonts w:ascii="Arial" w:cs="Arial" w:eastAsia="Arial" w:hAnsi="Arial"/>
          <w:sz w:val="18"/>
          <w:szCs w:val="18"/>
          <w:b w:val="1"/>
          <w:bCs w:val="1"/>
          <w:color w:val="auto"/>
        </w:rPr>
        <w:t xml:space="preserve"> </w:t>
      </w:r>
      <w:r>
        <w:rPr>
          <w:rFonts w:ascii="Arial" w:cs="Arial" w:eastAsia="Arial" w:hAnsi="Arial"/>
          <w:sz w:val="18"/>
          <w:szCs w:val="18"/>
          <w:color w:val="auto"/>
        </w:rPr>
        <w:t>times</w:t>
      </w:r>
    </w:p>
    <w:p>
      <w:pPr>
        <w:spacing w:after="0" w:line="53" w:lineRule="exact"/>
        <w:rPr>
          <w:rFonts w:ascii="Arial" w:cs="Arial" w:eastAsia="Arial" w:hAnsi="Arial"/>
          <w:sz w:val="18"/>
          <w:szCs w:val="18"/>
          <w:color w:val="auto"/>
        </w:rPr>
      </w:pPr>
    </w:p>
    <w:p>
      <w:pPr>
        <w:ind w:left="1760" w:hanging="186"/>
        <w:spacing w:after="0"/>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Energize People</w:t>
      </w:r>
      <w:r>
        <w:rPr>
          <w:rFonts w:ascii="Arial" w:cs="Arial" w:eastAsia="Arial" w:hAnsi="Arial"/>
          <w:sz w:val="18"/>
          <w:szCs w:val="18"/>
          <w:color w:val="auto"/>
        </w:rPr>
        <w:t>—Enable exceptional people to inspire their teams and drive results</w:t>
      </w:r>
    </w:p>
    <w:p>
      <w:pPr>
        <w:spacing w:after="0" w:line="110" w:lineRule="exact"/>
        <w:rPr>
          <w:rFonts w:ascii="Arial" w:cs="Arial" w:eastAsia="Arial" w:hAnsi="Arial"/>
          <w:sz w:val="18"/>
          <w:szCs w:val="18"/>
          <w:color w:val="auto"/>
        </w:rPr>
      </w:pPr>
    </w:p>
    <w:p>
      <w:pPr>
        <w:ind w:left="1760" w:right="1019" w:hanging="186"/>
        <w:spacing w:after="0" w:line="276" w:lineRule="auto"/>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Empower Innovation</w:t>
      </w:r>
      <w:r>
        <w:rPr>
          <w:rFonts w:ascii="Arial" w:cs="Arial" w:eastAsia="Arial" w:hAnsi="Arial"/>
          <w:sz w:val="18"/>
          <w:szCs w:val="18"/>
          <w:color w:val="auto"/>
        </w:rPr>
        <w:t>—Reward the relentless creation of innovative and compliant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achieve our mission and generate value for our customers</w:t>
      </w:r>
    </w:p>
    <w:p>
      <w:pPr>
        <w:spacing w:after="0" w:line="53" w:lineRule="exact"/>
        <w:rPr>
          <w:rFonts w:ascii="Arial" w:cs="Arial" w:eastAsia="Arial" w:hAnsi="Arial"/>
          <w:sz w:val="18"/>
          <w:szCs w:val="18"/>
          <w:color w:val="auto"/>
        </w:rPr>
      </w:pPr>
    </w:p>
    <w:p>
      <w:pPr>
        <w:ind w:left="1760" w:hanging="186"/>
        <w:spacing w:after="0"/>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Exceed Customer Expectations</w:t>
      </w:r>
      <w:r>
        <w:rPr>
          <w:rFonts w:ascii="Arial" w:cs="Arial" w:eastAsia="Arial" w:hAnsi="Arial"/>
          <w:sz w:val="18"/>
          <w:szCs w:val="18"/>
          <w:color w:val="auto"/>
        </w:rPr>
        <w:t>—Deliver best-in-class results and customer service</w:t>
      </w:r>
    </w:p>
    <w:p>
      <w:pPr>
        <w:spacing w:after="0" w:line="110" w:lineRule="exact"/>
        <w:rPr>
          <w:rFonts w:ascii="Arial" w:cs="Arial" w:eastAsia="Arial" w:hAnsi="Arial"/>
          <w:sz w:val="18"/>
          <w:szCs w:val="18"/>
          <w:color w:val="auto"/>
        </w:rPr>
      </w:pPr>
    </w:p>
    <w:p>
      <w:pPr>
        <w:ind w:left="1760" w:right="579" w:hanging="186"/>
        <w:spacing w:after="0" w:line="276" w:lineRule="auto"/>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Win as a Team</w:t>
      </w:r>
      <w:r>
        <w:rPr>
          <w:rFonts w:ascii="Arial" w:cs="Arial" w:eastAsia="Arial" w:hAnsi="Arial"/>
          <w:sz w:val="18"/>
          <w:szCs w:val="18"/>
          <w:color w:val="auto"/>
        </w:rPr>
        <w:t>—Embrace the passion, energy and power of our global teams to win as</w:t>
      </w:r>
      <w:r>
        <w:rPr>
          <w:rFonts w:ascii="Arial" w:cs="Arial" w:eastAsia="Arial" w:hAnsi="Arial"/>
          <w:sz w:val="18"/>
          <w:szCs w:val="18"/>
          <w:b w:val="1"/>
          <w:bCs w:val="1"/>
          <w:color w:val="auto"/>
        </w:rPr>
        <w:t xml:space="preserve"> </w:t>
      </w:r>
      <w:r>
        <w:rPr>
          <w:rFonts w:ascii="Arial" w:cs="Arial" w:eastAsia="Arial" w:hAnsi="Arial"/>
          <w:sz w:val="18"/>
          <w:szCs w:val="18"/>
          <w:color w:val="auto"/>
        </w:rPr>
        <w:t>“One-Altisource”</w:t>
      </w:r>
    </w:p>
    <w:p>
      <w:pPr>
        <w:spacing w:after="0" w:line="53" w:lineRule="exact"/>
        <w:rPr>
          <w:rFonts w:ascii="Arial" w:cs="Arial" w:eastAsia="Arial" w:hAnsi="Arial"/>
          <w:sz w:val="18"/>
          <w:szCs w:val="18"/>
          <w:color w:val="auto"/>
        </w:rPr>
      </w:pPr>
    </w:p>
    <w:p>
      <w:pPr>
        <w:ind w:left="1760" w:right="699" w:hanging="186"/>
        <w:spacing w:after="0" w:line="276" w:lineRule="auto"/>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Enrich Communities</w:t>
      </w:r>
      <w:r>
        <w:rPr>
          <w:rFonts w:ascii="Arial" w:cs="Arial" w:eastAsia="Arial" w:hAnsi="Arial"/>
          <w:sz w:val="18"/>
          <w:szCs w:val="18"/>
          <w:color w:val="auto"/>
        </w:rPr>
        <w:t>—Create positive impacts for the communities where we live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serve</w:t>
      </w:r>
    </w:p>
    <w:p>
      <w:pPr>
        <w:spacing w:after="0" w:line="95" w:lineRule="exact"/>
        <w:rPr>
          <w:sz w:val="20"/>
          <w:szCs w:val="20"/>
          <w:color w:val="auto"/>
        </w:rPr>
      </w:pPr>
    </w:p>
    <w:p>
      <w:pPr>
        <w:ind w:left="1220" w:right="1099"/>
        <w:spacing w:after="0" w:line="274" w:lineRule="auto"/>
        <w:rPr>
          <w:sz w:val="20"/>
          <w:szCs w:val="20"/>
          <w:color w:val="auto"/>
        </w:rPr>
      </w:pPr>
      <w:r>
        <w:rPr>
          <w:rFonts w:ascii="Arial" w:cs="Arial" w:eastAsia="Arial" w:hAnsi="Arial"/>
          <w:sz w:val="18"/>
          <w:szCs w:val="18"/>
          <w:color w:val="auto"/>
        </w:rPr>
        <w:t>To create a positive impact in the communities where we live and serve, we undertook several initiatives to support the underprivileged.</w:t>
      </w:r>
    </w:p>
    <w:p>
      <w:pPr>
        <w:spacing w:after="0" w:line="83" w:lineRule="exact"/>
        <w:rPr>
          <w:sz w:val="20"/>
          <w:szCs w:val="20"/>
          <w:color w:val="auto"/>
        </w:rPr>
      </w:pPr>
    </w:p>
    <w:p>
      <w:pPr>
        <w:ind w:left="1220" w:right="1439"/>
        <w:spacing w:after="0" w:line="274" w:lineRule="auto"/>
        <w:rPr>
          <w:sz w:val="20"/>
          <w:szCs w:val="20"/>
          <w:color w:val="auto"/>
        </w:rPr>
      </w:pPr>
      <w:r>
        <w:rPr>
          <w:rFonts w:ascii="Arial" w:cs="Arial" w:eastAsia="Arial" w:hAnsi="Arial"/>
          <w:sz w:val="18"/>
          <w:szCs w:val="18"/>
          <w:color w:val="auto"/>
        </w:rPr>
        <w:t>In the United States, we sponsored numerous events and charitable organizations supporting and addressing the housing needs of veterans.</w:t>
      </w:r>
    </w:p>
    <w:p>
      <w:pPr>
        <w:spacing w:after="0" w:line="96" w:lineRule="exact"/>
        <w:rPr>
          <w:sz w:val="20"/>
          <w:szCs w:val="20"/>
          <w:color w:val="auto"/>
        </w:rPr>
      </w:pPr>
    </w:p>
    <w:p>
      <w:pPr>
        <w:ind w:left="1220" w:right="639"/>
        <w:spacing w:after="0" w:line="253" w:lineRule="auto"/>
        <w:rPr>
          <w:sz w:val="20"/>
          <w:szCs w:val="20"/>
          <w:color w:val="auto"/>
        </w:rPr>
      </w:pPr>
      <w:r>
        <w:rPr>
          <w:rFonts w:ascii="Arial" w:cs="Arial" w:eastAsia="Arial" w:hAnsi="Arial"/>
          <w:sz w:val="18"/>
          <w:szCs w:val="18"/>
          <w:color w:val="auto"/>
        </w:rPr>
        <w:t>In India, we partnered with a leading non-profit organization, “Akshaya Patra” to provide lunch to approximately 4,000 underprivileged students and sponsored college education for 40 female students for three years. We also donated to the Prime Minister’s Relief Fund to provide relief to families impacted by natural disasters and help pay medical expenses for people in need.</w:t>
      </w:r>
    </w:p>
    <w:p>
      <w:pPr>
        <w:spacing w:after="0" w:line="332"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Environment</w:t>
      </w:r>
    </w:p>
    <w:p>
      <w:pPr>
        <w:spacing w:after="0" w:line="137" w:lineRule="exact"/>
        <w:rPr>
          <w:sz w:val="20"/>
          <w:szCs w:val="20"/>
          <w:color w:val="auto"/>
        </w:rPr>
      </w:pPr>
    </w:p>
    <w:p>
      <w:pPr>
        <w:ind w:left="1220" w:right="559"/>
        <w:spacing w:after="0" w:line="249" w:lineRule="auto"/>
        <w:rPr>
          <w:sz w:val="20"/>
          <w:szCs w:val="20"/>
          <w:color w:val="auto"/>
        </w:rPr>
      </w:pPr>
      <w:r>
        <w:rPr>
          <w:rFonts w:ascii="Arial" w:cs="Arial" w:eastAsia="Arial" w:hAnsi="Arial"/>
          <w:sz w:val="18"/>
          <w:szCs w:val="18"/>
          <w:color w:val="auto"/>
        </w:rPr>
        <w:t>We recognize the scientific consensus that climate change is a reality and that human activities are responsible for increasing the concentration of heat-trapping gases in the atmosphere. We acknowledge that we and our vendors impact the environment through our activities, in particular those related to transport and selection of materials, employee and vendor travel, and disposal of IT assets. In accordance with our Environmental Policy (available at http://www.altisource.com/environmental -policy), we are taking action to reduce such impact and our vendor code of conduct requires our vendors to comply with the same Environmental Policy.</w:t>
      </w:r>
    </w:p>
    <w:p>
      <w:pPr>
        <w:spacing w:after="0" w:line="336" w:lineRule="exact"/>
        <w:rPr>
          <w:sz w:val="20"/>
          <w:szCs w:val="20"/>
          <w:color w:val="auto"/>
        </w:rPr>
      </w:pPr>
    </w:p>
    <w:p>
      <w:pPr>
        <w:ind w:left="1220" w:right="539"/>
        <w:spacing w:after="0" w:line="274" w:lineRule="auto"/>
        <w:rPr>
          <w:sz w:val="20"/>
          <w:szCs w:val="20"/>
          <w:color w:val="auto"/>
        </w:rPr>
      </w:pPr>
      <w:r>
        <w:rPr>
          <w:rFonts w:ascii="Arial" w:cs="Arial" w:eastAsia="Arial" w:hAnsi="Arial"/>
          <w:sz w:val="18"/>
          <w:szCs w:val="18"/>
          <w:color w:val="auto"/>
        </w:rPr>
        <w:t>A substantial portion of carbon emissions associated with employees commuting to and from work locations was eliminated due to our transition to remote work for most employees.</w:t>
      </w:r>
    </w:p>
    <w:p>
      <w:pPr>
        <w:spacing w:after="0" w:line="96" w:lineRule="exact"/>
        <w:rPr>
          <w:sz w:val="20"/>
          <w:szCs w:val="20"/>
          <w:color w:val="auto"/>
        </w:rPr>
      </w:pPr>
    </w:p>
    <w:p>
      <w:pPr>
        <w:ind w:left="1220" w:right="779"/>
        <w:spacing w:after="0" w:line="255" w:lineRule="auto"/>
        <w:rPr>
          <w:sz w:val="20"/>
          <w:szCs w:val="20"/>
          <w:color w:val="auto"/>
        </w:rPr>
      </w:pPr>
      <w:r>
        <w:rPr>
          <w:rFonts w:ascii="Arial" w:cs="Arial" w:eastAsia="Arial" w:hAnsi="Arial"/>
          <w:sz w:val="18"/>
          <w:szCs w:val="18"/>
          <w:color w:val="auto"/>
        </w:rPr>
        <w:t>During 2022, we reduced the square footage of our office locations by 40% and continued with our efforts to reduce the use of paper, energy and water, and achieved our goal of reducing our greenhouse gas emissions by 25% compared to 2019, the last year we were fully operational in our offices.</w:t>
      </w:r>
    </w:p>
    <w:p>
      <w:pPr>
        <w:spacing w:after="0" w:line="100" w:lineRule="exact"/>
        <w:rPr>
          <w:sz w:val="20"/>
          <w:szCs w:val="20"/>
          <w:color w:val="auto"/>
        </w:rPr>
      </w:pPr>
    </w:p>
    <w:p>
      <w:pPr>
        <w:ind w:left="1220" w:right="659"/>
        <w:spacing w:after="0" w:line="259" w:lineRule="auto"/>
        <w:rPr>
          <w:sz w:val="20"/>
          <w:szCs w:val="20"/>
          <w:color w:val="auto"/>
        </w:rPr>
      </w:pPr>
      <w:r>
        <w:rPr>
          <w:rFonts w:ascii="Arial" w:cs="Arial" w:eastAsia="Arial" w:hAnsi="Arial"/>
          <w:sz w:val="18"/>
          <w:szCs w:val="18"/>
          <w:color w:val="auto"/>
        </w:rPr>
        <w:t>At the recommendation of the Corporate Responsibility Management Committee, the Board of Directors established a target of reducing our greenhouse gas emissions by 10% compared to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324" w:lineRule="exact"/>
        <w:rPr>
          <w:sz w:val="20"/>
          <w:szCs w:val="20"/>
          <w:color w:val="auto"/>
        </w:rPr>
      </w:pPr>
    </w:p>
    <w:tbl>
      <w:tblPr>
        <w:tblLayout w:type="fixed"/>
        <w:tblInd w:w="1220" w:type="dxa"/>
        <w:tblCellMar>
          <w:top w:w="0" w:type="dxa"/>
          <w:left w:w="0" w:type="dxa"/>
          <w:bottom w:w="0" w:type="dxa"/>
          <w:right w:w="0" w:type="dxa"/>
        </w:tblCellMar>
      </w:tblPr>
      <w:tr>
        <w:trPr>
          <w:trHeight w:val="145"/>
        </w:trPr>
        <w:tc>
          <w:tcPr>
            <w:tcW w:w="1860" w:type="dxa"/>
            <w:vAlign w:val="bottom"/>
            <w:gridSpan w:val="2"/>
            <w:vMerge w:val="restart"/>
          </w:tcPr>
          <w:p>
            <w:pPr>
              <w:spacing w:after="0"/>
              <w:rPr>
                <w:sz w:val="20"/>
                <w:szCs w:val="20"/>
                <w:color w:val="auto"/>
              </w:rPr>
            </w:pPr>
            <w:r>
              <w:rPr>
                <w:rFonts w:ascii="Arial" w:cs="Arial" w:eastAsia="Arial" w:hAnsi="Arial"/>
                <w:sz w:val="18"/>
                <w:szCs w:val="18"/>
                <w:color w:val="auto"/>
              </w:rPr>
              <w:t>Sustainability Report:</w:t>
            </w: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vMerge w:val="restart"/>
          </w:tcPr>
          <w:p>
            <w:pPr>
              <w:spacing w:after="0"/>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314F60"/>
              </w:rPr>
              <w:t>​</w:t>
            </w:r>
          </w:p>
        </w:tc>
        <w:tc>
          <w:tcPr>
            <w:tcW w:w="0" w:type="dxa"/>
            <w:vAlign w:val="bottom"/>
          </w:tcPr>
          <w:p>
            <w:pPr>
              <w:spacing w:after="0"/>
              <w:rPr>
                <w:sz w:val="1"/>
                <w:szCs w:val="1"/>
                <w:color w:val="auto"/>
              </w:rPr>
            </w:pPr>
          </w:p>
        </w:tc>
      </w:tr>
      <w:tr>
        <w:trPr>
          <w:trHeight w:val="212"/>
        </w:trPr>
        <w:tc>
          <w:tcPr>
            <w:tcW w:w="186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Borders>
              <w:right w:val="single" w:sz="8" w:color="75FF00"/>
            </w:tcBorders>
          </w:tcPr>
          <w:p>
            <w:pPr>
              <w:spacing w:after="0"/>
              <w:rPr>
                <w:sz w:val="18"/>
                <w:szCs w:val="18"/>
                <w:color w:val="auto"/>
              </w:rPr>
            </w:pPr>
          </w:p>
        </w:tc>
        <w:tc>
          <w:tcPr>
            <w:tcW w:w="158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8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Borders>
              <w:top w:val="single" w:sz="8" w:color="75FF00"/>
            </w:tcBorders>
          </w:tcPr>
          <w:p>
            <w:pPr>
              <w:spacing w:after="0"/>
              <w:rPr>
                <w:sz w:val="24"/>
                <w:szCs w:val="24"/>
                <w:color w:val="auto"/>
              </w:rPr>
            </w:pPr>
          </w:p>
        </w:tc>
        <w:tc>
          <w:tcPr>
            <w:tcW w:w="100" w:type="dxa"/>
            <w:vAlign w:val="bottom"/>
            <w:tcBorders>
              <w:top w:val="single" w:sz="8" w:color="75FF0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960" w:type="dxa"/>
            <w:vAlign w:val="bottom"/>
            <w:gridSpan w:val="2"/>
          </w:tcPr>
          <w:p>
            <w:pPr>
              <w:ind w:left="980"/>
              <w:spacing w:after="0"/>
              <w:rPr>
                <w:sz w:val="20"/>
                <w:szCs w:val="20"/>
                <w:color w:val="auto"/>
              </w:rPr>
            </w:pPr>
            <w:r>
              <w:rPr>
                <w:rFonts w:ascii="Arial" w:cs="Arial" w:eastAsia="Arial" w:hAnsi="Arial"/>
                <w:sz w:val="18"/>
                <w:szCs w:val="18"/>
                <w:b w:val="1"/>
                <w:bCs w:val="1"/>
                <w:color w:val="auto"/>
              </w:rPr>
              <w:t>​ ​   2019</w:t>
            </w:r>
          </w:p>
        </w:tc>
        <w:tc>
          <w:tcPr>
            <w:tcW w:w="3160" w:type="dxa"/>
            <w:vAlign w:val="bottom"/>
            <w:gridSpan w:val="2"/>
          </w:tcPr>
          <w:p>
            <w:pPr>
              <w:ind w:left="160"/>
              <w:spacing w:after="0"/>
              <w:rPr>
                <w:sz w:val="20"/>
                <w:szCs w:val="20"/>
                <w:color w:val="auto"/>
              </w:rPr>
            </w:pPr>
            <w:r>
              <w:rPr>
                <w:rFonts w:ascii="Arial" w:cs="Arial" w:eastAsia="Arial" w:hAnsi="Arial"/>
                <w:sz w:val="18"/>
                <w:szCs w:val="18"/>
                <w:b w:val="1"/>
                <w:bCs w:val="1"/>
                <w:color w:val="auto"/>
              </w:rPr>
              <w:t>​ ​  2020   ​ ​  2021   ​ ​  2022</w:t>
            </w:r>
          </w:p>
        </w:tc>
        <w:tc>
          <w:tcPr>
            <w:tcW w:w="10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2"/>
        </w:trPr>
        <w:tc>
          <w:tcPr>
            <w:tcW w:w="186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Facilities​</w:t>
            </w:r>
          </w:p>
        </w:tc>
        <w:tc>
          <w:tcPr>
            <w:tcW w:w="9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ind w:left="920"/>
              <w:spacing w:after="0" w:line="192" w:lineRule="exact"/>
              <w:rPr>
                <w:sz w:val="20"/>
                <w:szCs w:val="20"/>
                <w:color w:val="auto"/>
              </w:rPr>
            </w:pPr>
            <w:r>
              <w:rPr>
                <w:rFonts w:ascii="Arial" w:cs="Arial" w:eastAsia="Arial" w:hAnsi="Arial"/>
                <w:sz w:val="18"/>
                <w:szCs w:val="18"/>
                <w:b w:val="1"/>
                <w:bCs w:val="1"/>
                <w:color w:val="auto"/>
              </w:rPr>
              <w:t>​ ​</w:t>
            </w:r>
          </w:p>
        </w:tc>
        <w:tc>
          <w:tcPr>
            <w:tcW w:w="800" w:type="dxa"/>
            <w:vAlign w:val="bottom"/>
            <w:tcBorders>
              <w:top w:val="single" w:sz="8" w:color="auto"/>
            </w:tcBorders>
            <w:shd w:val="clear" w:color="auto" w:fill="CCEEFF"/>
          </w:tcPr>
          <w:p>
            <w:pPr>
              <w:spacing w:after="0"/>
              <w:rPr>
                <w:sz w:val="16"/>
                <w:szCs w:val="16"/>
                <w:color w:val="auto"/>
              </w:rPr>
            </w:pPr>
          </w:p>
        </w:tc>
        <w:tc>
          <w:tcPr>
            <w:tcW w:w="3160" w:type="dxa"/>
            <w:vAlign w:val="bottom"/>
            <w:tcBorders>
              <w:top w:val="single" w:sz="8" w:color="auto"/>
            </w:tcBorders>
            <w:gridSpan w:val="2"/>
            <w:shd w:val="clear" w:color="auto" w:fill="CCEEFF"/>
          </w:tcPr>
          <w:p>
            <w:pPr>
              <w:ind w:left="640"/>
              <w:spacing w:after="0" w:line="192" w:lineRule="exact"/>
              <w:rPr>
                <w:sz w:val="20"/>
                <w:szCs w:val="20"/>
                <w:color w:val="auto"/>
              </w:rPr>
            </w:pPr>
            <w:r>
              <w:rPr>
                <w:rFonts w:ascii="Arial" w:cs="Arial" w:eastAsia="Arial" w:hAnsi="Arial"/>
                <w:sz w:val="18"/>
                <w:szCs w:val="18"/>
                <w:b w:val="1"/>
                <w:bCs w:val="1"/>
                <w:color w:val="auto"/>
              </w:rPr>
              <w:t>% of Facilities</w:t>
            </w:r>
          </w:p>
        </w:tc>
        <w:tc>
          <w:tcPr>
            <w:tcW w:w="100" w:type="dxa"/>
            <w:vAlign w:val="bottom"/>
            <w:tcBorders>
              <w:top w:val="single" w:sz="8" w:color="auto"/>
              <w:right w:val="single" w:sz="8" w:color="CCEEFF"/>
            </w:tcBorders>
            <w:shd w:val="clear" w:color="auto" w:fill="CCEEFF"/>
          </w:tcPr>
          <w:p>
            <w:pPr>
              <w:spacing w:after="0"/>
              <w:rPr>
                <w:sz w:val="16"/>
                <w:szCs w:val="16"/>
                <w:color w:val="auto"/>
              </w:rPr>
            </w:pPr>
          </w:p>
        </w:tc>
        <w:tc>
          <w:tcPr>
            <w:tcW w:w="4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5216525</wp:posOffset>
            </wp:positionH>
            <wp:positionV relativeFrom="paragraph">
              <wp:posOffset>-133985</wp:posOffset>
            </wp:positionV>
            <wp:extent cx="1593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-133985</wp:posOffset>
            </wp:positionV>
            <wp:extent cx="1511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130" cy="825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-133985</wp:posOffset>
            </wp:positionV>
            <wp:extent cx="3260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tbl>
      <w:tblPr>
        <w:tblLayout w:type="fixed"/>
        <w:tblInd w:w="1220" w:type="dxa"/>
        <w:tblCellMar>
          <w:top w:w="0" w:type="dxa"/>
          <w:left w:w="0" w:type="dxa"/>
          <w:bottom w:w="0" w:type="dxa"/>
          <w:right w:w="0" w:type="dxa"/>
        </w:tblCellMar>
      </w:tblPr>
      <w:tr>
        <w:trPr>
          <w:trHeight w:val="183"/>
        </w:trPr>
        <w:tc>
          <w:tcPr>
            <w:tcW w:w="2840" w:type="dxa"/>
            <w:vAlign w:val="bottom"/>
            <w:gridSpan w:val="3"/>
          </w:tcPr>
          <w:p>
            <w:pPr>
              <w:spacing w:after="0" w:line="184" w:lineRule="exact"/>
              <w:rPr>
                <w:sz w:val="20"/>
                <w:szCs w:val="20"/>
                <w:color w:val="auto"/>
              </w:rPr>
            </w:pPr>
            <w:r>
              <w:rPr>
                <w:rFonts w:ascii="Arial" w:cs="Arial" w:eastAsia="Arial" w:hAnsi="Arial"/>
                <w:sz w:val="17"/>
                <w:szCs w:val="17"/>
                <w:color w:val="auto"/>
              </w:rPr>
              <w:t>Certified Facilities</w:t>
            </w:r>
            <w:r>
              <w:rPr>
                <w:rFonts w:ascii="Arial" w:cs="Arial" w:eastAsia="Arial" w:hAnsi="Arial"/>
                <w:sz w:val="21"/>
                <w:szCs w:val="21"/>
                <w:color w:val="auto"/>
                <w:vertAlign w:val="superscript"/>
              </w:rPr>
              <w:t>(1)</w:t>
            </w:r>
          </w:p>
        </w:tc>
        <w:tc>
          <w:tcPr>
            <w:tcW w:w="1540" w:type="dxa"/>
            <w:vAlign w:val="bottom"/>
            <w:vMerge w:val="restart"/>
          </w:tcPr>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vMerge w:val="restart"/>
          </w:tcPr>
          <w:p>
            <w:pPr>
              <w:jc w:val="right"/>
              <w:ind w:right="192"/>
              <w:spacing w:after="0"/>
              <w:rPr>
                <w:sz w:val="20"/>
                <w:szCs w:val="20"/>
                <w:color w:val="auto"/>
              </w:rPr>
            </w:pPr>
            <w:r>
              <w:rPr>
                <w:rFonts w:ascii="Arial" w:cs="Arial" w:eastAsia="Arial" w:hAnsi="Arial"/>
                <w:sz w:val="18"/>
                <w:szCs w:val="18"/>
                <w:color w:val="auto"/>
              </w:rPr>
              <w:t>33​​% ​</w:t>
            </w:r>
            <w:r>
              <w:rPr>
                <w:rFonts w:ascii="Arial" w:cs="Arial" w:eastAsia="Arial" w:hAnsi="Arial"/>
                <w:sz w:val="18"/>
                <w:szCs w:val="18"/>
                <w:b w:val="1"/>
                <w:bCs w:val="1"/>
                <w:color w:val="auto"/>
              </w:rPr>
              <w:t>​</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33​​% ​</w:t>
            </w:r>
            <w:r>
              <w:rPr>
                <w:rFonts w:ascii="Arial" w:cs="Arial" w:eastAsia="Arial" w:hAnsi="Arial"/>
                <w:sz w:val="18"/>
                <w:szCs w:val="18"/>
                <w:b w:val="1"/>
                <w:bCs w:val="1"/>
                <w:color w:val="auto"/>
              </w:rPr>
              <w:t>​</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 xml:space="preserve">50​​% ​ </w:t>
            </w:r>
            <w:r>
              <w:rPr>
                <w:rFonts w:ascii="Arial" w:cs="Arial" w:eastAsia="Arial" w:hAnsi="Arial"/>
                <w:sz w:val="18"/>
                <w:szCs w:val="18"/>
                <w:b w:val="1"/>
                <w:bCs w:val="1"/>
                <w:color w:val="auto"/>
              </w:rPr>
              <w:t>​</w:t>
            </w:r>
          </w:p>
        </w:tc>
        <w:tc>
          <w:tcPr>
            <w:tcW w:w="620" w:type="dxa"/>
            <w:vAlign w:val="bottom"/>
            <w:vMerge w:val="restart"/>
          </w:tcPr>
          <w:p>
            <w:pPr>
              <w:ind w:left="28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53"/>
        </w:trPr>
        <w:tc>
          <w:tcPr>
            <w:tcW w:w="340" w:type="dxa"/>
            <w:vAlign w:val="bottom"/>
          </w:tcPr>
          <w:p>
            <w:pPr>
              <w:spacing w:after="0" w:line="53" w:lineRule="exact"/>
              <w:rPr>
                <w:sz w:val="20"/>
                <w:szCs w:val="20"/>
                <w:color w:val="auto"/>
              </w:rPr>
            </w:pPr>
            <w:r>
              <w:rPr>
                <w:rFonts w:ascii="Arial" w:cs="Arial" w:eastAsia="Arial" w:hAnsi="Arial"/>
                <w:sz w:val="6"/>
                <w:szCs w:val="6"/>
                <w:color w:val="auto"/>
              </w:rPr>
              <w:t>​</w:t>
            </w:r>
          </w:p>
        </w:tc>
        <w:tc>
          <w:tcPr>
            <w:tcW w:w="5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line="199" w:lineRule="exact"/>
              <w:rPr>
                <w:sz w:val="20"/>
                <w:szCs w:val="20"/>
                <w:color w:val="auto"/>
              </w:rPr>
            </w:pPr>
            <w:r>
              <w:rPr>
                <w:rFonts w:ascii="Arial" w:cs="Arial" w:eastAsia="Arial" w:hAnsi="Arial"/>
                <w:sz w:val="18"/>
                <w:szCs w:val="18"/>
                <w:color w:val="auto"/>
                <w:w w:val="96"/>
              </w:rPr>
              <w:t>Low​</w:t>
            </w:r>
          </w:p>
        </w:tc>
        <w:tc>
          <w:tcPr>
            <w:tcW w:w="250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-Flow Plumbing</w:t>
            </w:r>
          </w:p>
        </w:tc>
        <w:tc>
          <w:tcPr>
            <w:tcW w:w="1540" w:type="dxa"/>
            <w:vAlign w:val="bottom"/>
          </w:tcPr>
          <w:p>
            <w:pPr>
              <w:ind w:left="980"/>
              <w:spacing w:after="0" w:line="199"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tcPr>
          <w:p>
            <w:pPr>
              <w:jc w:val="right"/>
              <w:ind w:right="192"/>
              <w:spacing w:after="0" w:line="199" w:lineRule="exact"/>
              <w:rPr>
                <w:sz w:val="20"/>
                <w:szCs w:val="20"/>
                <w:color w:val="auto"/>
              </w:rPr>
            </w:pPr>
            <w:r>
              <w:rPr>
                <w:rFonts w:ascii="Arial" w:cs="Arial" w:eastAsia="Arial" w:hAnsi="Arial"/>
                <w:sz w:val="18"/>
                <w:szCs w:val="18"/>
                <w:color w:val="auto"/>
              </w:rPr>
              <w:t>56​​% ​</w:t>
            </w:r>
            <w:r>
              <w:rPr>
                <w:rFonts w:ascii="Arial" w:cs="Arial" w:eastAsia="Arial" w:hAnsi="Arial"/>
                <w:sz w:val="18"/>
                <w:szCs w:val="18"/>
                <w:b w:val="1"/>
                <w:bCs w:val="1"/>
                <w:color w:val="auto"/>
              </w:rPr>
              <w:t>​</w:t>
            </w:r>
          </w:p>
        </w:tc>
        <w:tc>
          <w:tcPr>
            <w:tcW w:w="1040" w:type="dxa"/>
            <w:vAlign w:val="bottom"/>
          </w:tcPr>
          <w:p>
            <w:pPr>
              <w:ind w:left="260"/>
              <w:spacing w:after="0" w:line="199" w:lineRule="exact"/>
              <w:rPr>
                <w:sz w:val="20"/>
                <w:szCs w:val="20"/>
                <w:color w:val="auto"/>
              </w:rPr>
            </w:pPr>
            <w:r>
              <w:rPr>
                <w:rFonts w:ascii="Arial" w:cs="Arial" w:eastAsia="Arial" w:hAnsi="Arial"/>
                <w:sz w:val="18"/>
                <w:szCs w:val="18"/>
                <w:color w:val="auto"/>
              </w:rPr>
              <w:t>67​​% ​</w:t>
            </w:r>
            <w:r>
              <w:rPr>
                <w:rFonts w:ascii="Arial" w:cs="Arial" w:eastAsia="Arial" w:hAnsi="Arial"/>
                <w:sz w:val="18"/>
                <w:szCs w:val="18"/>
                <w:b w:val="1"/>
                <w:bCs w:val="1"/>
                <w:color w:val="auto"/>
              </w:rPr>
              <w:t>​</w:t>
            </w:r>
          </w:p>
        </w:tc>
        <w:tc>
          <w:tcPr>
            <w:tcW w:w="1060" w:type="dxa"/>
            <w:vAlign w:val="bottom"/>
          </w:tcPr>
          <w:p>
            <w:pPr>
              <w:ind w:left="280"/>
              <w:spacing w:after="0" w:line="199" w:lineRule="exact"/>
              <w:rPr>
                <w:sz w:val="20"/>
                <w:szCs w:val="20"/>
                <w:color w:val="auto"/>
              </w:rPr>
            </w:pPr>
            <w:r>
              <w:rPr>
                <w:rFonts w:ascii="Arial" w:cs="Arial" w:eastAsia="Arial" w:hAnsi="Arial"/>
                <w:sz w:val="18"/>
                <w:szCs w:val="18"/>
                <w:color w:val="auto"/>
              </w:rPr>
              <w:t xml:space="preserve">67​​% ​ </w:t>
            </w:r>
            <w:r>
              <w:rPr>
                <w:rFonts w:ascii="Arial" w:cs="Arial" w:eastAsia="Arial" w:hAnsi="Arial"/>
                <w:sz w:val="18"/>
                <w:szCs w:val="18"/>
                <w:b w:val="1"/>
                <w:bCs w:val="1"/>
                <w:color w:val="auto"/>
              </w:rPr>
              <w:t>​</w:t>
            </w:r>
          </w:p>
        </w:tc>
        <w:tc>
          <w:tcPr>
            <w:tcW w:w="620" w:type="dxa"/>
            <w:vAlign w:val="bottom"/>
          </w:tcPr>
          <w:p>
            <w:pPr>
              <w:ind w:left="280"/>
              <w:spacing w:after="0" w:line="199" w:lineRule="exact"/>
              <w:rPr>
                <w:sz w:val="20"/>
                <w:szCs w:val="20"/>
                <w:color w:val="auto"/>
              </w:rPr>
            </w:pPr>
            <w:r>
              <w:rPr>
                <w:rFonts w:ascii="Arial" w:cs="Arial" w:eastAsia="Arial" w:hAnsi="Arial"/>
                <w:sz w:val="18"/>
                <w:szCs w:val="18"/>
                <w:color w:val="auto"/>
                <w:w w:val="88"/>
              </w:rPr>
              <w:t>67​%</w:t>
            </w:r>
          </w:p>
        </w:tc>
        <w:tc>
          <w:tcPr>
            <w:tcW w:w="0" w:type="dxa"/>
            <w:vAlign w:val="bottom"/>
          </w:tcPr>
          <w:p>
            <w:pPr>
              <w:spacing w:after="0"/>
              <w:rPr>
                <w:sz w:val="1"/>
                <w:szCs w:val="1"/>
                <w:color w:val="auto"/>
              </w:rPr>
            </w:pPr>
          </w:p>
        </w:tc>
      </w:tr>
      <w:tr>
        <w:trPr>
          <w:trHeight w:val="187"/>
        </w:trPr>
        <w:tc>
          <w:tcPr>
            <w:tcW w:w="900" w:type="dxa"/>
            <w:vAlign w:val="bottom"/>
            <w:gridSpan w:val="2"/>
          </w:tcPr>
          <w:p>
            <w:pPr>
              <w:spacing w:after="0" w:line="188" w:lineRule="exact"/>
              <w:rPr>
                <w:sz w:val="20"/>
                <w:szCs w:val="20"/>
                <w:color w:val="auto"/>
              </w:rPr>
            </w:pPr>
            <w:r>
              <w:rPr>
                <w:rFonts w:ascii="Arial" w:cs="Arial" w:eastAsia="Arial" w:hAnsi="Arial"/>
                <w:sz w:val="18"/>
                <w:szCs w:val="18"/>
                <w:color w:val="auto"/>
              </w:rPr>
              <w:t>Rainwater​</w:t>
            </w:r>
          </w:p>
        </w:tc>
        <w:tc>
          <w:tcPr>
            <w:tcW w:w="1940" w:type="dxa"/>
            <w:vAlign w:val="bottom"/>
          </w:tcPr>
          <w:p>
            <w:pPr>
              <w:ind w:left="40"/>
              <w:spacing w:after="0" w:line="188" w:lineRule="exact"/>
              <w:rPr>
                <w:sz w:val="20"/>
                <w:szCs w:val="20"/>
                <w:color w:val="auto"/>
              </w:rPr>
            </w:pPr>
            <w:r>
              <w:rPr>
                <w:rFonts w:ascii="Arial" w:cs="Arial" w:eastAsia="Arial" w:hAnsi="Arial"/>
                <w:sz w:val="18"/>
                <w:szCs w:val="18"/>
                <w:color w:val="auto"/>
              </w:rPr>
              <w:t>Harvesting</w:t>
            </w:r>
          </w:p>
        </w:tc>
        <w:tc>
          <w:tcPr>
            <w:tcW w:w="1540" w:type="dxa"/>
            <w:vAlign w:val="bottom"/>
          </w:tcPr>
          <w:p>
            <w:pPr>
              <w:ind w:left="980"/>
              <w:spacing w:after="0" w:line="188"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tcPr>
          <w:p>
            <w:pPr>
              <w:jc w:val="right"/>
              <w:ind w:right="192"/>
              <w:spacing w:after="0" w:line="188" w:lineRule="exact"/>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w:t>
            </w:r>
          </w:p>
        </w:tc>
        <w:tc>
          <w:tcPr>
            <w:tcW w:w="1040" w:type="dxa"/>
            <w:vAlign w:val="bottom"/>
          </w:tcPr>
          <w:p>
            <w:pPr>
              <w:ind w:left="260"/>
              <w:spacing w:after="0" w:line="188" w:lineRule="exact"/>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w:t>
            </w:r>
          </w:p>
        </w:tc>
        <w:tc>
          <w:tcPr>
            <w:tcW w:w="1060" w:type="dxa"/>
            <w:vAlign w:val="bottom"/>
          </w:tcPr>
          <w:p>
            <w:pPr>
              <w:ind w:left="280"/>
              <w:spacing w:after="0" w:line="188" w:lineRule="exact"/>
              <w:rPr>
                <w:sz w:val="20"/>
                <w:szCs w:val="20"/>
                <w:color w:val="auto"/>
              </w:rPr>
            </w:pPr>
            <w:r>
              <w:rPr>
                <w:rFonts w:ascii="Arial" w:cs="Arial" w:eastAsia="Arial" w:hAnsi="Arial"/>
                <w:sz w:val="18"/>
                <w:szCs w:val="18"/>
                <w:color w:val="auto"/>
              </w:rPr>
              <w:t xml:space="preserve">33​​% ​ </w:t>
            </w:r>
            <w:r>
              <w:rPr>
                <w:rFonts w:ascii="Arial" w:cs="Arial" w:eastAsia="Arial" w:hAnsi="Arial"/>
                <w:sz w:val="18"/>
                <w:szCs w:val="18"/>
                <w:b w:val="1"/>
                <w:bCs w:val="1"/>
                <w:color w:val="auto"/>
              </w:rPr>
              <w:t>​</w:t>
            </w:r>
          </w:p>
        </w:tc>
        <w:tc>
          <w:tcPr>
            <w:tcW w:w="620" w:type="dxa"/>
            <w:vAlign w:val="bottom"/>
          </w:tcPr>
          <w:p>
            <w:pPr>
              <w:ind w:left="280"/>
              <w:spacing w:after="0" w:line="188" w:lineRule="exact"/>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-244475</wp:posOffset>
            </wp:positionV>
            <wp:extent cx="5109845" cy="126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09845" cy="126365"/>
                    </a:xfrm>
                    <a:prstGeom prst="rect">
                      <a:avLst/>
                    </a:prstGeom>
                    <a:noFill/>
                  </pic:spPr>
                </pic:pic>
              </a:graphicData>
            </a:graphic>
          </wp:anchor>
        </w:drawing>
      </w:r>
    </w:p>
    <w:tbl>
      <w:tblPr>
        <w:tblLayout w:type="fixed"/>
        <w:tblInd w:w="1220" w:type="dxa"/>
        <w:tblCellMar>
          <w:top w:w="0" w:type="dxa"/>
          <w:left w:w="0" w:type="dxa"/>
          <w:bottom w:w="0" w:type="dxa"/>
          <w:right w:w="0" w:type="dxa"/>
        </w:tblCellMar>
      </w:tblPr>
      <w:tr>
        <w:trPr>
          <w:trHeight w:val="236"/>
        </w:trPr>
        <w:tc>
          <w:tcPr>
            <w:tcW w:w="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Carbon​</w:t>
            </w: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Footprint/ Greenhouse Gas (direct)</w:t>
            </w:r>
          </w:p>
        </w:tc>
        <w:tc>
          <w:tcPr>
            <w:tcW w:w="4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 ​</w:t>
            </w:r>
          </w:p>
        </w:tc>
        <w:tc>
          <w:tcPr>
            <w:tcW w:w="110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center"/>
              <w:ind w:right="252"/>
              <w:spacing w:after="0" w:line="236" w:lineRule="exact"/>
              <w:rPr>
                <w:sz w:val="20"/>
                <w:szCs w:val="20"/>
                <w:color w:val="auto"/>
              </w:rPr>
            </w:pPr>
            <w:r>
              <w:rPr>
                <w:rFonts w:ascii="Arial" w:cs="Arial" w:eastAsia="Arial" w:hAnsi="Arial"/>
                <w:sz w:val="18"/>
                <w:szCs w:val="18"/>
                <w:b w:val="1"/>
                <w:bCs w:val="1"/>
                <w:color w:val="auto"/>
                <w:w w:val="96"/>
              </w:rPr>
              <w:t>CO</w:t>
            </w:r>
            <w:r>
              <w:rPr>
                <w:rFonts w:ascii="Arial" w:cs="Arial" w:eastAsia="Arial" w:hAnsi="Arial"/>
                <w:sz w:val="22"/>
                <w:szCs w:val="22"/>
                <w:b w:val="1"/>
                <w:bCs w:val="1"/>
                <w:color w:val="auto"/>
                <w:w w:val="96"/>
                <w:vertAlign w:val="superscript"/>
              </w:rPr>
              <w:t>2</w:t>
            </w:r>
            <w:r>
              <w:rPr>
                <w:rFonts w:ascii="Arial" w:cs="Arial" w:eastAsia="Arial" w:hAnsi="Arial"/>
                <w:sz w:val="18"/>
                <w:szCs w:val="18"/>
                <w:b w:val="1"/>
                <w:bCs w:val="1"/>
                <w:color w:val="auto"/>
                <w:w w:val="96"/>
              </w:rPr>
              <w:t xml:space="preserve"> Emitted</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tcPr>
          <w:p>
            <w:pPr>
              <w:jc w:val="right"/>
              <w:ind w:right="2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9"/>
        </w:trPr>
        <w:tc>
          <w:tcPr>
            <w:tcW w:w="820" w:type="dxa"/>
            <w:vAlign w:val="bottom"/>
            <w:gridSpan w:val="4"/>
          </w:tcPr>
          <w:p>
            <w:pPr>
              <w:spacing w:after="0" w:line="199" w:lineRule="exact"/>
              <w:rPr>
                <w:sz w:val="20"/>
                <w:szCs w:val="20"/>
                <w:color w:val="auto"/>
              </w:rPr>
            </w:pPr>
            <w:r>
              <w:rPr>
                <w:rFonts w:ascii="Arial" w:cs="Arial" w:eastAsia="Arial" w:hAnsi="Arial"/>
                <w:sz w:val="18"/>
                <w:szCs w:val="18"/>
                <w:color w:val="auto"/>
              </w:rPr>
              <w:t>Transport​</w:t>
            </w:r>
          </w:p>
        </w:tc>
        <w:tc>
          <w:tcPr>
            <w:tcW w:w="2860" w:type="dxa"/>
            <w:vAlign w:val="bottom"/>
            <w:gridSpan w:val="2"/>
          </w:tcPr>
          <w:p>
            <w:pPr>
              <w:spacing w:after="0" w:line="199" w:lineRule="exact"/>
              <w:rPr>
                <w:sz w:val="20"/>
                <w:szCs w:val="20"/>
                <w:color w:val="auto"/>
              </w:rPr>
            </w:pPr>
            <w:r>
              <w:rPr>
                <w:rFonts w:ascii="Arial" w:cs="Arial" w:eastAsia="Arial" w:hAnsi="Arial"/>
                <w:sz w:val="18"/>
                <w:szCs w:val="18"/>
                <w:color w:val="auto"/>
              </w:rPr>
              <w:t> – Employee Commuting</w:t>
            </w:r>
          </w:p>
        </w:tc>
        <w:tc>
          <w:tcPr>
            <w:tcW w:w="2620" w:type="dxa"/>
            <w:vAlign w:val="bottom"/>
            <w:gridSpan w:val="3"/>
          </w:tcPr>
          <w:p>
            <w:pPr>
              <w:ind w:left="140"/>
              <w:spacing w:after="0" w:line="199"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3,765,000​​ ​</w:t>
            </w:r>
            <w:r>
              <w:rPr>
                <w:rFonts w:ascii="Arial" w:cs="Arial" w:eastAsia="Arial" w:hAnsi="Arial"/>
                <w:sz w:val="18"/>
                <w:szCs w:val="18"/>
                <w:b w:val="1"/>
                <w:bCs w:val="1"/>
                <w:color w:val="auto"/>
              </w:rPr>
              <w:t>​</w:t>
            </w:r>
            <w:r>
              <w:rPr>
                <w:rFonts w:ascii="Arial" w:cs="Arial" w:eastAsia="Arial" w:hAnsi="Arial"/>
                <w:sz w:val="18"/>
                <w:szCs w:val="18"/>
                <w:color w:val="auto"/>
              </w:rPr>
              <w:t>1,494,000​​ ​</w:t>
            </w:r>
            <w:r>
              <w:rPr>
                <w:rFonts w:ascii="Arial" w:cs="Arial" w:eastAsia="Arial" w:hAnsi="Arial"/>
                <w:sz w:val="18"/>
                <w:szCs w:val="18"/>
                <w:b w:val="1"/>
                <w:bCs w:val="1"/>
                <w:color w:val="auto"/>
              </w:rPr>
              <w:t>​</w:t>
            </w:r>
          </w:p>
        </w:tc>
        <w:tc>
          <w:tcPr>
            <w:tcW w:w="10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 xml:space="preserve">304,000​​ ​ </w:t>
            </w:r>
            <w:r>
              <w:rPr>
                <w:rFonts w:ascii="Arial" w:cs="Arial" w:eastAsia="Arial" w:hAnsi="Arial"/>
                <w:sz w:val="18"/>
                <w:szCs w:val="18"/>
                <w:b w:val="1"/>
                <w:bCs w:val="1"/>
                <w:color w:val="auto"/>
              </w:rPr>
              <w:t>​</w:t>
            </w:r>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200,000​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680" w:type="dxa"/>
            <w:vAlign w:val="bottom"/>
            <w:gridSpan w:val="6"/>
            <w:shd w:val="clear" w:color="auto" w:fill="CCEEFF"/>
          </w:tcPr>
          <w:p>
            <w:pPr>
              <w:spacing w:after="0" w:line="172" w:lineRule="exact"/>
              <w:rPr>
                <w:sz w:val="20"/>
                <w:szCs w:val="20"/>
                <w:color w:val="auto"/>
              </w:rPr>
            </w:pPr>
            <w:r>
              <w:rPr>
                <w:rFonts w:ascii="Arial" w:cs="Arial" w:eastAsia="Arial" w:hAnsi="Arial"/>
                <w:sz w:val="15"/>
                <w:szCs w:val="15"/>
                <w:color w:val="auto"/>
              </w:rPr>
              <w:t>Refrigeration and Air Conditioning</w:t>
            </w:r>
            <w:r>
              <w:rPr>
                <w:rFonts w:ascii="Arial" w:cs="Arial" w:eastAsia="Arial" w:hAnsi="Arial"/>
                <w:sz w:val="19"/>
                <w:szCs w:val="19"/>
                <w:color w:val="auto"/>
                <w:vertAlign w:val="superscript"/>
              </w:rPr>
              <w:t>(2)</w:t>
            </w:r>
          </w:p>
        </w:tc>
        <w:tc>
          <w:tcPr>
            <w:tcW w:w="4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274,000​​ ​</w:t>
            </w:r>
            <w:r>
              <w:rPr>
                <w:rFonts w:ascii="Arial" w:cs="Arial" w:eastAsia="Arial" w:hAnsi="Arial"/>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325,000​​ ​</w:t>
            </w:r>
            <w:r>
              <w:rPr>
                <w:rFonts w:ascii="Arial" w:cs="Arial" w:eastAsia="Arial" w:hAnsi="Arial"/>
                <w:sz w:val="18"/>
                <w:szCs w:val="18"/>
                <w:b w:val="1"/>
                <w:bCs w:val="1"/>
                <w:color w:val="auto"/>
              </w:rPr>
              <w:t>​</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xml:space="preserve">202,000​​ ​ </w:t>
            </w: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60" w:type="dxa"/>
            <w:vAlign w:val="bottom"/>
            <w:shd w:val="clear" w:color="auto" w:fill="CCEEFF"/>
          </w:tcPr>
          <w:p>
            <w:pPr>
              <w:spacing w:after="0" w:line="53" w:lineRule="exact"/>
              <w:rPr>
                <w:sz w:val="20"/>
                <w:szCs w:val="20"/>
                <w:color w:val="auto"/>
              </w:rPr>
            </w:pPr>
            <w:r>
              <w:rPr>
                <w:rFonts w:ascii="Arial" w:cs="Arial" w:eastAsia="Arial" w:hAnsi="Arial"/>
                <w:sz w:val="6"/>
                <w:szCs w:val="6"/>
                <w:color w:val="auto"/>
              </w:rPr>
              <w:t>​</w:t>
            </w: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720" w:type="dxa"/>
            <w:vAlign w:val="bottom"/>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060" w:type="dxa"/>
            <w:vAlign w:val="bottom"/>
            <w:gridSpan w:val="2"/>
            <w:vMerge w:val="continue"/>
            <w:shd w:val="clear" w:color="auto" w:fill="CCEEFF"/>
          </w:tcPr>
          <w:p>
            <w:pPr>
              <w:spacing w:after="0"/>
              <w:rPr>
                <w:sz w:val="4"/>
                <w:szCs w:val="4"/>
                <w:color w:val="auto"/>
              </w:rPr>
            </w:pPr>
          </w:p>
        </w:tc>
        <w:tc>
          <w:tcPr>
            <w:tcW w:w="700" w:type="dxa"/>
            <w:vAlign w:val="bottom"/>
            <w:vMerge w:val="continue"/>
            <w:shd w:val="clear" w:color="auto" w:fill="CCEEFF"/>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680" w:type="dxa"/>
            <w:vAlign w:val="bottom"/>
            <w:gridSpan w:val="6"/>
          </w:tcPr>
          <w:p>
            <w:pPr>
              <w:spacing w:after="0" w:line="172" w:lineRule="exact"/>
              <w:rPr>
                <w:sz w:val="20"/>
                <w:szCs w:val="20"/>
                <w:color w:val="auto"/>
              </w:rPr>
            </w:pPr>
            <w:r>
              <w:rPr>
                <w:rFonts w:ascii="Arial" w:cs="Arial" w:eastAsia="Arial" w:hAnsi="Arial"/>
                <w:sz w:val="15"/>
                <w:szCs w:val="15"/>
                <w:color w:val="auto"/>
              </w:rPr>
              <w:t>Fire Suppression</w:t>
            </w:r>
            <w:r>
              <w:rPr>
                <w:rFonts w:ascii="Arial" w:cs="Arial" w:eastAsia="Arial" w:hAnsi="Arial"/>
                <w:sz w:val="19"/>
                <w:szCs w:val="19"/>
                <w:color w:val="auto"/>
                <w:vertAlign w:val="superscript"/>
              </w:rPr>
              <w:t>(2)</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5,000​​ ​</w:t>
            </w: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5,000​​ ​</w:t>
            </w: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84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53"/>
        </w:trPr>
        <w:tc>
          <w:tcPr>
            <w:tcW w:w="560" w:type="dxa"/>
            <w:vAlign w:val="bottom"/>
          </w:tcPr>
          <w:p>
            <w:pPr>
              <w:spacing w:after="0" w:line="53"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820" w:type="dxa"/>
            <w:vAlign w:val="bottom"/>
            <w:gridSpan w:val="4"/>
            <w:shd w:val="clear" w:color="auto" w:fill="CCEEFF"/>
          </w:tcPr>
          <w:p>
            <w:pPr>
              <w:spacing w:after="0" w:line="199" w:lineRule="exact"/>
              <w:rPr>
                <w:sz w:val="20"/>
                <w:szCs w:val="20"/>
                <w:color w:val="auto"/>
              </w:rPr>
            </w:pPr>
            <w:r>
              <w:rPr>
                <w:rFonts w:ascii="Arial" w:cs="Arial" w:eastAsia="Arial" w:hAnsi="Arial"/>
                <w:sz w:val="18"/>
                <w:szCs w:val="18"/>
                <w:color w:val="auto"/>
              </w:rPr>
              <w:t>Business​</w:t>
            </w:r>
          </w:p>
        </w:tc>
        <w:tc>
          <w:tcPr>
            <w:tcW w:w="286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Travel</w:t>
            </w:r>
          </w:p>
        </w:tc>
        <w:tc>
          <w:tcPr>
            <w:tcW w:w="48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424,000​​ ​</w:t>
            </w: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115,000​​ ​</w:t>
            </w: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 xml:space="preserve">54,000​​ ​ </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gridSpan w:val="3"/>
          </w:tcPr>
          <w:p>
            <w:pPr>
              <w:spacing w:after="0"/>
              <w:rPr>
                <w:sz w:val="20"/>
                <w:szCs w:val="20"/>
                <w:color w:val="auto"/>
              </w:rPr>
            </w:pPr>
            <w:r>
              <w:rPr>
                <w:rFonts w:ascii="Arial" w:cs="Arial" w:eastAsia="Arial" w:hAnsi="Arial"/>
                <w:sz w:val="18"/>
                <w:szCs w:val="18"/>
                <w:b w:val="1"/>
                <w:bCs w:val="1"/>
                <w:color w:val="auto"/>
              </w:rPr>
              <w:t>Carbon​</w:t>
            </w:r>
          </w:p>
        </w:tc>
        <w:tc>
          <w:tcPr>
            <w:tcW w:w="3500" w:type="dxa"/>
            <w:vAlign w:val="bottom"/>
            <w:gridSpan w:val="4"/>
          </w:tcPr>
          <w:p>
            <w:pPr>
              <w:jc w:val="right"/>
              <w:ind w:right="154"/>
              <w:spacing w:after="0"/>
              <w:rPr>
                <w:sz w:val="20"/>
                <w:szCs w:val="20"/>
                <w:color w:val="auto"/>
              </w:rPr>
            </w:pPr>
            <w:r>
              <w:rPr>
                <w:rFonts w:ascii="Arial" w:cs="Arial" w:eastAsia="Arial" w:hAnsi="Arial"/>
                <w:sz w:val="18"/>
                <w:szCs w:val="18"/>
                <w:b w:val="1"/>
                <w:bCs w:val="1"/>
                <w:color w:val="auto"/>
              </w:rPr>
              <w:t>Footprint/ Greenhouse Gas (indirect)​ ​</w:t>
            </w:r>
          </w:p>
        </w:tc>
        <w:tc>
          <w:tcPr>
            <w:tcW w:w="1100" w:type="dxa"/>
            <w:vAlign w:val="bottom"/>
          </w:tcPr>
          <w:p>
            <w:pPr>
              <w:spacing w:after="0"/>
              <w:rPr>
                <w:sz w:val="18"/>
                <w:szCs w:val="18"/>
                <w:color w:val="auto"/>
              </w:rPr>
            </w:pPr>
          </w:p>
        </w:tc>
        <w:tc>
          <w:tcPr>
            <w:tcW w:w="18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97"/>
              </w:rPr>
              <w:t>Units Consumed</w:t>
            </w:r>
          </w:p>
        </w:tc>
        <w:tc>
          <w:tcPr>
            <w:tcW w:w="220" w:type="dxa"/>
            <w:vAlign w:val="bottom"/>
          </w:tcPr>
          <w:p>
            <w:pPr>
              <w:spacing w:after="0"/>
              <w:rPr>
                <w:sz w:val="18"/>
                <w:szCs w:val="18"/>
                <w:color w:val="auto"/>
              </w:rPr>
            </w:pPr>
          </w:p>
        </w:tc>
        <w:tc>
          <w:tcPr>
            <w:tcW w:w="84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Paper​</w:t>
            </w:r>
          </w:p>
        </w:tc>
        <w:tc>
          <w:tcPr>
            <w:tcW w:w="2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Cups (number)</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178,507​​ ​</w:t>
            </w: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26,640​​ ​</w:t>
            </w: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3,960​​ ​ </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Paper​</w:t>
            </w:r>
          </w:p>
        </w:tc>
        <w:tc>
          <w:tcPr>
            <w:tcW w:w="2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Sheets (number)</w:t>
            </w: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1,508,190​​ ​</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223,300​​ ​</w:t>
            </w: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xml:space="preserve">70,280​​ ​ </w:t>
            </w:r>
            <w:r>
              <w:rPr>
                <w:rFonts w:ascii="Arial" w:cs="Arial" w:eastAsia="Arial" w:hAnsi="Arial"/>
                <w:sz w:val="18"/>
                <w:szCs w:val="18"/>
                <w:b w:val="1"/>
                <w:bCs w:val="1"/>
                <w:color w:val="auto"/>
              </w:rPr>
              <w:t>​</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50,800​</w:t>
            </w:r>
          </w:p>
        </w:tc>
        <w:tc>
          <w:tcPr>
            <w:tcW w:w="0" w:type="dxa"/>
            <w:vAlign w:val="bottom"/>
          </w:tcPr>
          <w:p>
            <w:pPr>
              <w:spacing w:after="0"/>
              <w:rPr>
                <w:sz w:val="1"/>
                <w:szCs w:val="1"/>
                <w:color w:val="auto"/>
              </w:rPr>
            </w:pPr>
          </w:p>
        </w:tc>
      </w:tr>
      <w:tr>
        <w:trPr>
          <w:trHeight w:val="212"/>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Paper​</w:t>
            </w:r>
          </w:p>
        </w:tc>
        <w:tc>
          <w:tcPr>
            <w:tcW w:w="2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Towels (units)</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40,388​​ ​</w:t>
            </w: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 ​</w:t>
            </w: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896​​ ​ </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74"/>
              </w:rPr>
              <w:t>(3)</w:t>
            </w:r>
          </w:p>
        </w:tc>
        <w:tc>
          <w:tcPr>
            <w:tcW w:w="0" w:type="dxa"/>
            <w:vAlign w:val="bottom"/>
          </w:tcPr>
          <w:p>
            <w:pPr>
              <w:spacing w:after="0"/>
              <w:rPr>
                <w:sz w:val="1"/>
                <w:szCs w:val="1"/>
                <w:color w:val="auto"/>
              </w:rPr>
            </w:pPr>
          </w:p>
        </w:tc>
      </w:tr>
      <w:tr>
        <w:trPr>
          <w:trHeight w:val="106"/>
        </w:trPr>
        <w:tc>
          <w:tcPr>
            <w:tcW w:w="560" w:type="dxa"/>
            <w:vAlign w:val="bottom"/>
            <w:vMerge w:val="restart"/>
          </w:tcPr>
          <w:p>
            <w:pPr>
              <w:spacing w:after="0"/>
              <w:rPr>
                <w:sz w:val="20"/>
                <w:szCs w:val="20"/>
                <w:color w:val="auto"/>
              </w:rPr>
            </w:pPr>
            <w:r>
              <w:rPr>
                <w:rFonts w:ascii="Arial" w:cs="Arial" w:eastAsia="Arial" w:hAnsi="Arial"/>
                <w:sz w:val="18"/>
                <w:szCs w:val="18"/>
                <w:color w:val="auto"/>
              </w:rPr>
              <w:t>Power​</w:t>
            </w:r>
          </w:p>
        </w:tc>
        <w:tc>
          <w:tcPr>
            <w:tcW w:w="20" w:type="dxa"/>
            <w:vAlign w:val="bottom"/>
          </w:tcPr>
          <w:p>
            <w:pPr>
              <w:spacing w:after="0"/>
              <w:rPr>
                <w:sz w:val="9"/>
                <w:szCs w:val="9"/>
                <w:color w:val="auto"/>
              </w:rPr>
            </w:pPr>
          </w:p>
        </w:tc>
        <w:tc>
          <w:tcPr>
            <w:tcW w:w="3100" w:type="dxa"/>
            <w:vAlign w:val="bottom"/>
            <w:gridSpan w:val="4"/>
            <w:vMerge w:val="restart"/>
          </w:tcPr>
          <w:p>
            <w:pPr>
              <w:ind w:left="20"/>
              <w:spacing w:after="0"/>
              <w:rPr>
                <w:sz w:val="20"/>
                <w:szCs w:val="20"/>
                <w:color w:val="auto"/>
              </w:rPr>
            </w:pPr>
            <w:r>
              <w:rPr>
                <w:rFonts w:ascii="Arial" w:cs="Arial" w:eastAsia="Arial" w:hAnsi="Arial"/>
                <w:sz w:val="18"/>
                <w:szCs w:val="18"/>
                <w:color w:val="auto"/>
              </w:rPr>
              <w:t>(kWh)</w:t>
            </w: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4520" w:type="dxa"/>
            <w:vAlign w:val="bottom"/>
            <w:gridSpan w:val="7"/>
          </w:tcPr>
          <w:p>
            <w:pPr>
              <w:ind w:left="140"/>
              <w:spacing w:after="0" w:line="106" w:lineRule="exact"/>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r>
              <w:rPr>
                <w:rFonts w:ascii="Arial" w:cs="Arial" w:eastAsia="Arial" w:hAnsi="Arial"/>
                <w:sz w:val="12"/>
                <w:szCs w:val="12"/>
                <w:color w:val="auto"/>
              </w:rPr>
              <w:t xml:space="preserve"> 5,542,196​​ ​</w:t>
            </w:r>
            <w:r>
              <w:rPr>
                <w:rFonts w:ascii="Arial" w:cs="Arial" w:eastAsia="Arial" w:hAnsi="Arial"/>
                <w:sz w:val="12"/>
                <w:szCs w:val="12"/>
                <w:b w:val="1"/>
                <w:bCs w:val="1"/>
                <w:color w:val="auto"/>
              </w:rPr>
              <w:t>​</w:t>
            </w:r>
            <w:r>
              <w:rPr>
                <w:rFonts w:ascii="Arial" w:cs="Arial" w:eastAsia="Arial" w:hAnsi="Arial"/>
                <w:sz w:val="12"/>
                <w:szCs w:val="12"/>
                <w:color w:val="auto"/>
              </w:rPr>
              <w:t>1,512,392​​ ​</w:t>
            </w:r>
            <w:r>
              <w:rPr>
                <w:rFonts w:ascii="Arial" w:cs="Arial" w:eastAsia="Arial" w:hAnsi="Arial"/>
                <w:sz w:val="12"/>
                <w:szCs w:val="12"/>
                <w:b w:val="1"/>
                <w:bCs w:val="1"/>
                <w:color w:val="auto"/>
              </w:rPr>
              <w:t>​</w:t>
            </w:r>
            <w:r>
              <w:rPr>
                <w:rFonts w:ascii="Arial" w:cs="Arial" w:eastAsia="Arial" w:hAnsi="Arial"/>
                <w:sz w:val="12"/>
                <w:szCs w:val="12"/>
                <w:color w:val="auto"/>
              </w:rPr>
              <w:t xml:space="preserve">1,071,843​​ ​ </w:t>
            </w:r>
            <w:r>
              <w:rPr>
                <w:rFonts w:ascii="Arial" w:cs="Arial" w:eastAsia="Arial" w:hAnsi="Arial"/>
                <w:sz w:val="12"/>
                <w:szCs w:val="12"/>
                <w:b w:val="1"/>
                <w:bCs w:val="1"/>
                <w:color w:val="auto"/>
              </w:rPr>
              <w:t>​</w:t>
            </w:r>
            <w:r>
              <w:rPr>
                <w:rFonts w:ascii="Arial" w:cs="Arial" w:eastAsia="Arial" w:hAnsi="Arial"/>
                <w:sz w:val="12"/>
                <w:szCs w:val="12"/>
                <w:color w:val="auto"/>
              </w:rPr>
              <w:t>1,351,618​</w:t>
            </w:r>
          </w:p>
        </w:tc>
        <w:tc>
          <w:tcPr>
            <w:tcW w:w="0" w:type="dxa"/>
            <w:vAlign w:val="bottom"/>
          </w:tcPr>
          <w:p>
            <w:pPr>
              <w:spacing w:after="0"/>
              <w:rPr>
                <w:sz w:val="1"/>
                <w:szCs w:val="1"/>
                <w:color w:val="auto"/>
              </w:rPr>
            </w:pPr>
          </w:p>
        </w:tc>
      </w:tr>
      <w:tr>
        <w:trPr>
          <w:trHeight w:val="212"/>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3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(liters)</w:t>
            </w:r>
          </w:p>
        </w:tc>
        <w:tc>
          <w:tcPr>
            <w:tcW w:w="43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27,921,888​​ ​</w:t>
            </w:r>
            <w:r>
              <w:rPr>
                <w:rFonts w:ascii="Arial" w:cs="Arial" w:eastAsia="Arial" w:hAnsi="Arial"/>
                <w:sz w:val="18"/>
                <w:szCs w:val="18"/>
                <w:b w:val="1"/>
                <w:bCs w:val="1"/>
                <w:color w:val="auto"/>
              </w:rPr>
              <w:t>​</w:t>
            </w:r>
            <w:r>
              <w:rPr>
                <w:rFonts w:ascii="Arial" w:cs="Arial" w:eastAsia="Arial" w:hAnsi="Arial"/>
                <w:sz w:val="18"/>
                <w:szCs w:val="18"/>
                <w:color w:val="auto"/>
              </w:rPr>
              <w:t>6,191,957​​ ​</w:t>
            </w:r>
            <w:r>
              <w:rPr>
                <w:rFonts w:ascii="Arial" w:cs="Arial" w:eastAsia="Arial" w:hAnsi="Arial"/>
                <w:sz w:val="18"/>
                <w:szCs w:val="18"/>
                <w:b w:val="1"/>
                <w:bCs w:val="1"/>
                <w:color w:val="auto"/>
              </w:rPr>
              <w:t>​</w:t>
            </w:r>
            <w:r>
              <w:rPr>
                <w:rFonts w:ascii="Arial" w:cs="Arial" w:eastAsia="Arial" w:hAnsi="Arial"/>
                <w:sz w:val="18"/>
                <w:szCs w:val="18"/>
                <w:color w:val="auto"/>
              </w:rPr>
              <w:t xml:space="preserve">3,103,890​​ ​ </w:t>
            </w:r>
            <w:r>
              <w:rPr>
                <w:rFonts w:ascii="Arial" w:cs="Arial" w:eastAsia="Arial" w:hAnsi="Arial"/>
                <w:sz w:val="18"/>
                <w:szCs w:val="18"/>
                <w:b w:val="1"/>
                <w:bCs w:val="1"/>
                <w:color w:val="auto"/>
              </w:rPr>
              <w:t>​</w:t>
            </w:r>
            <w:r>
              <w:rPr>
                <w:rFonts w:ascii="Arial" w:cs="Arial" w:eastAsia="Arial" w:hAnsi="Arial"/>
                <w:sz w:val="18"/>
                <w:szCs w:val="18"/>
                <w:color w:val="auto"/>
              </w:rPr>
              <w:t>2,248,190​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0" w:type="dxa"/>
            <w:vAlign w:val="bottom"/>
            <w:gridSpan w:val="3"/>
          </w:tcPr>
          <w:p>
            <w:pPr>
              <w:spacing w:after="0"/>
              <w:rPr>
                <w:sz w:val="20"/>
                <w:szCs w:val="20"/>
                <w:color w:val="auto"/>
              </w:rPr>
            </w:pPr>
            <w:r>
              <w:rPr>
                <w:rFonts w:ascii="Arial" w:cs="Arial" w:eastAsia="Arial" w:hAnsi="Arial"/>
                <w:sz w:val="18"/>
                <w:szCs w:val="18"/>
                <w:b w:val="1"/>
                <w:bCs w:val="1"/>
                <w:color w:val="auto"/>
                <w:w w:val="93"/>
              </w:rPr>
              <w:t>Recycle​</w:t>
            </w:r>
          </w:p>
        </w:tc>
        <w:tc>
          <w:tcPr>
            <w:tcW w:w="3020" w:type="dxa"/>
            <w:vAlign w:val="bottom"/>
            <w:gridSpan w:val="3"/>
          </w:tcPr>
          <w:p>
            <w:pPr>
              <w:ind w:left="60"/>
              <w:spacing w:after="0"/>
              <w:rPr>
                <w:sz w:val="20"/>
                <w:szCs w:val="20"/>
                <w:color w:val="auto"/>
              </w:rPr>
            </w:pPr>
            <w:r>
              <w:rPr>
                <w:rFonts w:ascii="Arial" w:cs="Arial" w:eastAsia="Arial" w:hAnsi="Arial"/>
                <w:sz w:val="18"/>
                <w:szCs w:val="18"/>
                <w:b w:val="1"/>
                <w:bCs w:val="1"/>
                <w:color w:val="auto"/>
              </w:rPr>
              <w:t>and Reduce</w:t>
            </w:r>
          </w:p>
        </w:tc>
        <w:tc>
          <w:tcPr>
            <w:tcW w:w="480" w:type="dxa"/>
            <w:vAlign w:val="bottom"/>
          </w:tcPr>
          <w:p>
            <w:pPr>
              <w:jc w:val="right"/>
              <w:ind w:right="154"/>
              <w:spacing w:after="0"/>
              <w:rPr>
                <w:sz w:val="20"/>
                <w:szCs w:val="20"/>
                <w:color w:val="auto"/>
              </w:rPr>
            </w:pPr>
            <w:r>
              <w:rPr>
                <w:rFonts w:ascii="Arial" w:cs="Arial" w:eastAsia="Arial" w:hAnsi="Arial"/>
                <w:sz w:val="18"/>
                <w:szCs w:val="18"/>
                <w:b w:val="1"/>
                <w:bCs w:val="1"/>
                <w:color w:val="auto"/>
              </w:rPr>
              <w:t>​ ​</w:t>
            </w:r>
          </w:p>
        </w:tc>
        <w:tc>
          <w:tcPr>
            <w:tcW w:w="2980" w:type="dxa"/>
            <w:vAlign w:val="bottom"/>
            <w:gridSpan w:val="3"/>
          </w:tcPr>
          <w:p>
            <w:pPr>
              <w:jc w:val="center"/>
              <w:ind w:left="672"/>
              <w:spacing w:after="0"/>
              <w:rPr>
                <w:sz w:val="20"/>
                <w:szCs w:val="20"/>
                <w:color w:val="auto"/>
              </w:rPr>
            </w:pPr>
            <w:r>
              <w:rPr>
                <w:rFonts w:ascii="Arial" w:cs="Arial" w:eastAsia="Arial" w:hAnsi="Arial"/>
                <w:sz w:val="18"/>
                <w:szCs w:val="18"/>
                <w:b w:val="1"/>
                <w:bCs w:val="1"/>
                <w:color w:val="auto"/>
                <w:w w:val="97"/>
              </w:rPr>
              <w:t>% Of Total Facilities</w:t>
            </w:r>
          </w:p>
        </w:tc>
        <w:tc>
          <w:tcPr>
            <w:tcW w:w="220" w:type="dxa"/>
            <w:vAlign w:val="bottom"/>
          </w:tcPr>
          <w:p>
            <w:pPr>
              <w:spacing w:after="0"/>
              <w:rPr>
                <w:sz w:val="18"/>
                <w:szCs w:val="18"/>
                <w:color w:val="auto"/>
              </w:rPr>
            </w:pPr>
          </w:p>
        </w:tc>
        <w:tc>
          <w:tcPr>
            <w:tcW w:w="84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580" w:type="dxa"/>
            <w:vAlign w:val="bottom"/>
            <w:gridSpan w:val="2"/>
          </w:tcPr>
          <w:p>
            <w:pPr>
              <w:spacing w:after="0"/>
              <w:rPr>
                <w:sz w:val="20"/>
                <w:szCs w:val="20"/>
                <w:color w:val="auto"/>
              </w:rPr>
            </w:pPr>
            <w:r>
              <w:rPr>
                <w:rFonts w:ascii="Arial" w:cs="Arial" w:eastAsia="Arial" w:hAnsi="Arial"/>
                <w:sz w:val="18"/>
                <w:szCs w:val="18"/>
                <w:color w:val="auto"/>
              </w:rPr>
              <w:t>Plastic​</w:t>
            </w:r>
          </w:p>
        </w:tc>
        <w:tc>
          <w:tcPr>
            <w:tcW w:w="3100" w:type="dxa"/>
            <w:vAlign w:val="bottom"/>
            <w:gridSpan w:val="4"/>
          </w:tcPr>
          <w:p>
            <w:pPr>
              <w:ind w:left="60"/>
              <w:spacing w:after="0"/>
              <w:rPr>
                <w:sz w:val="20"/>
                <w:szCs w:val="20"/>
                <w:color w:val="auto"/>
              </w:rPr>
            </w:pPr>
            <w:r>
              <w:rPr>
                <w:rFonts w:ascii="Arial" w:cs="Arial" w:eastAsia="Arial" w:hAnsi="Arial"/>
                <w:sz w:val="18"/>
                <w:szCs w:val="18"/>
                <w:color w:val="auto"/>
              </w:rPr>
              <w:t>Recycling</w:t>
            </w:r>
          </w:p>
        </w:tc>
        <w:tc>
          <w:tcPr>
            <w:tcW w:w="480" w:type="dxa"/>
            <w:vAlign w:val="bottom"/>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 ​</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 ​</w:t>
            </w: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xml:space="preserve">67​​%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Paper​</w:t>
            </w:r>
          </w:p>
        </w:tc>
        <w:tc>
          <w:tcPr>
            <w:tcW w:w="2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Recycling</w:t>
            </w:r>
          </w:p>
        </w:tc>
        <w:tc>
          <w:tcPr>
            <w:tcW w:w="480" w:type="dxa"/>
            <w:vAlign w:val="bottom"/>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 ​</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 ​</w:t>
            </w: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xml:space="preserve">67​​%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2"/>
        </w:trPr>
        <w:tc>
          <w:tcPr>
            <w:tcW w:w="960" w:type="dxa"/>
            <w:vAlign w:val="bottom"/>
            <w:gridSpan w:val="5"/>
          </w:tcPr>
          <w:p>
            <w:pPr>
              <w:spacing w:after="0"/>
              <w:rPr>
                <w:sz w:val="20"/>
                <w:szCs w:val="20"/>
                <w:color w:val="auto"/>
              </w:rPr>
            </w:pPr>
            <w:r>
              <w:rPr>
                <w:rFonts w:ascii="Arial" w:cs="Arial" w:eastAsia="Arial" w:hAnsi="Arial"/>
                <w:sz w:val="18"/>
                <w:szCs w:val="18"/>
                <w:color w:val="auto"/>
              </w:rPr>
              <w:t>Permanent​</w:t>
            </w:r>
          </w:p>
        </w:tc>
        <w:tc>
          <w:tcPr>
            <w:tcW w:w="2720" w:type="dxa"/>
            <w:vAlign w:val="bottom"/>
          </w:tcPr>
          <w:p>
            <w:pPr>
              <w:ind w:left="40"/>
              <w:spacing w:after="0"/>
              <w:rPr>
                <w:sz w:val="20"/>
                <w:szCs w:val="20"/>
                <w:color w:val="auto"/>
              </w:rPr>
            </w:pPr>
            <w:r>
              <w:rPr>
                <w:rFonts w:ascii="Arial" w:cs="Arial" w:eastAsia="Arial" w:hAnsi="Arial"/>
                <w:sz w:val="18"/>
                <w:szCs w:val="18"/>
                <w:color w:val="auto"/>
              </w:rPr>
              <w:t>Kitchenware</w:t>
            </w:r>
          </w:p>
        </w:tc>
        <w:tc>
          <w:tcPr>
            <w:tcW w:w="480" w:type="dxa"/>
            <w:vAlign w:val="bottom"/>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 ​</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 ​</w:t>
            </w: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xml:space="preserve">67​​%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1"/>
        </w:trPr>
        <w:tc>
          <w:tcPr>
            <w:tcW w:w="3680" w:type="dxa"/>
            <w:vAlign w:val="bottom"/>
            <w:gridSpan w:val="6"/>
          </w:tcPr>
          <w:p>
            <w:pPr>
              <w:spacing w:after="0"/>
              <w:rPr>
                <w:sz w:val="20"/>
                <w:szCs w:val="20"/>
                <w:color w:val="auto"/>
              </w:rPr>
            </w:pPr>
            <w:r>
              <w:rPr>
                <w:rFonts w:ascii="Arial" w:cs="Arial" w:eastAsia="Arial" w:hAnsi="Arial"/>
                <w:sz w:val="18"/>
                <w:szCs w:val="18"/>
                <w:color w:val="auto"/>
              </w:rPr>
              <w:t>E​-Recycling</w:t>
            </w:r>
          </w:p>
        </w:tc>
        <w:tc>
          <w:tcPr>
            <w:tcW w:w="480" w:type="dxa"/>
            <w:vAlign w:val="bottom"/>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 ​</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 ​</w:t>
            </w: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xml:space="preserve">100​​%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-556260</wp:posOffset>
            </wp:positionV>
            <wp:extent cx="5109845"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09845" cy="13462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-287020</wp:posOffset>
            </wp:positionV>
            <wp:extent cx="5109845"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09845" cy="134620"/>
                    </a:xfrm>
                    <a:prstGeom prst="rect">
                      <a:avLst/>
                    </a:prstGeom>
                    <a:noFill/>
                  </pic:spPr>
                </pic:pic>
              </a:graphicData>
            </a:graphic>
          </wp:anchor>
        </w:drawing>
      </w:r>
    </w:p>
    <w:p>
      <w:pPr>
        <w:spacing w:after="0" w:line="26" w:lineRule="exact"/>
        <w:rPr>
          <w:sz w:val="20"/>
          <w:szCs w:val="20"/>
          <w:color w:val="auto"/>
        </w:rPr>
      </w:pPr>
    </w:p>
    <w:p>
      <w:pPr>
        <w:ind w:left="1580" w:right="879" w:hanging="359"/>
        <w:spacing w:after="0" w:line="208" w:lineRule="auto"/>
        <w:tabs>
          <w:tab w:leader="none" w:pos="1580" w:val="left"/>
        </w:tabs>
        <w:numPr>
          <w:ilvl w:val="0"/>
          <w:numId w:val="16"/>
        </w:numPr>
        <w:rPr>
          <w:rFonts w:ascii="Arial" w:cs="Arial" w:eastAsia="Arial" w:hAnsi="Arial"/>
          <w:sz w:val="26"/>
          <w:szCs w:val="26"/>
          <w:color w:val="auto"/>
          <w:vertAlign w:val="superscript"/>
        </w:rPr>
      </w:pPr>
      <w:r>
        <w:rPr>
          <w:rFonts w:ascii="Arial" w:cs="Arial" w:eastAsia="Arial" w:hAnsi="Arial"/>
          <w:sz w:val="18"/>
          <w:szCs w:val="18"/>
          <w:color w:val="auto"/>
        </w:rPr>
        <w:t>Facilities which have obtained industry standard certifications such as BREEAM (the Building Research Establishment Environmental Assessment Method), LEED (Leadership in Energy and Environmental Design), ENERGY STAR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similar certifications demonstrating energy efficient practice.</w:t>
      </w:r>
    </w:p>
    <w:p>
      <w:pPr>
        <w:spacing w:after="0" w:line="49" w:lineRule="exact"/>
        <w:rPr>
          <w:rFonts w:ascii="Arial" w:cs="Arial" w:eastAsia="Arial" w:hAnsi="Arial"/>
          <w:sz w:val="26"/>
          <w:szCs w:val="26"/>
          <w:color w:val="auto"/>
          <w:vertAlign w:val="superscript"/>
        </w:rPr>
      </w:pPr>
    </w:p>
    <w:p>
      <w:pPr>
        <w:ind w:left="1580" w:right="739" w:hanging="359"/>
        <w:spacing w:after="0" w:line="220" w:lineRule="auto"/>
        <w:tabs>
          <w:tab w:leader="none" w:pos="1580" w:val="left"/>
        </w:tabs>
        <w:numPr>
          <w:ilvl w:val="0"/>
          <w:numId w:val="16"/>
        </w:numPr>
        <w:rPr>
          <w:rFonts w:ascii="Arial" w:cs="Arial" w:eastAsia="Arial" w:hAnsi="Arial"/>
          <w:sz w:val="26"/>
          <w:szCs w:val="26"/>
          <w:color w:val="auto"/>
          <w:vertAlign w:val="superscript"/>
        </w:rPr>
      </w:pPr>
      <w:r>
        <w:rPr>
          <w:rFonts w:ascii="Arial" w:cs="Arial" w:eastAsia="Arial" w:hAnsi="Arial"/>
          <w:sz w:val="18"/>
          <w:szCs w:val="18"/>
          <w:color w:val="auto"/>
        </w:rPr>
        <w:t>Refrigeration, air conditioning and fire suppression use materials which contribute to greenhouse gas emissions. We will be identifying any possible opportunities to reduce our carbon footprint from these emissions.</w:t>
      </w:r>
    </w:p>
    <w:p>
      <w:pPr>
        <w:spacing w:after="0" w:line="1" w:lineRule="exact"/>
        <w:rPr>
          <w:rFonts w:ascii="Arial" w:cs="Arial" w:eastAsia="Arial" w:hAnsi="Arial"/>
          <w:sz w:val="26"/>
          <w:szCs w:val="26"/>
          <w:color w:val="auto"/>
          <w:vertAlign w:val="superscript"/>
        </w:rPr>
      </w:pPr>
    </w:p>
    <w:p>
      <w:pPr>
        <w:ind w:left="1580" w:hanging="359"/>
        <w:spacing w:after="0" w:line="233" w:lineRule="auto"/>
        <w:tabs>
          <w:tab w:leader="none" w:pos="1580" w:val="left"/>
        </w:tabs>
        <w:numPr>
          <w:ilvl w:val="0"/>
          <w:numId w:val="16"/>
        </w:numPr>
        <w:rPr>
          <w:rFonts w:ascii="Arial" w:cs="Arial" w:eastAsia="Arial" w:hAnsi="Arial"/>
          <w:sz w:val="26"/>
          <w:szCs w:val="26"/>
          <w:color w:val="auto"/>
          <w:vertAlign w:val="superscript"/>
        </w:rPr>
      </w:pPr>
      <w:r>
        <w:rPr>
          <w:rFonts w:ascii="Arial" w:cs="Arial" w:eastAsia="Arial" w:hAnsi="Arial"/>
          <w:sz w:val="18"/>
          <w:szCs w:val="18"/>
          <w:color w:val="auto"/>
        </w:rPr>
        <w:t>Increase due to the expiration of a sublease in July 2021.</w:t>
      </w:r>
    </w:p>
    <w:p>
      <w:pPr>
        <w:spacing w:after="0" w:line="12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Emissions by Region:</w:t>
      </w:r>
    </w:p>
    <w:p>
      <w:pPr>
        <w:spacing w:after="0" w:line="175" w:lineRule="exact"/>
        <w:rPr>
          <w:sz w:val="20"/>
          <w:szCs w:val="20"/>
          <w:color w:val="auto"/>
        </w:rPr>
      </w:pPr>
    </w:p>
    <w:tbl>
      <w:tblPr>
        <w:tblLayout w:type="fixed"/>
        <w:tblInd w:w="1220" w:type="dxa"/>
        <w:tblCellMar>
          <w:top w:w="0" w:type="dxa"/>
          <w:left w:w="0" w:type="dxa"/>
          <w:bottom w:w="0" w:type="dxa"/>
          <w:right w:w="0" w:type="dxa"/>
        </w:tblCellMar>
      </w:tblPr>
      <w:tr>
        <w:trPr>
          <w:trHeight w:val="217"/>
        </w:trPr>
        <w:tc>
          <w:tcPr>
            <w:tcW w:w="820" w:type="dxa"/>
            <w:vAlign w:val="bottom"/>
          </w:tcPr>
          <w:p>
            <w:pPr>
              <w:spacing w:after="0"/>
              <w:rPr>
                <w:sz w:val="20"/>
                <w:szCs w:val="20"/>
                <w:color w:val="auto"/>
              </w:rPr>
            </w:pPr>
            <w:r>
              <w:rPr>
                <w:rFonts w:ascii="Arial" w:cs="Arial" w:eastAsia="Arial" w:hAnsi="Arial"/>
                <w:sz w:val="18"/>
                <w:szCs w:val="18"/>
                <w:b w:val="1"/>
                <w:bCs w:val="1"/>
                <w:color w:val="auto"/>
              </w:rPr>
              <w:t>​</w:t>
            </w:r>
          </w:p>
        </w:tc>
        <w:tc>
          <w:tcPr>
            <w:tcW w:w="3080" w:type="dxa"/>
            <w:vAlign w:val="bottom"/>
          </w:tcPr>
          <w:p>
            <w:pPr>
              <w:ind w:left="780"/>
              <w:spacing w:after="0"/>
              <w:rPr>
                <w:sz w:val="20"/>
                <w:szCs w:val="20"/>
                <w:color w:val="auto"/>
              </w:rPr>
            </w:pPr>
            <w:r>
              <w:rPr>
                <w:rFonts w:ascii="Arial" w:cs="Arial" w:eastAsia="Arial" w:hAnsi="Arial"/>
                <w:sz w:val="18"/>
                <w:szCs w:val="18"/>
                <w:b w:val="1"/>
                <w:bCs w:val="1"/>
                <w:color w:val="auto"/>
              </w:rPr>
              <w:t>Country</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ind w:left="60"/>
              <w:spacing w:after="0"/>
              <w:rPr>
                <w:sz w:val="20"/>
                <w:szCs w:val="20"/>
                <w:color w:val="auto"/>
              </w:rPr>
            </w:pPr>
            <w:r>
              <w:rPr>
                <w:rFonts w:ascii="Arial" w:cs="Arial" w:eastAsia="Arial" w:hAnsi="Arial"/>
                <w:sz w:val="18"/>
                <w:szCs w:val="18"/>
                <w:b w:val="1"/>
                <w:bCs w:val="1"/>
                <w:color w:val="auto"/>
              </w:rPr>
              <w:t>​ U.S. ​</w:t>
            </w:r>
          </w:p>
        </w:tc>
        <w:tc>
          <w:tcPr>
            <w:tcW w:w="820" w:type="dxa"/>
            <w:vAlign w:val="bottom"/>
            <w:gridSpan w:val="3"/>
          </w:tcPr>
          <w:p>
            <w:pPr>
              <w:ind w:left="80"/>
              <w:spacing w:after="0"/>
              <w:rPr>
                <w:sz w:val="20"/>
                <w:szCs w:val="20"/>
                <w:color w:val="auto"/>
              </w:rPr>
            </w:pPr>
            <w:r>
              <w:rPr>
                <w:rFonts w:ascii="Arial" w:cs="Arial" w:eastAsia="Arial" w:hAnsi="Arial"/>
                <w:sz w:val="18"/>
                <w:szCs w:val="18"/>
                <w:b w:val="1"/>
                <w:bCs w:val="1"/>
                <w:color w:val="auto"/>
              </w:rPr>
              <w:t>​ India ​</w:t>
            </w: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 Uruguay ​</w:t>
            </w: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 Luxembourg​</w:t>
            </w:r>
          </w:p>
        </w:tc>
      </w:tr>
      <w:tr>
        <w:trPr>
          <w:trHeight w:val="188"/>
        </w:trPr>
        <w:tc>
          <w:tcPr>
            <w:tcW w:w="390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Percentage of Altisource Direct GHG</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42"/>
        </w:trPr>
        <w:tc>
          <w:tcPr>
            <w:tcW w:w="3900" w:type="dxa"/>
            <w:vAlign w:val="bottom"/>
            <w:gridSpan w:val="2"/>
          </w:tcPr>
          <w:p>
            <w:pPr>
              <w:spacing w:after="0"/>
              <w:rPr>
                <w:sz w:val="20"/>
                <w:szCs w:val="20"/>
                <w:color w:val="auto"/>
              </w:rPr>
            </w:pPr>
            <w:r>
              <w:rPr>
                <w:rFonts w:ascii="Arial" w:cs="Arial" w:eastAsia="Arial" w:hAnsi="Arial"/>
                <w:sz w:val="18"/>
                <w:szCs w:val="18"/>
                <w:color w:val="auto"/>
              </w:rPr>
              <w:t>​Contribution by Country</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64%​ ​</w:t>
            </w:r>
          </w:p>
        </w:tc>
        <w:tc>
          <w:tcPr>
            <w:tcW w:w="820" w:type="dxa"/>
            <w:vAlign w:val="bottom"/>
            <w:gridSpan w:val="3"/>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26%​ ​</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​​9%  ​ ​</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-285115</wp:posOffset>
            </wp:positionV>
            <wp:extent cx="5109845" cy="285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09845" cy="285750"/>
                    </a:xfrm>
                    <a:prstGeom prst="rect">
                      <a:avLst/>
                    </a:prstGeom>
                    <a:noFill/>
                  </pic:spPr>
                </pic:pic>
              </a:graphicData>
            </a:graphic>
          </wp:anchor>
        </w:drawing>
      </w:r>
    </w:p>
    <w:p>
      <w:pPr>
        <w:spacing w:after="0" w:line="109" w:lineRule="exact"/>
        <w:rPr>
          <w:sz w:val="20"/>
          <w:szCs w:val="20"/>
          <w:color w:val="auto"/>
        </w:rPr>
      </w:pPr>
    </w:p>
    <w:p>
      <w:pPr>
        <w:jc w:val="both"/>
        <w:ind w:left="1220" w:right="1119"/>
        <w:spacing w:after="0" w:line="259" w:lineRule="auto"/>
        <w:rPr>
          <w:sz w:val="20"/>
          <w:szCs w:val="20"/>
          <w:color w:val="auto"/>
        </w:rPr>
      </w:pPr>
      <w:r>
        <w:rPr>
          <w:rFonts w:ascii="Arial" w:cs="Arial" w:eastAsia="Arial" w:hAnsi="Arial"/>
          <w:sz w:val="18"/>
          <w:szCs w:val="18"/>
          <w:color w:val="auto"/>
        </w:rPr>
        <w:t>In 2023, we intend to continue to assess our real estate portfolio, telecommuting and transport programs to evaluate ways to further reduce our impact on the environment, including by implementing and continuing to foster remote working arrangements.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Human Rights</w:t>
      </w:r>
    </w:p>
    <w:p>
      <w:pPr>
        <w:spacing w:after="0" w:line="150" w:lineRule="exact"/>
        <w:rPr>
          <w:sz w:val="20"/>
          <w:szCs w:val="20"/>
          <w:color w:val="auto"/>
        </w:rPr>
      </w:pPr>
    </w:p>
    <w:p>
      <w:pPr>
        <w:ind w:left="1220" w:right="1039"/>
        <w:spacing w:after="0" w:line="274" w:lineRule="auto"/>
        <w:rPr>
          <w:sz w:val="20"/>
          <w:szCs w:val="20"/>
          <w:color w:val="auto"/>
        </w:rPr>
      </w:pPr>
      <w:r>
        <w:rPr>
          <w:rFonts w:ascii="Arial" w:cs="Arial" w:eastAsia="Arial" w:hAnsi="Arial"/>
          <w:sz w:val="18"/>
          <w:szCs w:val="18"/>
          <w:color w:val="auto"/>
        </w:rPr>
        <w:t>We acknowledge that our business activities may pose certain risks on human rights in relation to workplace safety and fair conditions of employment.</w:t>
      </w:r>
    </w:p>
    <w:p>
      <w:pPr>
        <w:spacing w:after="0" w:line="96" w:lineRule="exact"/>
        <w:rPr>
          <w:sz w:val="20"/>
          <w:szCs w:val="20"/>
          <w:color w:val="auto"/>
        </w:rPr>
      </w:pPr>
    </w:p>
    <w:p>
      <w:pPr>
        <w:ind w:left="1220" w:right="539"/>
        <w:spacing w:after="0" w:line="248" w:lineRule="auto"/>
        <w:rPr>
          <w:sz w:val="20"/>
          <w:szCs w:val="20"/>
          <w:color w:val="auto"/>
        </w:rPr>
      </w:pPr>
      <w:r>
        <w:rPr>
          <w:rFonts w:ascii="Arial" w:cs="Arial" w:eastAsia="Arial" w:hAnsi="Arial"/>
          <w:sz w:val="18"/>
          <w:szCs w:val="18"/>
          <w:color w:val="auto"/>
        </w:rPr>
        <w:t xml:space="preserve">We have undertaken several efforts to reduce and mitigate these risks and remain committed to respect for human rights as described in our Human Rights Statement (available at </w:t>
      </w:r>
      <w:r>
        <w:rPr>
          <w:rFonts w:ascii="Arial" w:cs="Arial" w:eastAsia="Arial" w:hAnsi="Arial"/>
          <w:sz w:val="18"/>
          <w:szCs w:val="18"/>
          <w:u w:val="single" w:color="auto"/>
          <w:color w:val="auto"/>
        </w:rPr>
        <w:t>www.altisource.com/humanrights).</w:t>
      </w:r>
      <w:r>
        <w:rPr>
          <w:rFonts w:ascii="Arial" w:cs="Arial" w:eastAsia="Arial" w:hAnsi="Arial"/>
          <w:sz w:val="18"/>
          <w:szCs w:val="18"/>
          <w:color w:val="auto"/>
        </w:rPr>
        <w:t xml:space="preserve"> Among other things, this document reaffirms the Company’s commitment to respect all applicable legal rights of freedom of association and collective bargaining as applicable in the different locations where we operate, provide a safe and healthy workplace, foster socially responsible businesses in which women and minorities can participate on an equal basis, and adhere to applicable laws intended to promote human rights. Consistent with the principles set forth in our Code of Business Conduct and Ethics, and other policies and procedures, our Human Rights Statement prohibits forced labor and child labor. We have developed policies and procedures to establish and foster an equal opportunity and non-discrimination culture.</w:t>
      </w: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Vendor Code of Business Conduct and Ethics (available at</w:t>
      </w:r>
    </w:p>
    <w:p>
      <w:pPr>
        <w:spacing w:after="0" w:line="8" w:lineRule="exact"/>
        <w:rPr>
          <w:sz w:val="20"/>
          <w:szCs w:val="20"/>
          <w:color w:val="auto"/>
        </w:rPr>
      </w:pPr>
    </w:p>
    <w:p>
      <w:pPr>
        <w:ind w:left="1220" w:right="639"/>
        <w:spacing w:after="0" w:line="237" w:lineRule="auto"/>
        <w:rPr>
          <w:sz w:val="20"/>
          <w:szCs w:val="20"/>
          <w:color w:val="auto"/>
        </w:rPr>
      </w:pPr>
      <w:r>
        <w:rPr>
          <w:rFonts w:ascii="Arial" w:cs="Arial" w:eastAsia="Arial" w:hAnsi="Arial"/>
          <w:sz w:val="18"/>
          <w:szCs w:val="18"/>
          <w:u w:val="single" w:color="auto"/>
          <w:color w:val="auto"/>
        </w:rPr>
        <w:t>https://www.altisource.com/vendorscodeofconduct</w:t>
      </w:r>
      <w:r>
        <w:rPr>
          <w:rFonts w:ascii="Arial" w:cs="Arial" w:eastAsia="Arial" w:hAnsi="Arial"/>
          <w:sz w:val="18"/>
          <w:szCs w:val="18"/>
          <w:color w:val="auto"/>
        </w:rPr>
        <w:t>), which is generally made a part of our vendor agreements, requires vendors to embed respect for human rights into their business operations and prohibits: (i) the employment of child labor; and (ii) the use of any compulsory, involuntary or forced labor which includes slavery, forced contract, human trafficking and any other form of work that is done against a worker’s will.</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Workforce and Diversity</w:t>
      </w:r>
    </w:p>
    <w:p>
      <w:pPr>
        <w:spacing w:after="0" w:line="150" w:lineRule="exact"/>
        <w:rPr>
          <w:sz w:val="20"/>
          <w:szCs w:val="20"/>
          <w:color w:val="auto"/>
        </w:rPr>
      </w:pPr>
    </w:p>
    <w:p>
      <w:pPr>
        <w:ind w:left="1220" w:right="499"/>
        <w:spacing w:after="0"/>
        <w:rPr>
          <w:sz w:val="20"/>
          <w:szCs w:val="20"/>
          <w:color w:val="auto"/>
        </w:rPr>
      </w:pPr>
      <w:r>
        <w:rPr>
          <w:rFonts w:ascii="Arial" w:cs="Arial" w:eastAsia="Arial" w:hAnsi="Arial"/>
          <w:sz w:val="18"/>
          <w:szCs w:val="18"/>
          <w:color w:val="auto"/>
        </w:rPr>
        <w:t>Given the nature of our business, our global workforce consists of various diverse talent groups. The majority of our employees support our Servicer and Real Estate and Origination solutions businesses. We also have a significant number of technology employees developing and maintaining our technology-enabled solutions and infrastructure. As of December 31, 2022, we had 1,497 employees. In the United States, in addition to supporting operations, a number of our employees fill roles that require professional licenses, and work in product, sales and marketing, and corporate functions. The India workforce primarily comprises the teams that support operations, technology, and corporate functions, while the Uruguay workforce supports several corporate functions. The executive management team is largely based in Luxembourg, our headquarters.</w:t>
      </w:r>
    </w:p>
    <w:p>
      <w:pPr>
        <w:spacing w:after="0" w:line="308" w:lineRule="exact"/>
        <w:rPr>
          <w:sz w:val="20"/>
          <w:szCs w:val="20"/>
          <w:color w:val="auto"/>
        </w:rPr>
      </w:pPr>
    </w:p>
    <w:p>
      <w:pPr>
        <w:ind w:left="1220" w:right="539"/>
        <w:spacing w:after="0"/>
        <w:rPr>
          <w:sz w:val="20"/>
          <w:szCs w:val="20"/>
          <w:color w:val="auto"/>
        </w:rPr>
      </w:pPr>
      <w:r>
        <w:rPr>
          <w:rFonts w:ascii="Arial" w:cs="Arial" w:eastAsia="Arial" w:hAnsi="Arial"/>
          <w:sz w:val="18"/>
          <w:szCs w:val="18"/>
          <w:color w:val="auto"/>
        </w:rPr>
        <w:t>Our people practices aim to develop our workforce and retain high performers. We maintain various touchpoints along the employee life cycle to support our employees and improve their experiences. In 2022, we retained 75% of our workforce, excluding Company initiated employment separations, which included retaining 84% of employees deemed high performers. This retention rate is higher than the previous year and was driven by a strong focus on employee engagement and various developmental initiatives. Our human resources team partnered with our different businesses and support groups to implement initiatives designed to support our employees, including expanding the diversity, equity and inclusion charter through women leadership talks, webinars and awareness campaigns on pride, mental health and ethnic history months, virtual events and activities focused on team building and improving camaraderie in the virtual world, various health and well-being initiatives, newsletters and regular surveys to support action planning.</w:t>
      </w:r>
    </w:p>
    <w:p>
      <w:pPr>
        <w:spacing w:after="0" w:line="304" w:lineRule="exact"/>
        <w:rPr>
          <w:sz w:val="20"/>
          <w:szCs w:val="20"/>
          <w:color w:val="auto"/>
        </w:rPr>
      </w:pPr>
    </w:p>
    <w:p>
      <w:pPr>
        <w:ind w:left="1220" w:right="639"/>
        <w:spacing w:after="0" w:line="241" w:lineRule="auto"/>
        <w:rPr>
          <w:sz w:val="20"/>
          <w:szCs w:val="20"/>
          <w:color w:val="auto"/>
        </w:rPr>
      </w:pPr>
      <w:r>
        <w:rPr>
          <w:rFonts w:ascii="Arial" w:cs="Arial" w:eastAsia="Arial" w:hAnsi="Arial"/>
          <w:sz w:val="18"/>
          <w:szCs w:val="18"/>
          <w:color w:val="auto"/>
        </w:rPr>
        <w:t>We continued to emphasize employee development and training. Each of our employees on average undertook 35 hours of training in 2022, including a mix of functional, compliance and behavioral learning programs. We introduced several enhancements in 2022, including podcasts, behavioral learning programs and several other self-paced online programs, in addition to our regular classroom and online trainings.</w:t>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percentage of female employees has increased during the last three consecutive years.</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Gender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131445</wp:posOffset>
            </wp:positionV>
            <wp:extent cx="5067935" cy="20840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793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20" w:right="539"/>
        <w:spacing w:after="0" w:line="245" w:lineRule="auto"/>
        <w:rPr>
          <w:sz w:val="20"/>
          <w:szCs w:val="20"/>
          <w:color w:val="auto"/>
        </w:rPr>
      </w:pPr>
      <w:r>
        <w:rPr>
          <w:rFonts w:ascii="Arial" w:cs="Arial" w:eastAsia="Arial" w:hAnsi="Arial"/>
          <w:sz w:val="18"/>
          <w:szCs w:val="18"/>
          <w:color w:val="auto"/>
        </w:rPr>
        <w:t>We believe that our globally diverse, inclusive, and collaborative workforce makes us a more innovative and creative organization. We are an equal opportunity employer and our policies prohibit unlawful discrimination or harassment of any kind, including on the basis of race, color, caste, creed, religion, national origin, ancestry, citizenship status, age, sex or gender (including pregnancy, childbirth, and related medical conditions), gender</w:t>
      </w:r>
    </w:p>
    <w:p>
      <w:pPr>
        <w:spacing w:after="0" w:line="3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758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ind w:left="1220" w:right="559"/>
        <w:spacing w:after="0" w:line="251" w:lineRule="auto"/>
        <w:rPr>
          <w:sz w:val="20"/>
          <w:szCs w:val="20"/>
          <w:color w:val="auto"/>
        </w:rPr>
      </w:pPr>
      <w:r>
        <w:rPr>
          <w:rFonts w:ascii="Arial" w:cs="Arial" w:eastAsia="Arial" w:hAnsi="Arial"/>
          <w:sz w:val="18"/>
          <w:szCs w:val="18"/>
          <w:color w:val="auto"/>
        </w:rPr>
        <w:t>identity or expression (including transgender status), sexual orientation, marital status, military service and veteran status, physical or mental disability, protected medical condition as defined by applicable law, genetic information, or any other characteristic protected by applicable law. At Altisource, everyone is valued and appreciated for their distinct contributions to the growth and sustainability of our business. The same principles are included in our Vendor Code of Business Conduct and Ethics.</w:t>
      </w:r>
    </w:p>
    <w:p>
      <w:pPr>
        <w:spacing w:after="0" w:line="104" w:lineRule="exact"/>
        <w:rPr>
          <w:sz w:val="20"/>
          <w:szCs w:val="20"/>
          <w:color w:val="auto"/>
        </w:rPr>
      </w:pPr>
    </w:p>
    <w:p>
      <w:pPr>
        <w:ind w:left="1220" w:right="699"/>
        <w:spacing w:after="0" w:line="266" w:lineRule="auto"/>
        <w:rPr>
          <w:sz w:val="20"/>
          <w:szCs w:val="20"/>
          <w:color w:val="auto"/>
        </w:rPr>
      </w:pPr>
      <w:r>
        <w:rPr>
          <w:rFonts w:ascii="Arial" w:cs="Arial" w:eastAsia="Arial" w:hAnsi="Arial"/>
          <w:sz w:val="18"/>
          <w:szCs w:val="18"/>
          <w:color w:val="auto"/>
        </w:rPr>
        <w:t>In the United States, 44% of our workforce self-identifies as members of an ethnic minority group, while in Luxembourg 37% of the respondents self-identify as members of ethnic minority groups.</w:t>
      </w:r>
    </w:p>
    <w:p>
      <w:pPr>
        <w:spacing w:after="0" w:line="322" w:lineRule="exact"/>
        <w:rPr>
          <w:sz w:val="20"/>
          <w:szCs w:val="20"/>
          <w:color w:val="auto"/>
        </w:rPr>
      </w:pPr>
    </w:p>
    <w:p>
      <w:pPr>
        <w:jc w:val="both"/>
        <w:ind w:left="1220" w:right="839"/>
        <w:spacing w:after="0" w:line="259" w:lineRule="auto"/>
        <w:rPr>
          <w:sz w:val="20"/>
          <w:szCs w:val="20"/>
          <w:color w:val="auto"/>
        </w:rPr>
      </w:pPr>
      <w:r>
        <w:rPr>
          <w:rFonts w:ascii="Arial" w:cs="Arial" w:eastAsia="Arial" w:hAnsi="Arial"/>
          <w:sz w:val="18"/>
          <w:szCs w:val="18"/>
          <w:color w:val="auto"/>
        </w:rPr>
        <w:t>We value diversity among our supply chain, the overall percentage of minority, LGBTQ+, disabled and veteran owned businesses that provide services to the Company has grown steadily over the past three years.</w:t>
      </w:r>
    </w:p>
    <w:p>
      <w:pPr>
        <w:spacing w:after="0" w:line="111" w:lineRule="exact"/>
        <w:rPr>
          <w:sz w:val="20"/>
          <w:szCs w:val="20"/>
          <w:color w:val="auto"/>
        </w:rPr>
      </w:pPr>
    </w:p>
    <w:p>
      <w:pPr>
        <w:ind w:left="1220" w:right="499"/>
        <w:spacing w:after="0" w:line="255" w:lineRule="auto"/>
        <w:rPr>
          <w:sz w:val="20"/>
          <w:szCs w:val="20"/>
          <w:color w:val="auto"/>
        </w:rPr>
      </w:pPr>
      <w:r>
        <w:rPr>
          <w:rFonts w:ascii="Arial" w:cs="Arial" w:eastAsia="Arial" w:hAnsi="Arial"/>
          <w:sz w:val="18"/>
          <w:szCs w:val="18"/>
          <w:color w:val="auto"/>
        </w:rPr>
        <w:t>As highlighted in our Human Rights Statement, employee health and well-being are critical to us. We did not receive any formal employee complaints regarding health and safety during 2022, and to the best of our knowledge, we have not experienced any work-related accidents during the last three years.</w:t>
      </w:r>
    </w:p>
    <w:p>
      <w:pPr>
        <w:spacing w:after="0" w:line="100" w:lineRule="exact"/>
        <w:rPr>
          <w:sz w:val="20"/>
          <w:szCs w:val="20"/>
          <w:color w:val="auto"/>
        </w:rPr>
      </w:pPr>
    </w:p>
    <w:p>
      <w:pPr>
        <w:ind w:left="1220" w:right="619"/>
        <w:spacing w:after="0" w:line="256" w:lineRule="auto"/>
        <w:rPr>
          <w:sz w:val="20"/>
          <w:szCs w:val="20"/>
          <w:color w:val="auto"/>
        </w:rPr>
      </w:pPr>
      <w:r>
        <w:rPr>
          <w:rFonts w:ascii="Arial" w:cs="Arial" w:eastAsia="Arial" w:hAnsi="Arial"/>
          <w:sz w:val="18"/>
          <w:szCs w:val="18"/>
          <w:color w:val="auto"/>
        </w:rPr>
        <w:t>As part of our support to our workforce, we ensure that our employees in the United States and India have access to health coverage to help address their medical costs. Our employees in Luxembourg and Uruguay are covered by their local applicable social security or health programs.</w:t>
      </w:r>
    </w:p>
    <w:p>
      <w:pPr>
        <w:spacing w:after="0" w:line="330" w:lineRule="exact"/>
        <w:rPr>
          <w:sz w:val="20"/>
          <w:szCs w:val="20"/>
          <w:color w:val="auto"/>
        </w:rPr>
      </w:pPr>
    </w:p>
    <w:p>
      <w:pPr>
        <w:ind w:left="1220" w:right="539"/>
        <w:spacing w:after="0" w:line="251" w:lineRule="auto"/>
        <w:rPr>
          <w:sz w:val="20"/>
          <w:szCs w:val="20"/>
          <w:color w:val="auto"/>
        </w:rPr>
      </w:pPr>
      <w:r>
        <w:rPr>
          <w:rFonts w:ascii="Arial" w:cs="Arial" w:eastAsia="Arial" w:hAnsi="Arial"/>
          <w:sz w:val="18"/>
          <w:szCs w:val="18"/>
          <w:color w:val="auto"/>
        </w:rPr>
        <w:t>To help provide a safe working environment for our employees working from our facilities in the United States, we continued and revised safety measures in line with guidance from the United States Centers for Disease Control (CDC) and state and local health departments, as applicable. For our employees who continue to work from our facilities in India, we established safety measures based on the guidelines provided by the regulatory bodies of the central and state governments and the local municipal corporations.</w:t>
      </w:r>
    </w:p>
    <w:p>
      <w:pPr>
        <w:spacing w:after="0" w:line="117" w:lineRule="exact"/>
        <w:rPr>
          <w:sz w:val="20"/>
          <w:szCs w:val="20"/>
          <w:color w:val="auto"/>
        </w:rPr>
      </w:pPr>
    </w:p>
    <w:p>
      <w:pPr>
        <w:ind w:left="1220" w:right="599"/>
        <w:spacing w:after="0" w:line="252" w:lineRule="auto"/>
        <w:rPr>
          <w:sz w:val="20"/>
          <w:szCs w:val="20"/>
          <w:color w:val="auto"/>
        </w:rPr>
      </w:pPr>
      <w:r>
        <w:rPr>
          <w:rFonts w:ascii="Arial" w:cs="Arial" w:eastAsia="Arial" w:hAnsi="Arial"/>
          <w:sz w:val="18"/>
          <w:szCs w:val="18"/>
          <w:color w:val="auto"/>
        </w:rPr>
        <w:t>As a result of the of the pandemic’s impact on the default market and our default related business, we made the difficult decision to reduce our global workforce in 2022. In addition, there were also adjustments in the workforce for the Origination business to better align our staffing levels to reflect the impact from lower origination volumes. These initiatives impacted approximately 20% of our global workforce throughout the year.</w:t>
      </w:r>
    </w:p>
    <w:p>
      <w:pPr>
        <w:spacing w:after="0" w:line="104"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Shareholder Engagement</w:t>
      </w:r>
    </w:p>
    <w:p>
      <w:pPr>
        <w:spacing w:after="0" w:line="150" w:lineRule="exact"/>
        <w:rPr>
          <w:sz w:val="20"/>
          <w:szCs w:val="20"/>
          <w:color w:val="auto"/>
        </w:rPr>
      </w:pPr>
    </w:p>
    <w:p>
      <w:pPr>
        <w:ind w:left="1220" w:right="599"/>
        <w:spacing w:after="0" w:line="251" w:lineRule="auto"/>
        <w:rPr>
          <w:sz w:val="20"/>
          <w:szCs w:val="20"/>
          <w:color w:val="auto"/>
        </w:rPr>
      </w:pPr>
      <w:r>
        <w:rPr>
          <w:rFonts w:ascii="Arial" w:cs="Arial" w:eastAsia="Arial" w:hAnsi="Arial"/>
          <w:sz w:val="18"/>
          <w:szCs w:val="18"/>
          <w:color w:val="auto"/>
        </w:rPr>
        <w:t>We seek to engage with our shareholders and analysts through our quarterly earnings calls, which typically follow our quarterly financial filings with the Securities and Exchange Commission (“SEC”). Additionally, during 2022, we periodically met with analysts and shareholders. We met with shareholders that collectively represent an estimated 65% of our outstanding shares, to discuss a variety of Company matters including strategy, business performance and operations, compensation practices, Board diversity and capital structure.</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Board Composition and Experience</w:t>
      </w:r>
    </w:p>
    <w:p>
      <w:pPr>
        <w:spacing w:after="0" w:line="137" w:lineRule="exact"/>
        <w:rPr>
          <w:sz w:val="20"/>
          <w:szCs w:val="20"/>
          <w:color w:val="auto"/>
        </w:rPr>
      </w:pPr>
    </w:p>
    <w:p>
      <w:pPr>
        <w:ind w:left="1220" w:right="519"/>
        <w:spacing w:after="0" w:line="248" w:lineRule="auto"/>
        <w:rPr>
          <w:sz w:val="20"/>
          <w:szCs w:val="20"/>
          <w:color w:val="auto"/>
        </w:rPr>
      </w:pPr>
      <w:r>
        <w:rPr>
          <w:rFonts w:ascii="Arial" w:cs="Arial" w:eastAsia="Arial" w:hAnsi="Arial"/>
          <w:sz w:val="18"/>
          <w:szCs w:val="18"/>
          <w:color w:val="auto"/>
        </w:rPr>
        <w:t>Our Board of Directors and Nomination/Governance Committee are committed to ensuring that the Board is comprised of directors who collectively provide a significant breadth of experience, the ability to effectively chart the strategic course of the Company, represent the interests of shareholders and reflect our corporate values of integrity and ethical conduct. Board diversity continued to be an area of focus during 2022. Our Board and Nomination/Governance Committee addressed this subject at several meetings during the course of the year and undertook efforts to recruit diverse director candidates with relevant experience. In March 2022, the Board appointed Mary C. Hickok to fill the vacant director position created by the resignation of Scott Burg from our Board. Ms. Hickok was elected by shareholders as a director at the annual meeting in May 2022.</w:t>
      </w:r>
    </w:p>
    <w:p>
      <w:pPr>
        <w:spacing w:after="0" w:line="33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Board has nominated all of our current directors for reelection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Current Board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123190</wp:posOffset>
            </wp:positionV>
            <wp:extent cx="4429125" cy="1605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29125" cy="160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20" w:right="939"/>
        <w:spacing w:after="0" w:line="258" w:lineRule="auto"/>
        <w:rPr>
          <w:sz w:val="20"/>
          <w:szCs w:val="20"/>
          <w:color w:val="auto"/>
        </w:rPr>
      </w:pPr>
      <w:r>
        <w:rPr>
          <w:rFonts w:ascii="Arial" w:cs="Arial" w:eastAsia="Arial" w:hAnsi="Arial"/>
          <w:sz w:val="18"/>
          <w:szCs w:val="18"/>
          <w:color w:val="auto"/>
        </w:rPr>
        <w:t>Our Board also believes that having directors with a mix of tenure helps to maintain and leverage institutional knowledge while providing different experiences and perspectives.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Board tenure, current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123190</wp:posOffset>
            </wp:positionV>
            <wp:extent cx="3731260" cy="2722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31260" cy="272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Corporate Governance Practices</w:t>
      </w:r>
    </w:p>
    <w:p>
      <w:pPr>
        <w:spacing w:after="0" w:line="137" w:lineRule="exact"/>
        <w:rPr>
          <w:sz w:val="20"/>
          <w:szCs w:val="20"/>
          <w:color w:val="auto"/>
        </w:rPr>
      </w:pPr>
    </w:p>
    <w:p>
      <w:pPr>
        <w:ind w:left="1920" w:hanging="346"/>
        <w:spacing w:after="0"/>
        <w:tabs>
          <w:tab w:leader="none" w:pos="192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Annual election of directors</w:t>
      </w:r>
    </w:p>
    <w:p>
      <w:pPr>
        <w:spacing w:after="0" w:line="150"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Majority of independent directors</w:t>
      </w:r>
    </w:p>
    <w:p>
      <w:pPr>
        <w:spacing w:after="0" w:line="137"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Active shareholder engagement</w:t>
      </w:r>
    </w:p>
    <w:p>
      <w:pPr>
        <w:spacing w:after="0" w:line="150" w:lineRule="exact"/>
        <w:rPr>
          <w:rFonts w:ascii="MS PGothic" w:cs="MS PGothic" w:eastAsia="MS PGothic" w:hAnsi="MS PGothic"/>
          <w:sz w:val="18"/>
          <w:szCs w:val="18"/>
          <w:color w:val="auto"/>
          <w:highlight w:val="black"/>
        </w:rPr>
      </w:pPr>
    </w:p>
    <w:p>
      <w:pPr>
        <w:ind w:left="1920" w:right="919" w:hanging="346"/>
        <w:spacing w:after="0" w:line="274" w:lineRule="auto"/>
        <w:tabs>
          <w:tab w:leader="none" w:pos="192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Shareholder meetings can be called by shareholders owning at least 10% of our share capital</w:t>
      </w:r>
    </w:p>
    <w:p>
      <w:pPr>
        <w:spacing w:after="0" w:line="96" w:lineRule="exact"/>
        <w:rPr>
          <w:rFonts w:ascii="MS PGothic" w:cs="MS PGothic" w:eastAsia="MS PGothic" w:hAnsi="MS PGothic"/>
          <w:sz w:val="18"/>
          <w:szCs w:val="18"/>
          <w:color w:val="auto"/>
          <w:highlight w:val="black"/>
        </w:rPr>
      </w:pPr>
    </w:p>
    <w:p>
      <w:pPr>
        <w:ind w:left="1920" w:right="1279" w:hanging="346"/>
        <w:spacing w:after="0" w:line="274" w:lineRule="auto"/>
        <w:tabs>
          <w:tab w:leader="none" w:pos="192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Share ownership requirements for non-management Directors and the Chief Executive Officer</w:t>
      </w:r>
    </w:p>
    <w:p>
      <w:pPr>
        <w:spacing w:after="0" w:line="83"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Annual Board and Committee self-evaluations</w:t>
      </w:r>
    </w:p>
    <w:p>
      <w:pPr>
        <w:spacing w:after="0" w:line="150" w:lineRule="exact"/>
        <w:rPr>
          <w:rFonts w:ascii="MS PGothic" w:cs="MS PGothic" w:eastAsia="MS PGothic" w:hAnsi="MS PGothic"/>
          <w:sz w:val="18"/>
          <w:szCs w:val="18"/>
          <w:color w:val="auto"/>
          <w:highlight w:val="black"/>
        </w:rPr>
      </w:pPr>
    </w:p>
    <w:p>
      <w:pPr>
        <w:ind w:left="1920" w:right="1479" w:hanging="346"/>
        <w:spacing w:after="0" w:line="274" w:lineRule="auto"/>
        <w:tabs>
          <w:tab w:leader="none" w:pos="192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Lead Independent Director role facilitates independent Board oversight of management</w:t>
      </w:r>
    </w:p>
    <w:p>
      <w:pPr>
        <w:spacing w:after="0" w:line="96"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independent directors</w:t>
      </w:r>
    </w:p>
    <w:p>
      <w:pPr>
        <w:spacing w:after="0" w:line="38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ind w:left="1920" w:right="819" w:hanging="346"/>
        <w:spacing w:after="0" w:line="274" w:lineRule="auto"/>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internal auditor</w:t>
      </w:r>
    </w:p>
    <w:p>
      <w:pPr>
        <w:spacing w:after="0" w:line="83" w:lineRule="exact"/>
        <w:rPr>
          <w:rFonts w:ascii="MS PGothic" w:cs="MS PGothic" w:eastAsia="MS PGothic" w:hAnsi="MS PGothic"/>
          <w:sz w:val="18"/>
          <w:szCs w:val="18"/>
          <w:color w:val="auto"/>
          <w:highlight w:val="black"/>
        </w:rPr>
      </w:pPr>
    </w:p>
    <w:p>
      <w:pPr>
        <w:ind w:left="1920" w:right="819" w:hanging="346"/>
        <w:spacing w:after="0" w:line="274" w:lineRule="auto"/>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external auditor</w:t>
      </w:r>
    </w:p>
    <w:p>
      <w:pPr>
        <w:spacing w:after="0" w:line="96"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Board engagement in strategic objectives</w:t>
      </w:r>
    </w:p>
    <w:p>
      <w:pPr>
        <w:spacing w:after="0" w:line="150"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Board evaluation the Chief Executive Officer’s performance</w:t>
      </w:r>
    </w:p>
    <w:p>
      <w:pPr>
        <w:spacing w:after="0" w:line="137"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Board engagement in long-term succession planning for executives</w:t>
      </w:r>
    </w:p>
    <w:p>
      <w:pPr>
        <w:spacing w:after="0" w:line="150"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Board oversees financial performance and risk management and controls</w:t>
      </w:r>
    </w:p>
    <w:p>
      <w:pPr>
        <w:spacing w:after="0" w:line="150"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No shareholder rights plan (“poison pill”)</w:t>
      </w:r>
    </w:p>
    <w:p>
      <w:pPr>
        <w:spacing w:after="0" w:line="137" w:lineRule="exact"/>
        <w:rPr>
          <w:rFonts w:ascii="MS PGothic" w:cs="MS PGothic" w:eastAsia="MS PGothic" w:hAnsi="MS PGothic"/>
          <w:sz w:val="18"/>
          <w:szCs w:val="18"/>
          <w:color w:val="auto"/>
          <w:highlight w:val="black"/>
        </w:rPr>
      </w:pPr>
    </w:p>
    <w:p>
      <w:pPr>
        <w:ind w:left="1220" w:right="1519" w:firstLine="354"/>
        <w:spacing w:after="0" w:line="396" w:lineRule="auto"/>
        <w:tabs>
          <w:tab w:leader="none" w:pos="1926"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Board involved in corporate social responsibility and sustainability efforts </w:t>
      </w:r>
      <w:r>
        <w:rPr>
          <w:rFonts w:ascii="Arial" w:cs="Arial" w:eastAsia="Arial" w:hAnsi="Arial"/>
          <w:sz w:val="18"/>
          <w:szCs w:val="18"/>
          <w:u w:val="single" w:color="auto"/>
          <w:color w:val="auto"/>
        </w:rPr>
        <w:t>Executive Compensation Highlights</w:t>
      </w:r>
    </w:p>
    <w:p>
      <w:pPr>
        <w:spacing w:after="0" w:line="31"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Alignment of executive compensation with the interests of our shareholders</w:t>
      </w:r>
    </w:p>
    <w:p>
      <w:pPr>
        <w:spacing w:after="0" w:line="137" w:lineRule="exact"/>
        <w:rPr>
          <w:rFonts w:ascii="MS PGothic" w:cs="MS PGothic" w:eastAsia="MS PGothic" w:hAnsi="MS PGothic"/>
          <w:sz w:val="18"/>
          <w:szCs w:val="18"/>
          <w:color w:val="auto"/>
          <w:highlight w:val="black"/>
        </w:rPr>
      </w:pPr>
    </w:p>
    <w:p>
      <w:pPr>
        <w:ind w:left="1920" w:right="739" w:hanging="346"/>
        <w:spacing w:after="0" w:line="274" w:lineRule="auto"/>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Annual opportunity for shareholders to provide feedback through an advisory Say-on-Pay vote on executive compensation</w:t>
      </w:r>
    </w:p>
    <w:p>
      <w:pPr>
        <w:spacing w:after="0" w:line="96"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Based on a pay-for-performance philosophy</w:t>
      </w:r>
    </w:p>
    <w:p>
      <w:pPr>
        <w:spacing w:after="0" w:line="150"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Maintains a clawback policy</w:t>
      </w:r>
    </w:p>
    <w:p>
      <w:pPr>
        <w:spacing w:after="0" w:line="137" w:lineRule="exact"/>
        <w:rPr>
          <w:rFonts w:ascii="MS PGothic" w:cs="MS PGothic" w:eastAsia="MS PGothic" w:hAnsi="MS PGothic"/>
          <w:sz w:val="18"/>
          <w:szCs w:val="18"/>
          <w:color w:val="auto"/>
          <w:highlight w:val="black"/>
        </w:rPr>
      </w:pPr>
    </w:p>
    <w:p>
      <w:pPr>
        <w:ind w:left="1920" w:right="899" w:hanging="346"/>
        <w:spacing w:after="0" w:line="274" w:lineRule="auto"/>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More than 50% of the named executive officers’ target compensation is linked to individual and Company performance metrics</w:t>
      </w:r>
    </w:p>
    <w:p>
      <w:pPr>
        <w:spacing w:after="0" w:line="96" w:lineRule="exact"/>
        <w:rPr>
          <w:rFonts w:ascii="MS PGothic" w:cs="MS PGothic" w:eastAsia="MS PGothic" w:hAnsi="MS PGothic"/>
          <w:sz w:val="18"/>
          <w:szCs w:val="18"/>
          <w:color w:val="auto"/>
          <w:highlight w:val="black"/>
        </w:rPr>
      </w:pPr>
    </w:p>
    <w:p>
      <w:pPr>
        <w:ind w:left="1920" w:right="679" w:hanging="346"/>
        <w:spacing w:after="0" w:line="274" w:lineRule="auto"/>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A substantial portion of the named executive officers’ target compensation is in the form of long-term equity awards</w:t>
      </w:r>
    </w:p>
    <w:p>
      <w:pPr>
        <w:spacing w:after="0" w:line="96" w:lineRule="exact"/>
        <w:rPr>
          <w:rFonts w:ascii="MS PGothic" w:cs="MS PGothic" w:eastAsia="MS PGothic" w:hAnsi="MS PGothic"/>
          <w:sz w:val="18"/>
          <w:szCs w:val="18"/>
          <w:color w:val="auto"/>
          <w:highlight w:val="black"/>
        </w:rPr>
      </w:pPr>
    </w:p>
    <w:p>
      <w:pPr>
        <w:jc w:val="both"/>
        <w:ind w:left="1920" w:right="779" w:hanging="346"/>
        <w:spacing w:after="0" w:line="251" w:lineRule="auto"/>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A portion of the named executive officers’ long-term equity awards vest based on Company performance against designated financial metrics multiplied by the total shareholder return over a designated period, as benchmarked against the Russell 2000</w:t>
      </w:r>
      <w:r>
        <w:rPr>
          <w:rFonts w:ascii="Arial" w:cs="Arial" w:eastAsia="Arial" w:hAnsi="Arial"/>
          <w:sz w:val="26"/>
          <w:szCs w:val="26"/>
          <w:color w:val="auto"/>
          <w:vertAlign w:val="superscript"/>
        </w:rPr>
        <w:t>®</w:t>
      </w:r>
      <w:r>
        <w:rPr>
          <w:rFonts w:ascii="Arial" w:cs="Arial" w:eastAsia="Arial" w:hAnsi="Arial"/>
          <w:sz w:val="18"/>
          <w:szCs w:val="18"/>
          <w:color w:val="auto"/>
        </w:rPr>
        <w:t>, which multiplier may increase or decrease the value of such award</w:t>
      </w:r>
    </w:p>
    <w:p>
      <w:pPr>
        <w:spacing w:after="0" w:line="30" w:lineRule="exact"/>
        <w:rPr>
          <w:rFonts w:ascii="MS PGothic" w:cs="MS PGothic" w:eastAsia="MS PGothic" w:hAnsi="MS PGothic"/>
          <w:sz w:val="18"/>
          <w:szCs w:val="18"/>
          <w:color w:val="auto"/>
          <w:highlight w:val="black"/>
        </w:rPr>
      </w:pPr>
    </w:p>
    <w:p>
      <w:pPr>
        <w:ind w:left="1920" w:right="619" w:hanging="346"/>
        <w:spacing w:after="0" w:line="274" w:lineRule="auto"/>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Determination of annual incentive compensation is based on performance against a scorecard with defined goals</w:t>
      </w:r>
    </w:p>
    <w:p>
      <w:pPr>
        <w:spacing w:after="0" w:line="96" w:lineRule="exact"/>
        <w:rPr>
          <w:rFonts w:ascii="MS PGothic" w:cs="MS PGothic" w:eastAsia="MS PGothic" w:hAnsi="MS PGothic"/>
          <w:sz w:val="18"/>
          <w:szCs w:val="18"/>
          <w:color w:val="auto"/>
          <w:highlight w:val="black"/>
        </w:rPr>
      </w:pPr>
    </w:p>
    <w:p>
      <w:pPr>
        <w:ind w:left="1920" w:right="1419" w:hanging="346"/>
        <w:spacing w:after="0" w:line="274" w:lineRule="auto"/>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Eligibility for payment of annual incentive compensation is tied to financial effectiveness, compliance performance and leadership effectiveness</w:t>
      </w:r>
    </w:p>
    <w:p>
      <w:pPr>
        <w:spacing w:after="0" w:line="96" w:lineRule="exact"/>
        <w:rPr>
          <w:rFonts w:ascii="MS PGothic" w:cs="MS PGothic" w:eastAsia="MS PGothic" w:hAnsi="MS PGothic"/>
          <w:sz w:val="18"/>
          <w:szCs w:val="18"/>
          <w:color w:val="auto"/>
          <w:highlight w:val="black"/>
        </w:rPr>
      </w:pPr>
    </w:p>
    <w:p>
      <w:pPr>
        <w:ind w:left="1920" w:right="719" w:hanging="346"/>
        <w:spacing w:after="0" w:line="274" w:lineRule="auto"/>
        <w:tabs>
          <w:tab w:leader="none" w:pos="1920" w:val="left"/>
        </w:tabs>
        <w:numPr>
          <w:ilvl w:val="0"/>
          <w:numId w:val="18"/>
        </w:numPr>
        <w:rPr>
          <w:rFonts w:ascii="MS PGothic" w:cs="MS PGothic" w:eastAsia="MS PGothic" w:hAnsi="MS PGothic"/>
          <w:sz w:val="18"/>
          <w:szCs w:val="18"/>
          <w:color w:val="auto"/>
          <w:highlight w:val="black"/>
        </w:rPr>
      </w:pPr>
      <w:r>
        <w:rPr>
          <w:rFonts w:ascii="Arial" w:cs="Arial" w:eastAsia="Arial" w:hAnsi="Arial"/>
          <w:sz w:val="18"/>
          <w:szCs w:val="18"/>
          <w:color w:val="auto"/>
        </w:rPr>
        <w:t>Includes components based on Company and stock performance over a multi-year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right="3339"/>
        <w:spacing w:after="0" w:line="286" w:lineRule="auto"/>
        <w:rPr>
          <w:sz w:val="20"/>
          <w:szCs w:val="20"/>
          <w:color w:val="auto"/>
        </w:rPr>
      </w:pPr>
      <w:r>
        <w:rPr>
          <w:rFonts w:ascii="Arial" w:cs="Arial" w:eastAsia="Arial" w:hAnsi="Arial"/>
          <w:sz w:val="21"/>
          <w:szCs w:val="21"/>
          <w:b w:val="1"/>
          <w:bCs w:val="1"/>
          <w:color w:val="auto"/>
        </w:rPr>
        <w:t>Altisource Portfolio Solutions S.A. Proxy Statement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-19050</wp:posOffset>
            </wp:positionV>
            <wp:extent cx="51098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General Information</w:t>
      </w:r>
    </w:p>
    <w:p>
      <w:pPr>
        <w:spacing w:after="0" w:line="119" w:lineRule="exact"/>
        <w:rPr>
          <w:sz w:val="20"/>
          <w:szCs w:val="20"/>
          <w:color w:val="auto"/>
        </w:rPr>
      </w:pPr>
    </w:p>
    <w:p>
      <w:pPr>
        <w:ind w:left="1220" w:right="539"/>
        <w:spacing w:after="0"/>
        <w:rPr>
          <w:sz w:val="20"/>
          <w:szCs w:val="20"/>
          <w:color w:val="auto"/>
        </w:rPr>
      </w:pPr>
      <w:r>
        <w:rPr>
          <w:rFonts w:ascii="Arial" w:cs="Arial" w:eastAsia="Arial" w:hAnsi="Arial"/>
          <w:sz w:val="18"/>
          <w:szCs w:val="18"/>
          <w:color w:val="auto"/>
        </w:rPr>
        <w:t>We have made this proxy statement available to you on or about April 3, 2023 as a holder of common stock of Altisource Portfolio Solutions S.A. (“Altisource” or the “Company”) because our Board of Directors is soliciting your proxy to be used at our Annual Meeting, and any adjournment or postponement thereof. The Annual Meeting will be held on Tuesday, May 16, 2023, at 9:00 a.m. Central European Time for the purposes listed in the Notice of Annual Meeting of Shareholders. The meeting will be held at our registered office located at 33, Boulevard Prince Henri, L-1724 Luxembourg City, Grand Duchy of Luxembourg.</w:t>
      </w:r>
    </w:p>
    <w:p>
      <w:pPr>
        <w:spacing w:after="0" w:line="18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Internet Availability of Proxy Materials</w:t>
      </w:r>
    </w:p>
    <w:p>
      <w:pPr>
        <w:spacing w:after="0" w:line="119" w:lineRule="exact"/>
        <w:rPr>
          <w:sz w:val="20"/>
          <w:szCs w:val="20"/>
          <w:color w:val="auto"/>
        </w:rPr>
      </w:pPr>
    </w:p>
    <w:p>
      <w:pPr>
        <w:ind w:left="1220" w:right="579"/>
        <w:spacing w:after="0" w:line="248" w:lineRule="auto"/>
        <w:rPr>
          <w:sz w:val="20"/>
          <w:szCs w:val="20"/>
          <w:color w:val="auto"/>
        </w:rPr>
      </w:pPr>
      <w:r>
        <w:rPr>
          <w:rFonts w:ascii="Arial" w:cs="Arial" w:eastAsia="Arial" w:hAnsi="Arial"/>
          <w:sz w:val="18"/>
          <w:szCs w:val="18"/>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meetings and save costs. On April 3, 2023, we expect to commence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w:t>
      </w:r>
    </w:p>
    <w:p>
      <w:pPr>
        <w:spacing w:after="0" w:line="336" w:lineRule="exact"/>
        <w:rPr>
          <w:sz w:val="20"/>
          <w:szCs w:val="20"/>
          <w:color w:val="auto"/>
        </w:rPr>
      </w:pPr>
    </w:p>
    <w:p>
      <w:pPr>
        <w:ind w:left="1220" w:right="859"/>
        <w:spacing w:after="0" w:line="253" w:lineRule="auto"/>
        <w:rPr>
          <w:sz w:val="20"/>
          <w:szCs w:val="20"/>
          <w:color w:val="auto"/>
        </w:rPr>
      </w:pPr>
      <w:r>
        <w:rPr>
          <w:rFonts w:ascii="Arial" w:cs="Arial" w:eastAsia="Arial" w:hAnsi="Arial"/>
          <w:sz w:val="18"/>
          <w:szCs w:val="18"/>
          <w:color w:val="auto"/>
        </w:rPr>
        <w:t>Shareholders of record will receive a paper copy of the proxy materials for the Annual Meeting by mail except to the extent they previously requested or authorized delivery of proxy materials electronically. The proxy card included with the proxy materials contains instructions on how to request electronic delivery of future proxy materials for the Annual Meeting.</w:t>
      </w:r>
    </w:p>
    <w:p>
      <w:pPr>
        <w:spacing w:after="0" w:line="391"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Who May Vote</w:t>
      </w:r>
    </w:p>
    <w:p>
      <w:pPr>
        <w:spacing w:after="0" w:line="119" w:lineRule="exact"/>
        <w:rPr>
          <w:sz w:val="20"/>
          <w:szCs w:val="20"/>
          <w:color w:val="auto"/>
        </w:rPr>
      </w:pPr>
    </w:p>
    <w:p>
      <w:pPr>
        <w:ind w:left="1220" w:right="599"/>
        <w:spacing w:after="0" w:line="251" w:lineRule="auto"/>
        <w:rPr>
          <w:sz w:val="20"/>
          <w:szCs w:val="20"/>
          <w:color w:val="auto"/>
        </w:rPr>
      </w:pPr>
      <w:r>
        <w:rPr>
          <w:rFonts w:ascii="Arial" w:cs="Arial" w:eastAsia="Arial" w:hAnsi="Arial"/>
          <w:sz w:val="18"/>
          <w:szCs w:val="18"/>
          <w:color w:val="auto"/>
        </w:rPr>
        <w:t>You are entitled to vote at the Annual Meeting, and any adjournment or postponement thereof, if you were a holder of our common stock at the close of business on March 24, 2023. At the close of business on March 24, 2023, there were [                               ] shares of common stock issued, outstanding and able to be voted, and there was no other class of equity securities outstanding. Each share of our common stock is entitled to one (1) vote at the Annual Meeting on all matters properly presented for a vote at such meetings.</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Voting Procedures</w:t>
      </w:r>
    </w:p>
    <w:p>
      <w:pPr>
        <w:spacing w:after="0" w:line="119" w:lineRule="exact"/>
        <w:rPr>
          <w:sz w:val="20"/>
          <w:szCs w:val="20"/>
          <w:color w:val="auto"/>
        </w:rPr>
      </w:pPr>
    </w:p>
    <w:p>
      <w:pPr>
        <w:jc w:val="both"/>
        <w:ind w:left="1220" w:right="799"/>
        <w:spacing w:after="0" w:line="259" w:lineRule="auto"/>
        <w:rPr>
          <w:sz w:val="20"/>
          <w:szCs w:val="20"/>
          <w:color w:val="auto"/>
        </w:rPr>
      </w:pPr>
      <w:r>
        <w:rPr>
          <w:rFonts w:ascii="Arial" w:cs="Arial" w:eastAsia="Arial" w:hAnsi="Arial"/>
          <w:sz w:val="18"/>
          <w:szCs w:val="18"/>
          <w:color w:val="auto"/>
        </w:rPr>
        <w:t>If you are a shareholder of record, which means you hold your shares through an account with our transfer agent, American Stock Transfer &amp; Trust Company, LLC, you may vote by one of the following options:</w:t>
      </w:r>
    </w:p>
    <w:p>
      <w:pPr>
        <w:spacing w:after="0" w:line="71" w:lineRule="exact"/>
        <w:rPr>
          <w:sz w:val="20"/>
          <w:szCs w:val="20"/>
          <w:color w:val="auto"/>
        </w:rPr>
      </w:pPr>
    </w:p>
    <w:p>
      <w:pPr>
        <w:ind w:left="1760" w:right="739" w:hanging="186"/>
        <w:spacing w:after="0" w:line="274" w:lineRule="auto"/>
        <w:tabs>
          <w:tab w:leader="none" w:pos="1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Over the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by following the instructions on your proxy card or the instructions that you received by email; or</w:t>
      </w:r>
    </w:p>
    <w:p>
      <w:pPr>
        <w:spacing w:after="0" w:line="56" w:lineRule="exact"/>
        <w:rPr>
          <w:rFonts w:ascii="Arial" w:cs="Arial" w:eastAsia="Arial" w:hAnsi="Arial"/>
          <w:sz w:val="18"/>
          <w:szCs w:val="18"/>
          <w:color w:val="auto"/>
        </w:rPr>
      </w:pPr>
    </w:p>
    <w:p>
      <w:pPr>
        <w:ind w:left="1760" w:hanging="186"/>
        <w:spacing w:after="0"/>
        <w:tabs>
          <w:tab w:leader="none" w:pos="1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completing, dating, signing and returning the proxy card by mail.</w:t>
      </w:r>
    </w:p>
    <w:p>
      <w:pPr>
        <w:spacing w:after="0" w:line="150" w:lineRule="exact"/>
        <w:rPr>
          <w:sz w:val="20"/>
          <w:szCs w:val="20"/>
          <w:color w:val="auto"/>
        </w:rPr>
      </w:pPr>
    </w:p>
    <w:p>
      <w:pPr>
        <w:ind w:left="1220" w:right="779"/>
        <w:spacing w:after="0" w:line="259" w:lineRule="auto"/>
        <w:rPr>
          <w:sz w:val="20"/>
          <w:szCs w:val="20"/>
          <w:color w:val="auto"/>
        </w:rPr>
      </w:pPr>
      <w:r>
        <w:rPr>
          <w:rFonts w:ascii="Arial" w:cs="Arial" w:eastAsia="Arial" w:hAnsi="Arial"/>
          <w:sz w:val="18"/>
          <w:szCs w:val="18"/>
          <w:color w:val="auto"/>
        </w:rPr>
        <w:t>If you are a beneficial holder, meaning you hold your shares in “street name” through an account with a bank or broker, please follow the voting directions on the voting instruction form that your bank or broker provides to you.</w:t>
      </w:r>
    </w:p>
    <w:p>
      <w:pPr>
        <w:spacing w:after="0" w:line="111" w:lineRule="exact"/>
        <w:rPr>
          <w:sz w:val="20"/>
          <w:szCs w:val="20"/>
          <w:color w:val="auto"/>
        </w:rPr>
      </w:pPr>
    </w:p>
    <w:p>
      <w:pPr>
        <w:ind w:left="1220" w:right="1059"/>
        <w:spacing w:after="0" w:line="257" w:lineRule="auto"/>
        <w:rPr>
          <w:sz w:val="20"/>
          <w:szCs w:val="20"/>
          <w:color w:val="auto"/>
        </w:rPr>
      </w:pPr>
      <w:r>
        <w:rPr>
          <w:rFonts w:ascii="Arial" w:cs="Arial" w:eastAsia="Arial" w:hAnsi="Arial"/>
          <w:sz w:val="18"/>
          <w:szCs w:val="18"/>
          <w:color w:val="auto"/>
        </w:rPr>
        <w:t>Your ability to vote over the Internet depends on the voting procedures of your bank or broker.</w:t>
      </w:r>
    </w:p>
    <w:p>
      <w:pPr>
        <w:spacing w:after="0" w:line="33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If you vote over the Internet, your vote must be received by Altisource no later than</w:t>
      </w:r>
    </w:p>
    <w:p>
      <w:pPr>
        <w:spacing w:after="0" w:line="21" w:lineRule="exact"/>
        <w:rPr>
          <w:sz w:val="20"/>
          <w:szCs w:val="20"/>
          <w:color w:val="auto"/>
        </w:rPr>
      </w:pPr>
    </w:p>
    <w:p>
      <w:pPr>
        <w:ind w:left="1220" w:right="939"/>
        <w:spacing w:after="0" w:line="255" w:lineRule="auto"/>
        <w:rPr>
          <w:sz w:val="20"/>
          <w:szCs w:val="20"/>
          <w:color w:val="auto"/>
        </w:rPr>
      </w:pPr>
      <w:r>
        <w:rPr>
          <w:rFonts w:ascii="Arial" w:cs="Arial" w:eastAsia="Arial" w:hAnsi="Arial"/>
          <w:sz w:val="18"/>
          <w:szCs w:val="18"/>
          <w:color w:val="auto"/>
        </w:rPr>
        <w:t>9:59 p.m. Central European Time (3:59 p.m. Eastern Time) on May 15, 2023, in order to allow sufficient time to tabulate the votes prior to the start of the meetings.</w:t>
      </w:r>
    </w:p>
    <w:p>
      <w:pPr>
        <w:spacing w:after="0" w:line="113" w:lineRule="exact"/>
        <w:rPr>
          <w:sz w:val="20"/>
          <w:szCs w:val="20"/>
          <w:color w:val="auto"/>
        </w:rPr>
      </w:pPr>
    </w:p>
    <w:p>
      <w:pPr>
        <w:ind w:left="1220" w:right="559"/>
        <w:spacing w:after="0" w:line="259" w:lineRule="auto"/>
        <w:rPr>
          <w:sz w:val="20"/>
          <w:szCs w:val="20"/>
          <w:color w:val="auto"/>
        </w:rPr>
      </w:pPr>
      <w:r>
        <w:rPr>
          <w:rFonts w:ascii="Arial" w:cs="Arial" w:eastAsia="Arial" w:hAnsi="Arial"/>
          <w:sz w:val="18"/>
          <w:szCs w:val="18"/>
          <w:color w:val="auto"/>
        </w:rPr>
        <w:t>Shareholders may also vote in person at the meetings. All shareholders must present proof of share ownership as of the record date and valid government-issued photo identification to vote in person at the meetings. If a bank</w:t>
      </w:r>
    </w:p>
    <w:p>
      <w:pPr>
        <w:spacing w:after="0" w:line="34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20" w:right="699"/>
        <w:spacing w:after="0" w:line="259" w:lineRule="auto"/>
        <w:rPr>
          <w:sz w:val="20"/>
          <w:szCs w:val="20"/>
          <w:color w:val="auto"/>
        </w:rPr>
      </w:pPr>
      <w:r>
        <w:rPr>
          <w:rFonts w:ascii="Arial" w:cs="Arial" w:eastAsia="Arial" w:hAnsi="Arial"/>
          <w:sz w:val="18"/>
          <w:szCs w:val="18"/>
          <w:color w:val="auto"/>
        </w:rPr>
        <w:t>or broker holds your shares, you must also obtain and present a “legal proxy” from the holder of record to vote at the meetings. For specific instructions, please refer to the proxy card, notice or email notification you receive.</w:t>
      </w:r>
    </w:p>
    <w:p>
      <w:pPr>
        <w:spacing w:after="0" w:line="170" w:lineRule="exact"/>
        <w:rPr>
          <w:sz w:val="20"/>
          <w:szCs w:val="20"/>
          <w:color w:val="auto"/>
        </w:rPr>
      </w:pPr>
    </w:p>
    <w:p>
      <w:pPr>
        <w:jc w:val="both"/>
        <w:ind w:left="1220" w:right="719"/>
        <w:spacing w:after="0" w:line="281" w:lineRule="auto"/>
        <w:rPr>
          <w:sz w:val="20"/>
          <w:szCs w:val="20"/>
          <w:color w:val="auto"/>
        </w:rPr>
      </w:pPr>
      <w:r>
        <w:rPr>
          <w:rFonts w:ascii="Arial" w:cs="Arial" w:eastAsia="Arial" w:hAnsi="Arial"/>
          <w:sz w:val="19"/>
          <w:szCs w:val="19"/>
          <w:b w:val="1"/>
          <w:bCs w:val="1"/>
          <w:color w:val="auto"/>
        </w:rPr>
        <w:t>Even if you plan to attend the meetings, we recommend that you vote your shares in advance of the meetings in one of the manners available to you so that your vote will be counted if later you are unable to attend or are limited to remote attendance.</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How a Proxy Works</w:t>
      </w:r>
    </w:p>
    <w:p>
      <w:pPr>
        <w:spacing w:after="0" w:line="132" w:lineRule="exact"/>
        <w:rPr>
          <w:sz w:val="20"/>
          <w:szCs w:val="20"/>
          <w:color w:val="auto"/>
        </w:rPr>
      </w:pPr>
    </w:p>
    <w:p>
      <w:pPr>
        <w:ind w:left="1220" w:right="539"/>
        <w:spacing w:after="0" w:line="249" w:lineRule="auto"/>
        <w:rPr>
          <w:sz w:val="20"/>
          <w:szCs w:val="20"/>
          <w:color w:val="auto"/>
        </w:rPr>
      </w:pPr>
      <w:r>
        <w:rPr>
          <w:rFonts w:ascii="Arial" w:cs="Arial" w:eastAsia="Arial" w:hAnsi="Arial"/>
          <w:sz w:val="18"/>
          <w:szCs w:val="18"/>
          <w:color w:val="auto"/>
        </w:rPr>
        <w:t>If you properly submit your proxy as instructed, and do not revoke it prior to its use, it will be voted in accordance with your instructions. Other than as discussed below with respect to “broker non- votes,” if no contrary instructions are given, each proxy received for the Annual Meeting will be voted “FOR” each of the nominees for Director named in this proxy statement and “FOR” each of the other proposals identified in the agenda for the Annual Meeting and, with regard to any other business that properly comes before the meeting, each proxy will be voted in accordance with the discretion of the persons appointed as proxies.</w:t>
      </w:r>
    </w:p>
    <w:p>
      <w:pPr>
        <w:spacing w:after="0" w:line="323" w:lineRule="exact"/>
        <w:rPr>
          <w:sz w:val="20"/>
          <w:szCs w:val="20"/>
          <w:color w:val="auto"/>
        </w:rPr>
      </w:pPr>
    </w:p>
    <w:p>
      <w:pPr>
        <w:ind w:left="1220" w:right="559"/>
        <w:spacing w:after="0" w:line="248" w:lineRule="auto"/>
        <w:rPr>
          <w:sz w:val="20"/>
          <w:szCs w:val="20"/>
          <w:color w:val="auto"/>
        </w:rPr>
      </w:pPr>
      <w:r>
        <w:rPr>
          <w:rFonts w:ascii="Arial" w:cs="Arial" w:eastAsia="Arial" w:hAnsi="Arial"/>
          <w:sz w:val="18"/>
          <w:szCs w:val="18"/>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our proposals other than the proposals related to the appointment of our independent registered certified public accounting firm and certified auditor, our annual accounts, our share repurchase program and the acknowledgment of the sale, on an advisory (non-binding) basis by the Company of 4,550,000 shares of common stock held as treasury shares are expected to be “non-routine” proposals; therefore, if you do not instruct your bank or broker how to vote your shares with respect to these proposals, your shares will not be counted.</w:t>
      </w:r>
    </w:p>
    <w:p>
      <w:pPr>
        <w:spacing w:after="0" w:line="39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How to Revoke a Proxy</w:t>
      </w:r>
    </w:p>
    <w:p>
      <w:pPr>
        <w:spacing w:after="0" w:line="132" w:lineRule="exact"/>
        <w:rPr>
          <w:sz w:val="20"/>
          <w:szCs w:val="20"/>
          <w:color w:val="auto"/>
        </w:rPr>
      </w:pPr>
    </w:p>
    <w:p>
      <w:pPr>
        <w:ind w:left="1220" w:right="819"/>
        <w:spacing w:after="0" w:line="259" w:lineRule="auto"/>
        <w:rPr>
          <w:sz w:val="20"/>
          <w:szCs w:val="20"/>
          <w:color w:val="auto"/>
        </w:rPr>
      </w:pPr>
      <w:r>
        <w:rPr>
          <w:rFonts w:ascii="Arial" w:cs="Arial" w:eastAsia="Arial" w:hAnsi="Arial"/>
          <w:sz w:val="18"/>
          <w:szCs w:val="18"/>
          <w:color w:val="auto"/>
        </w:rPr>
        <w:t>Your proxy may be used only at the relevant meetings and any adjournment or postponement thereof and may not be used for any other meeting. You have the power to revoke your proxy at any time before it is exercised by:</w:t>
      </w:r>
    </w:p>
    <w:p>
      <w:pPr>
        <w:spacing w:after="0" w:line="84"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providing written notice, received by our Corporate Secretary at the following address:</w:t>
      </w:r>
    </w:p>
    <w:p>
      <w:pPr>
        <w:spacing w:after="0" w:line="13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Gregory J. Ritts, Corporate Secretary</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Altisource Portfolio Solutions S.A.</w:t>
      </w:r>
    </w:p>
    <w:p>
      <w:pPr>
        <w:spacing w:after="0" w:line="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33, Boulevard Prince Henri</w:t>
      </w:r>
    </w:p>
    <w:p>
      <w:pPr>
        <w:spacing w:after="0" w:line="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L-1724 Luxembourg City</w:t>
      </w:r>
    </w:p>
    <w:p>
      <w:pPr>
        <w:spacing w:after="0" w:line="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Grand Duchy of Luxembourg;</w:t>
      </w:r>
    </w:p>
    <w:p>
      <w:pPr>
        <w:spacing w:after="0" w:line="108" w:lineRule="exact"/>
        <w:rPr>
          <w:sz w:val="20"/>
          <w:szCs w:val="20"/>
          <w:color w:val="auto"/>
        </w:rPr>
      </w:pPr>
    </w:p>
    <w:p>
      <w:pPr>
        <w:ind w:left="1760" w:hanging="186"/>
        <w:spacing w:after="0"/>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23" w:lineRule="exact"/>
        <w:rPr>
          <w:rFonts w:ascii="Arial" w:cs="Arial" w:eastAsia="Arial" w:hAnsi="Arial"/>
          <w:sz w:val="18"/>
          <w:szCs w:val="18"/>
          <w:color w:val="auto"/>
        </w:rPr>
      </w:pPr>
    </w:p>
    <w:p>
      <w:pPr>
        <w:ind w:left="1760" w:right="759" w:hanging="186"/>
        <w:spacing w:after="0" w:line="274" w:lineRule="auto"/>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appearing at the relevant meeting and giving the Corporate Secretary notice of your intention to vote in person.</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Quorum and Voting Information</w:t>
      </w:r>
    </w:p>
    <w:p>
      <w:pPr>
        <w:spacing w:after="0" w:line="132" w:lineRule="exact"/>
        <w:rPr>
          <w:sz w:val="20"/>
          <w:szCs w:val="20"/>
          <w:color w:val="auto"/>
        </w:rPr>
      </w:pPr>
    </w:p>
    <w:p>
      <w:pPr>
        <w:ind w:left="1220" w:right="659"/>
        <w:spacing w:after="0" w:line="239" w:lineRule="auto"/>
        <w:rPr>
          <w:sz w:val="20"/>
          <w:szCs w:val="20"/>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4"/>
          <w:szCs w:val="24"/>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 stock able to be voted, represented in person or by proxy, will constitute a quorum for the transaction of business at the Annual Meeting. Abstentions and “broker non-votes” will be treated as present for purposes of a quorum.</w:t>
      </w:r>
    </w:p>
    <w:p>
      <w:pPr>
        <w:spacing w:after="0" w:line="116" w:lineRule="exact"/>
        <w:rPr>
          <w:sz w:val="20"/>
          <w:szCs w:val="20"/>
          <w:color w:val="auto"/>
        </w:rPr>
      </w:pPr>
    </w:p>
    <w:p>
      <w:pPr>
        <w:ind w:left="1220" w:right="679"/>
        <w:spacing w:after="0" w:line="255" w:lineRule="auto"/>
        <w:rPr>
          <w:sz w:val="20"/>
          <w:szCs w:val="20"/>
          <w:color w:val="auto"/>
        </w:rPr>
      </w:pPr>
      <w:r>
        <w:rPr>
          <w:rFonts w:ascii="Arial" w:cs="Arial" w:eastAsia="Arial" w:hAnsi="Arial"/>
          <w:sz w:val="18"/>
          <w:szCs w:val="18"/>
          <w:color w:val="auto"/>
        </w:rPr>
        <w:t>Assuming a quorum, each of the five (5) nominees for Director will be elected as a Director of Altisource at the Annual Meeting so long as the votes cast in favor of such nominee exceeds the votes cast against such nominee. You may vote for, against or abstain from voting for one (1) or more nominees for Director.</w:t>
      </w:r>
    </w:p>
    <w:p>
      <w:pPr>
        <w:spacing w:after="0" w:line="36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20" w:right="519"/>
        <w:spacing w:after="0" w:line="246" w:lineRule="auto"/>
        <w:rPr>
          <w:sz w:val="20"/>
          <w:szCs w:val="20"/>
          <w:color w:val="auto"/>
        </w:rPr>
      </w:pPr>
      <w:r>
        <w:rPr>
          <w:rFonts w:ascii="Arial" w:cs="Arial" w:eastAsia="Arial" w:hAnsi="Arial"/>
          <w:sz w:val="18"/>
          <w:szCs w:val="18"/>
          <w:color w:val="auto"/>
        </w:rPr>
        <w:t xml:space="preserve">The following Annual Meeting proposals will be approved if the votes cast in favor of the action exceed the votes cast against the action: (i) the proposal to approve and ratify the Audit Committee’s appointment of RSM US LLP as our independent registered certified public accounting firm for the year ended December 31, 2022; (ii) the proposal to approve the appointment of RSM US LLP to be our independent registered certified public accounting firm for the year ending December 31, 2023 and until the Company’s 2024 annual meeting of shareholders, and Atwell S.à r.l. to be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all statutory accounts as required by Luxembourg law for the same period; (iii) the proposal to approve the appointment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to report on Altisource Portfolio Solutions S.A.’s unconsolidated annual accounts prepared in accordance with accounting principles generally accepted in Luxembourg (the “Luxembourg Annual Accounts”) for the year ending December 31, 2023 and until the Company’s 2029 annual meeting of shareholders, or until her successor is duly elected and qualified; (iv) the proposal to approve the Luxembourg Statutory Accounts as of and for the year ended December 31, 2022; (v) the proposal to receive and approve the Directors’ report for the Luxembourg Statutory Accounts for the year ended December 31, 2022 and to receive the report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Luxembourg Annual Accounts for the same period; (vi) the proposal to allocate the results in the Luxembourg Annual Accounts for the year ended December 31, 2022; (vii) the proposal to approve the discharge of each of the Directors of Altisource Portfolio Solutions S.A. for the performance of their mandates during the year ended December 31, 2022 and of the supervisory auditor </w:t>
      </w:r>
      <w:r>
        <w:rPr>
          <w:rFonts w:ascii="Arial" w:cs="Arial" w:eastAsia="Arial" w:hAnsi="Arial"/>
          <w:sz w:val="18"/>
          <w:szCs w:val="18"/>
          <w:i w:val="1"/>
          <w:iCs w:val="1"/>
          <w:color w:val="auto"/>
        </w:rPr>
        <w:t xml:space="preserve">(Commissaire aux Comptes) </w:t>
      </w:r>
      <w:r>
        <w:rPr>
          <w:rFonts w:ascii="Arial" w:cs="Arial" w:eastAsia="Arial" w:hAnsi="Arial"/>
          <w:sz w:val="18"/>
          <w:szCs w:val="18"/>
          <w:color w:val="auto"/>
        </w:rPr>
        <w:t>for the performance of her mandate for the same period; (viii)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to approve the renewal and amendment of our share repurchase program such that Altisource Portfolio Solutions S.A. is authorized, for a period of five years, to repurchase up to fifteen percent (15%) of the outstanding shares of its common stock (as of the close of business on the date of the Annual Meeting) at a minimum price of one dollar ($1.00) per share and a maximum price of twenty-five dollars ($ 25.00) per share, with the maximum price to be adjusted for any stock splits and reverse stock splits; (ix) the advisory acknowledgment of the sale by the Company of 4,550,000 shares of common stock held as treasury shares on February 14, 2023 in a public offering of shares at a price of five dollars ($5.00) per share; (x) the advisory vote to approve the compensation of Altisource’s named executive officers as disclosed in this Proxy Statement (“Say-on-Pay”); (xi) the advisory vote on the frequency of future shareholder advisory votes on executive compensation (“Say-on-Frequency”); and (xii) any other matter properly submitted for your consideration at the Annual Meeting. Because the advisory acknowledgment of the sale by the Company of 4,550,000 shares of common stock held as treasury shares on February 14, 2023 in a public offering of shares at a price of five dollars ($5.00) per share and the advisory vote to approve the compensation of Altisource’s named executive officers as disclosed in this Proxy Statement (“Say-on -Pay”) are non-binding and advisory in nature, there is no required number of votes for either that would constitute approval. The approval of the advisory vote on the frequency of future shareholder advisory votes on executive compensation (“Say-on-Frequency”) will be determined based on the frequency that receives the most votes. While our Board of Directors intends to carefully consider the shareholder votes resulting from the Say -On-Pay and Say-on-Frequency proposals, the final votes will not be binding on us and are advisory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20" w:right="619"/>
        <w:spacing w:after="0" w:line="256" w:lineRule="auto"/>
        <w:rPr>
          <w:sz w:val="20"/>
          <w:szCs w:val="20"/>
          <w:color w:val="auto"/>
        </w:rPr>
      </w:pPr>
      <w:r>
        <w:rPr>
          <w:rFonts w:ascii="Arial" w:cs="Arial" w:eastAsia="Arial" w:hAnsi="Arial"/>
          <w:sz w:val="18"/>
          <w:szCs w:val="18"/>
          <w:color w:val="auto"/>
        </w:rPr>
        <w:t>Any other matter properly submitted for your consideration will be approved with such vote as required by Luxembourg law. Abstentions and broker non -votes will not be counted in determining the number of votes cast in connection with the proposals on the agenda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jc w:val="right"/>
        <w:ind w:right="480"/>
        <w:spacing w:after="0"/>
        <w:tabs>
          <w:tab w:leader="none" w:pos="5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-215900</wp:posOffset>
            </wp:positionV>
            <wp:extent cx="982980"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82980" cy="142875"/>
                    </a:xfrm>
                    <a:prstGeom prst="rect">
                      <a:avLst/>
                    </a:prstGeom>
                    <a:noFill/>
                  </pic:spPr>
                </pic:pic>
              </a:graphicData>
            </a:graphic>
          </wp:anchor>
        </w:drawing>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jc w:val="both"/>
        <w:ind w:left="1220" w:right="600"/>
        <w:spacing w:after="0" w:line="266" w:lineRule="auto"/>
        <w:rPr>
          <w:sz w:val="20"/>
          <w:szCs w:val="20"/>
          <w:color w:val="auto"/>
        </w:rPr>
      </w:pPr>
      <w:r>
        <w:rPr>
          <w:rFonts w:ascii="Arial" w:cs="Arial" w:eastAsia="Arial" w:hAnsi="Arial"/>
          <w:sz w:val="18"/>
          <w:szCs w:val="18"/>
          <w:color w:val="auto"/>
        </w:rPr>
        <w:t>Our Articles of Incorporation provide that our Board of Directors shall consist of no less than three (3) and no more than seven (7) members, with the exact number to be decided by our shareholders.</w:t>
      </w:r>
    </w:p>
    <w:p>
      <w:pPr>
        <w:spacing w:after="0" w:line="322" w:lineRule="exact"/>
        <w:rPr>
          <w:sz w:val="20"/>
          <w:szCs w:val="20"/>
          <w:color w:val="auto"/>
        </w:rPr>
      </w:pPr>
    </w:p>
    <w:p>
      <w:pPr>
        <w:ind w:left="1220" w:right="740"/>
        <w:spacing w:after="0" w:line="259" w:lineRule="auto"/>
        <w:rPr>
          <w:sz w:val="20"/>
          <w:szCs w:val="20"/>
          <w:color w:val="auto"/>
        </w:rPr>
      </w:pPr>
      <w:r>
        <w:rPr>
          <w:rFonts w:ascii="Arial" w:cs="Arial" w:eastAsia="Arial" w:hAnsi="Arial"/>
          <w:sz w:val="18"/>
          <w:szCs w:val="18"/>
          <w:color w:val="auto"/>
        </w:rPr>
        <w:t>We are proposing the five (5) nominees listed below for election as Directors at the Annual Meeting until the next annual meeting of shareholders or until their respective successors have been elected and qualified, subject to their earlier death, resignation or removal.</w:t>
      </w:r>
    </w:p>
    <w:p>
      <w:pPr>
        <w:spacing w:after="0" w:line="111" w:lineRule="exact"/>
        <w:rPr>
          <w:sz w:val="20"/>
          <w:szCs w:val="20"/>
          <w:color w:val="auto"/>
        </w:rPr>
      </w:pPr>
    </w:p>
    <w:p>
      <w:pPr>
        <w:ind w:left="1220" w:right="580"/>
        <w:spacing w:after="0" w:line="274" w:lineRule="auto"/>
        <w:rPr>
          <w:sz w:val="20"/>
          <w:szCs w:val="20"/>
          <w:color w:val="auto"/>
        </w:rPr>
      </w:pPr>
      <w:r>
        <w:rPr>
          <w:rFonts w:ascii="Arial" w:cs="Arial" w:eastAsia="Arial" w:hAnsi="Arial"/>
          <w:sz w:val="18"/>
          <w:szCs w:val="18"/>
          <w:color w:val="auto"/>
        </w:rPr>
        <w:t>All nominees currently serve as our Directors. There are no arrangements or understandings between any nominee and any other person for selection as a nominee.</w:t>
      </w:r>
    </w:p>
    <w:p>
      <w:pPr>
        <w:spacing w:after="0" w:line="83" w:lineRule="exact"/>
        <w:rPr>
          <w:sz w:val="20"/>
          <w:szCs w:val="20"/>
          <w:color w:val="auto"/>
        </w:rPr>
      </w:pPr>
    </w:p>
    <w:p>
      <w:pPr>
        <w:ind w:left="1220" w:right="540"/>
        <w:spacing w:after="0" w:line="251" w:lineRule="auto"/>
        <w:rPr>
          <w:sz w:val="20"/>
          <w:szCs w:val="20"/>
          <w:color w:val="auto"/>
        </w:rPr>
      </w:pPr>
      <w:r>
        <w:rPr>
          <w:rFonts w:ascii="Arial" w:cs="Arial" w:eastAsia="Arial" w:hAnsi="Arial"/>
          <w:sz w:val="18"/>
          <w:szCs w:val="18"/>
          <w:color w:val="auto"/>
        </w:rPr>
        <w:t>If any nominee is unable or unwilling to stand for election at the time of the Annual Meeting, the shares represented by a validly executed proxy will be voted for the election of such other person as the Board of Directors may recommend in place of such nominee, unless the Board of Directors chooses to reduce the number of Directors serving on the Board. At this time, our Board of Directors knows of no reason why any of the nominees would not be able or willing to serve as Director if elected.</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following table sets forth certain information concerning each of our nominees for</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Director:</w:t>
      </w:r>
    </w:p>
    <w:p>
      <w:pPr>
        <w:spacing w:after="0" w:line="131" w:lineRule="exact"/>
        <w:rPr>
          <w:sz w:val="20"/>
          <w:szCs w:val="20"/>
          <w:color w:val="auto"/>
        </w:rPr>
      </w:pPr>
    </w:p>
    <w:tbl>
      <w:tblPr>
        <w:tblLayout w:type="fixed"/>
        <w:tblInd w:w="1220" w:type="dxa"/>
        <w:tblCellMar>
          <w:top w:w="0" w:type="dxa"/>
          <w:left w:w="0" w:type="dxa"/>
          <w:bottom w:w="0" w:type="dxa"/>
          <w:right w:w="0" w:type="dxa"/>
        </w:tblCellMar>
      </w:tblPr>
      <w:tr>
        <w:trPr>
          <w:trHeight w:val="218"/>
        </w:trPr>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360" w:type="dxa"/>
            <w:vAlign w:val="bottom"/>
          </w:tcPr>
          <w:p>
            <w:pPr>
              <w:jc w:val="right"/>
              <w:ind w:right="841"/>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spacing w:after="0"/>
              <w:rPr>
                <w:sz w:val="20"/>
                <w:szCs w:val="20"/>
                <w:color w:val="auto"/>
              </w:rPr>
            </w:pPr>
            <w:r>
              <w:rPr>
                <w:rFonts w:ascii="Arial" w:cs="Arial" w:eastAsia="Arial" w:hAnsi="Arial"/>
                <w:sz w:val="16"/>
                <w:szCs w:val="16"/>
                <w:b w:val="1"/>
                <w:bCs w:val="1"/>
                <w:color w:val="auto"/>
              </w:rPr>
              <w:t>​ ​</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44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7"/>
          </w:tcPr>
          <w:p>
            <w:pPr>
              <w:ind w:left="360"/>
              <w:spacing w:after="0"/>
              <w:rPr>
                <w:sz w:val="20"/>
                <w:szCs w:val="20"/>
                <w:color w:val="auto"/>
              </w:rPr>
            </w:pPr>
            <w:r>
              <w:rPr>
                <w:rFonts w:ascii="Arial" w:cs="Arial" w:eastAsia="Arial" w:hAnsi="Arial"/>
                <w:sz w:val="16"/>
                <w:szCs w:val="16"/>
                <w:b w:val="1"/>
                <w:bCs w:val="1"/>
                <w:color w:val="auto"/>
                <w:w w:val="99"/>
              </w:rPr>
              <w:t>Committee Memberships</w:t>
            </w:r>
            <w:r>
              <w:rPr>
                <w:rFonts w:ascii="Arial" w:cs="Arial" w:eastAsia="Arial" w:hAnsi="Arial"/>
                <w:sz w:val="19"/>
                <w:szCs w:val="19"/>
                <w:b w:val="1"/>
                <w:bCs w:val="1"/>
                <w:color w:val="auto"/>
                <w:w w:val="99"/>
                <w:vertAlign w:val="superscript"/>
              </w:rPr>
              <w:t>(1)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39"/>
        </w:trPr>
        <w:tc>
          <w:tcPr>
            <w:tcW w:w="3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2"/>
                <w:szCs w:val="12"/>
                <w:color w:val="auto"/>
              </w:rPr>
            </w:pPr>
          </w:p>
        </w:tc>
        <w:tc>
          <w:tcPr>
            <w:tcW w:w="1360" w:type="dxa"/>
            <w:vAlign w:val="bottom"/>
            <w:vMerge w:val="restart"/>
          </w:tcPr>
          <w:p>
            <w:pPr>
              <w:jc w:val="right"/>
              <w:ind w:right="681"/>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ind w:left="120"/>
              <w:spacing w:after="0" w:line="139" w:lineRule="exact"/>
              <w:rPr>
                <w:sz w:val="20"/>
                <w:szCs w:val="20"/>
                <w:color w:val="auto"/>
              </w:rPr>
            </w:pPr>
            <w:r>
              <w:rPr>
                <w:rFonts w:ascii="Arial" w:cs="Arial" w:eastAsia="Arial" w:hAnsi="Arial"/>
                <w:sz w:val="16"/>
                <w:szCs w:val="16"/>
                <w:b w:val="1"/>
                <w:bCs w:val="1"/>
                <w:color w:val="auto"/>
              </w:rPr>
              <w:t>Director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gridSpan w:val="3"/>
          </w:tcPr>
          <w:p>
            <w:pPr>
              <w:spacing w:after="0" w:line="139" w:lineRule="exact"/>
              <w:rPr>
                <w:sz w:val="20"/>
                <w:szCs w:val="20"/>
                <w:color w:val="auto"/>
              </w:rPr>
            </w:pPr>
            <w:r>
              <w:rPr>
                <w:rFonts w:ascii="Arial" w:cs="Arial" w:eastAsia="Arial" w:hAnsi="Arial"/>
                <w:sz w:val="16"/>
                <w:szCs w:val="16"/>
                <w:b w:val="1"/>
                <w:bCs w:val="1"/>
                <w:color w:val="auto"/>
              </w:rPr>
              <w:t>Executive</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80"/>
              <w:spacing w:after="0" w:line="139" w:lineRule="exact"/>
              <w:rPr>
                <w:sz w:val="20"/>
                <w:szCs w:val="20"/>
                <w:color w:val="auto"/>
              </w:rPr>
            </w:pPr>
            <w:r>
              <w:rPr>
                <w:rFonts w:ascii="Arial" w:cs="Arial" w:eastAsia="Arial" w:hAnsi="Arial"/>
                <w:sz w:val="16"/>
                <w:szCs w:val="16"/>
                <w:b w:val="1"/>
                <w:bCs w:val="1"/>
                <w:color w:val="auto"/>
              </w:rPr>
              <w:t>Audit</w:t>
            </w:r>
          </w:p>
        </w:tc>
        <w:tc>
          <w:tcPr>
            <w:tcW w:w="3040" w:type="dxa"/>
            <w:vAlign w:val="bottom"/>
            <w:tcBorders>
              <w:top w:val="single" w:sz="8" w:color="auto"/>
            </w:tcBorders>
            <w:gridSpan w:val="9"/>
          </w:tcPr>
          <w:p>
            <w:pPr>
              <w:ind w:left="120"/>
              <w:spacing w:after="0" w:line="139" w:lineRule="exact"/>
              <w:rPr>
                <w:sz w:val="20"/>
                <w:szCs w:val="20"/>
                <w:color w:val="auto"/>
              </w:rPr>
            </w:pPr>
            <w:r>
              <w:rPr>
                <w:rFonts w:ascii="Arial" w:cs="Arial" w:eastAsia="Arial" w:hAnsi="Arial"/>
                <w:sz w:val="16"/>
                <w:szCs w:val="16"/>
                <w:b w:val="1"/>
                <w:bCs w:val="1"/>
                <w:color w:val="auto"/>
              </w:rPr>
              <w:t>Compensation Compliance Nom/Gov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60" w:type="dxa"/>
            <w:vAlign w:val="bottom"/>
            <w:gridSpan w:val="5"/>
          </w:tcPr>
          <w:p>
            <w:pPr>
              <w:spacing w:after="0" w:line="212" w:lineRule="exact"/>
              <w:rPr>
                <w:sz w:val="20"/>
                <w:szCs w:val="20"/>
                <w:color w:val="auto"/>
              </w:rPr>
            </w:pPr>
            <w:r>
              <w:rPr>
                <w:rFonts w:ascii="Arial" w:cs="Arial" w:eastAsia="Arial" w:hAnsi="Arial"/>
                <w:sz w:val="16"/>
                <w:szCs w:val="16"/>
                <w:b w:val="1"/>
                <w:bCs w:val="1"/>
                <w:color w:val="auto"/>
              </w:rPr>
              <w:t>​Age</w:t>
            </w:r>
            <w:r>
              <w:rPr>
                <w:rFonts w:ascii="Arial" w:cs="Arial" w:eastAsia="Arial" w:hAnsi="Arial"/>
                <w:sz w:val="19"/>
                <w:szCs w:val="19"/>
                <w:b w:val="1"/>
                <w:bCs w:val="1"/>
                <w:color w:val="auto"/>
                <w:vertAlign w:val="superscript"/>
              </w:rPr>
              <w:t>(1)</w:t>
            </w:r>
            <w:r>
              <w:rPr>
                <w:rFonts w:ascii="Arial" w:cs="Arial" w:eastAsia="Arial" w:hAnsi="Arial"/>
                <w:sz w:val="16"/>
                <w:szCs w:val="16"/>
                <w:b w:val="1"/>
                <w:bCs w:val="1"/>
                <w:color w:val="auto"/>
              </w:rPr>
              <w:t>​ Since</w:t>
            </w:r>
          </w:p>
        </w:tc>
        <w:tc>
          <w:tcPr>
            <w:tcW w:w="1800" w:type="dxa"/>
            <w:vAlign w:val="bottom"/>
            <w:gridSpan w:val="8"/>
          </w:tcPr>
          <w:p>
            <w:pPr>
              <w:ind w:left="20"/>
              <w:spacing w:after="0"/>
              <w:rPr>
                <w:sz w:val="20"/>
                <w:szCs w:val="20"/>
                <w:color w:val="auto"/>
              </w:rPr>
            </w:pPr>
            <w:r>
              <w:rPr>
                <w:rFonts w:ascii="Arial" w:cs="Arial" w:eastAsia="Arial" w:hAnsi="Arial"/>
                <w:sz w:val="16"/>
                <w:szCs w:val="16"/>
                <w:b w:val="1"/>
                <w:bCs w:val="1"/>
                <w:color w:val="auto"/>
                <w:w w:val="98"/>
              </w:rPr>
              <w:t>​IndependentCommittee​</w:t>
            </w:r>
          </w:p>
        </w:tc>
        <w:tc>
          <w:tcPr>
            <w:tcW w:w="920" w:type="dxa"/>
            <w:vAlign w:val="bottom"/>
            <w:gridSpan w:val="4"/>
          </w:tcPr>
          <w:p>
            <w:pPr>
              <w:jc w:val="right"/>
              <w:spacing w:after="0"/>
              <w:rPr>
                <w:sz w:val="20"/>
                <w:szCs w:val="20"/>
                <w:color w:val="auto"/>
              </w:rPr>
            </w:pPr>
            <w:r>
              <w:rPr>
                <w:rFonts w:ascii="Arial" w:cs="Arial" w:eastAsia="Arial" w:hAnsi="Arial"/>
                <w:sz w:val="16"/>
                <w:szCs w:val="16"/>
                <w:b w:val="1"/>
                <w:bCs w:val="1"/>
                <w:color w:val="auto"/>
              </w:rPr>
              <w:t>​Committee​</w:t>
            </w: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Committee</w:t>
            </w:r>
          </w:p>
        </w:tc>
        <w:tc>
          <w:tcPr>
            <w:tcW w:w="1920" w:type="dxa"/>
            <w:vAlign w:val="bottom"/>
            <w:gridSpan w:val="7"/>
          </w:tcPr>
          <w:p>
            <w:pPr>
              <w:jc w:val="right"/>
              <w:spacing w:after="0"/>
              <w:rPr>
                <w:sz w:val="20"/>
                <w:szCs w:val="20"/>
                <w:color w:val="auto"/>
              </w:rPr>
            </w:pPr>
            <w:r>
              <w:rPr>
                <w:rFonts w:ascii="Arial" w:cs="Arial" w:eastAsia="Arial" w:hAnsi="Arial"/>
                <w:sz w:val="16"/>
                <w:szCs w:val="16"/>
                <w:b w:val="1"/>
                <w:bCs w:val="1"/>
                <w:color w:val="auto"/>
              </w:rPr>
              <w:t>​ Committee ​Committee​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80" w:type="dxa"/>
            <w:vAlign w:val="bottom"/>
          </w:tcPr>
          <w:p>
            <w:pPr>
              <w:spacing w:after="0" w:line="141" w:lineRule="exact"/>
              <w:rPr>
                <w:sz w:val="20"/>
                <w:szCs w:val="20"/>
                <w:color w:val="auto"/>
              </w:rPr>
            </w:pPr>
            <w:r>
              <w:rPr>
                <w:rFonts w:ascii="Arial" w:cs="Arial" w:eastAsia="Arial" w:hAnsi="Arial"/>
                <w:sz w:val="16"/>
                <w:szCs w:val="16"/>
                <w:color w:val="auto"/>
              </w:rPr>
              <w:t>John​</w:t>
            </w:r>
          </w:p>
        </w:tc>
        <w:tc>
          <w:tcPr>
            <w:tcW w:w="1560" w:type="dxa"/>
            <w:vAlign w:val="bottom"/>
            <w:gridSpan w:val="2"/>
          </w:tcPr>
          <w:p>
            <w:pPr>
              <w:jc w:val="right"/>
              <w:ind w:right="201"/>
              <w:spacing w:after="0" w:line="141" w:lineRule="exact"/>
              <w:rPr>
                <w:sz w:val="20"/>
                <w:szCs w:val="20"/>
                <w:color w:val="auto"/>
              </w:rPr>
            </w:pPr>
            <w:r>
              <w:rPr>
                <w:rFonts w:ascii="Arial" w:cs="Arial" w:eastAsia="Arial" w:hAnsi="Arial"/>
                <w:sz w:val="16"/>
                <w:szCs w:val="16"/>
                <w:color w:val="auto"/>
              </w:rPr>
              <w:t>. G. Aldridge, Jr.</w:t>
            </w:r>
          </w:p>
        </w:tc>
        <w:tc>
          <w:tcPr>
            <w:tcW w:w="80" w:type="dxa"/>
            <w:vAlign w:val="bottom"/>
          </w:tcPr>
          <w:p>
            <w:pPr>
              <w:spacing w:after="0" w:line="141" w:lineRule="exact"/>
              <w:rPr>
                <w:sz w:val="20"/>
                <w:szCs w:val="20"/>
                <w:color w:val="auto"/>
              </w:rPr>
            </w:pPr>
            <w:r>
              <w:rPr>
                <w:rFonts w:ascii="Arial" w:cs="Arial" w:eastAsia="Arial" w:hAnsi="Arial"/>
                <w:sz w:val="16"/>
                <w:szCs w:val="16"/>
                <w:color w:val="auto"/>
              </w:rPr>
              <w:t>​</w:t>
            </w:r>
          </w:p>
        </w:tc>
        <w:tc>
          <w:tcPr>
            <w:tcW w:w="220" w:type="dxa"/>
            <w:vAlign w:val="bottom"/>
          </w:tcPr>
          <w:p>
            <w:pPr>
              <w:ind w:left="40"/>
              <w:spacing w:after="0" w:line="141" w:lineRule="exact"/>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54</w:t>
            </w:r>
          </w:p>
        </w:tc>
        <w:tc>
          <w:tcPr>
            <w:tcW w:w="200" w:type="dxa"/>
            <w:vAlign w:val="bottom"/>
          </w:tcPr>
          <w:p>
            <w:pPr>
              <w:jc w:val="right"/>
              <w:spacing w:after="0" w:line="141" w:lineRule="exact"/>
              <w:rPr>
                <w:sz w:val="20"/>
                <w:szCs w:val="20"/>
                <w:color w:val="auto"/>
              </w:rPr>
            </w:pPr>
            <w:r>
              <w:rPr>
                <w:rFonts w:ascii="Arial" w:cs="Arial" w:eastAsia="Arial" w:hAnsi="Arial"/>
                <w:sz w:val="16"/>
                <w:szCs w:val="16"/>
                <w:color w:val="auto"/>
              </w:rPr>
              <w:t>​</w:t>
            </w:r>
          </w:p>
        </w:tc>
        <w:tc>
          <w:tcPr>
            <w:tcW w:w="440" w:type="dxa"/>
            <w:vAlign w:val="bottom"/>
          </w:tcPr>
          <w:p>
            <w:pPr>
              <w:ind w:left="40"/>
              <w:spacing w:after="0" w:line="141" w:lineRule="exact"/>
              <w:rPr>
                <w:sz w:val="20"/>
                <w:szCs w:val="20"/>
                <w:color w:val="auto"/>
              </w:rPr>
            </w:pPr>
            <w:r>
              <w:rPr>
                <w:rFonts w:ascii="Arial" w:cs="Arial" w:eastAsia="Arial" w:hAnsi="Arial"/>
                <w:sz w:val="16"/>
                <w:szCs w:val="16"/>
                <w:color w:val="auto"/>
              </w:rPr>
              <w:t>​2022</w:t>
            </w:r>
          </w:p>
        </w:tc>
        <w:tc>
          <w:tcPr>
            <w:tcW w:w="120" w:type="dxa"/>
            <w:vAlign w:val="bottom"/>
          </w:tcPr>
          <w:p>
            <w:pPr>
              <w:spacing w:after="0"/>
              <w:rPr>
                <w:sz w:val="12"/>
                <w:szCs w:val="12"/>
                <w:color w:val="auto"/>
              </w:rPr>
            </w:pPr>
          </w:p>
        </w:tc>
        <w:tc>
          <w:tcPr>
            <w:tcW w:w="240" w:type="dxa"/>
            <w:vAlign w:val="bottom"/>
          </w:tcPr>
          <w:p>
            <w:pPr>
              <w:ind w:left="20"/>
              <w:spacing w:after="0" w:line="141" w:lineRule="exact"/>
              <w:rPr>
                <w:sz w:val="20"/>
                <w:szCs w:val="20"/>
                <w:color w:val="auto"/>
              </w:rPr>
            </w:pPr>
            <w:r>
              <w:rPr>
                <w:rFonts w:ascii="Arial" w:cs="Arial" w:eastAsia="Arial" w:hAnsi="Arial"/>
                <w:sz w:val="16"/>
                <w:szCs w:val="16"/>
                <w:color w:val="auto"/>
              </w:rPr>
              <w:t>​</w:t>
            </w:r>
          </w:p>
        </w:tc>
        <w:tc>
          <w:tcPr>
            <w:tcW w:w="320" w:type="dxa"/>
            <w:vAlign w:val="bottom"/>
          </w:tcPr>
          <w:p>
            <w:pPr>
              <w:ind w:left="160"/>
              <w:spacing w:after="0" w:line="141" w:lineRule="exact"/>
              <w:rPr>
                <w:sz w:val="20"/>
                <w:szCs w:val="20"/>
                <w:color w:val="auto"/>
              </w:rPr>
            </w:pPr>
            <w:r>
              <w:rPr>
                <w:rFonts w:ascii="Arial" w:cs="Arial" w:eastAsia="Arial" w:hAnsi="Arial"/>
                <w:sz w:val="16"/>
                <w:szCs w:val="16"/>
                <w:color w:val="auto"/>
                <w:w w:val="87"/>
              </w:rPr>
              <w:t>​</w:t>
            </w: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2"/>
                <w:szCs w:val="12"/>
                <w:color w:val="auto"/>
              </w:rPr>
            </w:pPr>
          </w:p>
        </w:tc>
        <w:tc>
          <w:tcPr>
            <w:tcW w:w="380" w:type="dxa"/>
            <w:vAlign w:val="bottom"/>
            <w:gridSpan w:val="2"/>
          </w:tcPr>
          <w:p>
            <w:pPr>
              <w:ind w:left="160"/>
              <w:spacing w:after="0" w:line="141" w:lineRule="exact"/>
              <w:rPr>
                <w:sz w:val="20"/>
                <w:szCs w:val="20"/>
                <w:color w:val="auto"/>
              </w:rPr>
            </w:pPr>
            <w:r>
              <w:rPr>
                <w:rFonts w:ascii="Arial" w:cs="Arial" w:eastAsia="Arial" w:hAnsi="Arial"/>
                <w:sz w:val="16"/>
                <w:szCs w:val="16"/>
                <w:color w:val="auto"/>
              </w:rPr>
              <w:t>​​</w:t>
            </w:r>
          </w:p>
        </w:tc>
        <w:tc>
          <w:tcPr>
            <w:tcW w:w="280" w:type="dxa"/>
            <w:vAlign w:val="bottom"/>
          </w:tcPr>
          <w:p>
            <w:pPr>
              <w:ind w:left="140"/>
              <w:spacing w:after="0" w:line="141" w:lineRule="exact"/>
              <w:rPr>
                <w:sz w:val="20"/>
                <w:szCs w:val="20"/>
                <w:color w:val="auto"/>
              </w:rPr>
            </w:pPr>
            <w:r>
              <w:rPr>
                <w:rFonts w:ascii="Arial" w:cs="Arial" w:eastAsia="Arial" w:hAnsi="Arial"/>
                <w:sz w:val="16"/>
                <w:szCs w:val="16"/>
                <w:color w:val="auto"/>
              </w:rPr>
              <w:t>​</w:t>
            </w:r>
          </w:p>
        </w:tc>
        <w:tc>
          <w:tcPr>
            <w:tcW w:w="320" w:type="dxa"/>
            <w:vAlign w:val="bottom"/>
          </w:tcPr>
          <w:p>
            <w:pPr>
              <w:spacing w:after="0" w:line="141" w:lineRule="exact"/>
              <w:rPr>
                <w:sz w:val="20"/>
                <w:szCs w:val="20"/>
                <w:color w:val="auto"/>
              </w:rPr>
            </w:pPr>
            <w:r>
              <w:rPr>
                <w:rFonts w:ascii="Arial" w:cs="Arial" w:eastAsia="Arial" w:hAnsi="Arial"/>
                <w:sz w:val="16"/>
                <w:szCs w:val="16"/>
                <w:color w:val="auto"/>
              </w:rPr>
              <w:t>​</w:t>
            </w:r>
          </w:p>
        </w:tc>
        <w:tc>
          <w:tcPr>
            <w:tcW w:w="140" w:type="dxa"/>
            <w:vAlign w:val="bottom"/>
            <w:gridSpan w:val="2"/>
          </w:tcPr>
          <w:p>
            <w:pPr>
              <w:ind w:left="20"/>
              <w:spacing w:after="0" w:line="141" w:lineRule="exact"/>
              <w:rPr>
                <w:sz w:val="20"/>
                <w:szCs w:val="20"/>
                <w:color w:val="auto"/>
              </w:rPr>
            </w:pPr>
            <w:r>
              <w:rPr>
                <w:rFonts w:ascii="Arial" w:cs="Arial" w:eastAsia="Arial" w:hAnsi="Arial"/>
                <w:sz w:val="16"/>
                <w:szCs w:val="16"/>
                <w:color w:val="auto"/>
              </w:rPr>
              <w:t>​​</w:t>
            </w:r>
          </w:p>
        </w:tc>
        <w:tc>
          <w:tcPr>
            <w:tcW w:w="360" w:type="dxa"/>
            <w:vAlign w:val="bottom"/>
          </w:tcPr>
          <w:p>
            <w:pPr>
              <w:ind w:left="220"/>
              <w:spacing w:after="0" w:line="141" w:lineRule="exact"/>
              <w:rPr>
                <w:sz w:val="20"/>
                <w:szCs w:val="20"/>
                <w:color w:val="auto"/>
              </w:rPr>
            </w:pPr>
            <w:r>
              <w:rPr>
                <w:rFonts w:ascii="Arial" w:cs="Arial" w:eastAsia="Arial" w:hAnsi="Arial"/>
                <w:sz w:val="16"/>
                <w:szCs w:val="16"/>
                <w:color w:val="auto"/>
              </w:rPr>
              <w:t>​</w:t>
            </w:r>
          </w:p>
        </w:tc>
        <w:tc>
          <w:tcPr>
            <w:tcW w:w="240" w:type="dxa"/>
            <w:vAlign w:val="bottom"/>
          </w:tcPr>
          <w:p>
            <w:pPr>
              <w:spacing w:after="0" w:line="141"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1" w:lineRule="exact"/>
              <w:rPr>
                <w:sz w:val="20"/>
                <w:szCs w:val="20"/>
                <w:color w:val="auto"/>
              </w:rPr>
            </w:pPr>
            <w:r>
              <w:rPr>
                <w:rFonts w:ascii="Arial" w:cs="Arial" w:eastAsia="Arial" w:hAnsi="Arial"/>
                <w:sz w:val="16"/>
                <w:szCs w:val="16"/>
                <w:color w:val="auto"/>
              </w:rPr>
              <w:t>​​</w:t>
            </w:r>
          </w:p>
        </w:tc>
        <w:tc>
          <w:tcPr>
            <w:tcW w:w="540" w:type="dxa"/>
            <w:vAlign w:val="bottom"/>
          </w:tcPr>
          <w:p>
            <w:pPr>
              <w:ind w:left="340"/>
              <w:spacing w:after="0" w:line="141" w:lineRule="exact"/>
              <w:rPr>
                <w:sz w:val="20"/>
                <w:szCs w:val="20"/>
                <w:color w:val="auto"/>
              </w:rPr>
            </w:pPr>
            <w:r>
              <w:rPr>
                <w:rFonts w:ascii="Arial" w:cs="Arial" w:eastAsia="Arial" w:hAnsi="Arial"/>
                <w:sz w:val="16"/>
                <w:szCs w:val="16"/>
                <w:color w:val="auto"/>
              </w:rPr>
              <w:t>​​</w:t>
            </w:r>
          </w:p>
        </w:tc>
        <w:tc>
          <w:tcPr>
            <w:tcW w:w="400" w:type="dxa"/>
            <w:vAlign w:val="bottom"/>
          </w:tcPr>
          <w:p>
            <w:pPr>
              <w:spacing w:after="0" w:line="141" w:lineRule="exact"/>
              <w:rPr>
                <w:sz w:val="20"/>
                <w:szCs w:val="20"/>
                <w:color w:val="auto"/>
              </w:rPr>
            </w:pPr>
            <w:r>
              <w:rPr>
                <w:rFonts w:ascii="Arial" w:cs="Arial" w:eastAsia="Arial" w:hAnsi="Arial"/>
                <w:sz w:val="16"/>
                <w:szCs w:val="16"/>
                <w:color w:val="auto"/>
              </w:rPr>
              <w:t>​</w:t>
            </w:r>
          </w:p>
        </w:tc>
        <w:tc>
          <w:tcPr>
            <w:tcW w:w="300" w:type="dxa"/>
            <w:vAlign w:val="bottom"/>
          </w:tcPr>
          <w:p>
            <w:pPr>
              <w:ind w:left="60"/>
              <w:spacing w:after="0" w:line="141" w:lineRule="exact"/>
              <w:rPr>
                <w:sz w:val="20"/>
                <w:szCs w:val="20"/>
                <w:color w:val="auto"/>
              </w:rPr>
            </w:pPr>
            <w:r>
              <w:rPr>
                <w:rFonts w:ascii="Arial" w:cs="Arial" w:eastAsia="Arial" w:hAnsi="Arial"/>
                <w:sz w:val="16"/>
                <w:szCs w:val="16"/>
                <w:color w:val="auto"/>
              </w:rPr>
              <w:t>​​</w:t>
            </w:r>
          </w:p>
        </w:tc>
        <w:tc>
          <w:tcPr>
            <w:tcW w:w="600" w:type="dxa"/>
            <w:vAlign w:val="bottom"/>
            <w:gridSpan w:val="2"/>
          </w:tcPr>
          <w:p>
            <w:pPr>
              <w:ind w:left="160"/>
              <w:spacing w:after="0" w:line="141"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6"/>
                <w:szCs w:val="16"/>
                <w:b w:val="1"/>
                <w:bCs w:val="1"/>
                <w:color w:val="auto"/>
                <w:vertAlign w:val="subscript"/>
              </w:rPr>
              <w:t>​</w:t>
            </w:r>
            <w:r>
              <w:rPr>
                <w:rFonts w:ascii="MS PGothic" w:cs="MS PGothic" w:eastAsia="MS PGothic" w:hAnsi="MS PGothic"/>
                <w:sz w:val="16"/>
                <w:szCs w:val="16"/>
                <w:color w:val="auto"/>
                <w:highlight w:val="black"/>
                <w:vertAlign w:val="subscript"/>
              </w:rPr>
              <w:t>✓</w:t>
            </w:r>
            <w:r>
              <w:rPr>
                <w:rFonts w:ascii="Arial" w:cs="Arial" w:eastAsia="Arial" w:hAnsi="Arial"/>
                <w:sz w:val="7"/>
                <w:szCs w:val="7"/>
                <w:color w:val="auto"/>
              </w:rPr>
              <w:t>(2)</w:t>
            </w:r>
          </w:p>
        </w:tc>
        <w:tc>
          <w:tcPr>
            <w:tcW w:w="340" w:type="dxa"/>
            <w:vAlign w:val="bottom"/>
          </w:tcPr>
          <w:p>
            <w:pPr>
              <w:ind w:left="120"/>
              <w:spacing w:after="0" w:line="141" w:lineRule="exact"/>
              <w:rPr>
                <w:sz w:val="20"/>
                <w:szCs w:val="20"/>
                <w:color w:val="auto"/>
              </w:rPr>
            </w:pPr>
            <w:r>
              <w:rPr>
                <w:rFonts w:ascii="Arial" w:cs="Arial" w:eastAsia="Arial" w:hAnsi="Arial"/>
                <w:sz w:val="16"/>
                <w:szCs w:val="16"/>
                <w:color w:val="auto"/>
              </w:rPr>
              <w:t>​​</w:t>
            </w:r>
          </w:p>
        </w:tc>
        <w:tc>
          <w:tcPr>
            <w:tcW w:w="300" w:type="dxa"/>
            <w:vAlign w:val="bottom"/>
          </w:tcPr>
          <w:p>
            <w:pPr>
              <w:ind w:left="140"/>
              <w:spacing w:after="0" w:line="141" w:lineRule="exact"/>
              <w:rPr>
                <w:sz w:val="20"/>
                <w:szCs w:val="20"/>
                <w:color w:val="auto"/>
              </w:rPr>
            </w:pPr>
            <w:r>
              <w:rPr>
                <w:rFonts w:ascii="Arial" w:cs="Arial" w:eastAsia="Arial" w:hAnsi="Arial"/>
                <w:sz w:val="16"/>
                <w:szCs w:val="16"/>
                <w:color w:val="auto"/>
              </w:rPr>
              <w:t>​</w:t>
            </w:r>
          </w:p>
        </w:tc>
        <w:tc>
          <w:tcPr>
            <w:tcW w:w="340" w:type="dxa"/>
            <w:vAlign w:val="bottom"/>
          </w:tcPr>
          <w:p>
            <w:pPr>
              <w:spacing w:after="0" w:line="141" w:lineRule="exact"/>
              <w:rPr>
                <w:sz w:val="20"/>
                <w:szCs w:val="20"/>
                <w:color w:val="auto"/>
              </w:rPr>
            </w:pPr>
            <w:r>
              <w:rPr>
                <w:rFonts w:ascii="Arial" w:cs="Arial" w:eastAsia="Arial" w:hAnsi="Arial"/>
                <w:sz w:val="16"/>
                <w:szCs w:val="16"/>
                <w:color w:val="auto"/>
              </w:rPr>
              <w:t>​</w:t>
            </w:r>
          </w:p>
        </w:tc>
        <w:tc>
          <w:tcPr>
            <w:tcW w:w="40" w:type="dxa"/>
            <w:vAlign w:val="bottom"/>
          </w:tcPr>
          <w:p>
            <w:pPr>
              <w:jc w:val="right"/>
              <w:spacing w:after="0" w:line="14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80" w:type="dxa"/>
            <w:vAlign w:val="bottom"/>
          </w:tcPr>
          <w:p>
            <w:pPr>
              <w:spacing w:after="0"/>
              <w:rPr>
                <w:sz w:val="20"/>
                <w:szCs w:val="20"/>
                <w:color w:val="auto"/>
              </w:rPr>
            </w:pPr>
            <w:r>
              <w:rPr>
                <w:rFonts w:ascii="Arial" w:cs="Arial" w:eastAsia="Arial" w:hAnsi="Arial"/>
                <w:sz w:val="16"/>
                <w:szCs w:val="16"/>
                <w:color w:val="auto"/>
              </w:rPr>
              <w:t>Mary​</w:t>
            </w:r>
          </w:p>
        </w:tc>
        <w:tc>
          <w:tcPr>
            <w:tcW w:w="1560" w:type="dxa"/>
            <w:vAlign w:val="bottom"/>
            <w:gridSpan w:val="2"/>
          </w:tcPr>
          <w:p>
            <w:pPr>
              <w:jc w:val="right"/>
              <w:ind w:right="681"/>
              <w:spacing w:after="0"/>
              <w:rPr>
                <w:sz w:val="20"/>
                <w:szCs w:val="20"/>
                <w:color w:val="auto"/>
              </w:rPr>
            </w:pPr>
            <w:r>
              <w:rPr>
                <w:rFonts w:ascii="Arial" w:cs="Arial" w:eastAsia="Arial" w:hAnsi="Arial"/>
                <w:sz w:val="16"/>
                <w:szCs w:val="16"/>
                <w:color w:val="auto"/>
              </w:rPr>
              <w:t>C. Hickok</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29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line="184" w:lineRule="exact"/>
              <w:rPr>
                <w:sz w:val="20"/>
                <w:szCs w:val="20"/>
                <w:color w:val="auto"/>
              </w:rPr>
            </w:pPr>
            <w:r>
              <w:rPr>
                <w:rFonts w:ascii="Arial" w:cs="Arial" w:eastAsia="Arial" w:hAnsi="Arial"/>
                <w:sz w:val="16"/>
                <w:szCs w:val="16"/>
                <w:color w:val="auto"/>
                <w:w w:val="87"/>
              </w:rPr>
              <w:t>​</w:t>
            </w: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6"/>
                <w:szCs w:val="16"/>
                <w:color w:val="auto"/>
              </w:rPr>
            </w:pP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line="184" w:lineRule="exact"/>
              <w:rPr>
                <w:sz w:val="20"/>
                <w:szCs w:val="20"/>
                <w:color w:val="auto"/>
              </w:rPr>
            </w:pPr>
            <w:r>
              <w:rPr>
                <w:rFonts w:ascii="Arial" w:cs="Arial" w:eastAsia="Arial" w:hAnsi="Arial"/>
                <w:sz w:val="16"/>
                <w:szCs w:val="16"/>
                <w:b w:val="1"/>
                <w:bCs w:val="1"/>
                <w:color w:val="auto"/>
                <w:w w:val="74"/>
              </w:rPr>
              <w:t>​</w:t>
            </w:r>
            <w:r>
              <w:rPr>
                <w:rFonts w:ascii="MS PGothic" w:cs="MS PGothic" w:eastAsia="MS PGothic" w:hAnsi="MS PGothic"/>
                <w:sz w:val="16"/>
                <w:szCs w:val="16"/>
                <w:color w:val="auto"/>
                <w:highlight w:val="black"/>
                <w:w w:val="74"/>
              </w:rPr>
              <w:t>✓</w:t>
            </w:r>
          </w:p>
        </w:tc>
        <w:tc>
          <w:tcPr>
            <w:tcW w:w="2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340"/>
              <w:spacing w:after="0" w:line="186"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21"/>
                <w:szCs w:val="21"/>
                <w:b w:val="1"/>
                <w:bCs w:val="1"/>
                <w:color w:val="auto"/>
                <w:vertAlign w:val="subscript"/>
              </w:rPr>
              <w:t>​</w:t>
            </w:r>
            <w:r>
              <w:rPr>
                <w:rFonts w:ascii="MS PGothic" w:cs="MS PGothic" w:eastAsia="MS PGothic" w:hAnsi="MS PGothic"/>
                <w:sz w:val="21"/>
                <w:szCs w:val="21"/>
                <w:color w:val="auto"/>
                <w:highlight w:val="black"/>
                <w:vertAlign w:val="subscript"/>
              </w:rPr>
              <w:t>✓</w:t>
            </w:r>
            <w:r>
              <w:rPr>
                <w:rFonts w:ascii="Arial" w:cs="Arial" w:eastAsia="Arial" w:hAnsi="Arial"/>
                <w:sz w:val="8"/>
                <w:szCs w:val="8"/>
                <w:color w:val="auto"/>
              </w:rPr>
              <w:t>(2)</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80" w:type="dxa"/>
            <w:vAlign w:val="bottom"/>
            <w:gridSpan w:val="2"/>
          </w:tcPr>
          <w:p>
            <w:pPr>
              <w:spacing w:after="0"/>
              <w:rPr>
                <w:sz w:val="20"/>
                <w:szCs w:val="20"/>
                <w:color w:val="auto"/>
              </w:rPr>
            </w:pPr>
            <w:r>
              <w:rPr>
                <w:rFonts w:ascii="Arial" w:cs="Arial" w:eastAsia="Arial" w:hAnsi="Arial"/>
                <w:sz w:val="16"/>
                <w:szCs w:val="16"/>
                <w:color w:val="auto"/>
              </w:rPr>
              <w:t>Joseph​</w:t>
            </w:r>
          </w:p>
        </w:tc>
        <w:tc>
          <w:tcPr>
            <w:tcW w:w="1360" w:type="dxa"/>
            <w:vAlign w:val="bottom"/>
          </w:tcPr>
          <w:p>
            <w:pPr>
              <w:jc w:val="right"/>
              <w:ind w:right="381"/>
              <w:spacing w:after="0"/>
              <w:rPr>
                <w:sz w:val="20"/>
                <w:szCs w:val="20"/>
                <w:color w:val="auto"/>
              </w:rPr>
            </w:pPr>
            <w:r>
              <w:rPr>
                <w:rFonts w:ascii="Arial" w:cs="Arial" w:eastAsia="Arial" w:hAnsi="Arial"/>
                <w:sz w:val="16"/>
                <w:szCs w:val="16"/>
                <w:color w:val="auto"/>
              </w:rPr>
              <w:t>L. Morettini</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line="184" w:lineRule="exact"/>
              <w:rPr>
                <w:sz w:val="20"/>
                <w:szCs w:val="20"/>
                <w:color w:val="auto"/>
              </w:rPr>
            </w:pPr>
            <w:r>
              <w:rPr>
                <w:rFonts w:ascii="Arial" w:cs="Arial" w:eastAsia="Arial" w:hAnsi="Arial"/>
                <w:sz w:val="16"/>
                <w:szCs w:val="16"/>
                <w:color w:val="auto"/>
                <w:w w:val="87"/>
              </w:rPr>
              <w:t>​</w:t>
            </w: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9"/>
                <w:szCs w:val="19"/>
                <w:color w:val="auto"/>
              </w:rPr>
            </w:pP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line="184" w:lineRule="exact"/>
              <w:rPr>
                <w:sz w:val="20"/>
                <w:szCs w:val="20"/>
                <w:color w:val="auto"/>
              </w:rPr>
            </w:pPr>
            <w:r>
              <w:rPr>
                <w:rFonts w:ascii="Arial" w:cs="Arial" w:eastAsia="Arial" w:hAnsi="Arial"/>
                <w:sz w:val="16"/>
                <w:szCs w:val="16"/>
                <w:b w:val="1"/>
                <w:bCs w:val="1"/>
                <w:color w:val="auto"/>
                <w:w w:val="74"/>
              </w:rPr>
              <w:t>​</w:t>
            </w:r>
            <w:r>
              <w:rPr>
                <w:rFonts w:ascii="MS PGothic" w:cs="MS PGothic" w:eastAsia="MS PGothic" w:hAnsi="MS PGothic"/>
                <w:sz w:val="16"/>
                <w:szCs w:val="16"/>
                <w:color w:val="auto"/>
                <w:highlight w:val="black"/>
                <w:w w:val="74"/>
              </w:rPr>
              <w:t>✓</w:t>
            </w:r>
          </w:p>
        </w:tc>
        <w:tc>
          <w:tcPr>
            <w:tcW w:w="2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14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MS PGothic" w:cs="MS PGothic" w:eastAsia="MS PGothic" w:hAnsi="MS PGothic"/>
                <w:sz w:val="25"/>
                <w:szCs w:val="25"/>
                <w:color w:val="auto"/>
                <w:highlight w:val="black"/>
                <w:vertAlign w:val="subscript"/>
              </w:rPr>
              <w:t>✓</w:t>
            </w:r>
            <w:r>
              <w:rPr>
                <w:rFonts w:ascii="Arial" w:cs="Arial" w:eastAsia="Arial" w:hAnsi="Arial"/>
                <w:sz w:val="9"/>
                <w:szCs w:val="9"/>
                <w:color w:val="auto"/>
              </w:rPr>
              <w:t>(2)</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940" w:type="dxa"/>
            <w:vAlign w:val="bottom"/>
            <w:gridSpan w:val="3"/>
          </w:tcPr>
          <w:p>
            <w:pPr>
              <w:spacing w:after="0" w:line="159" w:lineRule="exact"/>
              <w:rPr>
                <w:sz w:val="20"/>
                <w:szCs w:val="20"/>
                <w:color w:val="auto"/>
              </w:rPr>
            </w:pPr>
            <w:r>
              <w:rPr>
                <w:rFonts w:ascii="Arial" w:cs="Arial" w:eastAsia="Arial" w:hAnsi="Arial"/>
                <w:sz w:val="15"/>
                <w:szCs w:val="15"/>
                <w:color w:val="auto"/>
              </w:rPr>
              <w:t>Roland Müller-Ineichen</w:t>
            </w:r>
            <w:r>
              <w:rPr>
                <w:rFonts w:ascii="Arial" w:cs="Arial" w:eastAsia="Arial" w:hAnsi="Arial"/>
                <w:sz w:val="18"/>
                <w:szCs w:val="18"/>
                <w:color w:val="auto"/>
                <w:vertAlign w:val="superscript"/>
              </w:rPr>
              <w:t>(3)</w:t>
            </w:r>
          </w:p>
        </w:tc>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62</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40"/>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ind w:left="160"/>
              <w:spacing w:after="0" w:line="184" w:lineRule="exact"/>
              <w:rPr>
                <w:sz w:val="20"/>
                <w:szCs w:val="20"/>
                <w:color w:val="auto"/>
              </w:rPr>
            </w:pPr>
            <w:r>
              <w:rPr>
                <w:rFonts w:ascii="Arial" w:cs="Arial" w:eastAsia="Arial" w:hAnsi="Arial"/>
                <w:sz w:val="16"/>
                <w:szCs w:val="16"/>
                <w:color w:val="auto"/>
                <w:w w:val="87"/>
              </w:rPr>
              <w:t>​</w:t>
            </w: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3"/>
                <w:szCs w:val="13"/>
                <w:color w:val="auto"/>
              </w:rPr>
            </w:pPr>
          </w:p>
        </w:tc>
        <w:tc>
          <w:tcPr>
            <w:tcW w:w="38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140"/>
              <w:spacing w:after="0" w:line="184" w:lineRule="exact"/>
              <w:rPr>
                <w:sz w:val="20"/>
                <w:szCs w:val="20"/>
                <w:color w:val="auto"/>
              </w:rPr>
            </w:pPr>
            <w:r>
              <w:rPr>
                <w:rFonts w:ascii="Arial" w:cs="Arial" w:eastAsia="Arial" w:hAnsi="Arial"/>
                <w:sz w:val="16"/>
                <w:szCs w:val="16"/>
                <w:b w:val="1"/>
                <w:bCs w:val="1"/>
                <w:color w:val="auto"/>
                <w:w w:val="74"/>
              </w:rPr>
              <w:t>​</w:t>
            </w:r>
            <w:r>
              <w:rPr>
                <w:rFonts w:ascii="MS PGothic" w:cs="MS PGothic" w:eastAsia="MS PGothic" w:hAnsi="MS PGothic"/>
                <w:sz w:val="16"/>
                <w:szCs w:val="16"/>
                <w:color w:val="auto"/>
                <w:highlight w:val="black"/>
                <w:w w:val="74"/>
              </w:rPr>
              <w:t>✓</w:t>
            </w:r>
          </w:p>
        </w:tc>
        <w:tc>
          <w:tcPr>
            <w:tcW w:w="320" w:type="dxa"/>
            <w:vAlign w:val="bottom"/>
          </w:tcPr>
          <w:p>
            <w:pPr>
              <w:spacing w:after="0"/>
              <w:rPr>
                <w:sz w:val="20"/>
                <w:szCs w:val="20"/>
                <w:color w:val="auto"/>
              </w:rPr>
            </w:pPr>
            <w:r>
              <w:rPr>
                <w:rFonts w:ascii="Arial" w:cs="Arial" w:eastAsia="Arial" w:hAnsi="Arial"/>
                <w:sz w:val="10"/>
                <w:szCs w:val="10"/>
                <w:color w:val="auto"/>
              </w:rPr>
              <w:t>(2)</w:t>
            </w:r>
          </w:p>
        </w:tc>
        <w:tc>
          <w:tcPr>
            <w:tcW w:w="1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220"/>
              <w:spacing w:after="0" w:line="184" w:lineRule="exact"/>
              <w:rPr>
                <w:sz w:val="20"/>
                <w:szCs w:val="20"/>
                <w:color w:val="auto"/>
              </w:rPr>
            </w:pPr>
            <w:r>
              <w:rPr>
                <w:rFonts w:ascii="Arial" w:cs="Arial" w:eastAsia="Arial" w:hAnsi="Arial"/>
                <w:sz w:val="16"/>
                <w:szCs w:val="16"/>
                <w:b w:val="1"/>
                <w:bCs w:val="1"/>
                <w:color w:val="auto"/>
                <w:w w:val="74"/>
              </w:rPr>
              <w:t>​</w:t>
            </w:r>
            <w:r>
              <w:rPr>
                <w:rFonts w:ascii="MS PGothic" w:cs="MS PGothic" w:eastAsia="MS PGothic" w:hAnsi="MS PGothic"/>
                <w:sz w:val="16"/>
                <w:szCs w:val="16"/>
                <w:color w:val="auto"/>
                <w:highlight w:val="black"/>
                <w:w w:val="74"/>
              </w:rPr>
              <w:t>✓</w:t>
            </w:r>
          </w:p>
        </w:tc>
        <w:tc>
          <w:tcPr>
            <w:tcW w:w="240" w:type="dxa"/>
            <w:vAlign w:val="bottom"/>
          </w:tcPr>
          <w:p>
            <w:pPr>
              <w:spacing w:after="0"/>
              <w:rPr>
                <w:sz w:val="20"/>
                <w:szCs w:val="20"/>
                <w:color w:val="auto"/>
              </w:rPr>
            </w:pPr>
            <w:r>
              <w:rPr>
                <w:rFonts w:ascii="Arial" w:cs="Arial" w:eastAsia="Arial" w:hAnsi="Arial"/>
                <w:sz w:val="10"/>
                <w:szCs w:val="10"/>
                <w:color w:val="auto"/>
              </w:rPr>
              <w:t>(2)</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340"/>
              <w:spacing w:after="0" w:line="184"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MS PGothic" w:cs="MS PGothic" w:eastAsia="MS PGothic" w:hAnsi="MS PGothic"/>
                <w:sz w:val="16"/>
                <w:szCs w:val="16"/>
                <w:color w:val="auto"/>
                <w:highlight w:val="black"/>
              </w:rPr>
              <w:t>✓</w:t>
            </w:r>
          </w:p>
        </w:tc>
        <w:tc>
          <w:tcPr>
            <w:tcW w:w="40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14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340" w:type="dxa"/>
            <w:vAlign w:val="bottom"/>
          </w:tcPr>
          <w:p>
            <w:pPr>
              <w:spacing w:after="0"/>
              <w:rPr>
                <w:sz w:val="13"/>
                <w:szCs w:val="13"/>
                <w:color w:val="auto"/>
              </w:rPr>
            </w:pPr>
          </w:p>
        </w:tc>
        <w:tc>
          <w:tcPr>
            <w:tcW w:w="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380" w:type="dxa"/>
            <w:vAlign w:val="bottom"/>
          </w:tcPr>
          <w:p>
            <w:pPr>
              <w:spacing w:after="0" w:line="53" w:lineRule="exact"/>
              <w:rPr>
                <w:sz w:val="20"/>
                <w:szCs w:val="20"/>
                <w:color w:val="auto"/>
              </w:rPr>
            </w:pPr>
            <w:r>
              <w:rPr>
                <w:rFonts w:ascii="Arial" w:cs="Arial" w:eastAsia="Arial" w:hAnsi="Arial"/>
                <w:sz w:val="6"/>
                <w:szCs w:val="6"/>
                <w:color w:val="auto"/>
              </w:rPr>
              <w:t>​</w:t>
            </w: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80" w:type="dxa"/>
            <w:vAlign w:val="bottom"/>
            <w:gridSpan w:val="2"/>
          </w:tcPr>
          <w:p>
            <w:pPr>
              <w:spacing w:after="0"/>
              <w:rPr>
                <w:sz w:val="20"/>
                <w:szCs w:val="20"/>
                <w:color w:val="auto"/>
              </w:rPr>
            </w:pPr>
            <w:r>
              <w:rPr>
                <w:rFonts w:ascii="Arial" w:cs="Arial" w:eastAsia="Arial" w:hAnsi="Arial"/>
                <w:sz w:val="16"/>
                <w:szCs w:val="16"/>
                <w:color w:val="auto"/>
              </w:rPr>
              <w:t>William​</w:t>
            </w:r>
          </w:p>
        </w:tc>
        <w:tc>
          <w:tcPr>
            <w:tcW w:w="1360" w:type="dxa"/>
            <w:vAlign w:val="bottom"/>
          </w:tcPr>
          <w:p>
            <w:pPr>
              <w:jc w:val="right"/>
              <w:ind w:right="461"/>
              <w:spacing w:after="0"/>
              <w:rPr>
                <w:sz w:val="20"/>
                <w:szCs w:val="20"/>
                <w:color w:val="auto"/>
              </w:rPr>
            </w:pPr>
            <w:r>
              <w:rPr>
                <w:rFonts w:ascii="Arial" w:cs="Arial" w:eastAsia="Arial" w:hAnsi="Arial"/>
                <w:sz w:val="16"/>
                <w:szCs w:val="16"/>
                <w:color w:val="auto"/>
              </w:rPr>
              <w:t>B. Shepro</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ind w:left="40"/>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line="184" w:lineRule="exact"/>
              <w:rPr>
                <w:sz w:val="20"/>
                <w:szCs w:val="20"/>
                <w:color w:val="auto"/>
              </w:rPr>
            </w:pPr>
            <w:r>
              <w:rPr>
                <w:rFonts w:ascii="Arial" w:cs="Arial" w:eastAsia="Arial" w:hAnsi="Arial"/>
                <w:sz w:val="16"/>
                <w:szCs w:val="16"/>
                <w:b w:val="1"/>
                <w:bCs w:val="1"/>
                <w:color w:val="auto"/>
                <w:w w:val="74"/>
              </w:rPr>
              <w:t>​</w:t>
            </w:r>
            <w:r>
              <w:rPr>
                <w:rFonts w:ascii="MS PGothic" w:cs="MS PGothic" w:eastAsia="MS PGothic" w:hAnsi="MS PGothic"/>
                <w:sz w:val="16"/>
                <w:szCs w:val="16"/>
                <w:color w:val="auto"/>
                <w:highlight w:val="black"/>
                <w:w w:val="74"/>
              </w:rPr>
              <w:t>✓</w:t>
            </w:r>
          </w:p>
        </w:tc>
        <w:tc>
          <w:tcPr>
            <w:tcW w:w="320" w:type="dxa"/>
            <w:vAlign w:val="bottom"/>
          </w:tcPr>
          <w:p>
            <w:pPr>
              <w:spacing w:after="0"/>
              <w:rPr>
                <w:sz w:val="17"/>
                <w:szCs w:val="17"/>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line="184"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MS PGothic" w:cs="MS PGothic" w:eastAsia="MS PGothic" w:hAnsi="MS PGothic"/>
                <w:sz w:val="16"/>
                <w:szCs w:val="16"/>
                <w:color w:val="auto"/>
                <w:highlight w:val="black"/>
              </w:rPr>
              <w:t>✓</w:t>
            </w:r>
          </w:p>
        </w:tc>
        <w:tc>
          <w:tcPr>
            <w:tcW w:w="240" w:type="dxa"/>
            <w:vAlign w:val="bottom"/>
          </w:tcPr>
          <w:p>
            <w:pPr>
              <w:spacing w:after="0"/>
              <w:rPr>
                <w:sz w:val="17"/>
                <w:szCs w:val="17"/>
                <w:color w:val="auto"/>
              </w:rPr>
            </w:pP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-621030</wp:posOffset>
            </wp:positionV>
            <wp:extent cx="5420360" cy="126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20360" cy="12636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-377825</wp:posOffset>
            </wp:positionV>
            <wp:extent cx="5420360" cy="1174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20360" cy="11747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-125730</wp:posOffset>
            </wp:positionV>
            <wp:extent cx="5420360" cy="126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20360" cy="126365"/>
                    </a:xfrm>
                    <a:prstGeom prst="rect">
                      <a:avLst/>
                    </a:prstGeom>
                    <a:noFill/>
                  </pic:spPr>
                </pic:pic>
              </a:graphicData>
            </a:graphic>
          </wp:anchor>
        </w:drawing>
      </w:r>
    </w:p>
    <w:p>
      <w:pPr>
        <w:ind w:left="1580" w:hanging="359"/>
        <w:spacing w:after="0" w:line="218" w:lineRule="auto"/>
        <w:tabs>
          <w:tab w:leader="none" w:pos="158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As of March 24, 2023</w:t>
      </w:r>
    </w:p>
    <w:p>
      <w:pPr>
        <w:spacing w:after="0" w:line="71" w:lineRule="exact"/>
        <w:rPr>
          <w:rFonts w:ascii="Arial" w:cs="Arial" w:eastAsia="Arial" w:hAnsi="Arial"/>
          <w:sz w:val="25"/>
          <w:szCs w:val="25"/>
          <w:color w:val="auto"/>
          <w:vertAlign w:val="superscript"/>
        </w:rPr>
      </w:pPr>
    </w:p>
    <w:p>
      <w:pPr>
        <w:ind w:left="1580" w:hanging="359"/>
        <w:spacing w:after="0" w:line="183" w:lineRule="auto"/>
        <w:tabs>
          <w:tab w:leader="none" w:pos="15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Committee Chair</w:t>
      </w:r>
    </w:p>
    <w:p>
      <w:pPr>
        <w:spacing w:after="0" w:line="58" w:lineRule="exact"/>
        <w:rPr>
          <w:rFonts w:ascii="Arial" w:cs="Arial" w:eastAsia="Arial" w:hAnsi="Arial"/>
          <w:sz w:val="22"/>
          <w:szCs w:val="22"/>
          <w:color w:val="auto"/>
          <w:vertAlign w:val="superscript"/>
        </w:rPr>
      </w:pPr>
    </w:p>
    <w:p>
      <w:pPr>
        <w:ind w:left="1580" w:hanging="359"/>
        <w:spacing w:after="0" w:line="183" w:lineRule="auto"/>
        <w:tabs>
          <w:tab w:leader="none" w:pos="15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Lead Independent Director</w:t>
      </w:r>
    </w:p>
    <w:p>
      <w:pPr>
        <w:spacing w:after="0" w:line="146" w:lineRule="exact"/>
        <w:rPr>
          <w:sz w:val="20"/>
          <w:szCs w:val="20"/>
          <w:color w:val="auto"/>
        </w:rPr>
      </w:pPr>
    </w:p>
    <w:p>
      <w:pPr>
        <w:ind w:left="1220" w:right="620"/>
        <w:spacing w:after="0" w:line="274" w:lineRule="auto"/>
        <w:rPr>
          <w:sz w:val="20"/>
          <w:szCs w:val="20"/>
          <w:color w:val="auto"/>
        </w:rPr>
      </w:pPr>
      <w:r>
        <w:rPr>
          <w:rFonts w:ascii="Arial" w:cs="Arial" w:eastAsia="Arial" w:hAnsi="Arial"/>
          <w:sz w:val="18"/>
          <w:szCs w:val="18"/>
          <w:color w:val="auto"/>
        </w:rPr>
        <w:t>We believe that the proposed Board composition will be well-balanced in terms of length of Director tenure between more experienced Directors and more recently appointed Directors.</w:t>
      </w:r>
    </w:p>
    <w:p>
      <w:pPr>
        <w:spacing w:after="0" w:line="83" w:lineRule="exact"/>
        <w:rPr>
          <w:sz w:val="20"/>
          <w:szCs w:val="20"/>
          <w:color w:val="auto"/>
        </w:rPr>
      </w:pPr>
    </w:p>
    <w:p>
      <w:pPr>
        <w:ind w:left="1220" w:right="620"/>
        <w:spacing w:after="0" w:line="255" w:lineRule="auto"/>
        <w:rPr>
          <w:sz w:val="20"/>
          <w:szCs w:val="20"/>
          <w:color w:val="auto"/>
        </w:rPr>
      </w:pPr>
      <w:r>
        <w:rPr>
          <w:rFonts w:ascii="Arial" w:cs="Arial" w:eastAsia="Arial" w:hAnsi="Arial"/>
          <w:sz w:val="18"/>
          <w:szCs w:val="18"/>
          <w:color w:val="auto"/>
        </w:rPr>
        <w:t>The principal occupation for the last five (5) years and additional biographical information of each nominee for Director are set forth below. The nominees for Director collectively bring a wealth of leadership experience and insight derived from relevant industry experience, education and training, service in executive and managerial roles, and board experience.</w:t>
      </w:r>
    </w:p>
    <w:p>
      <w:pPr>
        <w:spacing w:after="0" w:line="113" w:lineRule="exact"/>
        <w:rPr>
          <w:sz w:val="20"/>
          <w:szCs w:val="20"/>
          <w:color w:val="auto"/>
        </w:rPr>
      </w:pPr>
    </w:p>
    <w:p>
      <w:pPr>
        <w:ind w:left="1220" w:right="540"/>
        <w:spacing w:after="0" w:line="247" w:lineRule="auto"/>
        <w:rPr>
          <w:sz w:val="20"/>
          <w:szCs w:val="20"/>
          <w:color w:val="auto"/>
        </w:rPr>
      </w:pPr>
      <w:r>
        <w:rPr>
          <w:rFonts w:ascii="Arial" w:cs="Arial" w:eastAsia="Arial" w:hAnsi="Arial"/>
          <w:sz w:val="18"/>
          <w:szCs w:val="18"/>
          <w:b w:val="1"/>
          <w:bCs w:val="1"/>
          <w:i w:val="1"/>
          <w:iCs w:val="1"/>
          <w:color w:val="auto"/>
        </w:rPr>
        <w:t xml:space="preserve">John. G. Aldridge, Jr. </w:t>
      </w:r>
      <w:r>
        <w:rPr>
          <w:rFonts w:ascii="Arial" w:cs="Arial" w:eastAsia="Arial" w:hAnsi="Arial"/>
          <w:sz w:val="18"/>
          <w:szCs w:val="18"/>
          <w:color w:val="auto"/>
        </w:rPr>
        <w:t>Mr. Aldridge was appointed as a member of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Altisource in May 2022. Mr. Aldridge is the founder and managing partner of Aldridge|Pite, LLP (“Aldridge Pite”), a multi-state law firm focusing on the representation of banks, financial institutions, mortgage servicing entities and institutional investors with respect to all facets of the commercial and residential real estate life cycle. Aldridge Pite counts among its client base the 30 largest servicing and financial institutions in the country as well as all governmental enterprises engaged in the mortgage industry. Mr. Aldridge is also the Senior Partner at Aldridge|Pite|Haan, LLP, a multi-state collections law firm with a primary emphasis on consumer and commercial collections. Mr. Aldridge founded, owned, operated and sold numerous companies involved in the real estate industry, including title companies, trustee companies, service of process companies, technology (as a service) companies and technology and business process consulting companies. Mr. Aldridge currently sits on the Board of Directors of a privately held title company. Mr. Aldridge has served on industry Boards as well, including most recently the United States Foreclosure Network, and is a frequent speaker at mortgage banking and real estate conferences across the country.</w:t>
      </w:r>
    </w:p>
    <w:p>
      <w:pPr>
        <w:spacing w:after="0" w:line="210" w:lineRule="exact"/>
        <w:rPr>
          <w:sz w:val="20"/>
          <w:szCs w:val="20"/>
          <w:color w:val="auto"/>
        </w:rPr>
      </w:pPr>
    </w:p>
    <w:p>
      <w:pPr>
        <w:ind w:left="1220" w:right="920"/>
        <w:spacing w:after="0" w:line="255" w:lineRule="auto"/>
        <w:rPr>
          <w:sz w:val="20"/>
          <w:szCs w:val="20"/>
          <w:color w:val="auto"/>
        </w:rPr>
      </w:pPr>
      <w:r>
        <w:rPr>
          <w:rFonts w:ascii="Arial" w:cs="Arial" w:eastAsia="Arial" w:hAnsi="Arial"/>
          <w:sz w:val="18"/>
          <w:szCs w:val="18"/>
          <w:color w:val="auto"/>
        </w:rPr>
        <w:t>Mr. Aldridge holds a Bachelor of Science in Political Science from the University of North Carolina at Chapel Hill and a Juris Doctor from Emory University School of Law.</w:t>
      </w:r>
    </w:p>
    <w:p>
      <w:pPr>
        <w:spacing w:after="0" w:line="113" w:lineRule="exact"/>
        <w:rPr>
          <w:sz w:val="20"/>
          <w:szCs w:val="20"/>
          <w:color w:val="auto"/>
        </w:rPr>
      </w:pPr>
    </w:p>
    <w:p>
      <w:pPr>
        <w:ind w:left="1220" w:right="660"/>
        <w:spacing w:after="0" w:line="259" w:lineRule="auto"/>
        <w:rPr>
          <w:sz w:val="20"/>
          <w:szCs w:val="20"/>
          <w:color w:val="auto"/>
        </w:rPr>
      </w:pPr>
      <w:r>
        <w:rPr>
          <w:rFonts w:ascii="Arial" w:cs="Arial" w:eastAsia="Arial" w:hAnsi="Arial"/>
          <w:sz w:val="18"/>
          <w:szCs w:val="18"/>
          <w:color w:val="auto"/>
        </w:rPr>
        <w:t>Mr. Aldridge was selected to serve on our Board based on his mortgage industry knowledge and extensive relationships, developed through professional engagements, with senior management of companies engaged in</w:t>
      </w:r>
    </w:p>
    <w:p>
      <w:pPr>
        <w:spacing w:after="0" w:line="34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800"/>
          </w:cols>
          <w:pgMar w:left="700" w:top="95" w:right="139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77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-215900</wp:posOffset>
            </wp:positionV>
            <wp:extent cx="982980" cy="142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82980" cy="142875"/>
                    </a:xfrm>
                    <a:prstGeom prst="rect">
                      <a:avLst/>
                    </a:prstGeom>
                    <a:noFill/>
                  </pic:spPr>
                </pic:pic>
              </a:graphicData>
            </a:graphic>
          </wp:anchor>
        </w:drawing>
      </w:r>
    </w:p>
    <w:p>
      <w:pPr>
        <w:spacing w:after="0" w:line="112" w:lineRule="exact"/>
        <w:rPr>
          <w:sz w:val="20"/>
          <w:szCs w:val="20"/>
          <w:color w:val="auto"/>
        </w:rPr>
      </w:pPr>
    </w:p>
    <w:p>
      <w:pPr>
        <w:ind w:left="1220" w:right="1159"/>
        <w:spacing w:after="0" w:line="258" w:lineRule="auto"/>
        <w:rPr>
          <w:sz w:val="20"/>
          <w:szCs w:val="20"/>
          <w:color w:val="auto"/>
        </w:rPr>
      </w:pPr>
      <w:r>
        <w:rPr>
          <w:rFonts w:ascii="Arial" w:cs="Arial" w:eastAsia="Arial" w:hAnsi="Arial"/>
          <w:sz w:val="18"/>
          <w:szCs w:val="18"/>
          <w:color w:val="auto"/>
        </w:rPr>
        <w:t>mortgage origination and servicing. Mr. Aldridge’s appointment may serve to enhance Altisource’s client relationships and lead to additional business opportunities.</w:t>
      </w:r>
    </w:p>
    <w:p>
      <w:pPr>
        <w:spacing w:after="0" w:line="98" w:lineRule="exact"/>
        <w:rPr>
          <w:sz w:val="20"/>
          <w:szCs w:val="20"/>
          <w:color w:val="auto"/>
        </w:rPr>
      </w:pPr>
    </w:p>
    <w:p>
      <w:pPr>
        <w:ind w:left="1220" w:right="519"/>
        <w:spacing w:after="0"/>
        <w:rPr>
          <w:sz w:val="20"/>
          <w:szCs w:val="20"/>
          <w:color w:val="auto"/>
        </w:rPr>
      </w:pPr>
      <w:r>
        <w:rPr>
          <w:rFonts w:ascii="Arial" w:cs="Arial" w:eastAsia="Arial" w:hAnsi="Arial"/>
          <w:sz w:val="18"/>
          <w:szCs w:val="18"/>
          <w:b w:val="1"/>
          <w:bCs w:val="1"/>
          <w:i w:val="1"/>
          <w:iCs w:val="1"/>
          <w:color w:val="auto"/>
        </w:rPr>
        <w:t xml:space="preserve">Mary C. Hickok. </w:t>
      </w:r>
      <w:r>
        <w:rPr>
          <w:rFonts w:ascii="Arial" w:cs="Arial" w:eastAsia="Arial" w:hAnsi="Arial"/>
          <w:sz w:val="18"/>
          <w:szCs w:val="18"/>
          <w:color w:val="auto"/>
        </w:rPr>
        <w:t>Ms. Hickok was appointed as a member of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Altisource in March 2022. Ms. Hickok serves as Managing Director at Deer Park Road Management Company, LP (“Deer Park”), an alternative investment management firm, where she is responsible for leading the Flywheel SFR Fund, a single-family rental strategy. Prior to joining Deer Park in July 2020, Ms. Hickok served as Associate, Fixed Income Sales and Trading at Morgan Stanley from July 2017 to July 2020. Ms. Hickok holds a Bachelor of Arts in Economics and Foreign Affairs from the University of Virginia.</w:t>
      </w:r>
    </w:p>
    <w:p>
      <w:pPr>
        <w:spacing w:after="0" w:line="113" w:lineRule="exact"/>
        <w:rPr>
          <w:sz w:val="20"/>
          <w:szCs w:val="20"/>
          <w:color w:val="auto"/>
        </w:rPr>
      </w:pPr>
    </w:p>
    <w:p>
      <w:pPr>
        <w:ind w:left="1220" w:right="539"/>
        <w:spacing w:after="0"/>
        <w:rPr>
          <w:sz w:val="20"/>
          <w:szCs w:val="20"/>
          <w:color w:val="auto"/>
        </w:rPr>
      </w:pPr>
      <w:r>
        <w:rPr>
          <w:rFonts w:ascii="Arial" w:cs="Arial" w:eastAsia="Arial" w:hAnsi="Arial"/>
          <w:sz w:val="18"/>
          <w:szCs w:val="18"/>
          <w:color w:val="auto"/>
        </w:rPr>
        <w:t>As Managing Director of the Flywheel SFR Fund of Deer Park and previously as an Associate at Morgan Stanley, Ms. Hickok has expertise and experience in business advisory services and asset management, including real estate and mortgage-related investments, that makes her financially literate and qualifies her as a financial expert as defined by Nasdaq listing standards and SEC rules. Deer Park’s position as an investor in the Company has provided Ms. Hickok with a thorough understanding of our business and unique insight into the interests of our long-term investors.</w:t>
      </w:r>
    </w:p>
    <w:p>
      <w:pPr>
        <w:spacing w:after="0" w:line="320" w:lineRule="exact"/>
        <w:rPr>
          <w:sz w:val="20"/>
          <w:szCs w:val="20"/>
          <w:color w:val="auto"/>
        </w:rPr>
      </w:pPr>
    </w:p>
    <w:p>
      <w:pPr>
        <w:ind w:left="1220" w:right="579"/>
        <w:spacing w:after="0" w:line="237" w:lineRule="auto"/>
        <w:rPr>
          <w:sz w:val="20"/>
          <w:szCs w:val="20"/>
          <w:color w:val="auto"/>
        </w:rPr>
      </w:pPr>
      <w:r>
        <w:rPr>
          <w:rFonts w:ascii="Arial" w:cs="Arial" w:eastAsia="Arial" w:hAnsi="Arial"/>
          <w:sz w:val="18"/>
          <w:szCs w:val="18"/>
          <w:b w:val="1"/>
          <w:bCs w:val="1"/>
          <w:i w:val="1"/>
          <w:iCs w:val="1"/>
          <w:color w:val="auto"/>
        </w:rPr>
        <w:t xml:space="preserve">Joseph L. Morettini. </w:t>
      </w:r>
      <w:r>
        <w:rPr>
          <w:rFonts w:ascii="Arial" w:cs="Arial" w:eastAsia="Arial" w:hAnsi="Arial"/>
          <w:sz w:val="18"/>
          <w:szCs w:val="18"/>
          <w:color w:val="auto"/>
        </w:rPr>
        <w:t>Mr. Morettini was appointed to the Board of Directors of Altisource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2017. Mr. Morettini served as Partner of Deloitte &amp; Touche LLP (“Deloitte”) from 1989 until his 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and he was the external audit partner assigned to Altisource from August 2009 to February 2014.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121" w:lineRule="exact"/>
        <w:rPr>
          <w:sz w:val="20"/>
          <w:szCs w:val="20"/>
          <w:color w:val="auto"/>
        </w:rPr>
      </w:pPr>
    </w:p>
    <w:p>
      <w:pPr>
        <w:ind w:left="1220" w:right="659"/>
        <w:spacing w:after="0" w:line="245" w:lineRule="auto"/>
        <w:rPr>
          <w:sz w:val="20"/>
          <w:szCs w:val="20"/>
          <w:color w:val="auto"/>
        </w:rPr>
      </w:pPr>
      <w:r>
        <w:rPr>
          <w:rFonts w:ascii="Arial" w:cs="Arial" w:eastAsia="Arial" w:hAnsi="Arial"/>
          <w:sz w:val="18"/>
          <w:szCs w:val="18"/>
          <w:color w:val="auto"/>
        </w:rPr>
        <w:t>Mr. Morettini’s extensive experience with large financial institutions and public corporations in the financial services and mortgage servicing industries and his thirty plus years of experience with Deloitte provide our Board of Directors with valuable insight from an accounting and auditing perspective. Mr. Morettini is financially literate and qualifies as a financial expert as defined by the Nasdaq listing standards and SEC rules.</w:t>
      </w:r>
    </w:p>
    <w:p>
      <w:pPr>
        <w:spacing w:after="0" w:line="95" w:lineRule="exact"/>
        <w:rPr>
          <w:sz w:val="20"/>
          <w:szCs w:val="20"/>
          <w:color w:val="auto"/>
        </w:rPr>
      </w:pPr>
    </w:p>
    <w:p>
      <w:pPr>
        <w:ind w:left="1220" w:right="519"/>
        <w:spacing w:after="0"/>
        <w:rPr>
          <w:sz w:val="20"/>
          <w:szCs w:val="20"/>
          <w:color w:val="auto"/>
        </w:rPr>
      </w:pPr>
      <w:r>
        <w:rPr>
          <w:rFonts w:ascii="Arial" w:cs="Arial" w:eastAsia="Arial" w:hAnsi="Arial"/>
          <w:sz w:val="18"/>
          <w:szCs w:val="18"/>
          <w:b w:val="1"/>
          <w:bCs w:val="1"/>
          <w:i w:val="1"/>
          <w:iCs w:val="1"/>
          <w:color w:val="auto"/>
        </w:rPr>
        <w:t xml:space="preserve">Roland Müller-Ineichen. </w:t>
      </w:r>
      <w:r>
        <w:rPr>
          <w:rFonts w:ascii="Arial" w:cs="Arial" w:eastAsia="Arial" w:hAnsi="Arial"/>
          <w:sz w:val="18"/>
          <w:szCs w:val="18"/>
          <w:color w:val="auto"/>
        </w:rPr>
        <w:t>Mr. Müller-Ineichen was appointed to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Altisource in July 2009 and as Lead Independent Director in September 2020. He also serves on the Board of Directors of ONE Swiss Bank SA, with offices in Geneva, Zurich and Lugano, Switzerland, which offers advisory, asset management and wealth management services; of SWA Swiss Auditors AG, a private company based in Freienbach, Switzerland that provides auditing and consulting services for financial institutions in Switzerland; of Citibank (Switzerland) AG based in Zurich and Geneva, Switzerland, a subsidiary of Citigroup that provides private banking services to High Net Worth individuals; of Habib Bank Zurich AG, a provider of corporate, personal, private, and correspondent banking products based in Zurich; and of TradeXBank AG (Switzerland) based in Zurich, Switzerland, offering trade finance and corporate banking services. In addition, from October 2012 until March 2022, Mr. Müller-Ineichen served as a member of the Board of Directors of Sberbank (Switzerland) AG, based in Zurich, Switzerland, a subsidiary of Sberbank Russia, offering trade finance, trading and corporate banking services; and from May 2010 to</w:t>
      </w:r>
    </w:p>
    <w:p>
      <w:pPr>
        <w:spacing w:after="0" w:line="171" w:lineRule="exact"/>
        <w:rPr>
          <w:sz w:val="20"/>
          <w:szCs w:val="20"/>
          <w:color w:val="auto"/>
        </w:rPr>
      </w:pPr>
    </w:p>
    <w:p>
      <w:pPr>
        <w:ind w:left="1220" w:right="499"/>
        <w:spacing w:after="0"/>
        <w:rPr>
          <w:sz w:val="20"/>
          <w:szCs w:val="20"/>
          <w:color w:val="auto"/>
        </w:rPr>
      </w:pPr>
      <w:r>
        <w:rPr>
          <w:rFonts w:ascii="Arial" w:cs="Arial" w:eastAsia="Arial" w:hAnsi="Arial"/>
          <w:sz w:val="18"/>
          <w:szCs w:val="18"/>
          <w:color w:val="auto"/>
        </w:rPr>
        <w:t>September 2011, Mr. Müller- 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 based financial institutions. Mr. Müller -Ineichen is a Swiss Certified Public Accountant. He completed a commercial and banking business apprenticeship with UBS in 1980. Mr. Müller-Ineichen holds a Business Commerce degree.</w:t>
      </w:r>
    </w:p>
    <w:p>
      <w:pPr>
        <w:spacing w:after="0" w:line="283" w:lineRule="exact"/>
        <w:rPr>
          <w:sz w:val="20"/>
          <w:szCs w:val="20"/>
          <w:color w:val="auto"/>
        </w:rPr>
      </w:pPr>
    </w:p>
    <w:p>
      <w:pPr>
        <w:jc w:val="both"/>
        <w:ind w:left="1220" w:right="1019"/>
        <w:spacing w:after="0" w:line="244" w:lineRule="auto"/>
        <w:rPr>
          <w:sz w:val="20"/>
          <w:szCs w:val="20"/>
          <w:color w:val="auto"/>
        </w:rPr>
      </w:pPr>
      <w:r>
        <w:rPr>
          <w:rFonts w:ascii="Arial" w:cs="Arial" w:eastAsia="Arial" w:hAnsi="Arial"/>
          <w:sz w:val="18"/>
          <w:szCs w:val="18"/>
          <w:color w:val="auto"/>
        </w:rPr>
        <w:t>Mr. Müller-Ineichen’s past employment experience provides the Board of Directors with accounting expertise, and his experience in the financial services industry provides the Board of Directors with valuable audit and accounting as well as strategic and financial insights. Furthermore, Mr. Müller-Ineichen is financially literate</w:t>
      </w:r>
    </w:p>
    <w:p>
      <w:pPr>
        <w:spacing w:after="0" w:line="3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77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-215900</wp:posOffset>
            </wp:positionV>
            <wp:extent cx="982980" cy="142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2980" cy="142875"/>
                    </a:xfrm>
                    <a:prstGeom prst="rect">
                      <a:avLst/>
                    </a:prstGeom>
                    <a:noFill/>
                  </pic:spPr>
                </pic:pic>
              </a:graphicData>
            </a:graphic>
          </wp:anchor>
        </w:drawing>
      </w:r>
    </w:p>
    <w:p>
      <w:pPr>
        <w:spacing w:after="0" w:line="112" w:lineRule="exact"/>
        <w:rPr>
          <w:sz w:val="20"/>
          <w:szCs w:val="20"/>
          <w:color w:val="auto"/>
        </w:rPr>
      </w:pPr>
    </w:p>
    <w:p>
      <w:pPr>
        <w:jc w:val="both"/>
        <w:ind w:left="1220" w:right="519"/>
        <w:spacing w:after="0" w:line="259" w:lineRule="auto"/>
        <w:rPr>
          <w:sz w:val="20"/>
          <w:szCs w:val="20"/>
          <w:color w:val="auto"/>
        </w:rPr>
      </w:pPr>
      <w:r>
        <w:rPr>
          <w:rFonts w:ascii="Arial" w:cs="Arial" w:eastAsia="Arial" w:hAnsi="Arial"/>
          <w:sz w:val="18"/>
          <w:szCs w:val="18"/>
          <w:color w:val="auto"/>
        </w:rPr>
        <w:t>and qualifies as a financial expert as defined by the Nasdaq listing standards and SEC rules. Through his thirteen plus years of service on our Board of Directors, Mr. Müller-Ineichen has developed a thorough understanding of our business and industry.</w:t>
      </w:r>
    </w:p>
    <w:p>
      <w:pPr>
        <w:spacing w:after="0" w:line="98" w:lineRule="exact"/>
        <w:rPr>
          <w:sz w:val="20"/>
          <w:szCs w:val="20"/>
          <w:color w:val="auto"/>
        </w:rPr>
      </w:pPr>
    </w:p>
    <w:p>
      <w:pPr>
        <w:ind w:left="1220" w:right="539"/>
        <w:spacing w:after="0" w:line="248" w:lineRule="auto"/>
        <w:rPr>
          <w:sz w:val="20"/>
          <w:szCs w:val="20"/>
          <w:color w:val="auto"/>
        </w:rPr>
      </w:pPr>
      <w:r>
        <w:rPr>
          <w:rFonts w:ascii="Arial" w:cs="Arial" w:eastAsia="Arial" w:hAnsi="Arial"/>
          <w:sz w:val="18"/>
          <w:szCs w:val="18"/>
          <w:b w:val="1"/>
          <w:bCs w:val="1"/>
          <w:i w:val="1"/>
          <w:iCs w:val="1"/>
          <w:color w:val="auto"/>
        </w:rPr>
        <w:t>William B. Shepro.</w:t>
      </w:r>
      <w:r>
        <w:rPr>
          <w:rFonts w:ascii="Arial" w:cs="Arial" w:eastAsia="Arial" w:hAnsi="Arial"/>
          <w:sz w:val="18"/>
          <w:szCs w:val="18"/>
          <w:color w:val="auto"/>
        </w:rPr>
        <w:t xml:space="preserve">    Mr. Shepro was appointed Chief Executive Officer and to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Altisource in July 2009. Since May 2019, Mr. Shepro has served as Chairman of the Board of Directors. Mr. Shepro previously served as the 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 of Altisource’s subsidiaries and Lenders One, a national alliance of mortgage bankers managed by a subsidiary of Altisource. He holds a Bachelor of Science in Business from Skidmore College and a Juris Doctor from the Florida State University College of Law.</w:t>
      </w:r>
    </w:p>
    <w:p>
      <w:pPr>
        <w:spacing w:after="0" w:line="334" w:lineRule="exact"/>
        <w:rPr>
          <w:sz w:val="20"/>
          <w:szCs w:val="20"/>
          <w:color w:val="auto"/>
        </w:rPr>
      </w:pPr>
    </w:p>
    <w:p>
      <w:pPr>
        <w:ind w:left="1220" w:right="619"/>
        <w:spacing w:after="0" w:line="251" w:lineRule="auto"/>
        <w:rPr>
          <w:sz w:val="20"/>
          <w:szCs w:val="20"/>
          <w:color w:val="auto"/>
        </w:rPr>
      </w:pPr>
      <w:r>
        <w:rPr>
          <w:rFonts w:ascii="Arial" w:cs="Arial" w:eastAsia="Arial" w:hAnsi="Arial"/>
          <w:sz w:val="18"/>
          <w:szCs w:val="18"/>
          <w:color w:val="auto"/>
        </w:rPr>
        <w:t>Mr. Shepro’s day-to-day leadership and intimate knowledge of our business, customers and operations provide the Board of Directors with Company-specific experience and expertise. Furthermore, Mr. Shepro’s legal background and operational experience in the financial technology and residential and commercial mortgage servicing and real estate industries provide our Board of Directors with valuable strategic, industry and operational insights and expertise.</w:t>
      </w:r>
    </w:p>
    <w:p>
      <w:pPr>
        <w:spacing w:after="0" w:line="332"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9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Meetings of the Board of Directors</w:t>
      </w:r>
    </w:p>
    <w:p>
      <w:pPr>
        <w:spacing w:after="0" w:line="119" w:lineRule="exact"/>
        <w:rPr>
          <w:sz w:val="20"/>
          <w:szCs w:val="20"/>
          <w:color w:val="auto"/>
        </w:rPr>
      </w:pPr>
    </w:p>
    <w:p>
      <w:pPr>
        <w:ind w:left="1220" w:right="699"/>
        <w:spacing w:after="0" w:line="245" w:lineRule="auto"/>
        <w:rPr>
          <w:sz w:val="20"/>
          <w:szCs w:val="20"/>
          <w:color w:val="auto"/>
        </w:rPr>
      </w:pPr>
      <w:r>
        <w:rPr>
          <w:rFonts w:ascii="Arial" w:cs="Arial" w:eastAsia="Arial" w:hAnsi="Arial"/>
          <w:sz w:val="18"/>
          <w:szCs w:val="18"/>
          <w:color w:val="auto"/>
        </w:rPr>
        <w:t>The Board of Directors (also referred to herein as the “Board”)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10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Board of Directors met twelve (12) times in 2022.</w:t>
      </w:r>
    </w:p>
    <w:p>
      <w:pPr>
        <w:spacing w:after="0" w:line="137" w:lineRule="exact"/>
        <w:rPr>
          <w:sz w:val="20"/>
          <w:szCs w:val="20"/>
          <w:color w:val="auto"/>
        </w:rPr>
      </w:pPr>
    </w:p>
    <w:p>
      <w:pPr>
        <w:ind w:left="1220" w:right="619"/>
        <w:spacing w:after="0" w:line="242" w:lineRule="auto"/>
        <w:rPr>
          <w:sz w:val="20"/>
          <w:szCs w:val="20"/>
          <w:color w:val="auto"/>
        </w:rPr>
      </w:pPr>
      <w:r>
        <w:rPr>
          <w:rFonts w:ascii="Arial" w:cs="Arial" w:eastAsia="Arial" w:hAnsi="Arial"/>
          <w:sz w:val="18"/>
          <w:szCs w:val="18"/>
          <w:color w:val="auto"/>
        </w:rPr>
        <w:t xml:space="preserve">In accordance with Luxembourg law and the Company’s Articles of Incorporation, the Board has appointed the Company’s Chief Executive Officer to serve as the Managing Executive Officer </w:t>
      </w:r>
      <w:r>
        <w:rPr>
          <w:rFonts w:ascii="Arial" w:cs="Arial" w:eastAsia="Arial" w:hAnsi="Arial"/>
          <w:sz w:val="18"/>
          <w:szCs w:val="18"/>
          <w:i w:val="1"/>
          <w:iCs w:val="1"/>
          <w:color w:val="auto"/>
        </w:rPr>
        <w:t>(administrateur délégué)</w:t>
      </w:r>
      <w:r>
        <w:rPr>
          <w:rFonts w:ascii="Arial" w:cs="Arial" w:eastAsia="Arial" w:hAnsi="Arial"/>
          <w:sz w:val="18"/>
          <w:szCs w:val="18"/>
          <w:color w:val="auto"/>
        </w:rPr>
        <w:t xml:space="preserve"> of the Company to conduct the daily management of the Company. The Managing Executive Officer took action pursuant to written consent three</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(3) times in 2022.</w:t>
      </w:r>
    </w:p>
    <w:p>
      <w:pPr>
        <w:spacing w:after="0" w:line="121" w:lineRule="exact"/>
        <w:rPr>
          <w:sz w:val="20"/>
          <w:szCs w:val="20"/>
          <w:color w:val="auto"/>
        </w:rPr>
      </w:pPr>
    </w:p>
    <w:p>
      <w:pPr>
        <w:ind w:left="1220" w:right="699"/>
        <w:spacing w:after="0" w:line="244" w:lineRule="auto"/>
        <w:rPr>
          <w:sz w:val="20"/>
          <w:szCs w:val="20"/>
          <w:color w:val="auto"/>
        </w:rPr>
      </w:pPr>
      <w:r>
        <w:rPr>
          <w:rFonts w:ascii="Arial" w:cs="Arial" w:eastAsia="Arial" w:hAnsi="Arial"/>
          <w:sz w:val="18"/>
          <w:szCs w:val="18"/>
          <w:color w:val="auto"/>
        </w:rPr>
        <w:t>During 2022, each of our Directors attended at least seventy-five percent (75%) of Board meetings and meetings of the Committees on which they served, in each case, during their period of service.</w:t>
      </w:r>
    </w:p>
    <w:p>
      <w:pPr>
        <w:spacing w:after="0" w:line="110" w:lineRule="exact"/>
        <w:rPr>
          <w:sz w:val="20"/>
          <w:szCs w:val="20"/>
          <w:color w:val="auto"/>
        </w:rPr>
      </w:pPr>
    </w:p>
    <w:p>
      <w:pPr>
        <w:ind w:left="1220" w:right="599"/>
        <w:spacing w:after="0" w:line="247" w:lineRule="auto"/>
        <w:rPr>
          <w:sz w:val="20"/>
          <w:szCs w:val="20"/>
          <w:color w:val="auto"/>
        </w:rPr>
      </w:pPr>
      <w:r>
        <w:rPr>
          <w:rFonts w:ascii="Arial" w:cs="Arial" w:eastAsia="Arial" w:hAnsi="Arial"/>
          <w:sz w:val="18"/>
          <w:szCs w:val="18"/>
          <w:color w:val="auto"/>
        </w:rPr>
        <w:t>During 2022, our Chairman and Chief Executive Officer declared a conflict of interest and abstained from voting during the Board of Directors’ approvals of the following transactions:</w:t>
      </w:r>
    </w:p>
    <w:p>
      <w:pPr>
        <w:ind w:left="1220" w:right="639" w:firstLine="1"/>
        <w:spacing w:after="0" w:line="230" w:lineRule="auto"/>
        <w:tabs>
          <w:tab w:leader="none" w:pos="14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ratification of Compensation Committee Approvals, as it related to his 2021 Service Year Recommended Incentive Award, and his 2022 Annual Incentive Plan and Scorecard; and</w:t>
      </w:r>
    </w:p>
    <w:p>
      <w:pPr>
        <w:ind w:left="1220" w:right="539" w:firstLine="1"/>
        <w:spacing w:after="0"/>
        <w:tabs>
          <w:tab w:leader="none" w:pos="15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of the 2022 Revised Budget, as it related to (a) proposed revisions to his 2022 Scorecard; (b) funding the annual incentive plan bonus pool award at 50% of the Target annual incentive plan award size; (c) paying up to 100% of the annual incentive plan typically paid in cash in restricted stock; and (d) maintaining the 2022 LTIP achievement levels at the prior amounts, which were based on the existing 2022 EPS budget (i.e., prior to the proposed budget revision).</w:t>
      </w:r>
    </w:p>
    <w:p>
      <w:pPr>
        <w:spacing w:after="0" w:line="312" w:lineRule="exact"/>
        <w:rPr>
          <w:sz w:val="20"/>
          <w:szCs w:val="20"/>
          <w:color w:val="auto"/>
        </w:rPr>
      </w:pPr>
    </w:p>
    <w:p>
      <w:pPr>
        <w:ind w:left="1220" w:right="839"/>
        <w:spacing w:after="0" w:line="256" w:lineRule="auto"/>
        <w:rPr>
          <w:sz w:val="20"/>
          <w:szCs w:val="20"/>
          <w:color w:val="auto"/>
        </w:rPr>
      </w:pPr>
      <w:r>
        <w:rPr>
          <w:rFonts w:ascii="Arial" w:cs="Arial" w:eastAsia="Arial" w:hAnsi="Arial"/>
          <w:sz w:val="18"/>
          <w:szCs w:val="18"/>
          <w:color w:val="auto"/>
        </w:rPr>
        <w:t>Although we expect directors to attend each annual meeting of shareholders, we have no formal policy requiring such attendance. All of the directors attended last year’s annual meeting.</w:t>
      </w:r>
    </w:p>
    <w:p>
      <w:pPr>
        <w:spacing w:after="0" w:line="37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Independence of Directors</w:t>
      </w:r>
    </w:p>
    <w:p>
      <w:pPr>
        <w:spacing w:after="0" w:line="119" w:lineRule="exact"/>
        <w:rPr>
          <w:sz w:val="20"/>
          <w:szCs w:val="20"/>
          <w:color w:val="auto"/>
        </w:rPr>
      </w:pPr>
    </w:p>
    <w:p>
      <w:pPr>
        <w:ind w:left="1220" w:right="719"/>
        <w:spacing w:after="0" w:line="274" w:lineRule="auto"/>
        <w:rPr>
          <w:sz w:val="20"/>
          <w:szCs w:val="20"/>
          <w:color w:val="auto"/>
        </w:rPr>
      </w:pPr>
      <w:r>
        <w:rPr>
          <w:rFonts w:ascii="Arial" w:cs="Arial" w:eastAsia="Arial" w:hAnsi="Arial"/>
          <w:sz w:val="18"/>
          <w:szCs w:val="18"/>
          <w:color w:val="auto"/>
        </w:rPr>
        <w:t>Our Corporate Governance Guidelines provide that a majority of our Directors must qualify as independent Directors under the Nasdaq listing standards and applicable law.</w:t>
      </w:r>
    </w:p>
    <w:p>
      <w:pPr>
        <w:spacing w:after="0" w:line="83" w:lineRule="exact"/>
        <w:rPr>
          <w:sz w:val="20"/>
          <w:szCs w:val="20"/>
          <w:color w:val="auto"/>
        </w:rPr>
      </w:pPr>
    </w:p>
    <w:p>
      <w:pPr>
        <w:ind w:left="1220" w:right="519"/>
        <w:spacing w:after="0"/>
        <w:rPr>
          <w:sz w:val="20"/>
          <w:szCs w:val="20"/>
          <w:color w:val="auto"/>
        </w:rPr>
      </w:pPr>
      <w:r>
        <w:rPr>
          <w:rFonts w:ascii="Arial" w:cs="Arial" w:eastAsia="Arial" w:hAnsi="Arial"/>
          <w:sz w:val="18"/>
          <w:szCs w:val="18"/>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the Nasdaq and applicable law. The Board of Directors also considers beneficial ownership of our common stock by each of the Directors in its analysis,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29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Board of Directors has determined that all of our current Directors, other than</w:t>
      </w:r>
    </w:p>
    <w:p>
      <w:pPr>
        <w:spacing w:after="0" w:line="8" w:lineRule="exact"/>
        <w:rPr>
          <w:sz w:val="20"/>
          <w:szCs w:val="20"/>
          <w:color w:val="auto"/>
        </w:rPr>
      </w:pPr>
    </w:p>
    <w:p>
      <w:pPr>
        <w:ind w:left="1220" w:right="659"/>
        <w:spacing w:after="0"/>
        <w:rPr>
          <w:sz w:val="20"/>
          <w:szCs w:val="20"/>
          <w:color w:val="auto"/>
        </w:rPr>
      </w:pPr>
      <w:r>
        <w:rPr>
          <w:rFonts w:ascii="Arial" w:cs="Arial" w:eastAsia="Arial" w:hAnsi="Arial"/>
          <w:sz w:val="18"/>
          <w:szCs w:val="18"/>
          <w:color w:val="auto"/>
        </w:rPr>
        <w:t>Mr. Shepro, are independent under the Nasdaq listing standards. Mr. Shepro is deemed not to be independent because he serves as the Chief Executive Officer of Altisource.</w:t>
      </w:r>
    </w:p>
    <w:p>
      <w:pPr>
        <w:spacing w:after="0" w:line="185"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Executive Sessions of Independent Directors</w:t>
      </w:r>
    </w:p>
    <w:p>
      <w:pPr>
        <w:spacing w:after="0" w:line="119" w:lineRule="exact"/>
        <w:rPr>
          <w:sz w:val="20"/>
          <w:szCs w:val="20"/>
          <w:color w:val="auto"/>
        </w:rPr>
      </w:pPr>
    </w:p>
    <w:p>
      <w:pPr>
        <w:ind w:left="1220" w:right="1199"/>
        <w:spacing w:after="0" w:line="258" w:lineRule="auto"/>
        <w:rPr>
          <w:sz w:val="20"/>
          <w:szCs w:val="20"/>
          <w:color w:val="auto"/>
        </w:rPr>
      </w:pPr>
      <w:r>
        <w:rPr>
          <w:rFonts w:ascii="Arial" w:cs="Arial" w:eastAsia="Arial" w:hAnsi="Arial"/>
          <w:sz w:val="18"/>
          <w:szCs w:val="18"/>
          <w:color w:val="auto"/>
        </w:rPr>
        <w:t>Our independent Directors met in executive session of the Board of Directors without management four (4) times in 2022.</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Board Leadership Structure</w:t>
      </w:r>
    </w:p>
    <w:p>
      <w:pPr>
        <w:spacing w:after="0" w:line="119" w:lineRule="exact"/>
        <w:rPr>
          <w:sz w:val="20"/>
          <w:szCs w:val="20"/>
          <w:color w:val="auto"/>
        </w:rPr>
      </w:pPr>
    </w:p>
    <w:p>
      <w:pPr>
        <w:ind w:left="1220" w:right="1419"/>
        <w:spacing w:after="0" w:line="252" w:lineRule="auto"/>
        <w:rPr>
          <w:sz w:val="20"/>
          <w:szCs w:val="20"/>
          <w:color w:val="auto"/>
        </w:rPr>
      </w:pPr>
      <w:r>
        <w:rPr>
          <w:rFonts w:ascii="Arial" w:cs="Arial" w:eastAsia="Arial" w:hAnsi="Arial"/>
          <w:sz w:val="18"/>
          <w:szCs w:val="18"/>
          <w:color w:val="auto"/>
        </w:rPr>
        <w:t>Our Corporate Governance Guidelines provide that the Board may appoint a lead independent director unless the Chairman of the Board is an independent director. Mr. Shepro, our Chairman of the Board, is also our Chief</w:t>
      </w:r>
    </w:p>
    <w:p>
      <w:pPr>
        <w:spacing w:after="0" w:line="34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883"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ind w:left="1220" w:right="559"/>
        <w:spacing w:after="0"/>
        <w:rPr>
          <w:sz w:val="20"/>
          <w:szCs w:val="20"/>
          <w:color w:val="auto"/>
        </w:rPr>
      </w:pPr>
      <w:r>
        <w:rPr>
          <w:rFonts w:ascii="Arial" w:cs="Arial" w:eastAsia="Arial" w:hAnsi="Arial"/>
          <w:sz w:val="18"/>
          <w:szCs w:val="18"/>
          <w:color w:val="auto"/>
        </w:rPr>
        <w:t>Executive Officer, and, as a result, the Board believes that it is in the best interests of the Company and our shareholders to appoint a lead independent director. Mr. Müller-Ineichen currently serves as Lead Independent Director. The lead independent director, among other responsibilities, presides over periodic meetings at which only our independent directors are present, serves as a liaison between the independent directors and the Chairman and Chief Executive Officer, and performs such duties as our Board may otherwise determine from time to time.</w:t>
      </w:r>
    </w:p>
    <w:p>
      <w:pPr>
        <w:spacing w:after="0" w:line="320" w:lineRule="exact"/>
        <w:rPr>
          <w:sz w:val="20"/>
          <w:szCs w:val="20"/>
          <w:color w:val="auto"/>
        </w:rPr>
      </w:pPr>
    </w:p>
    <w:p>
      <w:pPr>
        <w:ind w:left="1220" w:right="619"/>
        <w:spacing w:after="0"/>
        <w:rPr>
          <w:sz w:val="20"/>
          <w:szCs w:val="20"/>
          <w:color w:val="auto"/>
        </w:rPr>
      </w:pPr>
      <w:r>
        <w:rPr>
          <w:rFonts w:ascii="Arial" w:cs="Arial" w:eastAsia="Arial" w:hAnsi="Arial"/>
          <w:sz w:val="18"/>
          <w:szCs w:val="18"/>
          <w:color w:val="auto"/>
        </w:rPr>
        <w:t>The Board of Directors appointed Mr. Shepro as Chairman of the Board in May 2019. Our Board believes that it is appropriate to combine the positions of Chairman and Chief Executive Officer at this time due to Mr. Shepro’s critical role in our strategy, his experience with the Company and its customers, and his longevity with the Company. Mr. Shepro is responsible for the design, in consultation with the Board of Directors, and execution of the Company’s strategic plan. Our Board of Directors believes that he is the appropriate person to serve as its Chairman.</w:t>
      </w:r>
    </w:p>
    <w:p>
      <w:pPr>
        <w:spacing w:after="0" w:line="379"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Committees of the Board of Directors</w:t>
      </w:r>
    </w:p>
    <w:p>
      <w:pPr>
        <w:spacing w:after="0" w:line="119" w:lineRule="exact"/>
        <w:rPr>
          <w:sz w:val="20"/>
          <w:szCs w:val="20"/>
          <w:color w:val="auto"/>
        </w:rPr>
      </w:pPr>
    </w:p>
    <w:p>
      <w:pPr>
        <w:ind w:left="1220" w:right="579"/>
        <w:spacing w:after="0" w:line="242" w:lineRule="auto"/>
        <w:rPr>
          <w:sz w:val="20"/>
          <w:szCs w:val="20"/>
          <w:color w:val="auto"/>
        </w:rPr>
      </w:pPr>
      <w:r>
        <w:rPr>
          <w:rFonts w:ascii="Arial" w:cs="Arial" w:eastAsia="Arial" w:hAnsi="Arial"/>
          <w:sz w:val="18"/>
          <w:szCs w:val="18"/>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11" w:lineRule="exact"/>
        <w:rPr>
          <w:sz w:val="20"/>
          <w:szCs w:val="20"/>
          <w:color w:val="auto"/>
        </w:rPr>
      </w:pPr>
    </w:p>
    <w:p>
      <w:pPr>
        <w:ind w:left="1220" w:right="679"/>
        <w:spacing w:after="0" w:line="23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(i) oversees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 with our independent registered certified public accounting firm and certified auditor; (ii) provides assistance to our Board of Directors with respect to matters involving the accounting, auditing, financial reporting and internal control functions; (iii) establishes procedures for the receipt, retention and treatment of concerns, complaints and allegations received by the Company relating to the financial reporting process and our system of accounting, internal accounting controls, auditing and federal securities law matters;</w:t>
      </w:r>
    </w:p>
    <w:p>
      <w:pPr>
        <w:spacing w:after="0" w:line="1" w:lineRule="exact"/>
        <w:rPr>
          <w:sz w:val="20"/>
          <w:szCs w:val="20"/>
          <w:color w:val="auto"/>
        </w:rPr>
      </w:pPr>
    </w:p>
    <w:p>
      <w:pPr>
        <w:ind w:left="1220" w:right="599" w:firstLine="1"/>
        <w:spacing w:after="0" w:line="238" w:lineRule="auto"/>
        <w:tabs>
          <w:tab w:leader="none" w:pos="15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reviews and approves transactions in which a “Related Person” (as​ defined by SEC Regulation S-K and in accordance with the Company’s Related Person Transactions Policy) has a material interest; (v) reviews the scope and results of the annual audit conducted by the independent registered certified public accounting firm, including any significant matters regarding internal controls over financial reporting; and (vi)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w:t>
      </w:r>
    </w:p>
    <w:p>
      <w:pPr>
        <w:spacing w:after="0" w:line="102" w:lineRule="exact"/>
        <w:rPr>
          <w:sz w:val="20"/>
          <w:szCs w:val="20"/>
          <w:color w:val="auto"/>
        </w:rPr>
      </w:pPr>
    </w:p>
    <w:p>
      <w:pPr>
        <w:ind w:left="1220" w:right="519"/>
        <w:spacing w:after="0"/>
        <w:rPr>
          <w:sz w:val="20"/>
          <w:szCs w:val="20"/>
          <w:color w:val="auto"/>
        </w:rPr>
      </w:pPr>
      <w:r>
        <w:rPr>
          <w:rFonts w:ascii="Arial" w:cs="Arial" w:eastAsia="Arial" w:hAnsi="Arial"/>
          <w:sz w:val="18"/>
          <w:szCs w:val="18"/>
          <w:color w:val="auto"/>
        </w:rPr>
        <w:t>The members of the Audit Committee during 2022 were Messrs. Burg, Müller- Ineichen and Morettini, and Ms. Hickok, with Mr. Müller-Ineichen serving as the Committee Chair. Mr. Burg served on the Audit Committee until his resignation from the Board on March 1, 2022. Each member of our Audit Committee is independent as defined in regulations adopted by the SEC and the Nasdaq listing standards. Our Board of Directors has determined that all members of our Audit Committee are financially literate, possess accounting or related financial management experience that results in the individual’s financial sophistication within the meaning of the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295" w:lineRule="exact"/>
        <w:rPr>
          <w:sz w:val="20"/>
          <w:szCs w:val="20"/>
          <w:color w:val="auto"/>
        </w:rPr>
      </w:pPr>
    </w:p>
    <w:p>
      <w:pPr>
        <w:ind w:left="1220" w:right="559"/>
        <w:spacing w:after="0"/>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December 2022. The Audit Committee met fourteen (14) times in 2022. The Audit Committee met in executive session simultaneously with the Company’s internal and external auditors three (3) times, solely with the Company’s internal auditors one (1) time, and solely with the Company’s external auditors three (3) times in 2022.</w:t>
      </w:r>
    </w:p>
    <w:p>
      <w:pPr>
        <w:spacing w:after="0" w:line="200" w:lineRule="exact"/>
        <w:rPr>
          <w:sz w:val="20"/>
          <w:szCs w:val="20"/>
          <w:color w:val="auto"/>
        </w:rPr>
      </w:pPr>
    </w:p>
    <w:p>
      <w:pPr>
        <w:spacing w:after="0" w:line="35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ind w:left="1220" w:right="559"/>
        <w:spacing w:after="0"/>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oversees our compensation and employee benefit plans and practices. Our Compensation Committee also evaluates and makes recommendations to our Board of Directors for compensation and other human resources matters relating to our executive officers. The Compensation Committee reviews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w:t>
      </w:r>
    </w:p>
    <w:p>
      <w:pPr>
        <w:spacing w:after="0" w:line="291" w:lineRule="exact"/>
        <w:rPr>
          <w:sz w:val="20"/>
          <w:szCs w:val="20"/>
          <w:color w:val="auto"/>
        </w:rPr>
      </w:pPr>
    </w:p>
    <w:p>
      <w:pPr>
        <w:ind w:left="1220" w:right="539"/>
        <w:spacing w:after="0" w:line="247" w:lineRule="auto"/>
        <w:rPr>
          <w:sz w:val="20"/>
          <w:szCs w:val="20"/>
          <w:color w:val="auto"/>
        </w:rPr>
      </w:pPr>
      <w:r>
        <w:rPr>
          <w:rFonts w:ascii="Arial" w:cs="Arial" w:eastAsia="Arial" w:hAnsi="Arial"/>
          <w:sz w:val="18"/>
          <w:szCs w:val="18"/>
          <w:color w:val="auto"/>
        </w:rPr>
        <w:t>The Compensation Committee may request that any of our Directors, executive officers, employees or others attend its meetings to provide advice, counsel or pertinent information as the Committee requests. Certain executives are involved in the design and implementation of our executive compensation program. Our Chief Executive Officer generally attends Compensation Committee meetings, except that he is not present during any voting or deliberations related to his own compensation. Mr. Shepro actively participated in performance determinations and compensation discussions for other executive officers, including making recommendations to the Compensation Committee as to the amount and form of compensation. The Compensation Committee exercises its discretion in accepting, rejecting or modifying any such executive compensation recommendations. The Compensation Committee will generally delegate executive compensation matters (other than for Named Executive Officers) to the Chief Executive Officer for execution and, in limited circumstances, further development following approval by the Committee.</w:t>
      </w:r>
    </w:p>
    <w:p>
      <w:pPr>
        <w:spacing w:after="0" w:line="342" w:lineRule="exact"/>
        <w:rPr>
          <w:sz w:val="20"/>
          <w:szCs w:val="20"/>
          <w:color w:val="auto"/>
        </w:rPr>
      </w:pPr>
    </w:p>
    <w:p>
      <w:pPr>
        <w:ind w:left="1220" w:right="599"/>
        <w:spacing w:after="0" w:line="250" w:lineRule="auto"/>
        <w:rPr>
          <w:sz w:val="20"/>
          <w:szCs w:val="20"/>
          <w:color w:val="auto"/>
        </w:rPr>
      </w:pPr>
      <w:r>
        <w:rPr>
          <w:rFonts w:ascii="Arial" w:cs="Arial" w:eastAsia="Arial" w:hAnsi="Arial"/>
          <w:sz w:val="18"/>
          <w:szCs w:val="18"/>
          <w:color w:val="auto"/>
        </w:rPr>
        <w:t>In addition, the Compensation Committee has delegated authority to the Chief Executive Officer to approve equity awards of up to 5,000 stock options with an exercise price of up to $50 per share and/or up to 5,000 restricted shares (or similar equity instrument) for new hires and existing employees (other than Named Executive Officers), for an aggregate amount of up to 75,000 stock options and/or restricted shares (or similar equity instrument) per calendar year. Awards approved by the Chief Executive Officer pursuant to this delegation are reported to the Compensation Committee on a regular basis.</w:t>
      </w:r>
    </w:p>
    <w:p>
      <w:pPr>
        <w:spacing w:after="0" w:line="119" w:lineRule="exact"/>
        <w:rPr>
          <w:sz w:val="20"/>
          <w:szCs w:val="20"/>
          <w:color w:val="auto"/>
        </w:rPr>
      </w:pPr>
    </w:p>
    <w:p>
      <w:pPr>
        <w:ind w:left="1220" w:right="539"/>
        <w:spacing w:after="0" w:line="251" w:lineRule="auto"/>
        <w:rPr>
          <w:sz w:val="20"/>
          <w:szCs w:val="20"/>
          <w:color w:val="auto"/>
        </w:rPr>
      </w:pPr>
      <w:r>
        <w:rPr>
          <w:rFonts w:ascii="Arial" w:cs="Arial" w:eastAsia="Arial" w:hAnsi="Arial"/>
          <w:sz w:val="18"/>
          <w:szCs w:val="18"/>
          <w:color w:val="auto"/>
        </w:rPr>
        <w:t>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w:t>
      </w:r>
    </w:p>
    <w:p>
      <w:pPr>
        <w:spacing w:after="0" w:line="104" w:lineRule="exact"/>
        <w:rPr>
          <w:sz w:val="20"/>
          <w:szCs w:val="20"/>
          <w:color w:val="auto"/>
        </w:rPr>
      </w:pPr>
    </w:p>
    <w:p>
      <w:pPr>
        <w:ind w:left="1220" w:right="499"/>
        <w:spacing w:after="0" w:line="253" w:lineRule="auto"/>
        <w:rPr>
          <w:sz w:val="20"/>
          <w:szCs w:val="20"/>
          <w:color w:val="auto"/>
        </w:rPr>
      </w:pPr>
      <w:r>
        <w:rPr>
          <w:rFonts w:ascii="Arial" w:cs="Arial" w:eastAsia="Arial" w:hAnsi="Arial"/>
          <w:sz w:val="18"/>
          <w:szCs w:val="18"/>
          <w:color w:val="auto"/>
        </w:rPr>
        <w:t>The members of the Compensation Committee during 2022 were Ms. Hickok, and Messrs. Burg, Morettini and Müller-Ineichen. Mr. Burg served as Chairman of the Compensation Committee until his resignation from the Board on March 1, 2022 and Mr. Morettini served on the Compensation Committee until May 17, 2022. Ms. Hickok has served as the Committee Chair since March 1, 2022.</w:t>
      </w:r>
    </w:p>
    <w:p>
      <w:pPr>
        <w:spacing w:after="0" w:line="332" w:lineRule="exact"/>
        <w:rPr>
          <w:sz w:val="20"/>
          <w:szCs w:val="20"/>
          <w:color w:val="auto"/>
        </w:rPr>
      </w:pPr>
    </w:p>
    <w:p>
      <w:pPr>
        <w:ind w:left="1220" w:right="919"/>
        <w:spacing w:after="0" w:line="259" w:lineRule="auto"/>
        <w:rPr>
          <w:sz w:val="20"/>
          <w:szCs w:val="20"/>
          <w:color w:val="auto"/>
        </w:rPr>
      </w:pPr>
      <w:r>
        <w:rPr>
          <w:rFonts w:ascii="Arial" w:cs="Arial" w:eastAsia="Arial" w:hAnsi="Arial"/>
          <w:sz w:val="18"/>
          <w:szCs w:val="18"/>
          <w:color w:val="auto"/>
        </w:rPr>
        <w:t>Each member of the Compensation Committee is independent as defined by the Nasdaq listing standards, as revised in 2013. We believe that their collective achievements and knowledge provide us with extensive diversity in experience, culture and viewpoints.</w:t>
      </w:r>
    </w:p>
    <w:p>
      <w:pPr>
        <w:spacing w:after="0" w:line="111" w:lineRule="exact"/>
        <w:rPr>
          <w:sz w:val="20"/>
          <w:szCs w:val="20"/>
          <w:color w:val="auto"/>
        </w:rPr>
      </w:pPr>
    </w:p>
    <w:p>
      <w:pPr>
        <w:ind w:left="1220" w:right="519"/>
        <w:spacing w:after="0" w:line="249"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December 2022. The Compensation Committee met four (4) times in 2022.</w:t>
      </w:r>
    </w:p>
    <w:p>
      <w:pPr>
        <w:spacing w:after="0" w:line="320" w:lineRule="exact"/>
        <w:rPr>
          <w:sz w:val="20"/>
          <w:szCs w:val="20"/>
          <w:color w:val="auto"/>
        </w:rPr>
      </w:pPr>
    </w:p>
    <w:p>
      <w:pPr>
        <w:ind w:left="1220" w:right="559"/>
        <w:spacing w:after="0" w:line="252" w:lineRule="auto"/>
        <w:rPr>
          <w:sz w:val="20"/>
          <w:szCs w:val="20"/>
          <w:color w:val="auto"/>
        </w:rPr>
      </w:pPr>
      <w:r>
        <w:rPr>
          <w:rFonts w:ascii="Arial" w:cs="Arial" w:eastAsia="Arial" w:hAnsi="Arial"/>
          <w:sz w:val="18"/>
          <w:szCs w:val="18"/>
          <w:b w:val="1"/>
          <w:bCs w:val="1"/>
          <w:i w:val="1"/>
          <w:iCs w:val="1"/>
          <w:color w:val="auto"/>
        </w:rPr>
        <w:t xml:space="preserve">Compliance Committee. </w:t>
      </w:r>
      <w:r>
        <w:rPr>
          <w:rFonts w:ascii="Arial" w:cs="Arial" w:eastAsia="Arial" w:hAnsi="Arial"/>
          <w:sz w:val="18"/>
          <w:szCs w:val="18"/>
          <w:color w:val="auto"/>
        </w:rPr>
        <w:t>The Compliance Committee of our Board of Directors assists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with developing, monitoring and evaluating the Company’s compliance function, including its compliance management system, and the Company’s compliance with applicable laws, rules and regulations governing its businesses. The Compliance Committee performs such other duties as may be prescribed pursuant to its charter.</w:t>
      </w:r>
    </w:p>
    <w:p>
      <w:pPr>
        <w:spacing w:after="0" w:line="36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883"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ind w:left="1220" w:right="559"/>
        <w:spacing w:after="0" w:line="241" w:lineRule="auto"/>
        <w:rPr>
          <w:sz w:val="20"/>
          <w:szCs w:val="20"/>
          <w:color w:val="auto"/>
        </w:rPr>
      </w:pPr>
      <w:r>
        <w:rPr>
          <w:rFonts w:ascii="Arial" w:cs="Arial" w:eastAsia="Arial" w:hAnsi="Arial"/>
          <w:sz w:val="18"/>
          <w:szCs w:val="18"/>
          <w:color w:val="auto"/>
        </w:rPr>
        <w:t>The members of the Compliance Committee during 2022 were Messrs. Aldridge, Burg, Morettini, Müller-Ineichen and Shepro. Messrs. Morettini and Müller-Ineichen served on the Compliance Committee, with Mr. Morettini serving as Chair until May 17, 2022. Mr. Burg served on the Compliance Committee until his resignation from the Board on March 1, 2022. Mr. Aldridge has served as Chair of the Compliance Committee since May 17, 2022.</w:t>
      </w:r>
    </w:p>
    <w:p>
      <w:pPr>
        <w:spacing w:after="0" w:line="112" w:lineRule="exact"/>
        <w:rPr>
          <w:sz w:val="20"/>
          <w:szCs w:val="20"/>
          <w:color w:val="auto"/>
        </w:rPr>
      </w:pPr>
    </w:p>
    <w:p>
      <w:pPr>
        <w:ind w:left="1220" w:right="519"/>
        <w:spacing w:after="0" w:line="238" w:lineRule="auto"/>
        <w:rPr>
          <w:sz w:val="20"/>
          <w:szCs w:val="20"/>
          <w:color w:val="auto"/>
        </w:rPr>
      </w:pPr>
      <w:r>
        <w:rPr>
          <w:rFonts w:ascii="Arial" w:cs="Arial" w:eastAsia="Arial" w:hAnsi="Arial"/>
          <w:sz w:val="18"/>
          <w:szCs w:val="18"/>
          <w:color w:val="auto"/>
        </w:rPr>
        <w:t xml:space="preserve">Our Compliance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December 2022. The Compliance Committee met four (4) times in 2022.</w:t>
      </w:r>
    </w:p>
    <w:p>
      <w:pPr>
        <w:spacing w:after="0" w:line="118" w:lineRule="exact"/>
        <w:rPr>
          <w:sz w:val="20"/>
          <w:szCs w:val="20"/>
          <w:color w:val="auto"/>
        </w:rPr>
      </w:pPr>
    </w:p>
    <w:p>
      <w:pPr>
        <w:ind w:left="1220" w:right="499"/>
        <w:spacing w:after="0"/>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makes recommendations to the Board of individuals qualified to serve as Directors and committee members for our Board of Directors, advises the Board with respect to Board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113" w:lineRule="exact"/>
        <w:rPr>
          <w:sz w:val="20"/>
          <w:szCs w:val="20"/>
          <w:color w:val="auto"/>
        </w:rPr>
      </w:pPr>
    </w:p>
    <w:p>
      <w:pPr>
        <w:ind w:left="1220" w:right="499"/>
        <w:spacing w:after="0" w:line="245" w:lineRule="auto"/>
        <w:rPr>
          <w:sz w:val="20"/>
          <w:szCs w:val="20"/>
          <w:color w:val="auto"/>
        </w:rPr>
      </w:pPr>
      <w:r>
        <w:rPr>
          <w:rFonts w:ascii="Arial" w:cs="Arial" w:eastAsia="Arial" w:hAnsi="Arial"/>
          <w:sz w:val="18"/>
          <w:szCs w:val="18"/>
          <w:color w:val="auto"/>
        </w:rPr>
        <w:t>The members of the Nomination/Governance Committee during 2022 were Messrs. Morettini, Burg and Müller-Ineichen, with Mr. Morettini serving as the Committee Chair. Mr. Burg served on the Nomination/Governance Committee until his resignation from the Board on March 1, 2022. Each member of the Nomination/Governance Committee is independent as defined by the Nasdaq listing standards.</w:t>
      </w:r>
    </w:p>
    <w:p>
      <w:pPr>
        <w:spacing w:after="0" w:line="108" w:lineRule="exact"/>
        <w:rPr>
          <w:sz w:val="20"/>
          <w:szCs w:val="20"/>
          <w:color w:val="auto"/>
        </w:rPr>
      </w:pPr>
    </w:p>
    <w:p>
      <w:pPr>
        <w:ind w:left="1220" w:right="559"/>
        <w:spacing w:after="0"/>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December 2022. The Nomination/Governance Committee met four (4) times in 2022.</w:t>
      </w:r>
    </w:p>
    <w:p>
      <w:pPr>
        <w:spacing w:after="0" w:line="303" w:lineRule="exact"/>
        <w:rPr>
          <w:sz w:val="20"/>
          <w:szCs w:val="20"/>
          <w:color w:val="auto"/>
        </w:rPr>
      </w:pPr>
    </w:p>
    <w:p>
      <w:pPr>
        <w:ind w:left="1220" w:right="619"/>
        <w:spacing w:after="0" w:line="242" w:lineRule="auto"/>
        <w:rPr>
          <w:sz w:val="20"/>
          <w:szCs w:val="20"/>
          <w:color w:val="auto"/>
        </w:rPr>
      </w:pPr>
      <w:r>
        <w:rPr>
          <w:rFonts w:ascii="Arial" w:cs="Arial" w:eastAsia="Arial" w:hAnsi="Arial"/>
          <w:sz w:val="18"/>
          <w:szCs w:val="18"/>
          <w:color w:val="auto"/>
        </w:rPr>
        <w:t>The Nomination/Governance Committee regularly assesses the appropriate size of the Board of Directors and whether any vacancies on the Board are anticipated. The Nomination/Governance Committee then identifies various potential candidates for Director. Candidates may come to the attention of the Nomination/Governance Committee through current members of the Board of Directors, professional search firms, shareholders or industry sources.</w:t>
      </w:r>
    </w:p>
    <w:p>
      <w:pPr>
        <w:spacing w:after="0" w:line="320" w:lineRule="exact"/>
        <w:rPr>
          <w:sz w:val="20"/>
          <w:szCs w:val="20"/>
          <w:color w:val="auto"/>
        </w:rPr>
      </w:pPr>
    </w:p>
    <w:p>
      <w:pPr>
        <w:ind w:left="1220" w:right="559"/>
        <w:spacing w:after="0"/>
        <w:rPr>
          <w:sz w:val="20"/>
          <w:szCs w:val="20"/>
          <w:color w:val="auto"/>
        </w:rPr>
      </w:pPr>
      <w:r>
        <w:rPr>
          <w:rFonts w:ascii="Arial" w:cs="Arial" w:eastAsia="Arial" w:hAnsi="Arial"/>
          <w:sz w:val="18"/>
          <w:szCs w:val="18"/>
          <w:color w:val="auto"/>
        </w:rPr>
        <w:t xml:space="preserve">When recommending nominees to the Board, the Nomination/Governance Committee considers candidates based on merit, against objective criteria relating to the candidate’s knowledge, experience, skills and expertise, with due regard for the benefits of diversity on the Board of Directors. In considering diversity, the Nomination/​Governance Committee considers differences that relate to gender, age, ethnicity, race, national origin, cultural background, disability, religion and other relevant personal distinctions. The Nomination/Governance Committee assesses the effectiveness of our Board Diversity policy as part of its annual review of the composition of our Board of Directors and considers the results of this assessment when evaluating director nominees. Our Board Diversity Policy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w:t>
      </w:r>
    </w:p>
    <w:p>
      <w:pPr>
        <w:spacing w:after="0" w:line="308" w:lineRule="exact"/>
        <w:rPr>
          <w:sz w:val="20"/>
          <w:szCs w:val="20"/>
          <w:color w:val="auto"/>
        </w:rPr>
      </w:pPr>
    </w:p>
    <w:p>
      <w:pPr>
        <w:ind w:left="1220" w:right="539"/>
        <w:spacing w:after="0"/>
        <w:rPr>
          <w:sz w:val="20"/>
          <w:szCs w:val="20"/>
          <w:color w:val="auto"/>
        </w:rPr>
      </w:pPr>
      <w:r>
        <w:rPr>
          <w:rFonts w:ascii="Arial" w:cs="Arial" w:eastAsia="Arial" w:hAnsi="Arial"/>
          <w:sz w:val="18"/>
          <w:szCs w:val="18"/>
          <w:color w:val="auto"/>
        </w:rPr>
        <w:t>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backgrounds of the current members of our Board of Directors; (ii) whether the candidate meets the independence standards set forth under applicable laws, regulations and the Nasdaq listing standards; (iii) the balance of management and independent Directors; (iv) the need for Audit Committee expertise; and (v) the evaluation of other prospective nominees.</w:t>
      </w:r>
    </w:p>
    <w:p>
      <w:pPr>
        <w:spacing w:after="0" w:line="311" w:lineRule="exact"/>
        <w:rPr>
          <w:sz w:val="20"/>
          <w:szCs w:val="20"/>
          <w:color w:val="auto"/>
        </w:rPr>
      </w:pPr>
    </w:p>
    <w:p>
      <w:pPr>
        <w:ind w:left="1220" w:right="559"/>
        <w:spacing w:after="0" w:line="252" w:lineRule="auto"/>
        <w:rPr>
          <w:sz w:val="20"/>
          <w:szCs w:val="20"/>
          <w:color w:val="auto"/>
        </w:rPr>
      </w:pPr>
      <w:r>
        <w:rPr>
          <w:rFonts w:ascii="Arial" w:cs="Arial" w:eastAsia="Arial" w:hAnsi="Arial"/>
          <w:sz w:val="18"/>
          <w:szCs w:val="18"/>
          <w:color w:val="auto"/>
        </w:rPr>
        <w:t>In connection with this evaluation, one or more members of the Nomination/Governance Committee, and others as appropriate, will interview prospective nominees. After completing the evaluation and interviews, the</w:t>
      </w:r>
    </w:p>
    <w:p>
      <w:pPr>
        <w:spacing w:after="0" w:line="34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975"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ind w:left="1220" w:right="679"/>
        <w:spacing w:after="0" w:line="241" w:lineRule="auto"/>
        <w:rPr>
          <w:sz w:val="20"/>
          <w:szCs w:val="20"/>
          <w:color w:val="auto"/>
        </w:rPr>
      </w:pPr>
      <w:r>
        <w:rPr>
          <w:rFonts w:ascii="Arial" w:cs="Arial" w:eastAsia="Arial" w:hAnsi="Arial"/>
          <w:sz w:val="18"/>
          <w:szCs w:val="18"/>
          <w:color w:val="auto"/>
        </w:rPr>
        <w:t>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112" w:lineRule="exact"/>
        <w:rPr>
          <w:sz w:val="20"/>
          <w:szCs w:val="20"/>
          <w:color w:val="auto"/>
        </w:rPr>
      </w:pPr>
    </w:p>
    <w:p>
      <w:pPr>
        <w:ind w:left="1220" w:right="559"/>
        <w:spacing w:after="0"/>
        <w:rPr>
          <w:sz w:val="20"/>
          <w:szCs w:val="20"/>
          <w:color w:val="auto"/>
        </w:rPr>
      </w:pPr>
      <w:r>
        <w:rPr>
          <w:rFonts w:ascii="Arial" w:cs="Arial" w:eastAsia="Arial" w:hAnsi="Arial"/>
          <w:sz w:val="18"/>
          <w:szCs w:val="18"/>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33, Boulevard Prince Henri, L-1724 Luxembourg City, Grand Duchy of Luxembourg. Should you recommend a qualified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that a shareholder desires to have included in our proxy materials for consideration at our 2024 annual meeting of shareholders must be received at our registered office no later than December 5, 2023. Please see the “Shareholder Rights” and “Shareholder Proposals” sections for additional information regarding shareholder proposals.</w:t>
      </w:r>
    </w:p>
    <w:p>
      <w:pPr>
        <w:spacing w:after="0" w:line="200" w:lineRule="exact"/>
        <w:rPr>
          <w:sz w:val="20"/>
          <w:szCs w:val="20"/>
          <w:color w:val="auto"/>
        </w:rPr>
      </w:pPr>
    </w:p>
    <w:p>
      <w:pPr>
        <w:spacing w:after="0" w:line="299" w:lineRule="exact"/>
        <w:rPr>
          <w:sz w:val="20"/>
          <w:szCs w:val="20"/>
          <w:color w:val="auto"/>
        </w:rPr>
      </w:pPr>
    </w:p>
    <w:p>
      <w:pPr>
        <w:ind w:left="1220" w:right="499"/>
        <w:spacing w:after="0"/>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generally acts on behalf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during the intervals between meetings of our Board of Directors and otherwise assists the Board in handling matters that, in the opinion of the Chairman of the Board, should not be postponed until the next scheduled meeting of the Board. The members of our Executive Committee during 2022 were Messrs. Müller-Ineichen and Shepro, with Mr. Müller-Ineichen serving as the Committee Chair.</w:t>
      </w:r>
    </w:p>
    <w:p>
      <w:pPr>
        <w:spacing w:after="0" w:line="315" w:lineRule="exact"/>
        <w:rPr>
          <w:sz w:val="20"/>
          <w:szCs w:val="20"/>
          <w:color w:val="auto"/>
        </w:rPr>
      </w:pPr>
    </w:p>
    <w:p>
      <w:pPr>
        <w:ind w:left="1220" w:right="519"/>
        <w:spacing w:after="0"/>
        <w:rPr>
          <w:sz w:val="20"/>
          <w:szCs w:val="20"/>
          <w:color w:val="auto"/>
        </w:rPr>
      </w:pPr>
      <w:r>
        <w:rPr>
          <w:rFonts w:ascii="Arial" w:cs="Arial" w:eastAsia="Arial" w:hAnsi="Arial"/>
          <w:sz w:val="18"/>
          <w:szCs w:val="18"/>
          <w:color w:val="auto"/>
        </w:rPr>
        <w:t xml:space="preserve">Our Executive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Executive Committee reviews and approves its charter and presents any recommendations for amendments to the Board. The Executive Committee also evaluates its performance under its charter and delivers a report to the Board setting forth the results of its evaluation, provided that such performance evaluation shall not be necessary where minimal action was taken during the year. The charter was last reviewed by the Executive Committee in December 2022. The Executive Committee took action one (1) time in 2022.</w:t>
      </w:r>
    </w:p>
    <w:p>
      <w:pPr>
        <w:spacing w:after="0" w:line="37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Board Diversity</w:t>
      </w:r>
    </w:p>
    <w:p>
      <w:pPr>
        <w:spacing w:after="0" w:line="119" w:lineRule="exact"/>
        <w:rPr>
          <w:sz w:val="20"/>
          <w:szCs w:val="20"/>
          <w:color w:val="auto"/>
        </w:rPr>
      </w:pPr>
    </w:p>
    <w:p>
      <w:pPr>
        <w:ind w:left="1220" w:right="899"/>
        <w:spacing w:after="0" w:line="274" w:lineRule="auto"/>
        <w:rPr>
          <w:sz w:val="20"/>
          <w:szCs w:val="20"/>
          <w:color w:val="auto"/>
        </w:rPr>
      </w:pPr>
      <w:r>
        <w:rPr>
          <w:rFonts w:ascii="Arial" w:cs="Arial" w:eastAsia="Arial" w:hAnsi="Arial"/>
          <w:sz w:val="18"/>
          <w:szCs w:val="18"/>
          <w:color w:val="auto"/>
        </w:rPr>
        <w:t>In accordance with Nasdaq’s Board Diversity Rule, we have elected to include our board diversity matrix in this proxy statement as set forth below:</w:t>
      </w:r>
    </w:p>
    <w:p>
      <w:pPr>
        <w:spacing w:after="0" w:line="99" w:lineRule="exact"/>
        <w:rPr>
          <w:sz w:val="20"/>
          <w:szCs w:val="20"/>
          <w:color w:val="auto"/>
        </w:rPr>
      </w:pPr>
    </w:p>
    <w:tbl>
      <w:tblPr>
        <w:tblLayout w:type="fixed"/>
        <w:tblInd w:w="1220" w:type="dxa"/>
        <w:tblCellMar>
          <w:top w:w="0" w:type="dxa"/>
          <w:left w:w="0" w:type="dxa"/>
          <w:bottom w:w="0" w:type="dxa"/>
          <w:right w:w="0" w:type="dxa"/>
        </w:tblCellMar>
      </w:tblPr>
      <w:tr>
        <w:trPr>
          <w:trHeight w:val="199"/>
        </w:trPr>
        <w:tc>
          <w:tcPr>
            <w:tcW w:w="2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34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Board Diversity Matrix (as of April 3, 2023)</w:t>
            </w:r>
          </w:p>
        </w:tc>
        <w:tc>
          <w:tcPr>
            <w:tcW w:w="6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Arial" w:cs="Arial" w:eastAsia="Arial" w:hAnsi="Arial"/>
                <w:sz w:val="14"/>
                <w:szCs w:val="14"/>
                <w:b w:val="1"/>
                <w:bCs w:val="1"/>
                <w:color w:val="auto"/>
              </w:rPr>
              <w:t>​</w:t>
            </w:r>
          </w:p>
        </w:tc>
        <w:tc>
          <w:tcPr>
            <w:tcW w:w="2340" w:type="dxa"/>
            <w:vAlign w:val="bottom"/>
          </w:tcPr>
          <w:p>
            <w:pPr>
              <w:spacing w:after="0"/>
              <w:rPr>
                <w:sz w:val="10"/>
                <w:szCs w:val="10"/>
                <w:color w:val="auto"/>
              </w:rPr>
            </w:pPr>
          </w:p>
        </w:tc>
        <w:tc>
          <w:tcPr>
            <w:tcW w:w="100" w:type="dxa"/>
            <w:vAlign w:val="bottom"/>
          </w:tcPr>
          <w:p>
            <w:pPr>
              <w:spacing w:after="0" w:line="126" w:lineRule="exact"/>
              <w:rPr>
                <w:sz w:val="20"/>
                <w:szCs w:val="20"/>
                <w:color w:val="auto"/>
              </w:rPr>
            </w:pPr>
            <w:r>
              <w:rPr>
                <w:rFonts w:ascii="Arial" w:cs="Arial" w:eastAsia="Arial" w:hAnsi="Arial"/>
                <w:sz w:val="14"/>
                <w:szCs w:val="14"/>
                <w:b w:val="1"/>
                <w:bCs w:val="1"/>
                <w:color w:val="auto"/>
              </w:rPr>
              <w:t>​​</w:t>
            </w:r>
          </w:p>
        </w:tc>
        <w:tc>
          <w:tcPr>
            <w:tcW w:w="2340" w:type="dxa"/>
            <w:vAlign w:val="bottom"/>
            <w:gridSpan w:val="7"/>
            <w:vMerge w:val="restart"/>
          </w:tcPr>
          <w:p>
            <w:pPr>
              <w:spacing w:after="0" w:line="152" w:lineRule="exact"/>
              <w:rPr>
                <w:sz w:val="20"/>
                <w:szCs w:val="20"/>
                <w:color w:val="auto"/>
              </w:rPr>
            </w:pPr>
            <w:r>
              <w:rPr>
                <w:rFonts w:ascii="Arial" w:cs="Arial" w:eastAsia="Arial" w:hAnsi="Arial"/>
                <w:sz w:val="16"/>
                <w:szCs w:val="16"/>
                <w:b w:val="1"/>
                <w:bCs w:val="1"/>
                <w:color w:val="auto"/>
              </w:rPr>
              <w:t>Grand Duchy of Luxembourg</w:t>
            </w:r>
          </w:p>
        </w:tc>
        <w:tc>
          <w:tcPr>
            <w:tcW w:w="1080" w:type="dxa"/>
            <w:vAlign w:val="bottom"/>
          </w:tcPr>
          <w:p>
            <w:pPr>
              <w:spacing w:after="0"/>
              <w:rPr>
                <w:sz w:val="10"/>
                <w:szCs w:val="10"/>
                <w:color w:val="auto"/>
              </w:rPr>
            </w:pPr>
          </w:p>
        </w:tc>
        <w:tc>
          <w:tcPr>
            <w:tcW w:w="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520" w:type="dxa"/>
            <w:vAlign w:val="bottom"/>
            <w:gridSpan w:val="2"/>
          </w:tcPr>
          <w:p>
            <w:pPr>
              <w:spacing w:after="0" w:line="27" w:lineRule="exact"/>
              <w:rPr>
                <w:sz w:val="20"/>
                <w:szCs w:val="20"/>
                <w:color w:val="auto"/>
              </w:rPr>
            </w:pPr>
            <w:r>
              <w:rPr>
                <w:rFonts w:ascii="Arial" w:cs="Arial" w:eastAsia="Arial" w:hAnsi="Arial"/>
                <w:sz w:val="3"/>
                <w:szCs w:val="3"/>
                <w:b w:val="1"/>
                <w:bCs w:val="1"/>
                <w:color w:val="auto"/>
              </w:rPr>
              <w:t>Country of Principal Executive Offices</w:t>
            </w:r>
          </w:p>
        </w:tc>
        <w:tc>
          <w:tcPr>
            <w:tcW w:w="10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340" w:type="dxa"/>
            <w:vAlign w:val="bottom"/>
            <w:gridSpan w:val="7"/>
            <w:vMerge w:val="continue"/>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9"/>
        </w:trPr>
        <w:tc>
          <w:tcPr>
            <w:tcW w:w="2180" w:type="dxa"/>
            <w:vAlign w:val="bottom"/>
          </w:tcPr>
          <w:p>
            <w:pPr>
              <w:spacing w:after="0" w:line="159" w:lineRule="exact"/>
              <w:rPr>
                <w:sz w:val="20"/>
                <w:szCs w:val="20"/>
                <w:color w:val="auto"/>
              </w:rPr>
            </w:pPr>
            <w:r>
              <w:rPr>
                <w:rFonts w:ascii="Arial" w:cs="Arial" w:eastAsia="Arial" w:hAnsi="Arial"/>
                <w:sz w:val="16"/>
                <w:szCs w:val="16"/>
                <w:b w:val="1"/>
                <w:bCs w:val="1"/>
                <w:color w:val="auto"/>
              </w:rPr>
              <w:t>​</w:t>
            </w:r>
          </w:p>
        </w:tc>
        <w:tc>
          <w:tcPr>
            <w:tcW w:w="23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20" w:type="dxa"/>
            <w:vAlign w:val="bottom"/>
            <w:vMerge w:val="restart"/>
          </w:tcPr>
          <w:p>
            <w:pPr>
              <w:spacing w:after="0"/>
              <w:rPr>
                <w:sz w:val="20"/>
                <w:szCs w:val="20"/>
                <w:color w:val="auto"/>
              </w:rPr>
            </w:pPr>
            <w:r>
              <w:rPr>
                <w:rFonts w:ascii="Arial" w:cs="Arial" w:eastAsia="Arial" w:hAnsi="Arial"/>
                <w:sz w:val="16"/>
                <w:szCs w:val="16"/>
                <w:b w:val="1"/>
                <w:bCs w:val="1"/>
                <w:color w:val="auto"/>
                <w:w w:val="93"/>
              </w:rPr>
              <w:t>No</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line="27" w:lineRule="exact"/>
              <w:rPr>
                <w:sz w:val="20"/>
                <w:szCs w:val="20"/>
                <w:color w:val="auto"/>
              </w:rPr>
            </w:pPr>
            <w:r>
              <w:rPr>
                <w:rFonts w:ascii="Arial" w:cs="Arial" w:eastAsia="Arial" w:hAnsi="Arial"/>
                <w:sz w:val="3"/>
                <w:szCs w:val="3"/>
                <w:b w:val="1"/>
                <w:bCs w:val="1"/>
                <w:color w:val="auto"/>
              </w:rPr>
              <w:t>Foreign Private Issuer</w:t>
            </w:r>
          </w:p>
        </w:tc>
        <w:tc>
          <w:tcPr>
            <w:tcW w:w="2340" w:type="dxa"/>
            <w:vAlign w:val="bottom"/>
          </w:tcPr>
          <w:p>
            <w:pPr>
              <w:spacing w:after="0"/>
              <w:rPr>
                <w:sz w:val="2"/>
                <w:szCs w:val="2"/>
                <w:color w:val="auto"/>
              </w:rPr>
            </w:pPr>
          </w:p>
        </w:tc>
        <w:tc>
          <w:tcPr>
            <w:tcW w:w="10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9"/>
        </w:trPr>
        <w:tc>
          <w:tcPr>
            <w:tcW w:w="2180" w:type="dxa"/>
            <w:vAlign w:val="bottom"/>
          </w:tcPr>
          <w:p>
            <w:pPr>
              <w:spacing w:after="0" w:line="159" w:lineRule="exact"/>
              <w:rPr>
                <w:sz w:val="20"/>
                <w:szCs w:val="20"/>
                <w:color w:val="auto"/>
              </w:rPr>
            </w:pPr>
            <w:r>
              <w:rPr>
                <w:rFonts w:ascii="Arial" w:cs="Arial" w:eastAsia="Arial" w:hAnsi="Arial"/>
                <w:sz w:val="16"/>
                <w:szCs w:val="16"/>
                <w:b w:val="1"/>
                <w:bCs w:val="1"/>
                <w:color w:val="auto"/>
              </w:rPr>
              <w:t>​</w:t>
            </w:r>
          </w:p>
        </w:tc>
        <w:tc>
          <w:tcPr>
            <w:tcW w:w="23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20" w:type="dxa"/>
            <w:vAlign w:val="bottom"/>
            <w:vMerge w:val="restart"/>
          </w:tcPr>
          <w:p>
            <w:pPr>
              <w:spacing w:after="0"/>
              <w:rPr>
                <w:sz w:val="20"/>
                <w:szCs w:val="20"/>
                <w:color w:val="auto"/>
              </w:rPr>
            </w:pPr>
            <w:r>
              <w:rPr>
                <w:rFonts w:ascii="Arial" w:cs="Arial" w:eastAsia="Arial" w:hAnsi="Arial"/>
                <w:sz w:val="16"/>
                <w:szCs w:val="16"/>
                <w:b w:val="1"/>
                <w:bCs w:val="1"/>
                <w:color w:val="auto"/>
                <w:w w:val="93"/>
              </w:rPr>
              <w:t>No</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520" w:type="dxa"/>
            <w:vAlign w:val="bottom"/>
            <w:gridSpan w:val="2"/>
          </w:tcPr>
          <w:p>
            <w:pPr>
              <w:spacing w:after="0" w:line="27" w:lineRule="exact"/>
              <w:rPr>
                <w:sz w:val="20"/>
                <w:szCs w:val="20"/>
                <w:color w:val="auto"/>
              </w:rPr>
            </w:pPr>
            <w:r>
              <w:rPr>
                <w:rFonts w:ascii="Arial" w:cs="Arial" w:eastAsia="Arial" w:hAnsi="Arial"/>
                <w:sz w:val="3"/>
                <w:szCs w:val="3"/>
                <w:b w:val="1"/>
                <w:bCs w:val="1"/>
                <w:color w:val="auto"/>
              </w:rPr>
              <w:t>Disclosure Prohibited under Home Country Law</w:t>
            </w:r>
          </w:p>
        </w:tc>
        <w:tc>
          <w:tcPr>
            <w:tcW w:w="10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9"/>
        </w:trPr>
        <w:tc>
          <w:tcPr>
            <w:tcW w:w="2180" w:type="dxa"/>
            <w:vAlign w:val="bottom"/>
          </w:tcPr>
          <w:p>
            <w:pPr>
              <w:spacing w:after="0" w:line="159" w:lineRule="exact"/>
              <w:rPr>
                <w:sz w:val="20"/>
                <w:szCs w:val="20"/>
                <w:color w:val="auto"/>
              </w:rPr>
            </w:pPr>
            <w:r>
              <w:rPr>
                <w:rFonts w:ascii="Arial" w:cs="Arial" w:eastAsia="Arial" w:hAnsi="Arial"/>
                <w:sz w:val="16"/>
                <w:szCs w:val="16"/>
                <w:b w:val="1"/>
                <w:bCs w:val="1"/>
                <w:color w:val="auto"/>
              </w:rPr>
              <w:t>​</w:t>
            </w:r>
          </w:p>
        </w:tc>
        <w:tc>
          <w:tcPr>
            <w:tcW w:w="23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20" w:type="dxa"/>
            <w:vAlign w:val="bottom"/>
            <w:vMerge w:val="restart"/>
          </w:tcPr>
          <w:p>
            <w:pPr>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180" w:type="dxa"/>
            <w:vAlign w:val="bottom"/>
          </w:tcPr>
          <w:p>
            <w:pPr>
              <w:spacing w:after="0"/>
              <w:rPr>
                <w:sz w:val="20"/>
                <w:szCs w:val="20"/>
                <w:color w:val="auto"/>
              </w:rPr>
            </w:pPr>
            <w:r>
              <w:rPr>
                <w:rFonts w:ascii="Arial" w:cs="Arial" w:eastAsia="Arial" w:hAnsi="Arial"/>
                <w:sz w:val="3"/>
                <w:szCs w:val="3"/>
                <w:b w:val="1"/>
                <w:bCs w:val="1"/>
                <w:color w:val="auto"/>
              </w:rPr>
              <w:t>Total Number of Directors</w:t>
            </w:r>
          </w:p>
        </w:tc>
        <w:tc>
          <w:tcPr>
            <w:tcW w:w="2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180" w:type="dxa"/>
            <w:vAlign w:val="bottom"/>
          </w:tcPr>
          <w:p>
            <w:pPr>
              <w:spacing w:after="0"/>
              <w:rPr>
                <w:sz w:val="20"/>
                <w:szCs w:val="20"/>
                <w:color w:val="auto"/>
              </w:rPr>
            </w:pPr>
            <w:r>
              <w:rPr>
                <w:rFonts w:ascii="Arial" w:cs="Arial" w:eastAsia="Arial" w:hAnsi="Arial"/>
                <w:sz w:val="16"/>
                <w:szCs w:val="16"/>
                <w:b w:val="1"/>
                <w:bCs w:val="1"/>
                <w:color w:val="auto"/>
              </w:rPr>
              <w:t>​</w:t>
            </w:r>
          </w:p>
        </w:tc>
        <w:tc>
          <w:tcPr>
            <w:tcW w:w="2340" w:type="dxa"/>
            <w:vAlign w:val="bottom"/>
          </w:tcPr>
          <w:p>
            <w:pPr>
              <w:spacing w:after="0"/>
              <w:rPr>
                <w:sz w:val="17"/>
                <w:szCs w:val="17"/>
                <w:color w:val="auto"/>
              </w:rPr>
            </w:pPr>
          </w:p>
        </w:tc>
        <w:tc>
          <w:tcPr>
            <w:tcW w:w="3580" w:type="dxa"/>
            <w:vAlign w:val="bottom"/>
            <w:gridSpan w:val="10"/>
          </w:tcPr>
          <w:p>
            <w:pPr>
              <w:jc w:val="right"/>
              <w:spacing w:after="0"/>
              <w:rPr>
                <w:sz w:val="20"/>
                <w:szCs w:val="20"/>
                <w:color w:val="auto"/>
              </w:rPr>
            </w:pPr>
            <w:r>
              <w:rPr>
                <w:rFonts w:ascii="Arial" w:cs="Arial" w:eastAsia="Arial" w:hAnsi="Arial"/>
                <w:sz w:val="16"/>
                <w:szCs w:val="16"/>
                <w:b w:val="1"/>
                <w:bCs w:val="1"/>
                <w:color w:val="auto"/>
              </w:rPr>
              <w:t>​​Female ​​Male ​​Non-Binary ​​Did Not Disclose ​</w:t>
            </w:r>
          </w:p>
        </w:tc>
        <w:tc>
          <w:tcPr>
            <w:tcW w:w="0" w:type="dxa"/>
            <w:vAlign w:val="bottom"/>
          </w:tcPr>
          <w:p>
            <w:pPr>
              <w:spacing w:after="0"/>
              <w:rPr>
                <w:sz w:val="1"/>
                <w:szCs w:val="1"/>
                <w:color w:val="auto"/>
              </w:rPr>
            </w:pPr>
          </w:p>
        </w:tc>
      </w:tr>
      <w:tr>
        <w:trPr>
          <w:trHeight w:val="172"/>
        </w:trPr>
        <w:tc>
          <w:tcPr>
            <w:tcW w:w="21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ind w:right="342"/>
              <w:spacing w:after="0" w:line="172" w:lineRule="exact"/>
              <w:rPr>
                <w:sz w:val="20"/>
                <w:szCs w:val="20"/>
                <w:color w:val="auto"/>
              </w:rPr>
            </w:pPr>
            <w:r>
              <w:rPr>
                <w:rFonts w:ascii="Arial" w:cs="Arial" w:eastAsia="Arial" w:hAnsi="Arial"/>
                <w:sz w:val="16"/>
                <w:szCs w:val="16"/>
                <w:b w:val="1"/>
                <w:bCs w:val="1"/>
                <w:color w:val="auto"/>
              </w:rPr>
              <w:t>Gender</w:t>
            </w:r>
          </w:p>
        </w:tc>
        <w:tc>
          <w:tcPr>
            <w:tcW w:w="0" w:type="dxa"/>
            <w:vAlign w:val="bottom"/>
          </w:tcPr>
          <w:p>
            <w:pPr>
              <w:spacing w:after="0"/>
              <w:rPr>
                <w:sz w:val="1"/>
                <w:szCs w:val="1"/>
                <w:color w:val="auto"/>
              </w:rPr>
            </w:pPr>
          </w:p>
        </w:tc>
      </w:tr>
      <w:tr>
        <w:trPr>
          <w:trHeight w:val="160"/>
        </w:trPr>
        <w:tc>
          <w:tcPr>
            <w:tcW w:w="2180" w:type="dxa"/>
            <w:vAlign w:val="bottom"/>
            <w:vMerge w:val="continue"/>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jc w:val="right"/>
              <w:spacing w:after="0" w:line="160"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
        </w:trPr>
        <w:tc>
          <w:tcPr>
            <w:tcW w:w="2180" w:type="dxa"/>
            <w:vAlign w:val="bottom"/>
          </w:tcPr>
          <w:p>
            <w:pPr>
              <w:spacing w:after="0" w:line="27" w:lineRule="exact"/>
              <w:rPr>
                <w:sz w:val="20"/>
                <w:szCs w:val="20"/>
                <w:color w:val="auto"/>
              </w:rPr>
            </w:pPr>
            <w:r>
              <w:rPr>
                <w:rFonts w:ascii="Arial" w:cs="Arial" w:eastAsia="Arial" w:hAnsi="Arial"/>
                <w:sz w:val="3"/>
                <w:szCs w:val="3"/>
                <w:b w:val="1"/>
                <w:bCs w:val="1"/>
                <w:color w:val="auto"/>
              </w:rPr>
              <w:t>Part I: Gender Identity</w:t>
            </w:r>
          </w:p>
        </w:tc>
        <w:tc>
          <w:tcPr>
            <w:tcW w:w="2340" w:type="dxa"/>
            <w:vAlign w:val="bottom"/>
          </w:tcPr>
          <w:p>
            <w:pPr>
              <w:spacing w:after="0"/>
              <w:rPr>
                <w:sz w:val="2"/>
                <w:szCs w:val="2"/>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
                <w:szCs w:val="2"/>
                <w:color w:val="auto"/>
              </w:rPr>
            </w:pPr>
          </w:p>
        </w:tc>
        <w:tc>
          <w:tcPr>
            <w:tcW w:w="600" w:type="dxa"/>
            <w:vAlign w:val="bottom"/>
            <w:vMerge w:val="restart"/>
          </w:tcPr>
          <w:p>
            <w:pPr>
              <w:jc w:val="center"/>
              <w:ind w:right="321"/>
              <w:spacing w:after="0"/>
              <w:rPr>
                <w:sz w:val="20"/>
                <w:szCs w:val="20"/>
                <w:color w:val="auto"/>
              </w:rPr>
            </w:pPr>
            <w:r>
              <w:rPr>
                <w:rFonts w:ascii="Arial" w:cs="Arial" w:eastAsia="Arial" w:hAnsi="Arial"/>
                <w:sz w:val="16"/>
                <w:szCs w:val="16"/>
                <w:color w:val="auto"/>
              </w:rPr>
              <w:t>​​ ​</w:t>
            </w:r>
          </w:p>
        </w:tc>
        <w:tc>
          <w:tcPr>
            <w:tcW w:w="740" w:type="dxa"/>
            <w:vAlign w:val="bottom"/>
            <w:vMerge w:val="restart"/>
          </w:tcPr>
          <w:p>
            <w:pPr>
              <w:jc w:val="center"/>
              <w:ind w:left="141"/>
              <w:spacing w:after="0"/>
              <w:rPr>
                <w:sz w:val="20"/>
                <w:szCs w:val="20"/>
                <w:color w:val="auto"/>
              </w:rPr>
            </w:pPr>
            <w:r>
              <w:rPr>
                <w:rFonts w:ascii="Arial" w:cs="Arial" w:eastAsia="Arial" w:hAnsi="Arial"/>
                <w:sz w:val="16"/>
                <w:szCs w:val="16"/>
                <w:color w:val="auto"/>
              </w:rPr>
              <w:t>​​ ​</w:t>
            </w:r>
          </w:p>
        </w:tc>
        <w:tc>
          <w:tcPr>
            <w:tcW w:w="108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9"/>
        </w:trPr>
        <w:tc>
          <w:tcPr>
            <w:tcW w:w="2180" w:type="dxa"/>
            <w:vAlign w:val="bottom"/>
          </w:tcPr>
          <w:p>
            <w:pPr>
              <w:spacing w:after="0" w:line="159" w:lineRule="exact"/>
              <w:rPr>
                <w:sz w:val="20"/>
                <w:szCs w:val="20"/>
                <w:color w:val="auto"/>
              </w:rPr>
            </w:pPr>
            <w:r>
              <w:rPr>
                <w:rFonts w:ascii="Arial" w:cs="Arial" w:eastAsia="Arial" w:hAnsi="Arial"/>
                <w:sz w:val="16"/>
                <w:szCs w:val="16"/>
                <w:color w:val="auto"/>
              </w:rPr>
              <w:t>​</w:t>
            </w:r>
          </w:p>
        </w:tc>
        <w:tc>
          <w:tcPr>
            <w:tcW w:w="23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vMerge w:val="restart"/>
          </w:tcPr>
          <w:p>
            <w:pPr>
              <w:jc w:val="right"/>
              <w:ind w:right="41"/>
              <w:spacing w:after="0"/>
              <w:rPr>
                <w:sz w:val="20"/>
                <w:szCs w:val="20"/>
                <w:color w:val="auto"/>
              </w:rPr>
            </w:pPr>
            <w:r>
              <w:rPr>
                <w:rFonts w:ascii="Arial" w:cs="Arial" w:eastAsia="Arial" w:hAnsi="Arial"/>
                <w:sz w:val="16"/>
                <w:szCs w:val="16"/>
                <w:color w:val="auto"/>
                <w:w w:val="89"/>
              </w:rPr>
              <w:t>1</w:t>
            </w:r>
          </w:p>
        </w:tc>
        <w:tc>
          <w:tcPr>
            <w:tcW w:w="320" w:type="dxa"/>
            <w:vAlign w:val="bottom"/>
            <w:gridSpan w:val="2"/>
            <w:vMerge w:val="continue"/>
          </w:tcPr>
          <w:p>
            <w:pPr>
              <w:spacing w:after="0"/>
              <w:rPr>
                <w:sz w:val="13"/>
                <w:szCs w:val="13"/>
                <w:color w:val="auto"/>
              </w:rPr>
            </w:pPr>
          </w:p>
        </w:tc>
        <w:tc>
          <w:tcPr>
            <w:tcW w:w="240" w:type="dxa"/>
            <w:vAlign w:val="bottom"/>
            <w:vMerge w:val="restart"/>
          </w:tcPr>
          <w:p>
            <w:pPr>
              <w:jc w:val="right"/>
              <w:ind w:right="41"/>
              <w:spacing w:after="0"/>
              <w:rPr>
                <w:sz w:val="20"/>
                <w:szCs w:val="20"/>
                <w:color w:val="auto"/>
              </w:rPr>
            </w:pPr>
            <w:r>
              <w:rPr>
                <w:rFonts w:ascii="Arial" w:cs="Arial" w:eastAsia="Arial" w:hAnsi="Arial"/>
                <w:sz w:val="16"/>
                <w:szCs w:val="16"/>
                <w:color w:val="auto"/>
              </w:rPr>
              <w:t>4</w:t>
            </w:r>
          </w:p>
        </w:tc>
        <w:tc>
          <w:tcPr>
            <w:tcW w:w="6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180" w:type="dxa"/>
            <w:vAlign w:val="bottom"/>
          </w:tcPr>
          <w:p>
            <w:pPr>
              <w:spacing w:after="0"/>
              <w:rPr>
                <w:sz w:val="20"/>
                <w:szCs w:val="20"/>
                <w:color w:val="auto"/>
              </w:rPr>
            </w:pPr>
            <w:r>
              <w:rPr>
                <w:rFonts w:ascii="Arial" w:cs="Arial" w:eastAsia="Arial" w:hAnsi="Arial"/>
                <w:sz w:val="3"/>
                <w:szCs w:val="3"/>
                <w:color w:val="auto"/>
              </w:rPr>
              <w:t>Directors</w:t>
            </w:r>
          </w:p>
        </w:tc>
        <w:tc>
          <w:tcPr>
            <w:tcW w:w="2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60"/>
        </w:trPr>
        <w:tc>
          <w:tcPr>
            <w:tcW w:w="2180" w:type="dxa"/>
            <w:vAlign w:val="bottom"/>
          </w:tcPr>
          <w:p>
            <w:pPr>
              <w:spacing w:after="0" w:line="160" w:lineRule="exact"/>
              <w:rPr>
                <w:sz w:val="20"/>
                <w:szCs w:val="20"/>
                <w:color w:val="auto"/>
              </w:rPr>
            </w:pPr>
            <w:r>
              <w:rPr>
                <w:rFonts w:ascii="Arial" w:cs="Arial" w:eastAsia="Arial" w:hAnsi="Arial"/>
                <w:sz w:val="16"/>
                <w:szCs w:val="16"/>
                <w:b w:val="1"/>
                <w:bCs w:val="1"/>
                <w:color w:val="auto"/>
              </w:rPr>
              <w:t>​</w:t>
            </w: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520" w:type="dxa"/>
            <w:vAlign w:val="bottom"/>
            <w:gridSpan w:val="2"/>
          </w:tcPr>
          <w:p>
            <w:pPr>
              <w:spacing w:after="0"/>
              <w:rPr>
                <w:sz w:val="20"/>
                <w:szCs w:val="20"/>
                <w:color w:val="auto"/>
              </w:rPr>
            </w:pPr>
            <w:r>
              <w:rPr>
                <w:rFonts w:ascii="Arial" w:cs="Arial" w:eastAsia="Arial" w:hAnsi="Arial"/>
                <w:sz w:val="3"/>
                <w:szCs w:val="3"/>
                <w:b w:val="1"/>
                <w:bCs w:val="1"/>
                <w:color w:val="auto"/>
              </w:rPr>
              <w:t>Part II: Demographic Background</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18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2340" w:type="dxa"/>
            <w:vAlign w:val="bottom"/>
          </w:tcPr>
          <w:p>
            <w:pPr>
              <w:spacing w:after="0"/>
              <w:rPr>
                <w:sz w:val="13"/>
                <w:szCs w:val="13"/>
                <w:color w:val="auto"/>
              </w:rPr>
            </w:pPr>
          </w:p>
        </w:tc>
        <w:tc>
          <w:tcPr>
            <w:tcW w:w="320" w:type="dxa"/>
            <w:vAlign w:val="bottom"/>
            <w:gridSpan w:val="2"/>
          </w:tcPr>
          <w:p>
            <w:pPr>
              <w:spacing w:after="0" w:line="16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320" w:type="dxa"/>
            <w:vAlign w:val="bottom"/>
            <w:gridSpan w:val="2"/>
          </w:tcPr>
          <w:p>
            <w:pPr>
              <w:ind w:left="120"/>
              <w:spacing w:after="0" w:line="160"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600" w:type="dxa"/>
            <w:vAlign w:val="bottom"/>
          </w:tcPr>
          <w:p>
            <w:pPr>
              <w:jc w:val="center"/>
              <w:ind w:right="321"/>
              <w:spacing w:after="0" w:line="160" w:lineRule="exact"/>
              <w:rPr>
                <w:sz w:val="20"/>
                <w:szCs w:val="20"/>
                <w:color w:val="auto"/>
              </w:rPr>
            </w:pPr>
            <w:r>
              <w:rPr>
                <w:rFonts w:ascii="Arial" w:cs="Arial" w:eastAsia="Arial" w:hAnsi="Arial"/>
                <w:sz w:val="16"/>
                <w:szCs w:val="16"/>
                <w:color w:val="auto"/>
              </w:rPr>
              <w:t>​​ ​</w:t>
            </w:r>
          </w:p>
        </w:tc>
        <w:tc>
          <w:tcPr>
            <w:tcW w:w="740" w:type="dxa"/>
            <w:vAlign w:val="bottom"/>
          </w:tcPr>
          <w:p>
            <w:pPr>
              <w:jc w:val="center"/>
              <w:ind w:left="141"/>
              <w:spacing w:after="0" w:line="160" w:lineRule="exact"/>
              <w:rPr>
                <w:sz w:val="20"/>
                <w:szCs w:val="20"/>
                <w:color w:val="auto"/>
              </w:rPr>
            </w:pPr>
            <w:r>
              <w:rPr>
                <w:rFonts w:ascii="Arial" w:cs="Arial" w:eastAsia="Arial" w:hAnsi="Arial"/>
                <w:sz w:val="16"/>
                <w:szCs w:val="16"/>
                <w:color w:val="auto"/>
              </w:rPr>
              <w:t>​​ ​</w:t>
            </w:r>
          </w:p>
        </w:tc>
        <w:tc>
          <w:tcPr>
            <w:tcW w:w="1080" w:type="dxa"/>
            <w:vAlign w:val="bottom"/>
          </w:tcPr>
          <w:p>
            <w:pPr>
              <w:spacing w:after="0"/>
              <w:rPr>
                <w:sz w:val="13"/>
                <w:szCs w:val="13"/>
                <w:color w:val="auto"/>
              </w:rPr>
            </w:pPr>
          </w:p>
        </w:tc>
        <w:tc>
          <w:tcPr>
            <w:tcW w:w="6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4520" w:type="dxa"/>
            <w:vAlign w:val="bottom"/>
            <w:gridSpan w:val="2"/>
          </w:tcPr>
          <w:p>
            <w:pPr>
              <w:spacing w:after="0"/>
              <w:rPr>
                <w:sz w:val="20"/>
                <w:szCs w:val="20"/>
                <w:color w:val="auto"/>
              </w:rPr>
            </w:pPr>
            <w:r>
              <w:rPr>
                <w:rFonts w:ascii="Arial" w:cs="Arial" w:eastAsia="Arial" w:hAnsi="Arial"/>
                <w:sz w:val="3"/>
                <w:szCs w:val="3"/>
                <w:color w:val="auto"/>
              </w:rPr>
              <w:t>Underrepresented Individual in Home Country Jurisdiction</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18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2340" w:type="dxa"/>
            <w:vAlign w:val="bottom"/>
          </w:tcPr>
          <w:p>
            <w:pPr>
              <w:spacing w:after="0"/>
              <w:rPr>
                <w:sz w:val="13"/>
                <w:szCs w:val="13"/>
                <w:color w:val="auto"/>
              </w:rPr>
            </w:pPr>
          </w:p>
        </w:tc>
        <w:tc>
          <w:tcPr>
            <w:tcW w:w="320" w:type="dxa"/>
            <w:vAlign w:val="bottom"/>
            <w:gridSpan w:val="2"/>
          </w:tcPr>
          <w:p>
            <w:pPr>
              <w:spacing w:after="0" w:line="16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320" w:type="dxa"/>
            <w:vAlign w:val="bottom"/>
            <w:gridSpan w:val="2"/>
          </w:tcPr>
          <w:p>
            <w:pPr>
              <w:ind w:left="120"/>
              <w:spacing w:after="0" w:line="160"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600" w:type="dxa"/>
            <w:vAlign w:val="bottom"/>
          </w:tcPr>
          <w:p>
            <w:pPr>
              <w:jc w:val="center"/>
              <w:ind w:right="321"/>
              <w:spacing w:after="0" w:line="160" w:lineRule="exact"/>
              <w:rPr>
                <w:sz w:val="20"/>
                <w:szCs w:val="20"/>
                <w:color w:val="auto"/>
              </w:rPr>
            </w:pPr>
            <w:r>
              <w:rPr>
                <w:rFonts w:ascii="Arial" w:cs="Arial" w:eastAsia="Arial" w:hAnsi="Arial"/>
                <w:sz w:val="16"/>
                <w:szCs w:val="16"/>
                <w:color w:val="auto"/>
              </w:rPr>
              <w:t>​​ ​</w:t>
            </w:r>
          </w:p>
        </w:tc>
        <w:tc>
          <w:tcPr>
            <w:tcW w:w="740" w:type="dxa"/>
            <w:vAlign w:val="bottom"/>
          </w:tcPr>
          <w:p>
            <w:pPr>
              <w:jc w:val="center"/>
              <w:ind w:left="141"/>
              <w:spacing w:after="0" w:line="160" w:lineRule="exact"/>
              <w:rPr>
                <w:sz w:val="20"/>
                <w:szCs w:val="20"/>
                <w:color w:val="auto"/>
              </w:rPr>
            </w:pPr>
            <w:r>
              <w:rPr>
                <w:rFonts w:ascii="Arial" w:cs="Arial" w:eastAsia="Arial" w:hAnsi="Arial"/>
                <w:sz w:val="16"/>
                <w:szCs w:val="16"/>
                <w:color w:val="auto"/>
              </w:rPr>
              <w:t>​​ ​</w:t>
            </w:r>
          </w:p>
        </w:tc>
        <w:tc>
          <w:tcPr>
            <w:tcW w:w="1080" w:type="dxa"/>
            <w:vAlign w:val="bottom"/>
          </w:tcPr>
          <w:p>
            <w:pPr>
              <w:spacing w:after="0"/>
              <w:rPr>
                <w:sz w:val="13"/>
                <w:szCs w:val="13"/>
                <w:color w:val="auto"/>
              </w:rPr>
            </w:pPr>
          </w:p>
        </w:tc>
        <w:tc>
          <w:tcPr>
            <w:tcW w:w="6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2180" w:type="dxa"/>
            <w:vAlign w:val="bottom"/>
          </w:tcPr>
          <w:p>
            <w:pPr>
              <w:spacing w:after="0"/>
              <w:rPr>
                <w:sz w:val="20"/>
                <w:szCs w:val="20"/>
                <w:color w:val="auto"/>
              </w:rPr>
            </w:pPr>
            <w:r>
              <w:rPr>
                <w:rFonts w:ascii="Arial" w:cs="Arial" w:eastAsia="Arial" w:hAnsi="Arial"/>
                <w:sz w:val="3"/>
                <w:szCs w:val="3"/>
                <w:color w:val="auto"/>
              </w:rPr>
              <w:t>LGBTQ+</w:t>
            </w:r>
          </w:p>
        </w:tc>
        <w:tc>
          <w:tcPr>
            <w:tcW w:w="2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18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2340" w:type="dxa"/>
            <w:vAlign w:val="bottom"/>
          </w:tcPr>
          <w:p>
            <w:pPr>
              <w:spacing w:after="0"/>
              <w:rPr>
                <w:sz w:val="13"/>
                <w:szCs w:val="13"/>
                <w:color w:val="auto"/>
              </w:rPr>
            </w:pPr>
          </w:p>
        </w:tc>
        <w:tc>
          <w:tcPr>
            <w:tcW w:w="10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220" w:type="dxa"/>
            <w:vAlign w:val="bottom"/>
            <w:vMerge w:val="restart"/>
          </w:tcPr>
          <w:p>
            <w:pPr>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3"/>
                <w:szCs w:val="13"/>
                <w:color w:val="auto"/>
              </w:rPr>
            </w:pPr>
          </w:p>
        </w:tc>
        <w:tc>
          <w:tcPr>
            <w:tcW w:w="180" w:type="dxa"/>
            <w:vAlign w:val="bottom"/>
          </w:tcPr>
          <w:p>
            <w:pPr>
              <w:ind w:left="120"/>
              <w:spacing w:after="0" w:line="160" w:lineRule="exact"/>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600" w:type="dxa"/>
            <w:vAlign w:val="bottom"/>
            <w:vMerge w:val="restart"/>
          </w:tcPr>
          <w:p>
            <w:pPr>
              <w:jc w:val="center"/>
              <w:ind w:right="321"/>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center"/>
              <w:ind w:left="141"/>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spacing w:after="0"/>
              <w:rPr>
                <w:sz w:val="20"/>
                <w:szCs w:val="20"/>
                <w:color w:val="auto"/>
              </w:rPr>
            </w:pPr>
            <w:r>
              <w:rPr>
                <w:rFonts w:ascii="Arial" w:cs="Arial" w:eastAsia="Arial" w:hAnsi="Arial"/>
                <w:sz w:val="16"/>
                <w:szCs w:val="16"/>
                <w:color w:val="auto"/>
              </w:rPr>
              <w:t>Did Not Disclose Demographic Background</w:t>
            </w: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Corporate Governance Guidelines</w:t>
      </w:r>
    </w:p>
    <w:p>
      <w:pPr>
        <w:spacing w:after="0" w:line="132" w:lineRule="exact"/>
        <w:rPr>
          <w:sz w:val="20"/>
          <w:szCs w:val="20"/>
          <w:color w:val="auto"/>
        </w:rPr>
      </w:pPr>
    </w:p>
    <w:p>
      <w:pPr>
        <w:ind w:left="1220" w:right="579"/>
        <w:spacing w:after="0"/>
        <w:rPr>
          <w:sz w:val="20"/>
          <w:szCs w:val="20"/>
          <w:color w:val="auto"/>
        </w:rPr>
      </w:pPr>
      <w:r>
        <w:rPr>
          <w:rFonts w:ascii="Arial" w:cs="Arial" w:eastAsia="Arial" w:hAnsi="Arial"/>
          <w:sz w:val="18"/>
          <w:szCs w:val="18"/>
          <w:color w:val="auto"/>
        </w:rPr>
        <w:t>The Corporate Governance Guidelines adopted by our Board of Directors provide guidelines for effective corporate governance and to promote the effective functioning of the Board and its Committees. The Corporate Governance Guidelines cover topics such as Director qualification standards, Board of Directors and committee composition, Director responsibilities, minimum stock ownership requirements for our non-management Directors and our Chief Executive Officer, anti-hedging and anti-pledging policies, Director access to management</w:t>
      </w:r>
    </w:p>
    <w:p>
      <w:pPr>
        <w:spacing w:after="0" w:line="200" w:lineRule="exact"/>
        <w:rPr>
          <w:sz w:val="20"/>
          <w:szCs w:val="20"/>
          <w:color w:val="auto"/>
        </w:rPr>
      </w:pPr>
    </w:p>
    <w:p>
      <w:pPr>
        <w:spacing w:after="0" w:line="35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jc w:val="both"/>
        <w:ind w:left="1220" w:right="1139"/>
        <w:spacing w:after="0" w:line="244" w:lineRule="auto"/>
        <w:rPr>
          <w:sz w:val="20"/>
          <w:szCs w:val="20"/>
          <w:color w:val="auto"/>
        </w:rPr>
      </w:pPr>
      <w:r>
        <w:rPr>
          <w:rFonts w:ascii="Arial" w:cs="Arial" w:eastAsia="Arial" w:hAnsi="Arial"/>
          <w:sz w:val="18"/>
          <w:szCs w:val="18"/>
          <w:color w:val="auto"/>
        </w:rPr>
        <w:t>and independent advisors, Director compensation, Director orientation and continuing education, management succession and annual performance reviews of the Board of Directors.</w:t>
      </w:r>
    </w:p>
    <w:p>
      <w:pPr>
        <w:spacing w:after="0" w:line="110" w:lineRule="exact"/>
        <w:rPr>
          <w:sz w:val="20"/>
          <w:szCs w:val="20"/>
          <w:color w:val="auto"/>
        </w:rPr>
      </w:pPr>
    </w:p>
    <w:p>
      <w:pPr>
        <w:ind w:left="1220" w:right="799"/>
        <w:spacing w:after="0" w:line="245" w:lineRule="auto"/>
        <w:rPr>
          <w:sz w:val="20"/>
          <w:szCs w:val="20"/>
          <w:color w:val="auto"/>
        </w:rPr>
      </w:pPr>
      <w:r>
        <w:rPr>
          <w:rFonts w:ascii="Arial" w:cs="Arial" w:eastAsia="Arial" w:hAnsi="Arial"/>
          <w:sz w:val="18"/>
          <w:szCs w:val="18"/>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December 2022. Our Corporate Governance Guidelines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Shareholder Rights</w:t>
      </w:r>
    </w:p>
    <w:p>
      <w:pPr>
        <w:spacing w:after="0" w:line="119" w:lineRule="exact"/>
        <w:rPr>
          <w:sz w:val="20"/>
          <w:szCs w:val="20"/>
          <w:color w:val="auto"/>
        </w:rPr>
      </w:pPr>
    </w:p>
    <w:p>
      <w:pPr>
        <w:jc w:val="both"/>
        <w:ind w:left="1220" w:right="1119"/>
        <w:spacing w:after="0" w:line="252" w:lineRule="auto"/>
        <w:rPr>
          <w:sz w:val="20"/>
          <w:szCs w:val="20"/>
          <w:color w:val="auto"/>
        </w:rPr>
      </w:pPr>
      <w:r>
        <w:rPr>
          <w:rFonts w:ascii="Arial" w:cs="Arial" w:eastAsia="Arial" w:hAnsi="Arial"/>
          <w:sz w:val="18"/>
          <w:szCs w:val="18"/>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102" w:lineRule="exact"/>
        <w:rPr>
          <w:sz w:val="20"/>
          <w:szCs w:val="20"/>
          <w:color w:val="auto"/>
        </w:rPr>
      </w:pPr>
    </w:p>
    <w:p>
      <w:pPr>
        <w:ind w:left="1920" w:hanging="346"/>
        <w:spacing w:after="0"/>
        <w:tabs>
          <w:tab w:leader="none" w:pos="1920"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Majority Voting:  </w:t>
      </w:r>
      <w:r>
        <w:rPr>
          <w:rFonts w:ascii="Arial" w:cs="Arial" w:eastAsia="Arial" w:hAnsi="Arial"/>
          <w:sz w:val="18"/>
          <w:szCs w:val="18"/>
          <w:color w:val="auto"/>
        </w:rPr>
        <w:t>Directors are elected by the majority of votes cast</w:t>
      </w:r>
    </w:p>
    <w:p>
      <w:pPr>
        <w:spacing w:after="0" w:line="137" w:lineRule="exact"/>
        <w:rPr>
          <w:rFonts w:ascii="Arial" w:cs="Arial" w:eastAsia="Arial" w:hAnsi="Arial"/>
          <w:sz w:val="18"/>
          <w:szCs w:val="18"/>
          <w:b w:val="1"/>
          <w:bCs w:val="1"/>
          <w:color w:val="auto"/>
        </w:rPr>
      </w:pPr>
    </w:p>
    <w:p>
      <w:pPr>
        <w:ind w:left="1920" w:right="1019" w:hanging="346"/>
        <w:spacing w:after="0" w:line="274" w:lineRule="auto"/>
        <w:tabs>
          <w:tab w:leader="none" w:pos="1920"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Annual Elections: </w:t>
      </w:r>
      <w:r>
        <w:rPr>
          <w:rFonts w:ascii="Arial" w:cs="Arial" w:eastAsia="Arial" w:hAnsi="Arial"/>
          <w:sz w:val="18"/>
          <w:szCs w:val="18"/>
          <w:color w:val="auto"/>
        </w:rPr>
        <w:t>All Directors are elected annually. Altisource does not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staggered board</w:t>
      </w:r>
    </w:p>
    <w:p>
      <w:pPr>
        <w:spacing w:after="0" w:line="96" w:lineRule="exact"/>
        <w:rPr>
          <w:rFonts w:ascii="Arial" w:cs="Arial" w:eastAsia="Arial" w:hAnsi="Arial"/>
          <w:sz w:val="18"/>
          <w:szCs w:val="18"/>
          <w:b w:val="1"/>
          <w:bCs w:val="1"/>
          <w:color w:val="auto"/>
        </w:rPr>
      </w:pPr>
    </w:p>
    <w:p>
      <w:pPr>
        <w:ind w:left="1920" w:right="619" w:hanging="346"/>
        <w:spacing w:after="0" w:line="252" w:lineRule="auto"/>
        <w:tabs>
          <w:tab w:leader="none" w:pos="1920"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Shareholder Proposals: </w:t>
      </w:r>
      <w:r>
        <w:rPr>
          <w:rFonts w:ascii="Arial" w:cs="Arial" w:eastAsia="Arial" w:hAnsi="Arial"/>
          <w:sz w:val="18"/>
          <w:szCs w:val="18"/>
          <w:color w:val="auto"/>
        </w:rPr>
        <w:t>Shareholders representing individually or jointly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ten percent (10%) of the Company’s share capital may nominate candidates for election to the Altisource Board of Directors and make other proposals for inclusion in the proxy statement, subject to completing certain formalities. Please see the “Shareholder Proposals” section for additional information</w:t>
      </w:r>
    </w:p>
    <w:p>
      <w:pPr>
        <w:spacing w:after="0" w:line="104" w:lineRule="exact"/>
        <w:rPr>
          <w:rFonts w:ascii="Arial" w:cs="Arial" w:eastAsia="Arial" w:hAnsi="Arial"/>
          <w:sz w:val="18"/>
          <w:szCs w:val="18"/>
          <w:b w:val="1"/>
          <w:bCs w:val="1"/>
          <w:color w:val="auto"/>
        </w:rPr>
      </w:pPr>
    </w:p>
    <w:p>
      <w:pPr>
        <w:ind w:left="1920" w:right="759" w:hanging="346"/>
        <w:spacing w:after="0" w:line="274" w:lineRule="auto"/>
        <w:tabs>
          <w:tab w:leader="none" w:pos="1920"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Shareholder Meetings: </w:t>
      </w:r>
      <w:r>
        <w:rPr>
          <w:rFonts w:ascii="Arial" w:cs="Arial" w:eastAsia="Arial" w:hAnsi="Arial"/>
          <w:sz w:val="18"/>
          <w:szCs w:val="18"/>
          <w:color w:val="auto"/>
        </w:rPr>
        <w:t>A meeting of shareholders may be called at any time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ten percent (10%) of our share capital</w:t>
      </w:r>
    </w:p>
    <w:p>
      <w:pPr>
        <w:spacing w:after="0" w:line="96" w:lineRule="exact"/>
        <w:rPr>
          <w:rFonts w:ascii="Arial" w:cs="Arial" w:eastAsia="Arial" w:hAnsi="Arial"/>
          <w:sz w:val="18"/>
          <w:szCs w:val="18"/>
          <w:b w:val="1"/>
          <w:bCs w:val="1"/>
          <w:color w:val="auto"/>
        </w:rPr>
      </w:pPr>
    </w:p>
    <w:p>
      <w:pPr>
        <w:ind w:left="1920" w:right="759" w:hanging="346"/>
        <w:spacing w:after="0" w:line="274" w:lineRule="auto"/>
        <w:tabs>
          <w:tab w:leader="none" w:pos="1920"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No Shareholder Rights Plan: </w:t>
      </w:r>
      <w:r>
        <w:rPr>
          <w:rFonts w:ascii="Arial" w:cs="Arial" w:eastAsia="Arial" w:hAnsi="Arial"/>
          <w:sz w:val="18"/>
          <w:szCs w:val="18"/>
          <w:color w:val="auto"/>
        </w:rPr>
        <w:t>Altisource does not maintain a shareholder rights plan</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called a “poison pill”)</w:t>
      </w:r>
    </w:p>
    <w:p>
      <w:pPr>
        <w:spacing w:after="0" w:line="96" w:lineRule="exact"/>
        <w:rPr>
          <w:sz w:val="20"/>
          <w:szCs w:val="20"/>
          <w:color w:val="auto"/>
        </w:rPr>
      </w:pPr>
    </w:p>
    <w:p>
      <w:pPr>
        <w:ind w:left="1220" w:right="1179"/>
        <w:spacing w:after="0" w:line="244" w:lineRule="auto"/>
        <w:rPr>
          <w:sz w:val="20"/>
          <w:szCs w:val="20"/>
          <w:color w:val="auto"/>
        </w:rPr>
      </w:pPr>
      <w:r>
        <w:rPr>
          <w:rFonts w:ascii="Arial" w:cs="Arial" w:eastAsia="Arial" w:hAnsi="Arial"/>
          <w:sz w:val="18"/>
          <w:szCs w:val="18"/>
          <w:color w:val="auto"/>
        </w:rPr>
        <w:t>The Board of Directors and its Committees monitor developments in governance best practices to assure that the Board continues to meet its commitment to represent shareholder interests.</w:t>
      </w:r>
    </w:p>
    <w:p>
      <w:pPr>
        <w:spacing w:after="0" w:line="18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Shareholder Engagement</w:t>
      </w:r>
    </w:p>
    <w:p>
      <w:pPr>
        <w:spacing w:after="0" w:line="119" w:lineRule="exact"/>
        <w:rPr>
          <w:sz w:val="20"/>
          <w:szCs w:val="20"/>
          <w:color w:val="auto"/>
        </w:rPr>
      </w:pPr>
    </w:p>
    <w:p>
      <w:pPr>
        <w:ind w:left="1220" w:right="659"/>
        <w:spacing w:after="0" w:line="249" w:lineRule="auto"/>
        <w:rPr>
          <w:sz w:val="20"/>
          <w:szCs w:val="20"/>
          <w:color w:val="auto"/>
        </w:rPr>
      </w:pPr>
      <w:r>
        <w:rPr>
          <w:rFonts w:ascii="Arial" w:cs="Arial" w:eastAsia="Arial" w:hAnsi="Arial"/>
          <w:sz w:val="18"/>
          <w:szCs w:val="18"/>
          <w:color w:val="auto"/>
        </w:rPr>
        <w:t>Engagement with our shareholders helps us gain useful feedback on a wide variety of relevant topics, which may include corporate governance, compensation practices, Board diversity, capital structure, business performance and the strategy of the Company. If such feedback is received, it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336" w:lineRule="exact"/>
        <w:rPr>
          <w:sz w:val="20"/>
          <w:szCs w:val="20"/>
          <w:color w:val="auto"/>
        </w:rPr>
      </w:pPr>
    </w:p>
    <w:p>
      <w:pPr>
        <w:ind w:left="1220" w:right="679"/>
        <w:spacing w:after="0" w:line="250" w:lineRule="auto"/>
        <w:rPr>
          <w:sz w:val="20"/>
          <w:szCs w:val="20"/>
          <w:color w:val="auto"/>
        </w:rPr>
      </w:pPr>
      <w:r>
        <w:rPr>
          <w:rFonts w:ascii="Arial" w:cs="Arial" w:eastAsia="Arial" w:hAnsi="Arial"/>
          <w:sz w:val="18"/>
          <w:szCs w:val="18"/>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the Board of Directors is designed to promote effective engagement with shareholders and clearly outline the parameters for such engagement.</w:t>
      </w:r>
    </w:p>
    <w:p>
      <w:pPr>
        <w:spacing w:after="0" w:line="321" w:lineRule="exact"/>
        <w:rPr>
          <w:sz w:val="20"/>
          <w:szCs w:val="20"/>
          <w:color w:val="auto"/>
        </w:rPr>
      </w:pPr>
    </w:p>
    <w:p>
      <w:pPr>
        <w:ind w:left="1220" w:right="539"/>
        <w:spacing w:after="0" w:line="250" w:lineRule="auto"/>
        <w:rPr>
          <w:sz w:val="20"/>
          <w:szCs w:val="20"/>
          <w:color w:val="auto"/>
        </w:rPr>
      </w:pPr>
      <w:r>
        <w:rPr>
          <w:rFonts w:ascii="Arial" w:cs="Arial" w:eastAsia="Arial" w:hAnsi="Arial"/>
          <w:sz w:val="18"/>
          <w:szCs w:val="18"/>
          <w:color w:val="auto"/>
        </w:rPr>
        <w:t xml:space="preserve">Shareholders who wish to contact our Board of Directors or any individual Director regarding Altisource may do so by mail addressed to our Corporate Secretary at Altisource Portfolio Solutions S.A., 33, Boulevard Prince Henri, L-1724 Luxembourg City, Grand Duchy of Luxembourg or by email to the Office of the Corporate Secretary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 Relevant communications received in writing are distributed to our Board of Directors or to individual Directors, as appropriate, depending on the facts and circumstances outlined in the communication received.</w:t>
      </w:r>
    </w:p>
    <w:p>
      <w:pPr>
        <w:spacing w:after="0" w:line="17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Code of Ethics</w:t>
      </w:r>
    </w:p>
    <w:p>
      <w:pPr>
        <w:spacing w:after="0" w:line="132" w:lineRule="exact"/>
        <w:rPr>
          <w:sz w:val="20"/>
          <w:szCs w:val="20"/>
          <w:color w:val="auto"/>
        </w:rPr>
      </w:pPr>
    </w:p>
    <w:p>
      <w:pPr>
        <w:jc w:val="both"/>
        <w:ind w:left="1220" w:right="699"/>
        <w:spacing w:after="0" w:line="259" w:lineRule="auto"/>
        <w:rPr>
          <w:sz w:val="20"/>
          <w:szCs w:val="20"/>
          <w:color w:val="auto"/>
        </w:rPr>
      </w:pPr>
      <w:r>
        <w:rPr>
          <w:rFonts w:ascii="Arial" w:cs="Arial" w:eastAsia="Arial" w:hAnsi="Arial"/>
          <w:sz w:val="18"/>
          <w:szCs w:val="18"/>
          <w:color w:val="auto"/>
        </w:rPr>
        <w:t>We have a Code of Business Conduct and Ethics that applies to our Directors, officers and employees as required by the Nasdaq listing standards. We also have a Code of Ethics for Senior Financial Officers that applies</w:t>
      </w:r>
    </w:p>
    <w:p>
      <w:pPr>
        <w:spacing w:after="0" w:line="34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896"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ind w:left="1220" w:right="579"/>
        <w:spacing w:after="0"/>
        <w:rPr>
          <w:sz w:val="20"/>
          <w:szCs w:val="20"/>
          <w:color w:val="auto"/>
        </w:rPr>
      </w:pPr>
      <w:r>
        <w:rPr>
          <w:rFonts w:ascii="Arial" w:cs="Arial" w:eastAsia="Arial" w:hAnsi="Arial"/>
          <w:sz w:val="18"/>
          <w:szCs w:val="18"/>
          <w:color w:val="auto"/>
        </w:rPr>
        <w:t xml:space="preserve">to our Chief Executive Officer, Chief Financial Officer and the members of the Chief Financial Officer’s financial leadership team. The Code of Business Conduct and Ethics and the Code of Ethics for Senior Financial Officers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On an annual basis, the Board of Directors reviews and approves the Code of Business Conduct and Ethics and the Code of Ethics for Senior Financial Officers. The Board of Directors last reviewed the Code of Business Conduct and Ethics and the Code of Ethics for Senior Financial Officers in December 2022. Any amendments to the Code of Business Conduct and Ethics or the Code of Ethics for Senior Financial Officers, as well as any waivers that are required to be disclosed under SEC rules or the Nasdaq listing standards, must be approved by our Board of Directors or the Audit Committee and will be posted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or otherwise disclosed in accordance with such rules.</w:t>
      </w:r>
    </w:p>
    <w:p>
      <w:pPr>
        <w:spacing w:after="0" w:line="36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Risk Management and Oversight Process</w:t>
      </w:r>
    </w:p>
    <w:p>
      <w:pPr>
        <w:spacing w:after="0" w:line="119" w:lineRule="exact"/>
        <w:rPr>
          <w:sz w:val="20"/>
          <w:szCs w:val="20"/>
          <w:color w:val="auto"/>
        </w:rPr>
      </w:pPr>
    </w:p>
    <w:p>
      <w:pPr>
        <w:ind w:left="1220" w:right="579"/>
        <w:spacing w:after="0" w:line="274" w:lineRule="auto"/>
        <w:rPr>
          <w:sz w:val="20"/>
          <w:szCs w:val="20"/>
          <w:color w:val="auto"/>
        </w:rPr>
      </w:pPr>
      <w:r>
        <w:rPr>
          <w:rFonts w:ascii="Arial" w:cs="Arial" w:eastAsia="Arial" w:hAnsi="Arial"/>
          <w:sz w:val="18"/>
          <w:szCs w:val="18"/>
          <w:color w:val="auto"/>
        </w:rPr>
        <w:t>Our Board of Directors and its Committees play a key role in the oversight of the Company’s risk management.</w:t>
      </w:r>
    </w:p>
    <w:p>
      <w:pPr>
        <w:spacing w:after="0" w:line="96" w:lineRule="exact"/>
        <w:rPr>
          <w:sz w:val="20"/>
          <w:szCs w:val="20"/>
          <w:color w:val="auto"/>
        </w:rPr>
      </w:pPr>
    </w:p>
    <w:p>
      <w:pPr>
        <w:ind w:left="1220" w:right="539"/>
        <w:spacing w:after="0"/>
        <w:rPr>
          <w:sz w:val="20"/>
          <w:szCs w:val="20"/>
          <w:color w:val="auto"/>
        </w:rPr>
      </w:pPr>
      <w:r>
        <w:rPr>
          <w:rFonts w:ascii="Arial" w:cs="Arial" w:eastAsia="Arial" w:hAnsi="Arial"/>
          <w:sz w:val="18"/>
          <w:szCs w:val="18"/>
          <w:color w:val="auto"/>
        </w:rPr>
        <w:t>Through regular reviews with management and internal and external auditors, the Board of Directors and the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308" w:lineRule="exact"/>
        <w:rPr>
          <w:sz w:val="20"/>
          <w:szCs w:val="20"/>
          <w:color w:val="auto"/>
        </w:rPr>
      </w:pPr>
    </w:p>
    <w:p>
      <w:pPr>
        <w:ind w:left="1220" w:right="579"/>
        <w:spacing w:after="0" w:line="236" w:lineRule="auto"/>
        <w:rPr>
          <w:sz w:val="20"/>
          <w:szCs w:val="20"/>
          <w:color w:val="auto"/>
        </w:rPr>
      </w:pPr>
      <w:r>
        <w:rPr>
          <w:rFonts w:ascii="Arial" w:cs="Arial" w:eastAsia="Arial" w:hAnsi="Arial"/>
          <w:sz w:val="18"/>
          <w:szCs w:val="18"/>
          <w:color w:val="auto"/>
        </w:rPr>
        <w:t>Our Audit Committee periodically performs, and reports to the Board of Directors on, an enterprise risk assessment with management to review the principal risks that could adversely affect our business, and to monitor the steps management is taking to map and mitigate these risks. This enterprise risk assessment generally reviews: (i) operational risks; (ii) financial risks; (iii) legal and regulatory compliance risks; (iv) reputational risks;</w:t>
      </w:r>
    </w:p>
    <w:p>
      <w:pPr>
        <w:spacing w:after="0" w:line="4" w:lineRule="exact"/>
        <w:rPr>
          <w:sz w:val="20"/>
          <w:szCs w:val="20"/>
          <w:color w:val="auto"/>
        </w:rPr>
      </w:pPr>
    </w:p>
    <w:p>
      <w:pPr>
        <w:ind w:left="1520" w:hanging="299"/>
        <w:spacing w:after="0"/>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technology risks; (vi) privacy risks; (vii) data security (including cybersecurity) risks;</w:t>
      </w:r>
    </w:p>
    <w:p>
      <w:pPr>
        <w:spacing w:after="0" w:line="4" w:lineRule="exact"/>
        <w:rPr>
          <w:rFonts w:ascii="Arial" w:cs="Arial" w:eastAsia="Arial" w:hAnsi="Arial"/>
          <w:sz w:val="18"/>
          <w:szCs w:val="18"/>
          <w:color w:val="auto"/>
        </w:rPr>
      </w:pPr>
    </w:p>
    <w:p>
      <w:pPr>
        <w:ind w:left="1660" w:hanging="439"/>
        <w:spacing w:after="0"/>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risks; and (ix) other risks that could adversely affect our business.</w:t>
      </w:r>
    </w:p>
    <w:p>
      <w:pPr>
        <w:spacing w:after="0" w:line="121" w:lineRule="exact"/>
        <w:rPr>
          <w:sz w:val="20"/>
          <w:szCs w:val="20"/>
          <w:color w:val="auto"/>
        </w:rPr>
      </w:pPr>
    </w:p>
    <w:p>
      <w:pPr>
        <w:ind w:left="1220" w:right="519"/>
        <w:spacing w:after="0" w:line="241" w:lineRule="auto"/>
        <w:rPr>
          <w:sz w:val="20"/>
          <w:szCs w:val="20"/>
          <w:color w:val="auto"/>
        </w:rPr>
      </w:pPr>
      <w:r>
        <w:rPr>
          <w:rFonts w:ascii="Arial" w:cs="Arial" w:eastAsia="Arial" w:hAnsi="Arial"/>
          <w:sz w:val="18"/>
          <w:szCs w:val="18"/>
          <w:color w:val="auto"/>
        </w:rPr>
        <w:t>Our Board of Directors and Compliance Committee monitor the overall compliance function, including the compliance management system, and compliance with legal and regulatory requirements and related risks, through regular reviews with management. At least quarterly, our Compliance Committee reviews and discusses with management the Company’s compliance with legal and regulatory requirements and compliance programs.</w:t>
      </w:r>
    </w:p>
    <w:p>
      <w:pPr>
        <w:spacing w:after="0" w:line="112" w:lineRule="exact"/>
        <w:rPr>
          <w:sz w:val="20"/>
          <w:szCs w:val="20"/>
          <w:color w:val="auto"/>
        </w:rPr>
      </w:pPr>
    </w:p>
    <w:p>
      <w:pPr>
        <w:ind w:left="1220" w:right="919"/>
        <w:spacing w:after="0" w:line="244" w:lineRule="auto"/>
        <w:rPr>
          <w:sz w:val="20"/>
          <w:szCs w:val="20"/>
          <w:color w:val="auto"/>
        </w:rPr>
      </w:pPr>
      <w:r>
        <w:rPr>
          <w:rFonts w:ascii="Arial" w:cs="Arial" w:eastAsia="Arial" w:hAnsi="Arial"/>
          <w:sz w:val="18"/>
          <w:szCs w:val="18"/>
          <w:color w:val="auto"/>
        </w:rPr>
        <w:t>In addition, working closely with management, our Nomination/Governance Committee assists our Board of Directors in monitoring the Company’s governance and succession risks, and our Compensation Committee assists our Board of Directors in monitoring the Company’s compensation policies and related risks.</w:t>
      </w:r>
    </w:p>
    <w:p>
      <w:pPr>
        <w:spacing w:after="0" w:line="111" w:lineRule="exact"/>
        <w:rPr>
          <w:sz w:val="20"/>
          <w:szCs w:val="20"/>
          <w:color w:val="auto"/>
        </w:rPr>
      </w:pPr>
    </w:p>
    <w:p>
      <w:pPr>
        <w:ind w:left="1220" w:right="519"/>
        <w:spacing w:after="0" w:line="244" w:lineRule="auto"/>
        <w:rPr>
          <w:sz w:val="20"/>
          <w:szCs w:val="20"/>
          <w:color w:val="auto"/>
        </w:rPr>
      </w:pPr>
      <w:r>
        <w:rPr>
          <w:rFonts w:ascii="Arial" w:cs="Arial" w:eastAsia="Arial" w:hAnsi="Arial"/>
          <w:sz w:val="18"/>
          <w:szCs w:val="18"/>
          <w:color w:val="auto"/>
        </w:rPr>
        <w:t>The role of our Board of Directors in risk oversight is consistent with the Company’s leadership structure, with the Chief Executive Officer and other members of management having responsibility for assessing and managing the Company’s risk exposure, and the Board of Directors and its Committees providing oversight of the management of these risks.</w:t>
      </w:r>
    </w:p>
    <w:p>
      <w:pPr>
        <w:spacing w:after="0" w:line="171"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Share Hedging, Margin Lending, Share Pledging</w:t>
      </w:r>
    </w:p>
    <w:p>
      <w:pPr>
        <w:spacing w:after="0" w:line="119" w:lineRule="exact"/>
        <w:rPr>
          <w:sz w:val="20"/>
          <w:szCs w:val="20"/>
          <w:color w:val="auto"/>
        </w:rPr>
      </w:pPr>
    </w:p>
    <w:p>
      <w:pPr>
        <w:ind w:left="1220" w:right="639"/>
        <w:spacing w:after="0"/>
        <w:rPr>
          <w:sz w:val="20"/>
          <w:szCs w:val="20"/>
          <w:color w:val="auto"/>
        </w:rPr>
      </w:pPr>
      <w:r>
        <w:rPr>
          <w:rFonts w:ascii="Arial" w:cs="Arial" w:eastAsia="Arial" w:hAnsi="Arial"/>
          <w:sz w:val="18"/>
          <w:szCs w:val="18"/>
          <w:color w:val="auto"/>
        </w:rPr>
        <w:t>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contains similar prohibitions.</w:t>
      </w:r>
    </w:p>
    <w:p>
      <w:pPr>
        <w:spacing w:after="0" w:line="39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Corporate Responsibility, Sustainability and Human Rights</w:t>
      </w:r>
    </w:p>
    <w:p>
      <w:pPr>
        <w:spacing w:after="0" w:line="119" w:lineRule="exact"/>
        <w:rPr>
          <w:sz w:val="20"/>
          <w:szCs w:val="20"/>
          <w:color w:val="auto"/>
        </w:rPr>
      </w:pPr>
    </w:p>
    <w:p>
      <w:pPr>
        <w:ind w:left="1220" w:right="519"/>
        <w:spacing w:after="0" w:line="244" w:lineRule="auto"/>
        <w:rPr>
          <w:sz w:val="20"/>
          <w:szCs w:val="20"/>
          <w:color w:val="auto"/>
        </w:rPr>
      </w:pPr>
      <w:r>
        <w:rPr>
          <w:rFonts w:ascii="Arial" w:cs="Arial" w:eastAsia="Arial" w:hAnsi="Arial"/>
          <w:sz w:val="18"/>
          <w:szCs w:val="18"/>
          <w:color w:val="auto"/>
        </w:rPr>
        <w:t>Altisource’s Corporate Responsibility Management Committee oversees the policies, procedures and strategies regarding corporate responsibility, sustainability and environment. The Committee typically meets quarterly and includes our Chief Legal and Compliance Officer, Chief Financial Officer and other key operational executives.</w:t>
      </w:r>
    </w:p>
    <w:p>
      <w:pPr>
        <w:spacing w:after="0" w:line="3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949"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ind w:left="1220" w:right="679"/>
        <w:spacing w:after="0" w:line="274" w:lineRule="auto"/>
        <w:rPr>
          <w:sz w:val="20"/>
          <w:szCs w:val="20"/>
          <w:color w:val="auto"/>
        </w:rPr>
      </w:pPr>
      <w:r>
        <w:rPr>
          <w:rFonts w:ascii="Arial" w:cs="Arial" w:eastAsia="Arial" w:hAnsi="Arial"/>
          <w:sz w:val="18"/>
          <w:szCs w:val="18"/>
          <w:color w:val="auto"/>
        </w:rPr>
        <w:t>Our Board of Directors oversees the Corporate Responsibility Management Committee and receives regular updates on the effectiveness of our corporate responsibility initiatives.</w:t>
      </w:r>
    </w:p>
    <w:p>
      <w:pPr>
        <w:spacing w:after="0" w:line="83" w:lineRule="exact"/>
        <w:rPr>
          <w:sz w:val="20"/>
          <w:szCs w:val="20"/>
          <w:color w:val="auto"/>
        </w:rPr>
      </w:pPr>
    </w:p>
    <w:p>
      <w:pPr>
        <w:ind w:left="1220" w:right="559"/>
        <w:spacing w:after="0" w:line="259" w:lineRule="auto"/>
        <w:rPr>
          <w:sz w:val="20"/>
          <w:szCs w:val="20"/>
          <w:color w:val="auto"/>
        </w:rPr>
      </w:pPr>
      <w:r>
        <w:rPr>
          <w:rFonts w:ascii="Arial" w:cs="Arial" w:eastAsia="Arial" w:hAnsi="Arial"/>
          <w:sz w:val="18"/>
          <w:szCs w:val="18"/>
          <w:color w:val="auto"/>
        </w:rPr>
        <w:t>At the recommendation of the Corporate Responsibility Management Committee, in December 2021, the Board of Directors established a target of reducing our greenhouse gas emissions by 25% compared to 2019, the last year we were fully operational in our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9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Compensation Arrangements for Non-Management Directors</w:t>
      </w:r>
    </w:p>
    <w:p>
      <w:pPr>
        <w:spacing w:after="0" w:line="119" w:lineRule="exact"/>
        <w:rPr>
          <w:sz w:val="20"/>
          <w:szCs w:val="20"/>
          <w:color w:val="auto"/>
        </w:rPr>
      </w:pPr>
    </w:p>
    <w:p>
      <w:pPr>
        <w:ind w:left="1220" w:right="539"/>
        <w:spacing w:after="0" w:line="241" w:lineRule="auto"/>
        <w:rPr>
          <w:sz w:val="20"/>
          <w:szCs w:val="20"/>
          <w:color w:val="auto"/>
        </w:rPr>
      </w:pPr>
      <w:r>
        <w:rPr>
          <w:rFonts w:ascii="Arial" w:cs="Arial" w:eastAsia="Arial" w:hAnsi="Arial"/>
          <w:sz w:val="18"/>
          <w:szCs w:val="18"/>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112" w:lineRule="exact"/>
        <w:rPr>
          <w:sz w:val="20"/>
          <w:szCs w:val="20"/>
          <w:color w:val="auto"/>
        </w:rPr>
      </w:pPr>
    </w:p>
    <w:p>
      <w:pPr>
        <w:ind w:left="1220" w:right="539"/>
        <w:spacing w:after="0"/>
        <w:rPr>
          <w:sz w:val="20"/>
          <w:szCs w:val="20"/>
          <w:color w:val="auto"/>
        </w:rPr>
      </w:pPr>
      <w:r>
        <w:rPr>
          <w:rFonts w:ascii="Arial" w:cs="Arial" w:eastAsia="Arial" w:hAnsi="Arial"/>
          <w:sz w:val="18"/>
          <w:szCs w:val="18"/>
          <w:color w:val="auto"/>
        </w:rPr>
        <w:t>In line with our philosophy that the interests of our Directors should align with the interests of our shareholders, and to encourage active membership, non- management Directors who attend at least seventy-five percent (75%) of all meetings of the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18" w:lineRule="exact"/>
        <w:rPr>
          <w:sz w:val="20"/>
          <w:szCs w:val="20"/>
          <w:color w:val="auto"/>
        </w:rPr>
      </w:pPr>
    </w:p>
    <w:p>
      <w:pPr>
        <w:ind w:left="1220" w:right="599"/>
        <w:spacing w:after="0" w:line="239" w:lineRule="auto"/>
        <w:rPr>
          <w:sz w:val="20"/>
          <w:szCs w:val="20"/>
          <w:color w:val="auto"/>
        </w:rPr>
      </w:pPr>
      <w:r>
        <w:rPr>
          <w:rFonts w:ascii="Arial" w:cs="Arial" w:eastAsia="Arial" w:hAnsi="Arial"/>
          <w:sz w:val="18"/>
          <w:szCs w:val="18"/>
          <w:color w:val="auto"/>
        </w:rPr>
        <w:t>For the 2021 to 2022 service year, each of our non -management Directors who attended at least seventy- five percent (75%) of all meetings of the Board of Directors and Committees on which they served received 17,180 shares of our common stock at the end of the service year, based on an award value of $120,000 divided by the average of the high and low prices of the common stock as reported on the Nasdaq Global Select Market on May 19, 2020 (the first day of the 2021 to 2022 service year).</w:t>
      </w:r>
    </w:p>
    <w:p>
      <w:pPr>
        <w:spacing w:after="0" w:line="113" w:lineRule="exact"/>
        <w:rPr>
          <w:sz w:val="20"/>
          <w:szCs w:val="20"/>
          <w:color w:val="auto"/>
        </w:rPr>
      </w:pPr>
    </w:p>
    <w:p>
      <w:pPr>
        <w:ind w:left="1220" w:right="519"/>
        <w:spacing w:after="0" w:line="242" w:lineRule="auto"/>
        <w:rPr>
          <w:sz w:val="20"/>
          <w:szCs w:val="20"/>
          <w:color w:val="auto"/>
        </w:rPr>
      </w:pPr>
      <w:r>
        <w:rPr>
          <w:rFonts w:ascii="Arial" w:cs="Arial" w:eastAsia="Arial" w:hAnsi="Arial"/>
          <w:sz w:val="18"/>
          <w:szCs w:val="18"/>
          <w:color w:val="auto"/>
        </w:rPr>
        <w:t>For the 2022 to 2023 service year, our non -management Directors who attend at least seventy-five percent (75%) of all meetings of the Board and Committees on which they serve will receive 12,327 shares of common stock at the end of the service year, based on an award value of $120,000, divided by the average of the high and low prices of the common stock as reported on the Nasdaq Global Select Market on May 18, 2022 (the first day of the 2022 to 2023 service year).</w:t>
      </w:r>
    </w:p>
    <w:p>
      <w:pPr>
        <w:spacing w:after="0" w:line="320" w:lineRule="exact"/>
        <w:rPr>
          <w:sz w:val="20"/>
          <w:szCs w:val="20"/>
          <w:color w:val="auto"/>
        </w:rPr>
      </w:pPr>
    </w:p>
    <w:p>
      <w:pPr>
        <w:ind w:left="1220" w:right="739"/>
        <w:spacing w:after="0" w:line="241" w:lineRule="auto"/>
        <w:rPr>
          <w:sz w:val="20"/>
          <w:szCs w:val="20"/>
          <w:color w:val="auto"/>
        </w:rPr>
      </w:pPr>
      <w:r>
        <w:rPr>
          <w:rFonts w:ascii="Arial" w:cs="Arial" w:eastAsia="Arial" w:hAnsi="Arial"/>
          <w:sz w:val="18"/>
          <w:szCs w:val="18"/>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w:t>
      </w:r>
    </w:p>
    <w:p>
      <w:pPr>
        <w:spacing w:after="0" w:line="1" w:lineRule="exact"/>
        <w:rPr>
          <w:sz w:val="20"/>
          <w:szCs w:val="20"/>
          <w:color w:val="auto"/>
        </w:rPr>
      </w:pPr>
    </w:p>
    <w:p>
      <w:pPr>
        <w:ind w:left="1220" w:right="1039" w:firstLine="1"/>
        <w:spacing w:after="0" w:line="243" w:lineRule="auto"/>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equal installments, with the initial portion vesting on the date of the annual meeting following the award and vesting continuing on the dates of the next three (3) annual meetings.</w:t>
      </w:r>
    </w:p>
    <w:p>
      <w:pPr>
        <w:spacing w:after="0" w:line="319" w:lineRule="exact"/>
        <w:rPr>
          <w:sz w:val="20"/>
          <w:szCs w:val="20"/>
          <w:color w:val="auto"/>
        </w:rPr>
      </w:pPr>
    </w:p>
    <w:p>
      <w:pPr>
        <w:ind w:left="1220" w:right="859"/>
        <w:spacing w:after="0" w:line="244" w:lineRule="auto"/>
        <w:rPr>
          <w:sz w:val="20"/>
          <w:szCs w:val="20"/>
          <w:color w:val="auto"/>
        </w:rPr>
      </w:pPr>
      <w:r>
        <w:rPr>
          <w:rFonts w:ascii="Arial" w:cs="Arial" w:eastAsia="Arial" w:hAnsi="Arial"/>
          <w:sz w:val="18"/>
          <w:szCs w:val="18"/>
          <w:color w:val="auto"/>
        </w:rPr>
        <w:t>As approved by our shareholders at our 2016 annual meeting of shareholders, each non-management member of our Board of Directors also receives the following annual cash compensation, in quarterly installments:</w:t>
      </w:r>
    </w:p>
    <w:p>
      <w:pPr>
        <w:spacing w:after="0" w:line="70" w:lineRule="exact"/>
        <w:rPr>
          <w:sz w:val="20"/>
          <w:szCs w:val="20"/>
          <w:color w:val="auto"/>
        </w:rPr>
      </w:pPr>
    </w:p>
    <w:p>
      <w:pPr>
        <w:ind w:left="1760" w:hanging="186"/>
        <w:spacing w:after="0"/>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110" w:lineRule="exact"/>
        <w:rPr>
          <w:rFonts w:ascii="Arial" w:cs="Arial" w:eastAsia="Arial" w:hAnsi="Arial"/>
          <w:sz w:val="18"/>
          <w:szCs w:val="18"/>
          <w:color w:val="auto"/>
        </w:rPr>
      </w:pPr>
    </w:p>
    <w:p>
      <w:pPr>
        <w:ind w:left="1760" w:right="699" w:hanging="186"/>
        <w:spacing w:after="0" w:line="257" w:lineRule="auto"/>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additional $100,000 to the Chairman of the Board of Directors, if not a member of the Company’s management</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ind w:left="1760" w:hanging="186"/>
        <w:spacing w:after="0"/>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additional $25,000 to the Audit Committee Chair;</w:t>
      </w:r>
    </w:p>
    <w:p>
      <w:pPr>
        <w:spacing w:after="0" w:line="97" w:lineRule="exact"/>
        <w:rPr>
          <w:rFonts w:ascii="Arial" w:cs="Arial" w:eastAsia="Arial" w:hAnsi="Arial"/>
          <w:sz w:val="18"/>
          <w:szCs w:val="18"/>
          <w:color w:val="auto"/>
        </w:rPr>
      </w:pPr>
    </w:p>
    <w:p>
      <w:pPr>
        <w:ind w:left="1760" w:hanging="186"/>
        <w:spacing w:after="0"/>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additional $17,500 to the Compliance Committee Chair;</w:t>
      </w:r>
    </w:p>
    <w:p>
      <w:pPr>
        <w:spacing w:after="0" w:line="110" w:lineRule="exact"/>
        <w:rPr>
          <w:rFonts w:ascii="Arial" w:cs="Arial" w:eastAsia="Arial" w:hAnsi="Arial"/>
          <w:sz w:val="18"/>
          <w:szCs w:val="18"/>
          <w:color w:val="auto"/>
        </w:rPr>
      </w:pPr>
    </w:p>
    <w:p>
      <w:pPr>
        <w:ind w:left="1760" w:hanging="186"/>
        <w:spacing w:after="0"/>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additional $15,000 to the Compensation Committee Chair;</w:t>
      </w:r>
    </w:p>
    <w:p>
      <w:pPr>
        <w:spacing w:after="0" w:line="110" w:lineRule="exact"/>
        <w:rPr>
          <w:rFonts w:ascii="Arial" w:cs="Arial" w:eastAsia="Arial" w:hAnsi="Arial"/>
          <w:sz w:val="18"/>
          <w:szCs w:val="18"/>
          <w:color w:val="auto"/>
        </w:rPr>
      </w:pPr>
    </w:p>
    <w:p>
      <w:pPr>
        <w:ind w:left="1760" w:hanging="186"/>
        <w:spacing w:after="0"/>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additional $12,500 to the Nomination/Governance Committee Chair;</w:t>
      </w:r>
    </w:p>
    <w:p>
      <w:pPr>
        <w:spacing w:after="0" w:line="110" w:lineRule="exact"/>
        <w:rPr>
          <w:rFonts w:ascii="Arial" w:cs="Arial" w:eastAsia="Arial" w:hAnsi="Arial"/>
          <w:sz w:val="18"/>
          <w:szCs w:val="18"/>
          <w:color w:val="auto"/>
        </w:rPr>
      </w:pPr>
    </w:p>
    <w:p>
      <w:pPr>
        <w:ind w:left="1760" w:right="1479" w:hanging="186"/>
        <w:spacing w:after="0" w:line="274" w:lineRule="auto"/>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additional $10,000 to all Audit Committee members (other than the Audit Committee Chair);</w:t>
      </w:r>
    </w:p>
    <w:p>
      <w:pPr>
        <w:spacing w:after="0" w:line="43" w:lineRule="exact"/>
        <w:rPr>
          <w:rFonts w:ascii="Arial" w:cs="Arial" w:eastAsia="Arial" w:hAnsi="Arial"/>
          <w:sz w:val="18"/>
          <w:szCs w:val="18"/>
          <w:color w:val="auto"/>
        </w:rPr>
      </w:pPr>
    </w:p>
    <w:p>
      <w:pPr>
        <w:ind w:left="1760" w:right="1399" w:hanging="186"/>
        <w:spacing w:after="0" w:line="274" w:lineRule="auto"/>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additional $10,000 to all Compliance Committee members (other than the Compliance Committee Chair);</w:t>
      </w:r>
    </w:p>
    <w:p>
      <w:pPr>
        <w:spacing w:after="0" w:line="56" w:lineRule="exact"/>
        <w:rPr>
          <w:rFonts w:ascii="Arial" w:cs="Arial" w:eastAsia="Arial" w:hAnsi="Arial"/>
          <w:sz w:val="18"/>
          <w:szCs w:val="18"/>
          <w:color w:val="auto"/>
        </w:rPr>
      </w:pPr>
    </w:p>
    <w:p>
      <w:pPr>
        <w:ind w:left="1760" w:right="1279" w:hanging="186"/>
        <w:spacing w:after="0" w:line="274" w:lineRule="auto"/>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additional $7,500 to all Compensation Committee members (other than the Compensation Committee Chair); and</w:t>
      </w:r>
    </w:p>
    <w:p>
      <w:pPr>
        <w:spacing w:after="0" w:line="56" w:lineRule="exact"/>
        <w:rPr>
          <w:rFonts w:ascii="Arial" w:cs="Arial" w:eastAsia="Arial" w:hAnsi="Arial"/>
          <w:sz w:val="18"/>
          <w:szCs w:val="18"/>
          <w:color w:val="auto"/>
        </w:rPr>
      </w:pPr>
    </w:p>
    <w:p>
      <w:pPr>
        <w:ind w:left="1760" w:right="779" w:hanging="186"/>
        <w:spacing w:after="0" w:line="274" w:lineRule="auto"/>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additional $5,000 to all Nomination/Governance Committee members (other than the Nomination/ Governance Committee Chair).</w:t>
      </w:r>
    </w:p>
    <w:p>
      <w:pPr>
        <w:spacing w:after="0" w:line="191" w:lineRule="exact"/>
        <w:rPr>
          <w:rFonts w:ascii="Arial" w:cs="Arial" w:eastAsia="Arial" w:hAnsi="Arial"/>
          <w:sz w:val="18"/>
          <w:szCs w:val="18"/>
          <w:color w:val="auto"/>
        </w:rPr>
      </w:pPr>
    </w:p>
    <w:p>
      <w:pPr>
        <w:ind w:left="1580" w:right="519" w:hanging="359"/>
        <w:spacing w:after="0" w:line="207" w:lineRule="auto"/>
        <w:tabs>
          <w:tab w:leader="none" w:pos="158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As a management Director, our current Chairman of the Board does not receive an annual retainer or any other additional compensation for his service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-332740</wp:posOffset>
            </wp:positionV>
            <wp:extent cx="12103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35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58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-215900</wp:posOffset>
            </wp:positionV>
            <wp:extent cx="2168525" cy="142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68525" cy="142875"/>
                    </a:xfrm>
                    <a:prstGeom prst="rect">
                      <a:avLst/>
                    </a:prstGeom>
                    <a:noFill/>
                  </pic:spPr>
                </pic:pic>
              </a:graphicData>
            </a:graphic>
          </wp:anchor>
        </w:drawing>
      </w:r>
    </w:p>
    <w:p>
      <w:pPr>
        <w:spacing w:after="0" w:line="112" w:lineRule="exact"/>
        <w:rPr>
          <w:sz w:val="20"/>
          <w:szCs w:val="20"/>
          <w:color w:val="auto"/>
        </w:rPr>
      </w:pPr>
    </w:p>
    <w:p>
      <w:pPr>
        <w:jc w:val="both"/>
        <w:ind w:left="1220" w:right="899"/>
        <w:spacing w:after="0" w:line="259" w:lineRule="auto"/>
        <w:rPr>
          <w:sz w:val="20"/>
          <w:szCs w:val="20"/>
          <w:color w:val="auto"/>
        </w:rPr>
      </w:pPr>
      <w:r>
        <w:rPr>
          <w:rFonts w:ascii="Arial" w:cs="Arial" w:eastAsia="Arial" w:hAnsi="Arial"/>
          <w:sz w:val="18"/>
          <w:szCs w:val="18"/>
          <w:color w:val="auto"/>
        </w:rPr>
        <w:t>The Company also pays or reimburses our Directors for their reasonable travel, lodging, food and other expenses related to their attendance at Board, Committee or shareholder meetings or other corporate functions.</w:t>
      </w:r>
    </w:p>
    <w:p>
      <w:pPr>
        <w:spacing w:after="0" w:line="98" w:lineRule="exact"/>
        <w:rPr>
          <w:sz w:val="20"/>
          <w:szCs w:val="20"/>
          <w:color w:val="auto"/>
        </w:rPr>
      </w:pPr>
    </w:p>
    <w:p>
      <w:pPr>
        <w:ind w:left="1220" w:right="659"/>
        <w:spacing w:after="0" w:line="252" w:lineRule="auto"/>
        <w:rPr>
          <w:sz w:val="20"/>
          <w:szCs w:val="20"/>
          <w:color w:val="auto"/>
        </w:rPr>
      </w:pPr>
      <w:r>
        <w:rPr>
          <w:rFonts w:ascii="Arial" w:cs="Arial" w:eastAsia="Arial" w:hAnsi="Arial"/>
          <w:sz w:val="18"/>
          <w:szCs w:val="18"/>
          <w:color w:val="auto"/>
        </w:rPr>
        <w:t>Certain Directors are also required to file Luxembourg tax returns in connection with the compensation that they receive as Directors of Altisource. In connection with this requirement, as approved by our shareholders at the 2018 Annual Meeting, the Company pays for tax preparation services for any Luxembourg tax returns that must be filed by non-resident Directors as a result of their membership on the Board of Directors of Altisource.</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Non-Management Director Compensation for 2022</w:t>
      </w:r>
    </w:p>
    <w:p>
      <w:pPr>
        <w:spacing w:after="0" w:line="132" w:lineRule="exact"/>
        <w:rPr>
          <w:sz w:val="20"/>
          <w:szCs w:val="20"/>
          <w:color w:val="auto"/>
        </w:rPr>
      </w:pPr>
    </w:p>
    <w:p>
      <w:pPr>
        <w:ind w:left="1220" w:right="1099"/>
        <w:spacing w:after="0" w:line="254" w:lineRule="auto"/>
        <w:rPr>
          <w:sz w:val="20"/>
          <w:szCs w:val="20"/>
          <w:color w:val="auto"/>
        </w:rPr>
      </w:pPr>
      <w:r>
        <w:rPr>
          <w:rFonts w:ascii="Arial" w:cs="Arial" w:eastAsia="Arial" w:hAnsi="Arial"/>
          <w:sz w:val="18"/>
          <w:szCs w:val="18"/>
          <w:color w:val="auto"/>
        </w:rPr>
        <w:t>The following table summarizes: (i) cash compensation earned in 2022 by each non-management member of our Board of Directors who served as a Director during 2022;</w:t>
      </w:r>
    </w:p>
    <w:p>
      <w:pPr>
        <w:spacing w:after="0" w:line="1" w:lineRule="exact"/>
        <w:rPr>
          <w:sz w:val="20"/>
          <w:szCs w:val="20"/>
          <w:color w:val="auto"/>
        </w:rPr>
      </w:pPr>
    </w:p>
    <w:p>
      <w:pPr>
        <w:ind w:left="1220" w:right="599" w:firstLine="1"/>
        <w:spacing w:after="0" w:line="248" w:lineRule="auto"/>
        <w:tabs>
          <w:tab w:leader="none" w:pos="15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 awards made to our non-management Directors in 2022 for their service in the 2022 to 2023 service year; and (iii) any other compensation received from the Company in 2022. Mr. Shepro, as a member of the Company’s management, does not receive an annual retainer or any other additional compensation for his service on the Board of Directors.</w:t>
      </w:r>
    </w:p>
    <w:p>
      <w:pPr>
        <w:spacing w:after="0" w:line="103"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Fees Earned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Stock</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25"/>
        </w:trPr>
        <w:tc>
          <w:tcPr>
            <w:tcW w:w="440" w:type="dxa"/>
            <w:vAlign w:val="bottom"/>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540" w:type="dxa"/>
            <w:vAlign w:val="bottom"/>
          </w:tcPr>
          <w:p>
            <w:pPr>
              <w:ind w:left="700"/>
              <w:spacing w:after="0"/>
              <w:rPr>
                <w:sz w:val="20"/>
                <w:szCs w:val="20"/>
                <w:color w:val="auto"/>
              </w:rPr>
            </w:pPr>
            <w:r>
              <w:rPr>
                <w:rFonts w:ascii="Arial" w:cs="Arial" w:eastAsia="Arial" w:hAnsi="Arial"/>
                <w:sz w:val="18"/>
                <w:szCs w:val="18"/>
                <w:b w:val="1"/>
                <w:bCs w:val="1"/>
                <w:color w:val="auto"/>
              </w:rPr>
              <w:t>Name</w:t>
            </w:r>
          </w:p>
        </w:tc>
        <w:tc>
          <w:tcPr>
            <w:tcW w:w="4240" w:type="dxa"/>
            <w:vAlign w:val="bottom"/>
            <w:gridSpan w:val="13"/>
          </w:tcPr>
          <w:p>
            <w:pPr>
              <w:ind w:left="20"/>
              <w:spacing w:after="0" w:line="225" w:lineRule="exact"/>
              <w:rPr>
                <w:sz w:val="20"/>
                <w:szCs w:val="20"/>
                <w:color w:val="auto"/>
              </w:rPr>
            </w:pPr>
            <w:r>
              <w:rPr>
                <w:rFonts w:ascii="Arial" w:cs="Arial" w:eastAsia="Arial" w:hAnsi="Arial"/>
                <w:sz w:val="18"/>
                <w:szCs w:val="18"/>
                <w:b w:val="1"/>
                <w:bCs w:val="1"/>
                <w:color w:val="auto"/>
              </w:rPr>
              <w:t>​ ​or Paid in Cash</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 xml:space="preserve"> ​ ​Awards</w:t>
            </w:r>
            <w:r>
              <w:rPr>
                <w:rFonts w:ascii="Arial" w:cs="Arial" w:eastAsia="Arial" w:hAnsi="Arial"/>
                <w:sz w:val="22"/>
                <w:szCs w:val="22"/>
                <w:b w:val="1"/>
                <w:bCs w:val="1"/>
                <w:color w:val="auto"/>
                <w:vertAlign w:val="superscript"/>
              </w:rPr>
              <w:t>(2)</w:t>
            </w:r>
            <w:r>
              <w:rPr>
                <w:rFonts w:ascii="Arial" w:cs="Arial" w:eastAsia="Arial" w:hAnsi="Arial"/>
                <w:sz w:val="18"/>
                <w:szCs w:val="18"/>
                <w:b w:val="1"/>
                <w:bCs w:val="1"/>
                <w:color w:val="auto"/>
              </w:rPr>
              <w:t xml:space="preserve"> ​ ​Compensation ​ ​</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2"/>
        </w:trPr>
        <w:tc>
          <w:tcPr>
            <w:tcW w:w="4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John​</w:t>
            </w:r>
          </w:p>
        </w:tc>
        <w:tc>
          <w:tcPr>
            <w:tcW w:w="2740" w:type="dxa"/>
            <w:vAlign w:val="bottom"/>
            <w:gridSpan w:val="2"/>
            <w:shd w:val="clear" w:color="auto" w:fill="CCEEFF"/>
          </w:tcPr>
          <w:p>
            <w:pPr>
              <w:ind w:left="40"/>
              <w:spacing w:after="0" w:line="192" w:lineRule="exact"/>
              <w:rPr>
                <w:sz w:val="20"/>
                <w:szCs w:val="20"/>
                <w:color w:val="auto"/>
              </w:rPr>
            </w:pPr>
            <w:r>
              <w:rPr>
                <w:rFonts w:ascii="Arial" w:cs="Arial" w:eastAsia="Arial" w:hAnsi="Arial"/>
                <w:sz w:val="18"/>
                <w:szCs w:val="18"/>
                <w:color w:val="auto"/>
              </w:rPr>
              <w:t>G. Aldridge, Jr.</w:t>
            </w:r>
          </w:p>
        </w:tc>
        <w:tc>
          <w:tcPr>
            <w:tcW w:w="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rPr>
              <w:t>​$ 44,589</w:t>
            </w:r>
          </w:p>
        </w:tc>
        <w:tc>
          <w:tcPr>
            <w:tcW w:w="660" w:type="dxa"/>
            <w:vAlign w:val="bottom"/>
            <w:gridSpan w:val="3"/>
            <w:shd w:val="clear" w:color="auto" w:fill="CCEEFF"/>
          </w:tcPr>
          <w:p>
            <w:pPr>
              <w:ind w:left="100"/>
              <w:spacing w:after="0" w:line="192" w:lineRule="exact"/>
              <w:rPr>
                <w:sz w:val="20"/>
                <w:szCs w:val="20"/>
                <w:color w:val="auto"/>
              </w:rPr>
            </w:pPr>
            <w:r>
              <w:rPr>
                <w:rFonts w:ascii="Arial" w:cs="Arial" w:eastAsia="Arial" w:hAnsi="Arial"/>
                <w:sz w:val="18"/>
                <w:szCs w:val="18"/>
                <w:color w:val="auto"/>
              </w:rPr>
              <w:t>​​ ​​ ​</w:t>
            </w:r>
          </w:p>
        </w:tc>
        <w:tc>
          <w:tcPr>
            <w:tcW w:w="4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ind w:left="120"/>
              <w:spacing w:after="0" w:line="192" w:lineRule="exact"/>
              <w:rPr>
                <w:sz w:val="20"/>
                <w:szCs w:val="20"/>
                <w:color w:val="auto"/>
              </w:rPr>
            </w:pPr>
            <w:r>
              <w:rPr>
                <w:rFonts w:ascii="Arial" w:cs="Arial" w:eastAsia="Arial" w:hAnsi="Arial"/>
                <w:sz w:val="18"/>
                <w:szCs w:val="18"/>
                <w:color w:val="auto"/>
              </w:rPr>
              <w:t>​ ​ ​​$</w:t>
            </w: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44,589</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80" w:type="dxa"/>
            <w:vAlign w:val="bottom"/>
            <w:gridSpan w:val="3"/>
          </w:tcPr>
          <w:p>
            <w:pPr>
              <w:spacing w:after="0" w:line="172" w:lineRule="exact"/>
              <w:rPr>
                <w:sz w:val="20"/>
                <w:szCs w:val="20"/>
                <w:color w:val="auto"/>
              </w:rPr>
            </w:pPr>
            <w:r>
              <w:rPr>
                <w:rFonts w:ascii="Arial" w:cs="Arial" w:eastAsia="Arial" w:hAnsi="Arial"/>
                <w:sz w:val="15"/>
                <w:szCs w:val="15"/>
                <w:color w:val="auto"/>
              </w:rPr>
              <w:t>Mary C. Hickok</w:t>
            </w:r>
            <w:r>
              <w:rPr>
                <w:rFonts w:ascii="Arial" w:cs="Arial" w:eastAsia="Arial" w:hAnsi="Arial"/>
                <w:sz w:val="19"/>
                <w:szCs w:val="19"/>
                <w:color w:val="auto"/>
                <w:vertAlign w:val="superscript"/>
              </w:rPr>
              <w:t>(3)</w:t>
            </w: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 ​</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​$ 66,053</w:t>
            </w:r>
          </w:p>
        </w:tc>
        <w:tc>
          <w:tcPr>
            <w:tcW w:w="1360" w:type="dxa"/>
            <w:vAlign w:val="bottom"/>
            <w:gridSpan w:val="6"/>
            <w:vMerge w:val="restart"/>
          </w:tcPr>
          <w:p>
            <w:pPr>
              <w:jc w:val="right"/>
              <w:ind w:right="120"/>
              <w:spacing w:after="0"/>
              <w:rPr>
                <w:sz w:val="20"/>
                <w:szCs w:val="20"/>
                <w:color w:val="auto"/>
              </w:rPr>
            </w:pPr>
            <w:r>
              <w:rPr>
                <w:rFonts w:ascii="Arial" w:cs="Arial" w:eastAsia="Arial" w:hAnsi="Arial"/>
                <w:sz w:val="18"/>
                <w:szCs w:val="18"/>
                <w:color w:val="auto"/>
              </w:rPr>
              <w:t>​​ ​​$ 37,950 ​​ ​</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140" w:type="dxa"/>
            <w:vAlign w:val="bottom"/>
            <w:gridSpan w:val="5"/>
            <w:vMerge w:val="restart"/>
          </w:tcPr>
          <w:p>
            <w:pPr>
              <w:jc w:val="right"/>
              <w:spacing w:after="0"/>
              <w:rPr>
                <w:sz w:val="20"/>
                <w:szCs w:val="20"/>
                <w:color w:val="auto"/>
              </w:rPr>
            </w:pPr>
            <w:r>
              <w:rPr>
                <w:rFonts w:ascii="Arial" w:cs="Arial" w:eastAsia="Arial" w:hAnsi="Arial"/>
                <w:sz w:val="18"/>
                <w:szCs w:val="18"/>
                <w:color w:val="auto"/>
              </w:rPr>
              <w:t>​ ​ ​​$104,002</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3"/>
        </w:trPr>
        <w:tc>
          <w:tcPr>
            <w:tcW w:w="440" w:type="dxa"/>
            <w:vAlign w:val="bottom"/>
          </w:tcPr>
          <w:p>
            <w:pPr>
              <w:spacing w:after="0" w:line="53" w:lineRule="exact"/>
              <w:rPr>
                <w:sz w:val="20"/>
                <w:szCs w:val="20"/>
                <w:color w:val="auto"/>
              </w:rPr>
            </w:pPr>
            <w:r>
              <w:rPr>
                <w:rFonts w:ascii="Arial" w:cs="Arial" w:eastAsia="Arial" w:hAnsi="Arial"/>
                <w:sz w:val="6"/>
                <w:szCs w:val="6"/>
                <w:color w:val="auto"/>
              </w:rPr>
              <w:t>​</w:t>
            </w:r>
          </w:p>
        </w:tc>
        <w:tc>
          <w:tcPr>
            <w:tcW w:w="2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360" w:type="dxa"/>
            <w:vAlign w:val="bottom"/>
            <w:gridSpan w:val="6"/>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1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180" w:type="dxa"/>
            <w:vAlign w:val="bottom"/>
            <w:gridSpan w:val="3"/>
            <w:shd w:val="clear" w:color="auto" w:fill="CCEEFF"/>
          </w:tcPr>
          <w:p>
            <w:pPr>
              <w:spacing w:after="0" w:line="172" w:lineRule="exact"/>
              <w:rPr>
                <w:sz w:val="20"/>
                <w:szCs w:val="20"/>
                <w:color w:val="auto"/>
              </w:rPr>
            </w:pPr>
            <w:r>
              <w:rPr>
                <w:rFonts w:ascii="Arial" w:cs="Arial" w:eastAsia="Arial" w:hAnsi="Arial"/>
                <w:sz w:val="15"/>
                <w:szCs w:val="15"/>
                <w:color w:val="auto"/>
              </w:rPr>
              <w:t>Scott E. Burg</w:t>
            </w:r>
            <w:r>
              <w:rPr>
                <w:rFonts w:ascii="Arial" w:cs="Arial" w:eastAsia="Arial" w:hAnsi="Arial"/>
                <w:sz w:val="19"/>
                <w:szCs w:val="19"/>
                <w:color w:val="auto"/>
                <w:vertAlign w:val="superscript"/>
              </w:rPr>
              <w:t>(4)</w:t>
            </w: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​$ 15,667</w:t>
            </w:r>
          </w:p>
        </w:tc>
        <w:tc>
          <w:tcPr>
            <w:tcW w:w="1360" w:type="dxa"/>
            <w:vAlign w:val="bottom"/>
            <w:gridSpan w:val="6"/>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​​$132,937 ​​ ​</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 ​ ​​$148,604</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3"/>
        </w:trPr>
        <w:tc>
          <w:tcPr>
            <w:tcW w:w="440" w:type="dxa"/>
            <w:vAlign w:val="bottom"/>
            <w:shd w:val="clear" w:color="auto" w:fill="CCEEFF"/>
          </w:tcPr>
          <w:p>
            <w:pPr>
              <w:spacing w:after="0" w:line="53" w:lineRule="exact"/>
              <w:rPr>
                <w:sz w:val="20"/>
                <w:szCs w:val="20"/>
                <w:color w:val="auto"/>
              </w:rPr>
            </w:pPr>
            <w:r>
              <w:rPr>
                <w:rFonts w:ascii="Arial" w:cs="Arial" w:eastAsia="Arial" w:hAnsi="Arial"/>
                <w:sz w:val="6"/>
                <w:szCs w:val="6"/>
                <w:color w:val="auto"/>
              </w:rPr>
              <w:t>​</w:t>
            </w:r>
          </w:p>
        </w:tc>
        <w:tc>
          <w:tcPr>
            <w:tcW w:w="200" w:type="dxa"/>
            <w:vAlign w:val="bottom"/>
            <w:shd w:val="clear" w:color="auto" w:fill="CCEEFF"/>
          </w:tcPr>
          <w:p>
            <w:pPr>
              <w:spacing w:after="0"/>
              <w:rPr>
                <w:sz w:val="4"/>
                <w:szCs w:val="4"/>
                <w:color w:val="auto"/>
              </w:rPr>
            </w:pPr>
          </w:p>
        </w:tc>
        <w:tc>
          <w:tcPr>
            <w:tcW w:w="25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1360" w:type="dxa"/>
            <w:vAlign w:val="bottom"/>
            <w:gridSpan w:val="6"/>
            <w:vMerge w:val="continue"/>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1100" w:type="dxa"/>
            <w:vAlign w:val="bottom"/>
            <w:gridSpan w:val="4"/>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40" w:type="dxa"/>
            <w:vAlign w:val="bottom"/>
            <w:gridSpan w:val="2"/>
          </w:tcPr>
          <w:p>
            <w:pPr>
              <w:spacing w:after="0" w:line="199" w:lineRule="exact"/>
              <w:rPr>
                <w:sz w:val="20"/>
                <w:szCs w:val="20"/>
                <w:color w:val="auto"/>
              </w:rPr>
            </w:pPr>
            <w:r>
              <w:rPr>
                <w:rFonts w:ascii="Arial" w:cs="Arial" w:eastAsia="Arial" w:hAnsi="Arial"/>
                <w:sz w:val="18"/>
                <w:szCs w:val="18"/>
                <w:color w:val="auto"/>
              </w:rPr>
              <w:t>Joseph​</w:t>
            </w:r>
          </w:p>
        </w:tc>
        <w:tc>
          <w:tcPr>
            <w:tcW w:w="2540" w:type="dxa"/>
            <w:vAlign w:val="bottom"/>
          </w:tcPr>
          <w:p>
            <w:pPr>
              <w:ind w:left="40"/>
              <w:spacing w:after="0" w:line="199" w:lineRule="exact"/>
              <w:rPr>
                <w:sz w:val="20"/>
                <w:szCs w:val="20"/>
                <w:color w:val="auto"/>
              </w:rPr>
            </w:pPr>
            <w:r>
              <w:rPr>
                <w:rFonts w:ascii="Arial" w:cs="Arial" w:eastAsia="Arial" w:hAnsi="Arial"/>
                <w:sz w:val="18"/>
                <w:szCs w:val="18"/>
                <w:color w:val="auto"/>
              </w:rPr>
              <w:t>L. Morettini</w:t>
            </w:r>
          </w:p>
        </w:tc>
        <w:tc>
          <w:tcPr>
            <w:tcW w:w="24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 ​</w:t>
            </w:r>
          </w:p>
        </w:tc>
        <w:tc>
          <w:tcPr>
            <w:tcW w:w="1220" w:type="dxa"/>
            <w:vAlign w:val="bottom"/>
          </w:tcPr>
          <w:p>
            <w:pPr>
              <w:jc w:val="center"/>
              <w:spacing w:after="0" w:line="199" w:lineRule="exact"/>
              <w:rPr>
                <w:sz w:val="20"/>
                <w:szCs w:val="20"/>
                <w:color w:val="auto"/>
              </w:rPr>
            </w:pPr>
            <w:r>
              <w:rPr>
                <w:rFonts w:ascii="Arial" w:cs="Arial" w:eastAsia="Arial" w:hAnsi="Arial"/>
                <w:sz w:val="18"/>
                <w:szCs w:val="18"/>
                <w:color w:val="auto"/>
              </w:rPr>
              <w:t>​$ 85,909</w:t>
            </w:r>
          </w:p>
        </w:tc>
        <w:tc>
          <w:tcPr>
            <w:tcW w:w="1360" w:type="dxa"/>
            <w:vAlign w:val="bottom"/>
            <w:gridSpan w:val="6"/>
          </w:tcPr>
          <w:p>
            <w:pPr>
              <w:jc w:val="right"/>
              <w:ind w:right="120"/>
              <w:spacing w:after="0" w:line="199" w:lineRule="exact"/>
              <w:rPr>
                <w:sz w:val="20"/>
                <w:szCs w:val="20"/>
                <w:color w:val="auto"/>
              </w:rPr>
            </w:pPr>
            <w:r>
              <w:rPr>
                <w:rFonts w:ascii="Arial" w:cs="Arial" w:eastAsia="Arial" w:hAnsi="Arial"/>
                <w:sz w:val="18"/>
                <w:szCs w:val="18"/>
                <w:color w:val="auto"/>
              </w:rPr>
              <w:t>​​ ​​$169,653 ​​ ​</w:t>
            </w:r>
          </w:p>
        </w:tc>
        <w:tc>
          <w:tcPr>
            <w:tcW w:w="960" w:type="dxa"/>
            <w:vAlign w:val="bottom"/>
          </w:tcPr>
          <w:p>
            <w:pPr>
              <w:jc w:val="center"/>
              <w:spacing w:after="0" w:line="199" w:lineRule="exact"/>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line="199" w:lineRule="exact"/>
              <w:rPr>
                <w:sz w:val="20"/>
                <w:szCs w:val="20"/>
                <w:color w:val="auto"/>
              </w:rPr>
            </w:pPr>
            <w:r>
              <w:rPr>
                <w:rFonts w:ascii="Arial" w:cs="Arial" w:eastAsia="Arial" w:hAnsi="Arial"/>
                <w:sz w:val="18"/>
                <w:szCs w:val="18"/>
                <w:color w:val="auto"/>
              </w:rPr>
              <w:t>​ ​ ​​$255,562</w:t>
            </w:r>
          </w:p>
        </w:tc>
        <w:tc>
          <w:tcPr>
            <w:tcW w:w="4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2"/>
        </w:trPr>
        <w:tc>
          <w:tcPr>
            <w:tcW w:w="3180" w:type="dxa"/>
            <w:vAlign w:val="bottom"/>
            <w:gridSpan w:val="3"/>
            <w:shd w:val="clear" w:color="auto" w:fill="CCEEFF"/>
          </w:tcPr>
          <w:p>
            <w:pPr>
              <w:spacing w:after="0" w:line="172" w:lineRule="exact"/>
              <w:rPr>
                <w:sz w:val="20"/>
                <w:szCs w:val="20"/>
                <w:color w:val="auto"/>
              </w:rPr>
            </w:pPr>
            <w:r>
              <w:rPr>
                <w:rFonts w:ascii="Arial" w:cs="Arial" w:eastAsia="Arial" w:hAnsi="Arial"/>
                <w:sz w:val="15"/>
                <w:szCs w:val="15"/>
                <w:color w:val="auto"/>
              </w:rPr>
              <w:t>Roland Müller-Ineichen</w:t>
            </w:r>
            <w:r>
              <w:rPr>
                <w:rFonts w:ascii="Arial" w:cs="Arial" w:eastAsia="Arial" w:hAnsi="Arial"/>
                <w:sz w:val="19"/>
                <w:szCs w:val="19"/>
                <w:color w:val="auto"/>
                <w:vertAlign w:val="superscript"/>
              </w:rPr>
              <w:t>(5)</w:t>
            </w: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​$ 95,264</w:t>
            </w:r>
          </w:p>
        </w:tc>
        <w:tc>
          <w:tcPr>
            <w:tcW w:w="1360" w:type="dxa"/>
            <w:vAlign w:val="bottom"/>
            <w:gridSpan w:val="6"/>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​​$169,653 ​​ ​</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 ​ ​​$264,916</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3"/>
        </w:trPr>
        <w:tc>
          <w:tcPr>
            <w:tcW w:w="440" w:type="dxa"/>
            <w:vAlign w:val="bottom"/>
            <w:shd w:val="clear" w:color="auto" w:fill="CCEEFF"/>
          </w:tcPr>
          <w:p>
            <w:pPr>
              <w:spacing w:after="0" w:line="53" w:lineRule="exact"/>
              <w:rPr>
                <w:sz w:val="20"/>
                <w:szCs w:val="20"/>
                <w:color w:val="auto"/>
              </w:rPr>
            </w:pPr>
            <w:r>
              <w:rPr>
                <w:rFonts w:ascii="Arial" w:cs="Arial" w:eastAsia="Arial" w:hAnsi="Arial"/>
                <w:sz w:val="6"/>
                <w:szCs w:val="6"/>
                <w:color w:val="auto"/>
              </w:rPr>
              <w:t>​</w:t>
            </w:r>
          </w:p>
        </w:tc>
        <w:tc>
          <w:tcPr>
            <w:tcW w:w="200" w:type="dxa"/>
            <w:vAlign w:val="bottom"/>
            <w:shd w:val="clear" w:color="auto" w:fill="CCEEFF"/>
          </w:tcPr>
          <w:p>
            <w:pPr>
              <w:spacing w:after="0"/>
              <w:rPr>
                <w:sz w:val="4"/>
                <w:szCs w:val="4"/>
                <w:color w:val="auto"/>
              </w:rPr>
            </w:pPr>
          </w:p>
        </w:tc>
        <w:tc>
          <w:tcPr>
            <w:tcW w:w="25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1360" w:type="dxa"/>
            <w:vAlign w:val="bottom"/>
            <w:gridSpan w:val="6"/>
            <w:vMerge w:val="continue"/>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1100" w:type="dxa"/>
            <w:vAlign w:val="bottom"/>
            <w:gridSpan w:val="4"/>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-688340</wp:posOffset>
            </wp:positionV>
            <wp:extent cx="1009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0965" cy="8255"/>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-688340</wp:posOffset>
            </wp:positionV>
            <wp:extent cx="1009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0965" cy="825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-688340</wp:posOffset>
            </wp:positionV>
            <wp:extent cx="1009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096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-688340</wp:posOffset>
            </wp:positionV>
            <wp:extent cx="1009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0965" cy="825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134620</wp:posOffset>
            </wp:positionV>
            <wp:extent cx="12103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307" w:lineRule="exact"/>
        <w:rPr>
          <w:sz w:val="20"/>
          <w:szCs w:val="20"/>
          <w:color w:val="auto"/>
        </w:rPr>
      </w:pPr>
    </w:p>
    <w:p>
      <w:pPr>
        <w:ind w:left="1580" w:right="539" w:hanging="359"/>
        <w:spacing w:after="0"/>
        <w:tabs>
          <w:tab w:leader="none" w:pos="1580" w:val="left"/>
        </w:tabs>
        <w:numPr>
          <w:ilvl w:val="0"/>
          <w:numId w:val="30"/>
        </w:numPr>
        <w:rPr>
          <w:rFonts w:ascii="Arial" w:cs="Arial" w:eastAsia="Arial" w:hAnsi="Arial"/>
          <w:sz w:val="26"/>
          <w:szCs w:val="26"/>
          <w:color w:val="auto"/>
          <w:vertAlign w:val="superscript"/>
        </w:rPr>
      </w:pPr>
      <w:r>
        <w:rPr>
          <w:rFonts w:ascii="Arial" w:cs="Arial" w:eastAsia="Arial" w:hAnsi="Arial"/>
          <w:sz w:val="18"/>
          <w:szCs w:val="18"/>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2022, including amounts earned for service in the fourth quarter of 2022 and paid in the first quarter of 2023.</w:t>
      </w:r>
    </w:p>
    <w:p>
      <w:pPr>
        <w:spacing w:after="0" w:line="210" w:lineRule="exact"/>
        <w:rPr>
          <w:rFonts w:ascii="Arial" w:cs="Arial" w:eastAsia="Arial" w:hAnsi="Arial"/>
          <w:sz w:val="26"/>
          <w:szCs w:val="26"/>
          <w:color w:val="auto"/>
          <w:vertAlign w:val="superscript"/>
        </w:rPr>
      </w:pPr>
    </w:p>
    <w:p>
      <w:pPr>
        <w:ind w:left="1580" w:right="539" w:hanging="359"/>
        <w:spacing w:after="0"/>
        <w:tabs>
          <w:tab w:leader="none" w:pos="1580" w:val="left"/>
        </w:tabs>
        <w:numPr>
          <w:ilvl w:val="0"/>
          <w:numId w:val="30"/>
        </w:numPr>
        <w:rPr>
          <w:rFonts w:ascii="Arial" w:cs="Arial" w:eastAsia="Arial" w:hAnsi="Arial"/>
          <w:sz w:val="26"/>
          <w:szCs w:val="26"/>
          <w:color w:val="auto"/>
          <w:vertAlign w:val="superscript"/>
        </w:rPr>
      </w:pPr>
      <w:r>
        <w:rPr>
          <w:rFonts w:ascii="Arial" w:cs="Arial" w:eastAsia="Arial" w:hAnsi="Arial"/>
          <w:sz w:val="18"/>
          <w:szCs w:val="18"/>
          <w:color w:val="auto"/>
        </w:rPr>
        <w:t>Non-management Directors who attended at least seventy-five percent (75%) of all meetings of the Board of Directors and Committees on which they served for the 2021 to 2022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2022.</w:t>
      </w:r>
    </w:p>
    <w:p>
      <w:pPr>
        <w:spacing w:after="0" w:line="219" w:lineRule="exact"/>
        <w:rPr>
          <w:rFonts w:ascii="Arial" w:cs="Arial" w:eastAsia="Arial" w:hAnsi="Arial"/>
          <w:sz w:val="26"/>
          <w:szCs w:val="26"/>
          <w:color w:val="auto"/>
          <w:vertAlign w:val="superscript"/>
        </w:rPr>
      </w:pPr>
    </w:p>
    <w:p>
      <w:pPr>
        <w:ind w:left="1580" w:right="679" w:hanging="359"/>
        <w:spacing w:after="0" w:line="208" w:lineRule="auto"/>
        <w:tabs>
          <w:tab w:leader="none" w:pos="1580" w:val="left"/>
        </w:tabs>
        <w:numPr>
          <w:ilvl w:val="0"/>
          <w:numId w:val="30"/>
        </w:numPr>
        <w:rPr>
          <w:rFonts w:ascii="Arial" w:cs="Arial" w:eastAsia="Arial" w:hAnsi="Arial"/>
          <w:sz w:val="26"/>
          <w:szCs w:val="26"/>
          <w:color w:val="auto"/>
          <w:vertAlign w:val="superscript"/>
        </w:rPr>
      </w:pPr>
      <w:r>
        <w:rPr>
          <w:rFonts w:ascii="Arial" w:cs="Arial" w:eastAsia="Arial" w:hAnsi="Arial"/>
          <w:sz w:val="18"/>
          <w:szCs w:val="18"/>
          <w:color w:val="auto"/>
        </w:rPr>
        <w:t>On the date of her initial election to our Board of Directors, Ms. Hickok received a one-time grant of 500 shares of common stock. This award was scheduled to vest in four</w:t>
      </w:r>
    </w:p>
    <w:p>
      <w:pPr>
        <w:ind w:left="1580" w:right="519" w:hanging="6"/>
        <w:spacing w:after="0" w:line="246" w:lineRule="auto"/>
        <w:tabs>
          <w:tab w:leader="none" w:pos="1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equal installments beginning on the date of the 2022 annual meeting of shareholders and the final installment vesting on the date of the 2025 annual meeting of shareholders, subject to Ms. Hickok’s continued service on the Board. All cash compensation related to Ms. Hickok’s service as a Director was paid to STS Master Fund, Ltd. Shares received by Ms. Hickok’s as a Director were transferred to DPR CC LLC, a C-Corp 100% owned by Deer Park/​STS Master Fund, Ltd</w:t>
      </w:r>
    </w:p>
    <w:p>
      <w:pPr>
        <w:spacing w:after="0" w:line="34" w:lineRule="exact"/>
        <w:rPr>
          <w:rFonts w:ascii="Arial" w:cs="Arial" w:eastAsia="Arial" w:hAnsi="Arial"/>
          <w:sz w:val="18"/>
          <w:szCs w:val="18"/>
          <w:color w:val="auto"/>
        </w:rPr>
      </w:pPr>
    </w:p>
    <w:p>
      <w:pPr>
        <w:ind w:left="1580" w:right="559" w:hanging="359"/>
        <w:spacing w:after="0" w:line="208" w:lineRule="auto"/>
        <w:tabs>
          <w:tab w:leader="none" w:pos="1580" w:val="left"/>
        </w:tabs>
        <w:numPr>
          <w:ilvl w:val="0"/>
          <w:numId w:val="30"/>
        </w:numPr>
        <w:rPr>
          <w:rFonts w:ascii="Arial" w:cs="Arial" w:eastAsia="Arial" w:hAnsi="Arial"/>
          <w:sz w:val="26"/>
          <w:szCs w:val="26"/>
          <w:color w:val="auto"/>
          <w:vertAlign w:val="superscript"/>
        </w:rPr>
      </w:pPr>
      <w:r>
        <w:rPr>
          <w:rFonts w:ascii="Arial" w:cs="Arial" w:eastAsia="Arial" w:hAnsi="Arial"/>
          <w:sz w:val="18"/>
          <w:szCs w:val="18"/>
          <w:color w:val="auto"/>
        </w:rPr>
        <w:t>On the date of his initial election to our Board of Directors, Mr. Burg received a one-time grant of 500 shares of common stock. This award was scheduled to vest in four</w:t>
      </w:r>
    </w:p>
    <w:p>
      <w:pPr>
        <w:spacing w:after="0" w:line="1" w:lineRule="exact"/>
        <w:rPr>
          <w:rFonts w:ascii="Arial" w:cs="Arial" w:eastAsia="Arial" w:hAnsi="Arial"/>
          <w:sz w:val="26"/>
          <w:szCs w:val="26"/>
          <w:color w:val="auto"/>
          <w:vertAlign w:val="superscript"/>
        </w:rPr>
      </w:pPr>
    </w:p>
    <w:p>
      <w:pPr>
        <w:ind w:left="1580" w:right="519" w:hanging="6"/>
        <w:spacing w:after="0" w:line="247" w:lineRule="auto"/>
        <w:tabs>
          <w:tab w:leader="none" w:pos="1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equal installments beginning on the date of the 2019 annual meeting of shareholders and the final installment vesting on the date of the 2022 annual meeting of shareholders, subject to Mr. Burg’s continued service on the Board. Due to Mr. Burg’s resignation from the Board of Directors on March 1, 2022, the final installment did not vest. All cash compensation related to Mr. Burg’s service as a Director was paid to STS Master Fund, Ltd.</w:t>
      </w:r>
    </w:p>
    <w:p>
      <w:pPr>
        <w:spacing w:after="0" w:line="242" w:lineRule="exact"/>
        <w:rPr>
          <w:rFonts w:ascii="Arial" w:cs="Arial" w:eastAsia="Arial" w:hAnsi="Arial"/>
          <w:sz w:val="18"/>
          <w:szCs w:val="18"/>
          <w:color w:val="auto"/>
        </w:rPr>
      </w:pPr>
    </w:p>
    <w:p>
      <w:pPr>
        <w:ind w:left="1580" w:right="599" w:hanging="359"/>
        <w:spacing w:after="0" w:line="225" w:lineRule="auto"/>
        <w:tabs>
          <w:tab w:leader="none" w:pos="1580" w:val="left"/>
        </w:tabs>
        <w:numPr>
          <w:ilvl w:val="0"/>
          <w:numId w:val="30"/>
        </w:numPr>
        <w:rPr>
          <w:rFonts w:ascii="Arial" w:cs="Arial" w:eastAsia="Arial" w:hAnsi="Arial"/>
          <w:sz w:val="26"/>
          <w:szCs w:val="26"/>
          <w:color w:val="auto"/>
          <w:vertAlign w:val="superscript"/>
        </w:rPr>
      </w:pPr>
      <w:r>
        <w:rPr>
          <w:rFonts w:ascii="Arial" w:cs="Arial" w:eastAsia="Arial" w:hAnsi="Arial"/>
          <w:sz w:val="18"/>
          <w:szCs w:val="18"/>
          <w:color w:val="auto"/>
        </w:rPr>
        <w:t>Mr. Müller-Ineichen’s cash compensation was paid in euros and Swiss francs, using the following exchange rates that were in effect on the 15th day of the last month of the quarter for which the payment was made: for the first quarter 2022, an exchange rate of 0.91142 euros to the U.S. dollar; for the second quarter 2022, an exchange rate of</w:t>
      </w:r>
    </w:p>
    <w:p>
      <w:pPr>
        <w:ind w:left="1580"/>
        <w:spacing w:after="0"/>
        <w:rPr>
          <w:rFonts w:ascii="Arial" w:cs="Arial" w:eastAsia="Arial" w:hAnsi="Arial"/>
          <w:sz w:val="26"/>
          <w:szCs w:val="26"/>
          <w:color w:val="auto"/>
          <w:vertAlign w:val="superscript"/>
        </w:rPr>
      </w:pPr>
      <w:r>
        <w:rPr>
          <w:rFonts w:ascii="Arial" w:cs="Arial" w:eastAsia="Arial" w:hAnsi="Arial"/>
          <w:sz w:val="18"/>
          <w:szCs w:val="18"/>
          <w:color w:val="auto"/>
        </w:rPr>
        <w:t>0.99862 Swiss francs to the U.S. dollar; for the third quarter 2022, an exchange</w:t>
      </w: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578"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58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-215900</wp:posOffset>
            </wp:positionV>
            <wp:extent cx="2168525" cy="142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68525" cy="142875"/>
                    </a:xfrm>
                    <a:prstGeom prst="rect">
                      <a:avLst/>
                    </a:prstGeom>
                    <a:noFill/>
                  </pic:spPr>
                </pic:pic>
              </a:graphicData>
            </a:graphic>
          </wp:anchor>
        </w:drawing>
      </w:r>
    </w:p>
    <w:p>
      <w:pPr>
        <w:spacing w:after="0" w:line="112" w:lineRule="exact"/>
        <w:rPr>
          <w:sz w:val="20"/>
          <w:szCs w:val="20"/>
          <w:color w:val="auto"/>
        </w:rPr>
      </w:pPr>
    </w:p>
    <w:p>
      <w:pPr>
        <w:ind w:left="1580" w:right="619"/>
        <w:spacing w:after="0" w:line="259" w:lineRule="auto"/>
        <w:rPr>
          <w:sz w:val="20"/>
          <w:szCs w:val="20"/>
          <w:color w:val="auto"/>
        </w:rPr>
      </w:pPr>
      <w:r>
        <w:rPr>
          <w:rFonts w:ascii="Arial" w:cs="Arial" w:eastAsia="Arial" w:hAnsi="Arial"/>
          <w:sz w:val="18"/>
          <w:szCs w:val="18"/>
          <w:color w:val="auto"/>
        </w:rPr>
        <w:t>rate of 0.94428 Swiss francs to the U.S. dollar and for the fourth quarter, an exchange rate of 0.93976 euros to the U.S. dollar. The cash amounts reported herein are the U.S. dollar amounts prior to conversion to euros or Swiss francs.</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Minimum Stock Ownership Requirements</w:t>
      </w:r>
    </w:p>
    <w:p>
      <w:pPr>
        <w:spacing w:after="0" w:line="119" w:lineRule="exact"/>
        <w:rPr>
          <w:sz w:val="20"/>
          <w:szCs w:val="20"/>
          <w:color w:val="auto"/>
        </w:rPr>
      </w:pPr>
    </w:p>
    <w:p>
      <w:pPr>
        <w:ind w:left="1220" w:right="499"/>
        <w:spacing w:after="0" w:line="247" w:lineRule="auto"/>
        <w:rPr>
          <w:sz w:val="20"/>
          <w:szCs w:val="20"/>
          <w:color w:val="auto"/>
        </w:rPr>
      </w:pPr>
      <w:r>
        <w:rPr>
          <w:rFonts w:ascii="Arial" w:cs="Arial" w:eastAsia="Arial" w:hAnsi="Arial"/>
          <w:sz w:val="18"/>
          <w:szCs w:val="18"/>
          <w:color w:val="auto"/>
        </w:rPr>
        <w:t xml:space="preserve">To further align our non-management Directors’ interests with those of our shareholders, our Board of Directors has adopted minimum stock ownership requirements for non-management Directors. Pursuant to these ownership requirements, each non- management Director is required to attain and maintain stock ownership at a level equal to three times his or her annual cash retainer. The minimum number of shares is determined as of the date of such person’s initial election as a non-management director, or if elected prior to the policy’s adoption, the date when he or she first became subject to this policy. Each non-management Director has 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either currently meets the applicable minimum stock ownership requirements or is expected to come into compliance with these requirements within the period noted above. The minimum stock ownership requirements for our non-management Directors and our Chief Executive Officer are set forth in our Corporate Governance Guidelines, which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599"/>
        <w:spacing w:after="0" w:line="250" w:lineRule="auto"/>
        <w:rPr>
          <w:sz w:val="20"/>
          <w:szCs w:val="20"/>
          <w:color w:val="auto"/>
        </w:rPr>
      </w:pPr>
      <w:r>
        <w:rPr>
          <w:rFonts w:ascii="Arial" w:cs="Arial" w:eastAsia="Arial" w:hAnsi="Arial"/>
          <w:sz w:val="18"/>
          <w:szCs w:val="18"/>
          <w:color w:val="auto"/>
        </w:rPr>
        <w:t>The following table sets forth certain information with respect to each person who served as one of our executive officers in 2022 but did not serve on our Board of Directors. Our Board of Directors determines our executive officers on an annual basis and our executive officers generally serve at the discretion of our Board of Directors. None of our Directors or executive officers is related to any other Director or executive officer of Altisource by blood, marriage or adoption. The below named executive officers, together with William B. Shepro, are referred to in this document as the “Named Executive Officers”.</w:t>
      </w:r>
    </w:p>
    <w:p>
      <w:pPr>
        <w:spacing w:after="0" w:line="115" w:lineRule="exact"/>
        <w:rPr>
          <w:sz w:val="20"/>
          <w:szCs w:val="20"/>
          <w:color w:val="auto"/>
        </w:rPr>
      </w:pPr>
    </w:p>
    <w:tbl>
      <w:tblPr>
        <w:tblLayout w:type="fixed"/>
        <w:tblInd w:w="1220" w:type="dxa"/>
        <w:tblCellMar>
          <w:top w:w="0" w:type="dxa"/>
          <w:left w:w="0" w:type="dxa"/>
          <w:bottom w:w="0" w:type="dxa"/>
          <w:right w:w="0" w:type="dxa"/>
        </w:tblCellMar>
      </w:tblPr>
      <w:tr>
        <w:trPr>
          <w:trHeight w:val="218"/>
        </w:trPr>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ind w:left="180"/>
              <w:spacing w:after="0"/>
              <w:rPr>
                <w:sz w:val="20"/>
                <w:szCs w:val="20"/>
                <w:color w:val="auto"/>
              </w:rPr>
            </w:pPr>
            <w:r>
              <w:rPr>
                <w:rFonts w:ascii="Arial" w:cs="Arial" w:eastAsia="Arial" w:hAnsi="Arial"/>
                <w:sz w:val="16"/>
                <w:szCs w:val="16"/>
                <w:b w:val="1"/>
                <w:bCs w:val="1"/>
                <w:color w:val="auto"/>
              </w:rPr>
              <w:t>Name</w:t>
            </w:r>
          </w:p>
        </w:tc>
        <w:tc>
          <w:tcPr>
            <w:tcW w:w="8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rPr>
              <w:t>​ ​Age</w:t>
            </w:r>
            <w:r>
              <w:rPr>
                <w:rFonts w:ascii="Arial" w:cs="Arial" w:eastAsia="Arial" w:hAnsi="Arial"/>
                <w:sz w:val="19"/>
                <w:szCs w:val="19"/>
                <w:b w:val="1"/>
                <w:bCs w:val="1"/>
                <w:color w:val="auto"/>
                <w:vertAlign w:val="superscript"/>
              </w:rPr>
              <w:t>(1)</w:t>
            </w:r>
          </w:p>
        </w:tc>
        <w:tc>
          <w:tcPr>
            <w:tcW w:w="3820" w:type="dxa"/>
            <w:vAlign w:val="bottom"/>
            <w:gridSpan w:val="3"/>
          </w:tcPr>
          <w:p>
            <w:pPr>
              <w:ind w:left="60"/>
              <w:spacing w:after="0"/>
              <w:rPr>
                <w:sz w:val="20"/>
                <w:szCs w:val="20"/>
                <w:color w:val="auto"/>
              </w:rPr>
            </w:pPr>
            <w:r>
              <w:rPr>
                <w:rFonts w:ascii="Arial" w:cs="Arial" w:eastAsia="Arial" w:hAnsi="Arial"/>
                <w:sz w:val="16"/>
                <w:szCs w:val="16"/>
                <w:b w:val="1"/>
                <w:bCs w:val="1"/>
                <w:color w:val="auto"/>
              </w:rPr>
              <w:t>​ ​Position</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line="145" w:lineRule="exact"/>
              <w:rPr>
                <w:sz w:val="20"/>
                <w:szCs w:val="20"/>
                <w:color w:val="auto"/>
              </w:rPr>
            </w:pPr>
            <w:r>
              <w:rPr>
                <w:rFonts w:ascii="Arial" w:cs="Arial" w:eastAsia="Arial" w:hAnsi="Arial"/>
                <w:sz w:val="16"/>
                <w:szCs w:val="16"/>
                <w:color w:val="auto"/>
              </w:rPr>
              <w:t>​ ​</w:t>
            </w: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145" w:lineRule="exact"/>
              <w:rPr>
                <w:sz w:val="20"/>
                <w:szCs w:val="20"/>
                <w:color w:val="auto"/>
              </w:rPr>
            </w:pPr>
            <w:r>
              <w:rPr>
                <w:rFonts w:ascii="Arial" w:cs="Arial" w:eastAsia="Arial" w:hAnsi="Arial"/>
                <w:sz w:val="16"/>
                <w:szCs w:val="16"/>
                <w:color w:val="auto"/>
              </w:rPr>
              <w:t>​ ​</w:t>
            </w:r>
          </w:p>
        </w:tc>
        <w:tc>
          <w:tcPr>
            <w:tcW w:w="4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145" w:lineRule="exact"/>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380" w:type="dxa"/>
            <w:vAlign w:val="bottom"/>
          </w:tcPr>
          <w:p>
            <w:pPr>
              <w:spacing w:after="0" w:line="126" w:lineRule="exact"/>
              <w:rPr>
                <w:sz w:val="20"/>
                <w:szCs w:val="20"/>
                <w:color w:val="auto"/>
              </w:rPr>
            </w:pPr>
            <w:r>
              <w:rPr>
                <w:rFonts w:ascii="Arial" w:cs="Arial" w:eastAsia="Arial" w:hAnsi="Arial"/>
                <w:sz w:val="14"/>
                <w:szCs w:val="14"/>
                <w:color w:val="auto"/>
              </w:rPr>
              <w:t>​</w:t>
            </w:r>
          </w:p>
        </w:tc>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420" w:type="dxa"/>
            <w:vAlign w:val="bottom"/>
            <w:vMerge w:val="restart"/>
          </w:tcPr>
          <w:p>
            <w:pPr>
              <w:jc w:val="right"/>
              <w:ind w:right="41"/>
              <w:spacing w:after="0" w:line="152" w:lineRule="exact"/>
              <w:rPr>
                <w:sz w:val="20"/>
                <w:szCs w:val="20"/>
                <w:color w:val="auto"/>
              </w:rPr>
            </w:pPr>
            <w:r>
              <w:rPr>
                <w:rFonts w:ascii="Arial" w:cs="Arial" w:eastAsia="Arial" w:hAnsi="Arial"/>
                <w:sz w:val="16"/>
                <w:szCs w:val="16"/>
                <w:color w:val="auto"/>
              </w:rPr>
              <w:t>51</w:t>
            </w:r>
          </w:p>
        </w:tc>
        <w:tc>
          <w:tcPr>
            <w:tcW w:w="180" w:type="dxa"/>
            <w:vAlign w:val="bottom"/>
            <w:vMerge w:val="continue"/>
          </w:tcPr>
          <w:p>
            <w:pPr>
              <w:spacing w:after="0"/>
              <w:rPr>
                <w:sz w:val="10"/>
                <w:szCs w:val="10"/>
                <w:color w:val="auto"/>
              </w:rPr>
            </w:pPr>
          </w:p>
        </w:tc>
        <w:tc>
          <w:tcPr>
            <w:tcW w:w="3640" w:type="dxa"/>
            <w:vAlign w:val="bottom"/>
            <w:gridSpan w:val="2"/>
            <w:vMerge w:val="restart"/>
          </w:tcPr>
          <w:p>
            <w:pPr>
              <w:ind w:left="40"/>
              <w:spacing w:after="0" w:line="152" w:lineRule="exact"/>
              <w:rPr>
                <w:sz w:val="20"/>
                <w:szCs w:val="20"/>
                <w:color w:val="auto"/>
              </w:rPr>
            </w:pPr>
            <w:r>
              <w:rPr>
                <w:rFonts w:ascii="Arial" w:cs="Arial" w:eastAsia="Arial" w:hAnsi="Arial"/>
                <w:sz w:val="16"/>
                <w:szCs w:val="16"/>
                <w:color w:val="auto"/>
              </w:rPr>
              <w:t>Chief Financial Officer</w:t>
            </w: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800" w:type="dxa"/>
            <w:vAlign w:val="bottom"/>
            <w:gridSpan w:val="3"/>
          </w:tcPr>
          <w:p>
            <w:pPr>
              <w:spacing w:after="0" w:line="27" w:lineRule="exact"/>
              <w:rPr>
                <w:sz w:val="20"/>
                <w:szCs w:val="20"/>
                <w:color w:val="auto"/>
              </w:rPr>
            </w:pPr>
            <w:r>
              <w:rPr>
                <w:rFonts w:ascii="Arial" w:cs="Arial" w:eastAsia="Arial" w:hAnsi="Arial"/>
                <w:sz w:val="3"/>
                <w:szCs w:val="3"/>
                <w:color w:val="auto"/>
              </w:rPr>
              <w:t>Michelle D. Esterman</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420" w:type="dxa"/>
            <w:vAlign w:val="bottom"/>
            <w:vMerge w:val="continue"/>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rPr>
              <w:t>​ ​</w:t>
            </w:r>
          </w:p>
        </w:tc>
        <w:tc>
          <w:tcPr>
            <w:tcW w:w="3640" w:type="dxa"/>
            <w:vAlign w:val="bottom"/>
            <w:gridSpan w:val="2"/>
            <w:vMerge w:val="continue"/>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9"/>
        </w:trPr>
        <w:tc>
          <w:tcPr>
            <w:tcW w:w="1400" w:type="dxa"/>
            <w:vAlign w:val="bottom"/>
            <w:gridSpan w:val="2"/>
          </w:tcPr>
          <w:p>
            <w:pPr>
              <w:spacing w:after="0" w:line="159" w:lineRule="exact"/>
              <w:rPr>
                <w:sz w:val="20"/>
                <w:szCs w:val="20"/>
                <w:color w:val="auto"/>
              </w:rPr>
            </w:pPr>
            <w:r>
              <w:rPr>
                <w:rFonts w:ascii="Arial" w:cs="Arial" w:eastAsia="Arial" w:hAnsi="Arial"/>
                <w:sz w:val="16"/>
                <w:szCs w:val="16"/>
                <w:color w:val="auto"/>
              </w:rPr>
              <w:t>​</w:t>
            </w:r>
          </w:p>
        </w:tc>
        <w:tc>
          <w:tcPr>
            <w:tcW w:w="14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420" w:type="dxa"/>
            <w:vAlign w:val="bottom"/>
            <w:vMerge w:val="restart"/>
          </w:tcPr>
          <w:p>
            <w:pPr>
              <w:jc w:val="right"/>
              <w:ind w:right="41"/>
              <w:spacing w:after="0"/>
              <w:rPr>
                <w:sz w:val="20"/>
                <w:szCs w:val="20"/>
                <w:color w:val="auto"/>
              </w:rPr>
            </w:pPr>
            <w:r>
              <w:rPr>
                <w:rFonts w:ascii="Arial" w:cs="Arial" w:eastAsia="Arial" w:hAnsi="Arial"/>
                <w:sz w:val="16"/>
                <w:szCs w:val="16"/>
                <w:color w:val="auto"/>
              </w:rPr>
              <w:t>54</w:t>
            </w:r>
          </w:p>
        </w:tc>
        <w:tc>
          <w:tcPr>
            <w:tcW w:w="180" w:type="dxa"/>
            <w:vAlign w:val="bottom"/>
            <w:vMerge w:val="continue"/>
          </w:tcPr>
          <w:p>
            <w:pPr>
              <w:spacing w:after="0"/>
              <w:rPr>
                <w:sz w:val="13"/>
                <w:szCs w:val="13"/>
                <w:color w:val="auto"/>
              </w:rPr>
            </w:pPr>
          </w:p>
        </w:tc>
        <w:tc>
          <w:tcPr>
            <w:tcW w:w="3640" w:type="dxa"/>
            <w:vAlign w:val="bottom"/>
            <w:gridSpan w:val="2"/>
            <w:vMerge w:val="restart"/>
          </w:tcPr>
          <w:p>
            <w:pPr>
              <w:ind w:left="40"/>
              <w:spacing w:after="0"/>
              <w:rPr>
                <w:sz w:val="20"/>
                <w:szCs w:val="20"/>
                <w:color w:val="auto"/>
              </w:rPr>
            </w:pPr>
            <w:r>
              <w:rPr>
                <w:rFonts w:ascii="Arial" w:cs="Arial" w:eastAsia="Arial" w:hAnsi="Arial"/>
                <w:sz w:val="16"/>
                <w:szCs w:val="16"/>
                <w:color w:val="auto"/>
              </w:rPr>
              <w:t>Chief Legal and Compliance Officer</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00" w:type="dxa"/>
            <w:vAlign w:val="bottom"/>
            <w:gridSpan w:val="2"/>
          </w:tcPr>
          <w:p>
            <w:pPr>
              <w:spacing w:after="0"/>
              <w:rPr>
                <w:sz w:val="20"/>
                <w:szCs w:val="20"/>
                <w:color w:val="auto"/>
              </w:rPr>
            </w:pPr>
            <w:r>
              <w:rPr>
                <w:rFonts w:ascii="Arial" w:cs="Arial" w:eastAsia="Arial" w:hAnsi="Arial"/>
                <w:sz w:val="16"/>
                <w:szCs w:val="16"/>
                <w:color w:val="auto"/>
              </w:rPr>
              <w:t>Gregory J. Ritts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34925</wp:posOffset>
            </wp:positionV>
            <wp:extent cx="12103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75" w:lineRule="exact"/>
        <w:rPr>
          <w:sz w:val="20"/>
          <w:szCs w:val="20"/>
          <w:color w:val="auto"/>
        </w:rPr>
      </w:pPr>
    </w:p>
    <w:p>
      <w:pPr>
        <w:ind w:left="1580" w:hanging="359"/>
        <w:spacing w:after="0"/>
        <w:tabs>
          <w:tab w:leader="none" w:pos="1580" w:val="left"/>
        </w:tabs>
        <w:numPr>
          <w:ilvl w:val="0"/>
          <w:numId w:val="31"/>
        </w:numPr>
        <w:rPr>
          <w:rFonts w:ascii="Arial" w:cs="Arial" w:eastAsia="Arial" w:hAnsi="Arial"/>
          <w:sz w:val="25"/>
          <w:szCs w:val="25"/>
          <w:color w:val="auto"/>
          <w:vertAlign w:val="superscript"/>
        </w:rPr>
      </w:pPr>
      <w:r>
        <w:rPr>
          <w:rFonts w:ascii="Arial" w:cs="Arial" w:eastAsia="Arial" w:hAnsi="Arial"/>
          <w:sz w:val="16"/>
          <w:szCs w:val="16"/>
          <w:color w:val="auto"/>
        </w:rPr>
        <w:t>As of March 24, 2023</w:t>
      </w:r>
    </w:p>
    <w:p>
      <w:pPr>
        <w:spacing w:after="0" w:line="132" w:lineRule="exact"/>
        <w:rPr>
          <w:sz w:val="20"/>
          <w:szCs w:val="20"/>
          <w:color w:val="auto"/>
        </w:rPr>
      </w:pPr>
    </w:p>
    <w:p>
      <w:pPr>
        <w:ind w:left="1220" w:right="499"/>
        <w:spacing w:after="0" w:line="274"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current executive officers who is not a Director is set forth below.</w:t>
      </w:r>
    </w:p>
    <w:p>
      <w:pPr>
        <w:spacing w:after="0" w:line="96" w:lineRule="exact"/>
        <w:rPr>
          <w:sz w:val="20"/>
          <w:szCs w:val="20"/>
          <w:color w:val="auto"/>
        </w:rPr>
      </w:pPr>
    </w:p>
    <w:p>
      <w:pPr>
        <w:ind w:left="1220" w:right="519"/>
        <w:spacing w:after="0" w:line="248" w:lineRule="auto"/>
        <w:rPr>
          <w:sz w:val="20"/>
          <w:szCs w:val="20"/>
          <w:color w:val="auto"/>
        </w:rPr>
      </w:pPr>
      <w:r>
        <w:rPr>
          <w:rFonts w:ascii="Arial" w:cs="Arial" w:eastAsia="Arial" w:hAnsi="Arial"/>
          <w:sz w:val="18"/>
          <w:szCs w:val="18"/>
          <w:b w:val="1"/>
          <w:bCs w:val="1"/>
          <w:i w:val="1"/>
          <w:iCs w:val="1"/>
          <w:color w:val="auto"/>
        </w:rPr>
        <w:t>Michelle D. Esterman.</w:t>
      </w:r>
      <w:r>
        <w:rPr>
          <w:rFonts w:ascii="Arial" w:cs="Arial" w:eastAsia="Arial" w:hAnsi="Arial"/>
          <w:sz w:val="18"/>
          <w:szCs w:val="18"/>
          <w:color w:val="auto"/>
        </w:rPr>
        <w:t xml:space="preserve">    Ms. Esterman has served as Chief Financial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August 2018. She also served as Chief Financial Officer of Altisource from March 2012 to October 2017 and as Executive Vice President, Finance of Altisource from October 2017 to August 2018. Before joining Altisource in March 2012, she served as Senior Manager, Audit &amp; Enterprise Risk Services for Deloitte &amp; Touche LLP (“Deloitte”) since 2003, including a two -year rotation with Deloitte Touche Tohmatsu, and in various roles for Deloitte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325" w:lineRule="exact"/>
        <w:rPr>
          <w:sz w:val="20"/>
          <w:szCs w:val="20"/>
          <w:color w:val="auto"/>
        </w:rPr>
      </w:pPr>
    </w:p>
    <w:p>
      <w:pPr>
        <w:ind w:left="1220" w:right="539"/>
        <w:spacing w:after="0" w:line="249" w:lineRule="auto"/>
        <w:rPr>
          <w:sz w:val="20"/>
          <w:szCs w:val="20"/>
          <w:color w:val="auto"/>
        </w:rPr>
      </w:pPr>
      <w:r>
        <w:rPr>
          <w:rFonts w:ascii="Arial" w:cs="Arial" w:eastAsia="Arial" w:hAnsi="Arial"/>
          <w:sz w:val="18"/>
          <w:szCs w:val="18"/>
          <w:b w:val="1"/>
          <w:bCs w:val="1"/>
          <w:i w:val="1"/>
          <w:iCs w:val="1"/>
          <w:color w:val="auto"/>
        </w:rPr>
        <w:t>Gregory J. Ritts.</w:t>
      </w:r>
      <w:r>
        <w:rPr>
          <w:rFonts w:ascii="Arial" w:cs="Arial" w:eastAsia="Arial" w:hAnsi="Arial"/>
          <w:sz w:val="18"/>
          <w:szCs w:val="18"/>
          <w:color w:val="auto"/>
        </w:rPr>
        <w:t xml:space="preserve">    Mr. Ritts has served as Chief Legal and Compliance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February 2018 and has served as General 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9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Beneficial Ownership of Common Stock</w:t>
      </w:r>
    </w:p>
    <w:p>
      <w:pPr>
        <w:spacing w:after="0" w:line="132" w:lineRule="exact"/>
        <w:rPr>
          <w:sz w:val="20"/>
          <w:szCs w:val="20"/>
          <w:color w:val="auto"/>
        </w:rPr>
      </w:pPr>
    </w:p>
    <w:p>
      <w:pPr>
        <w:ind w:left="1220" w:right="759"/>
        <w:spacing w:after="0" w:line="274"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by:</w:t>
      </w:r>
    </w:p>
    <w:p>
      <w:pPr>
        <w:spacing w:after="0" w:line="83" w:lineRule="exact"/>
        <w:rPr>
          <w:sz w:val="20"/>
          <w:szCs w:val="20"/>
          <w:color w:val="auto"/>
        </w:rPr>
      </w:pPr>
    </w:p>
    <w:p>
      <w:pPr>
        <w:ind w:left="1920" w:right="619" w:hanging="346"/>
        <w:spacing w:after="0" w:line="274" w:lineRule="auto"/>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persons known by Altisource to beneficially own five percent (5%) or more of the outstanding common stock;</w:t>
      </w:r>
    </w:p>
    <w:p>
      <w:pPr>
        <w:spacing w:after="0" w:line="96" w:lineRule="exact"/>
        <w:rPr>
          <w:rFonts w:ascii="Arial" w:cs="Arial" w:eastAsia="Arial" w:hAnsi="Arial"/>
          <w:sz w:val="18"/>
          <w:szCs w:val="18"/>
          <w:color w:val="auto"/>
        </w:rPr>
      </w:pPr>
    </w:p>
    <w:p>
      <w:pPr>
        <w:ind w:left="1920" w:hanging="346"/>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Director and Named Executive Officer of Altisource; and</w:t>
      </w:r>
    </w:p>
    <w:p>
      <w:pPr>
        <w:spacing w:after="0" w:line="150" w:lineRule="exact"/>
        <w:rPr>
          <w:rFonts w:ascii="Arial" w:cs="Arial" w:eastAsia="Arial" w:hAnsi="Arial"/>
          <w:sz w:val="18"/>
          <w:szCs w:val="18"/>
          <w:color w:val="auto"/>
        </w:rPr>
      </w:pPr>
    </w:p>
    <w:p>
      <w:pPr>
        <w:ind w:left="1920" w:hanging="346"/>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Directors and current executive officers of Altisource as a group.</w:t>
      </w:r>
    </w:p>
    <w:p>
      <w:pPr>
        <w:spacing w:after="0" w:line="150" w:lineRule="exact"/>
        <w:rPr>
          <w:sz w:val="20"/>
          <w:szCs w:val="20"/>
          <w:color w:val="auto"/>
        </w:rPr>
      </w:pPr>
    </w:p>
    <w:p>
      <w:pPr>
        <w:ind w:left="1220" w:right="739"/>
        <w:spacing w:after="0" w:line="252"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(the “Exchange Act”) and is based on an aggregate of [20,814,652] shares issued and outstanding as of March 24, 2023. Unless otherwise indicated in the footnotes below, the information is provided as of the record date, March 24, 2023.</w:t>
      </w:r>
    </w:p>
    <w:p>
      <w:pPr>
        <w:spacing w:after="0" w:line="104" w:lineRule="exact"/>
        <w:rPr>
          <w:sz w:val="20"/>
          <w:szCs w:val="20"/>
          <w:color w:val="auto"/>
        </w:rPr>
      </w:pPr>
    </w:p>
    <w:p>
      <w:pPr>
        <w:ind w:left="1220" w:right="779"/>
        <w:spacing w:after="0" w:line="259" w:lineRule="auto"/>
        <w:rPr>
          <w:sz w:val="20"/>
          <w:szCs w:val="20"/>
          <w:color w:val="auto"/>
        </w:rPr>
      </w:pPr>
      <w:r>
        <w:rPr>
          <w:rFonts w:ascii="Arial" w:cs="Arial" w:eastAsia="Arial" w:hAnsi="Arial"/>
          <w:sz w:val="18"/>
          <w:szCs w:val="18"/>
          <w:color w:val="auto"/>
        </w:rPr>
        <w:t>Unless otherwise noted, the address for contacting the Directors and Named Executive Officers listed below is: Altisource Portfolio Solutions S.A., 33, Boulevard Prince Henri, L-1724 Luxembourg City, Grand Duchy of Luxembourg.</w:t>
      </w:r>
    </w:p>
    <w:p>
      <w:pPr>
        <w:sectPr>
          <w:pgSz w:w="11900" w:h="16838" w:orient="portrait"/>
          <w:cols w:equalWidth="0" w:num="1">
            <w:col w:w="9759"/>
          </w:cols>
          <w:pgMar w:left="700" w:top="95" w:right="1440" w:bottom="1440" w:gutter="0" w:footer="0" w:header="0"/>
        </w:sectPr>
      </w:pPr>
    </w:p>
    <w:p>
      <w:pPr>
        <w:spacing w:after="0" w:line="75" w:lineRule="exact"/>
        <w:rPr>
          <w:sz w:val="20"/>
          <w:szCs w:val="20"/>
          <w:color w:val="auto"/>
        </w:rPr>
      </w:pPr>
    </w:p>
    <w:p>
      <w:pPr>
        <w:jc w:val="right"/>
        <w:ind w:right="260"/>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6"/>
          <w:szCs w:val="26"/>
          <w:b w:val="1"/>
          <w:bCs w:val="1"/>
          <w:color w:val="auto"/>
          <w:vertAlign w:val="superscript"/>
        </w:rPr>
        <w:t>(1)</w:t>
      </w:r>
    </w:p>
    <w:p>
      <w:pPr>
        <w:spacing w:after="0" w:line="11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6350</wp:posOffset>
            </wp:positionV>
            <wp:extent cx="5109845" cy="151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09845" cy="151130"/>
                    </a:xfrm>
                    <a:prstGeom prst="rect">
                      <a:avLst/>
                    </a:prstGeom>
                    <a:noFill/>
                  </pic:spPr>
                </pic:pic>
              </a:graphicData>
            </a:graphic>
          </wp:anchor>
        </w:drawing>
      </w:r>
    </w:p>
    <w:p>
      <w:pPr>
        <w:ind w:left="1220"/>
        <w:spacing w:after="0" w:line="237" w:lineRule="auto"/>
        <w:rPr>
          <w:sz w:val="20"/>
          <w:szCs w:val="20"/>
          <w:color w:val="auto"/>
        </w:rPr>
      </w:pPr>
      <w:r>
        <w:rPr>
          <w:rFonts w:ascii="Arial" w:cs="Arial" w:eastAsia="Arial" w:hAnsi="Arial"/>
          <w:sz w:val="18"/>
          <w:szCs w:val="18"/>
          <w:color w:val="auto"/>
        </w:rPr>
        <w:t>William C. Erbey</w:t>
      </w:r>
      <w:r>
        <w:rPr>
          <w:rFonts w:ascii="Arial" w:cs="Arial" w:eastAsia="Arial" w:hAnsi="Arial"/>
          <w:sz w:val="22"/>
          <w:szCs w:val="22"/>
          <w:color w:val="auto"/>
          <w:vertAlign w:val="superscript"/>
        </w:rPr>
        <w:t>(2)</w:t>
      </w:r>
    </w:p>
    <w:p>
      <w:pPr>
        <w:ind w:left="1220"/>
        <w:spacing w:after="0" w:line="214" w:lineRule="auto"/>
        <w:rPr>
          <w:sz w:val="20"/>
          <w:szCs w:val="20"/>
          <w:color w:val="auto"/>
        </w:rPr>
      </w:pPr>
      <w:r>
        <w:rPr>
          <w:rFonts w:ascii="Arial" w:cs="Arial" w:eastAsia="Arial" w:hAnsi="Arial"/>
          <w:sz w:val="18"/>
          <w:szCs w:val="18"/>
          <w:color w:val="auto"/>
        </w:rPr>
        <w:t>Deer Park Road Management Company, LP</w:t>
      </w:r>
      <w:r>
        <w:rPr>
          <w:rFonts w:ascii="Arial" w:cs="Arial" w:eastAsia="Arial" w:hAnsi="Arial"/>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-635</wp:posOffset>
            </wp:positionV>
            <wp:extent cx="5109845" cy="142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09845" cy="142875"/>
                    </a:xfrm>
                    <a:prstGeom prst="rect">
                      <a:avLst/>
                    </a:prstGeom>
                    <a:noFill/>
                  </pic:spPr>
                </pic:pic>
              </a:graphicData>
            </a:graphic>
          </wp:anchor>
        </w:drawing>
      </w:r>
    </w:p>
    <w:p>
      <w:pPr>
        <w:ind w:left="1220"/>
        <w:spacing w:after="0" w:line="213" w:lineRule="auto"/>
        <w:rPr>
          <w:sz w:val="20"/>
          <w:szCs w:val="20"/>
          <w:color w:val="auto"/>
        </w:rPr>
      </w:pPr>
      <w:r>
        <w:rPr>
          <w:rFonts w:ascii="Arial" w:cs="Arial" w:eastAsia="Arial" w:hAnsi="Arial"/>
          <w:sz w:val="18"/>
          <w:szCs w:val="18"/>
          <w:color w:val="auto"/>
        </w:rPr>
        <w:t>Hoak Public Equities, L.P.</w:t>
      </w:r>
      <w:r>
        <w:rPr>
          <w:rFonts w:ascii="Arial" w:cs="Arial" w:eastAsia="Arial" w:hAnsi="Arial"/>
          <w:sz w:val="22"/>
          <w:szCs w:val="22"/>
          <w:color w:val="auto"/>
          <w:vertAlign w:val="superscript"/>
        </w:rPr>
        <w:t>(4)</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Steven R. Becker</w:t>
      </w:r>
      <w:r>
        <w:rPr>
          <w:rFonts w:ascii="Arial" w:cs="Arial" w:eastAsia="Arial" w:hAnsi="Arial"/>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-18415</wp:posOffset>
            </wp:positionV>
            <wp:extent cx="5109845" cy="1930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09845" cy="193040"/>
                    </a:xfrm>
                    <a:prstGeom prst="rect">
                      <a:avLst/>
                    </a:prstGeom>
                    <a:noFill/>
                  </pic:spPr>
                </pic:pic>
              </a:graphicData>
            </a:graphic>
          </wp:anchor>
        </w:drawing>
      </w:r>
    </w:p>
    <w:p>
      <w:pPr>
        <w:spacing w:after="0" w:line="49" w:lineRule="exact"/>
        <w:rPr>
          <w:sz w:val="20"/>
          <w:szCs w:val="20"/>
          <w:color w:val="auto"/>
        </w:rPr>
      </w:pPr>
    </w:p>
    <w:p>
      <w:pPr>
        <w:ind w:left="1220"/>
        <w:spacing w:after="0"/>
        <w:rPr>
          <w:sz w:val="20"/>
          <w:szCs w:val="20"/>
          <w:color w:val="auto"/>
        </w:rPr>
      </w:pPr>
      <w:r>
        <w:rPr>
          <w:rFonts w:ascii="Arial" w:cs="Arial" w:eastAsia="Arial" w:hAnsi="Arial"/>
          <w:sz w:val="18"/>
          <w:szCs w:val="18"/>
          <w:b w:val="1"/>
          <w:bCs w:val="1"/>
          <w:u w:val="single" w:color="auto"/>
          <w:color w:val="auto"/>
        </w:rPr>
        <w:t>Directors and Named Executive Officers:</w:t>
      </w:r>
    </w:p>
    <w:p>
      <w:pPr>
        <w:ind w:left="1220"/>
        <w:spacing w:after="0" w:line="213" w:lineRule="auto"/>
        <w:rPr>
          <w:sz w:val="20"/>
          <w:szCs w:val="20"/>
          <w:color w:val="auto"/>
        </w:rPr>
      </w:pPr>
      <w:r>
        <w:rPr>
          <w:rFonts w:ascii="Arial" w:cs="Arial" w:eastAsia="Arial" w:hAnsi="Arial"/>
          <w:sz w:val="18"/>
          <w:szCs w:val="18"/>
          <w:color w:val="auto"/>
        </w:rPr>
        <w:t>William B. Shepro</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-635</wp:posOffset>
            </wp:positionV>
            <wp:extent cx="5109845" cy="142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09845" cy="142875"/>
                    </a:xfrm>
                    <a:prstGeom prst="rect">
                      <a:avLst/>
                    </a:prstGeom>
                    <a:noFill/>
                  </pic:spPr>
                </pic:pic>
              </a:graphicData>
            </a:graphic>
          </wp:anchor>
        </w:drawing>
      </w:r>
    </w:p>
    <w:p>
      <w:pPr>
        <w:ind w:left="1220"/>
        <w:spacing w:after="0" w:line="213" w:lineRule="auto"/>
        <w:rPr>
          <w:sz w:val="20"/>
          <w:szCs w:val="20"/>
          <w:color w:val="auto"/>
        </w:rPr>
      </w:pPr>
      <w:r>
        <w:rPr>
          <w:rFonts w:ascii="Arial" w:cs="Arial" w:eastAsia="Arial" w:hAnsi="Arial"/>
          <w:sz w:val="18"/>
          <w:szCs w:val="18"/>
          <w:color w:val="auto"/>
        </w:rPr>
        <w:t>Michelle D. Esterman</w:t>
      </w:r>
      <w:r>
        <w:rPr>
          <w:rFonts w:ascii="Arial" w:cs="Arial" w:eastAsia="Arial" w:hAnsi="Arial"/>
          <w:sz w:val="22"/>
          <w:szCs w:val="22"/>
          <w:color w:val="auto"/>
          <w:vertAlign w:val="superscript"/>
        </w:rPr>
        <w:t>(7)</w:t>
      </w:r>
    </w:p>
    <w:p>
      <w:pPr>
        <w:ind w:left="1220"/>
        <w:spacing w:after="0" w:line="224" w:lineRule="auto"/>
        <w:rPr>
          <w:sz w:val="20"/>
          <w:szCs w:val="20"/>
          <w:color w:val="auto"/>
        </w:rPr>
      </w:pPr>
      <w:r>
        <w:rPr>
          <w:rFonts w:ascii="Arial" w:cs="Arial" w:eastAsia="Arial" w:hAnsi="Arial"/>
          <w:sz w:val="18"/>
          <w:szCs w:val="18"/>
          <w:color w:val="auto"/>
        </w:rPr>
        <w:t>Gregory J. Ritts</w:t>
      </w:r>
      <w:r>
        <w:rPr>
          <w:rFonts w:ascii="Arial" w:cs="Arial" w:eastAsia="Arial" w:hAnsi="Arial"/>
          <w:sz w:val="22"/>
          <w:szCs w:val="22"/>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-6985</wp:posOffset>
            </wp:positionV>
            <wp:extent cx="5109845" cy="1263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09845" cy="126365"/>
                    </a:xfrm>
                    <a:prstGeom prst="rect">
                      <a:avLst/>
                    </a:prstGeom>
                    <a:noFill/>
                  </pic:spPr>
                </pic:pic>
              </a:graphicData>
            </a:graphic>
          </wp:anchor>
        </w:drawing>
      </w:r>
    </w:p>
    <w:p>
      <w:pPr>
        <w:ind w:left="1220"/>
        <w:spacing w:after="0" w:line="230" w:lineRule="auto"/>
        <w:rPr>
          <w:sz w:val="20"/>
          <w:szCs w:val="20"/>
          <w:color w:val="auto"/>
        </w:rPr>
      </w:pPr>
      <w:r>
        <w:rPr>
          <w:rFonts w:ascii="Arial" w:cs="Arial" w:eastAsia="Arial" w:hAnsi="Arial"/>
          <w:sz w:val="18"/>
          <w:szCs w:val="18"/>
          <w:color w:val="auto"/>
        </w:rPr>
        <w:t>Roland Müller-Ineichen</w:t>
      </w:r>
    </w:p>
    <w:p>
      <w:pPr>
        <w:ind w:left="1220"/>
        <w:spacing w:after="0" w:line="218" w:lineRule="auto"/>
        <w:rPr>
          <w:sz w:val="20"/>
          <w:szCs w:val="20"/>
          <w:color w:val="auto"/>
        </w:rPr>
      </w:pPr>
      <w:r>
        <w:rPr>
          <w:rFonts w:ascii="Arial" w:cs="Arial" w:eastAsia="Arial" w:hAnsi="Arial"/>
          <w:sz w:val="18"/>
          <w:szCs w:val="18"/>
          <w:color w:val="auto"/>
        </w:rPr>
        <w:t>Joseph L. Morettini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-635</wp:posOffset>
            </wp:positionV>
            <wp:extent cx="5109845" cy="142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09845" cy="142875"/>
                    </a:xfrm>
                    <a:prstGeom prst="rect">
                      <a:avLst/>
                    </a:prstGeom>
                    <a:noFill/>
                  </pic:spPr>
                </pic:pic>
              </a:graphicData>
            </a:graphic>
          </wp:anchor>
        </w:drawing>
      </w:r>
    </w:p>
    <w:p>
      <w:pPr>
        <w:ind w:left="1220"/>
        <w:spacing w:after="0" w:line="213" w:lineRule="auto"/>
        <w:rPr>
          <w:sz w:val="20"/>
          <w:szCs w:val="20"/>
          <w:color w:val="auto"/>
        </w:rPr>
      </w:pPr>
      <w:r>
        <w:rPr>
          <w:rFonts w:ascii="Arial" w:cs="Arial" w:eastAsia="Arial" w:hAnsi="Arial"/>
          <w:sz w:val="18"/>
          <w:szCs w:val="18"/>
          <w:color w:val="auto"/>
        </w:rPr>
        <w:t>John G. Aldridge, Jr.</w:t>
      </w:r>
      <w:r>
        <w:rPr>
          <w:rFonts w:ascii="Arial" w:cs="Arial" w:eastAsia="Arial" w:hAnsi="Arial"/>
          <w:sz w:val="22"/>
          <w:szCs w:val="22"/>
          <w:color w:val="auto"/>
          <w:vertAlign w:val="superscript"/>
        </w:rPr>
        <w:t>(9)</w:t>
      </w:r>
    </w:p>
    <w:p>
      <w:pPr>
        <w:ind w:left="1220"/>
        <w:spacing w:after="0" w:line="224" w:lineRule="auto"/>
        <w:rPr>
          <w:sz w:val="20"/>
          <w:szCs w:val="20"/>
          <w:color w:val="auto"/>
        </w:rPr>
      </w:pPr>
      <w:r>
        <w:rPr>
          <w:rFonts w:ascii="Arial" w:cs="Arial" w:eastAsia="Arial" w:hAnsi="Arial"/>
          <w:sz w:val="18"/>
          <w:szCs w:val="18"/>
          <w:color w:val="auto"/>
        </w:rPr>
        <w:t>Mary C. Hickok</w:t>
      </w:r>
      <w:r>
        <w:rPr>
          <w:rFonts w:ascii="Arial" w:cs="Arial" w:eastAsia="Arial" w:hAnsi="Arial"/>
          <w:sz w:val="22"/>
          <w:szCs w:val="22"/>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-6985</wp:posOffset>
            </wp:positionV>
            <wp:extent cx="5109845" cy="126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09845" cy="12636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b w:val="1"/>
          <w:bCs w:val="1"/>
          <w:color w:val="auto"/>
        </w:rPr>
        <w:t>All Directors and Executive Officers as a Group (7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121285</wp:posOffset>
            </wp:positionV>
            <wp:extent cx="12103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286" w:lineRule="exact"/>
        <w:rPr>
          <w:sz w:val="20"/>
          <w:szCs w:val="20"/>
          <w:color w:val="auto"/>
        </w:rPr>
      </w:pPr>
    </w:p>
    <w:p>
      <w:pPr>
        <w:ind w:left="1580" w:hanging="359"/>
        <w:spacing w:after="0"/>
        <w:tabs>
          <w:tab w:leader="none" w:pos="1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 Amount ​ ​</w:t>
      </w:r>
      <w:r>
        <w:rPr>
          <w:rFonts w:ascii="Arial" w:cs="Arial" w:eastAsia="Arial" w:hAnsi="Arial"/>
          <w:sz w:val="18"/>
          <w:szCs w:val="18"/>
          <w:b w:val="1"/>
          <w:bCs w:val="1"/>
          <w:u w:val="single" w:color="auto"/>
          <w:color w:val="auto"/>
        </w:rPr>
        <w:t>Percent</w:t>
      </w:r>
      <w:r>
        <w:rPr>
          <w:rFonts w:ascii="Arial" w:cs="Arial" w:eastAsia="Arial" w:hAnsi="Arial"/>
          <w:sz w:val="18"/>
          <w:szCs w:val="18"/>
          <w:b w:val="1"/>
          <w:bCs w:val="1"/>
          <w:color w:val="auto"/>
        </w:rPr>
        <w:t>​</w:t>
      </w:r>
    </w:p>
    <w:p>
      <w:pPr>
        <w:spacing w:after="0" w:line="50" w:lineRule="exact"/>
        <w:rPr>
          <w:sz w:val="20"/>
          <w:szCs w:val="20"/>
          <w:color w:val="auto"/>
        </w:rPr>
      </w:pPr>
    </w:p>
    <w:p>
      <w:pPr>
        <w:ind w:left="100" w:hanging="99"/>
        <w:spacing w:after="0"/>
        <w:tabs>
          <w:tab w:leader="none" w:pos="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6,000,709​​ ​ </w:t>
      </w:r>
      <w:r>
        <w:rPr>
          <w:rFonts w:ascii="Arial" w:cs="Arial" w:eastAsia="Arial" w:hAnsi="Arial"/>
          <w:sz w:val="18"/>
          <w:szCs w:val="18"/>
          <w:b w:val="1"/>
          <w:bCs w:val="1"/>
          <w:color w:val="auto"/>
        </w:rPr>
        <w:t>​</w:t>
      </w:r>
      <w:r>
        <w:rPr>
          <w:rFonts w:ascii="Arial" w:cs="Arial" w:eastAsia="Arial" w:hAnsi="Arial"/>
          <w:sz w:val="18"/>
          <w:szCs w:val="18"/>
          <w:color w:val="auto"/>
        </w:rPr>
        <w:t>28.83%​</w:t>
      </w:r>
    </w:p>
    <w:p>
      <w:pPr>
        <w:spacing w:after="0" w:line="21" w:lineRule="exact"/>
        <w:rPr>
          <w:rFonts w:ascii="Arial" w:cs="Arial" w:eastAsia="Arial" w:hAnsi="Arial"/>
          <w:sz w:val="18"/>
          <w:szCs w:val="18"/>
          <w:color w:val="auto"/>
        </w:rPr>
      </w:pPr>
    </w:p>
    <w:p>
      <w:pPr>
        <w:ind w:left="100" w:hanging="99"/>
        <w:spacing w:after="0"/>
        <w:tabs>
          <w:tab w:leader="none" w:pos="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4,236,774​​ ​ </w:t>
      </w:r>
      <w:r>
        <w:rPr>
          <w:rFonts w:ascii="Arial" w:cs="Arial" w:eastAsia="Arial" w:hAnsi="Arial"/>
          <w:sz w:val="18"/>
          <w:szCs w:val="18"/>
          <w:b w:val="1"/>
          <w:bCs w:val="1"/>
          <w:color w:val="auto"/>
        </w:rPr>
        <w:t>​</w:t>
      </w:r>
      <w:r>
        <w:rPr>
          <w:rFonts w:ascii="Arial" w:cs="Arial" w:eastAsia="Arial" w:hAnsi="Arial"/>
          <w:sz w:val="18"/>
          <w:szCs w:val="18"/>
          <w:color w:val="auto"/>
        </w:rPr>
        <w:t>20.35%​</w:t>
      </w:r>
    </w:p>
    <w:p>
      <w:pPr>
        <w:spacing w:after="0" w:line="18" w:lineRule="exact"/>
        <w:rPr>
          <w:rFonts w:ascii="Arial" w:cs="Arial" w:eastAsia="Arial" w:hAnsi="Arial"/>
          <w:sz w:val="18"/>
          <w:szCs w:val="18"/>
          <w:color w:val="auto"/>
        </w:rPr>
      </w:pPr>
    </w:p>
    <w:p>
      <w:pPr>
        <w:ind w:left="100" w:hanging="99"/>
        <w:spacing w:after="0"/>
        <w:tabs>
          <w:tab w:leader="none" w:pos="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1,673,677​​ ​ </w:t>
      </w:r>
      <w:r>
        <w:rPr>
          <w:rFonts w:ascii="Arial" w:cs="Arial" w:eastAsia="Arial" w:hAnsi="Arial"/>
          <w:sz w:val="18"/>
          <w:szCs w:val="18"/>
          <w:b w:val="1"/>
          <w:bCs w:val="1"/>
          <w:color w:val="auto"/>
        </w:rPr>
        <w:t>​</w:t>
      </w:r>
      <w:r>
        <w:rPr>
          <w:rFonts w:ascii="Arial" w:cs="Arial" w:eastAsia="Arial" w:hAnsi="Arial"/>
          <w:sz w:val="18"/>
          <w:szCs w:val="18"/>
          <w:color w:val="auto"/>
        </w:rPr>
        <w:t xml:space="preserve"> 8.04%​</w:t>
      </w:r>
    </w:p>
    <w:p>
      <w:pPr>
        <w:spacing w:after="0" w:line="18" w:lineRule="exact"/>
        <w:rPr>
          <w:rFonts w:ascii="Arial" w:cs="Arial" w:eastAsia="Arial" w:hAnsi="Arial"/>
          <w:sz w:val="18"/>
          <w:szCs w:val="18"/>
          <w:color w:val="auto"/>
        </w:rPr>
      </w:pPr>
    </w:p>
    <w:p>
      <w:pPr>
        <w:ind w:left="100" w:hanging="99"/>
        <w:spacing w:after="0"/>
        <w:tabs>
          <w:tab w:leader="none" w:pos="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1,192,300​​ ​ </w:t>
      </w:r>
      <w:r>
        <w:rPr>
          <w:rFonts w:ascii="Arial" w:cs="Arial" w:eastAsia="Arial" w:hAnsi="Arial"/>
          <w:sz w:val="18"/>
          <w:szCs w:val="18"/>
          <w:b w:val="1"/>
          <w:bCs w:val="1"/>
          <w:color w:val="auto"/>
        </w:rPr>
        <w:t>​</w:t>
      </w:r>
      <w:r>
        <w:rPr>
          <w:rFonts w:ascii="Arial" w:cs="Arial" w:eastAsia="Arial" w:hAnsi="Arial"/>
          <w:sz w:val="18"/>
          <w:szCs w:val="18"/>
          <w:color w:val="auto"/>
        </w:rPr>
        <w:t xml:space="preserve"> 5.73%​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 w:type="dxa"/>
            <w:vAlign w:val="bottom"/>
          </w:tcPr>
          <w:p>
            <w:pPr>
              <w:spacing w:after="0"/>
              <w:rPr>
                <w:sz w:val="20"/>
                <w:szCs w:val="20"/>
                <w:color w:val="auto"/>
              </w:rPr>
            </w:pPr>
            <w:r>
              <w:rPr>
                <w:rFonts w:ascii="Arial" w:cs="Arial" w:eastAsia="Arial" w:hAnsi="Arial"/>
                <w:sz w:val="18"/>
                <w:szCs w:val="18"/>
                <w:b w:val="1"/>
                <w:bCs w:val="1"/>
                <w:color w:val="auto"/>
              </w:rPr>
              <w: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 ​</w:t>
            </w:r>
          </w:p>
        </w:tc>
      </w:tr>
      <w:tr>
        <w:trPr>
          <w:trHeight w:val="225"/>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897,533​​ ​</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4.31%​</w:t>
            </w:r>
          </w:p>
        </w:tc>
      </w:tr>
      <w:tr>
        <w:trPr>
          <w:trHeight w:val="225"/>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130,970​​ ​</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9"/>
        </w:trPr>
        <w:tc>
          <w:tcPr>
            <w:tcW w:w="280" w:type="dxa"/>
            <w:vAlign w:val="bottom"/>
          </w:tcPr>
          <w:p>
            <w:pPr>
              <w:spacing w:after="0" w:line="199"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77,943​​ ​</w:t>
            </w:r>
          </w:p>
        </w:tc>
        <w:tc>
          <w:tcPr>
            <w:tcW w:w="260" w:type="dxa"/>
            <w:vAlign w:val="bottom"/>
          </w:tcPr>
          <w:p>
            <w:pPr>
              <w:ind w:left="40"/>
              <w:spacing w:after="0" w:line="199"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r>
      <w:tr>
        <w:trPr>
          <w:trHeight w:val="199"/>
        </w:trPr>
        <w:tc>
          <w:tcPr>
            <w:tcW w:w="280" w:type="dxa"/>
            <w:vAlign w:val="bottom"/>
          </w:tcPr>
          <w:p>
            <w:pPr>
              <w:spacing w:after="0" w:line="199"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68,967​​ ​</w:t>
            </w:r>
          </w:p>
        </w:tc>
        <w:tc>
          <w:tcPr>
            <w:tcW w:w="260" w:type="dxa"/>
            <w:vAlign w:val="bottom"/>
          </w:tcPr>
          <w:p>
            <w:pPr>
              <w:ind w:left="40"/>
              <w:spacing w:after="0" w:line="199"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r>
      <w:tr>
        <w:trPr>
          <w:trHeight w:val="225"/>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45,734​​ ​</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20,125​​ ​</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7"/>
        </w:trPr>
        <w:tc>
          <w:tcPr>
            <w:tcW w:w="280" w:type="dxa"/>
            <w:vAlign w:val="bottom"/>
          </w:tcPr>
          <w:p>
            <w:pPr>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 ​</w:t>
            </w:r>
          </w:p>
        </w:tc>
        <w:tc>
          <w:tcPr>
            <w:tcW w:w="26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44"/>
        </w:trPr>
        <w:tc>
          <w:tcPr>
            <w:tcW w:w="1220" w:type="dxa"/>
            <w:vAlign w:val="bottom"/>
            <w:gridSpan w:val="2"/>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​1,241,272</w:t>
            </w:r>
            <w:r>
              <w:rPr>
                <w:rFonts w:ascii="Arial" w:cs="Arial" w:eastAsia="Arial" w:hAnsi="Arial"/>
                <w:sz w:val="18"/>
                <w:szCs w:val="18"/>
                <w:color w:val="auto"/>
              </w:rPr>
              <w:t>​​ ​</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 5.96%</w:t>
            </w:r>
            <w:r>
              <w:rPr>
                <w:rFonts w:ascii="Arial" w:cs="Arial" w:eastAsia="Arial" w:hAnsi="Arial"/>
                <w:sz w:val="18"/>
                <w:szCs w:val="18"/>
                <w:color w:val="auto"/>
              </w:rPr>
              <w:t>​</w:t>
            </w:r>
          </w:p>
        </w:tc>
      </w:tr>
    </w:tbl>
    <w:p>
      <w:pPr>
        <w:spacing w:after="0" w:line="552" w:lineRule="exact"/>
        <w:rPr>
          <w:sz w:val="20"/>
          <w:szCs w:val="20"/>
          <w:color w:val="auto"/>
        </w:rPr>
      </w:pPr>
    </w:p>
    <w:p>
      <w:pPr>
        <w:sectPr>
          <w:pgSz w:w="11900" w:h="16838" w:orient="portrait"/>
          <w:cols w:equalWidth="0" w:num="2">
            <w:col w:w="6720" w:space="720"/>
            <w:col w:w="2319"/>
          </w:cols>
          <w:pgMar w:left="700" w:top="95" w:right="1440" w:bottom="1440" w:gutter="0" w:footer="0" w:header="0"/>
          <w:type w:val="continuous"/>
        </w:sectPr>
      </w:pPr>
    </w:p>
    <w:p>
      <w:pPr>
        <w:ind w:left="1580" w:right="499" w:hanging="359"/>
        <w:spacing w:after="0"/>
        <w:tabs>
          <w:tab w:leader="none" w:pos="1580" w:val="left"/>
        </w:tabs>
        <w:numPr>
          <w:ilvl w:val="0"/>
          <w:numId w:val="35"/>
        </w:numPr>
        <w:rPr>
          <w:rFonts w:ascii="Arial" w:cs="Arial" w:eastAsia="Arial" w:hAnsi="Arial"/>
          <w:sz w:val="26"/>
          <w:szCs w:val="26"/>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24, 2023. Therefore, the table includes options to purchase shares of our common stock that are currently exercisable or will become exercisable within such 60-day period and restricted shares and restricted share units (“RSUs”) that vest within 60 days, even if the share exercise price of such options exceed the share value of such options.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the Named Executive Officers or Directors.</w:t>
      </w:r>
    </w:p>
    <w:p>
      <w:pPr>
        <w:spacing w:after="0" w:line="229" w:lineRule="exact"/>
        <w:rPr>
          <w:rFonts w:ascii="Arial" w:cs="Arial" w:eastAsia="Arial" w:hAnsi="Arial"/>
          <w:sz w:val="26"/>
          <w:szCs w:val="26"/>
          <w:color w:val="auto"/>
          <w:vertAlign w:val="superscript"/>
        </w:rPr>
      </w:pPr>
    </w:p>
    <w:p>
      <w:pPr>
        <w:ind w:left="1580" w:right="559" w:hanging="359"/>
        <w:spacing w:after="0"/>
        <w:tabs>
          <w:tab w:leader="none" w:pos="1580" w:val="left"/>
        </w:tabs>
        <w:numPr>
          <w:ilvl w:val="0"/>
          <w:numId w:val="35"/>
        </w:numPr>
        <w:rPr>
          <w:rFonts w:ascii="Arial" w:cs="Arial" w:eastAsia="Arial" w:hAnsi="Arial"/>
          <w:sz w:val="26"/>
          <w:szCs w:val="26"/>
          <w:color w:val="auto"/>
          <w:vertAlign w:val="superscript"/>
        </w:rPr>
      </w:pPr>
      <w:r>
        <w:rPr>
          <w:rFonts w:ascii="Arial" w:cs="Arial" w:eastAsia="Arial" w:hAnsi="Arial"/>
          <w:sz w:val="18"/>
          <w:szCs w:val="18"/>
          <w:color w:val="auto"/>
        </w:rPr>
        <w:t>Based on information contained in a Schedule 13D/A filed with the SEC on May 21, 2021, Mr. Erbey’s holdings consist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w:t>
      </w:r>
    </w:p>
    <w:p>
      <w:pPr>
        <w:spacing w:after="0" w:line="200" w:lineRule="exact"/>
        <w:rPr>
          <w:sz w:val="20"/>
          <w:szCs w:val="20"/>
          <w:color w:val="auto"/>
        </w:rPr>
      </w:pPr>
    </w:p>
    <w:p>
      <w:pPr>
        <w:spacing w:after="0" w:line="34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28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SECURITY OWNERSHIP OF CERTAIN BENEFICIAL OWNERS AND MANAGEMENT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-215900</wp:posOffset>
            </wp:positionV>
            <wp:extent cx="4076065" cy="142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76065" cy="142875"/>
                    </a:xfrm>
                    <a:prstGeom prst="rect">
                      <a:avLst/>
                    </a:prstGeom>
                    <a:noFill/>
                  </pic:spPr>
                </pic:pic>
              </a:graphicData>
            </a:graphic>
          </wp:anchor>
        </w:drawing>
      </w:r>
    </w:p>
    <w:p>
      <w:pPr>
        <w:spacing w:after="0" w:line="112" w:lineRule="exact"/>
        <w:rPr>
          <w:sz w:val="20"/>
          <w:szCs w:val="20"/>
          <w:color w:val="auto"/>
        </w:rPr>
      </w:pPr>
    </w:p>
    <w:p>
      <w:pPr>
        <w:ind w:left="1580" w:right="1320"/>
        <w:spacing w:after="0" w:line="248" w:lineRule="auto"/>
        <w:rPr>
          <w:sz w:val="20"/>
          <w:szCs w:val="20"/>
          <w:color w:val="auto"/>
        </w:rPr>
      </w:pPr>
      <w:r>
        <w:rPr>
          <w:rFonts w:ascii="Arial" w:cs="Arial" w:eastAsia="Arial" w:hAnsi="Arial"/>
          <w:sz w:val="18"/>
          <w:szCs w:val="18"/>
          <w:color w:val="auto"/>
        </w:rPr>
        <w:t>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and Mrs. Erbey’s business address is P.O. Box 25437, Christiansted, United States Virgin Islands 00824.</w:t>
      </w:r>
    </w:p>
    <w:p>
      <w:pPr>
        <w:spacing w:after="0" w:line="38" w:lineRule="exact"/>
        <w:rPr>
          <w:sz w:val="20"/>
          <w:szCs w:val="20"/>
          <w:color w:val="auto"/>
        </w:rPr>
      </w:pPr>
    </w:p>
    <w:p>
      <w:pPr>
        <w:ind w:left="1580" w:right="1300" w:hanging="359"/>
        <w:spacing w:after="0" w:line="231" w:lineRule="auto"/>
        <w:tabs>
          <w:tab w:leader="none" w:pos="1580" w:val="left"/>
        </w:tabs>
        <w:numPr>
          <w:ilvl w:val="0"/>
          <w:numId w:val="36"/>
        </w:numPr>
        <w:rPr>
          <w:rFonts w:ascii="Arial" w:cs="Arial" w:eastAsia="Arial" w:hAnsi="Arial"/>
          <w:sz w:val="26"/>
          <w:szCs w:val="26"/>
          <w:color w:val="auto"/>
          <w:vertAlign w:val="superscript"/>
        </w:rPr>
      </w:pPr>
      <w:r>
        <w:rPr>
          <w:rFonts w:ascii="Arial" w:cs="Arial" w:eastAsia="Arial" w:hAnsi="Arial"/>
          <w:sz w:val="18"/>
          <w:szCs w:val="18"/>
          <w:color w:val="auto"/>
        </w:rPr>
        <w:t>Based on information contained in a Form 4 filed with the SEC on February 14, 2023, by Deer Park Road Management Company, LP (‘“Deer Park”), a limited partnership, on behalf of itself and Deer Park Road Management GP, LLC, Deer Park Road Corporation, Michael David Craig-Scheckman, AgateCreek LLC and Scott Edward Burg (collectively, the “Deer Park Reporting Persons”), Deer Park’s holdings consist of 4,236,774 shares (which Includes 125 restricted shares scheduled to vest within 60 days of March 24,</w:t>
      </w:r>
    </w:p>
    <w:p>
      <w:pPr>
        <w:spacing w:after="0" w:line="2" w:lineRule="exact"/>
        <w:rPr>
          <w:rFonts w:ascii="Arial" w:cs="Arial" w:eastAsia="Arial" w:hAnsi="Arial"/>
          <w:sz w:val="26"/>
          <w:szCs w:val="26"/>
          <w:color w:val="auto"/>
          <w:vertAlign w:val="superscript"/>
        </w:rPr>
      </w:pPr>
    </w:p>
    <w:p>
      <w:pPr>
        <w:ind w:left="1580" w:right="1420"/>
        <w:spacing w:after="0" w:line="246" w:lineRule="auto"/>
        <w:rPr>
          <w:rFonts w:ascii="Arial" w:cs="Arial" w:eastAsia="Arial" w:hAnsi="Arial"/>
          <w:sz w:val="26"/>
          <w:szCs w:val="26"/>
          <w:color w:val="auto"/>
          <w:vertAlign w:val="superscript"/>
        </w:rPr>
      </w:pPr>
      <w:r>
        <w:rPr>
          <w:rFonts w:ascii="Arial" w:cs="Arial" w:eastAsia="Arial" w:hAnsi="Arial"/>
          <w:sz w:val="18"/>
          <w:szCs w:val="18"/>
          <w:color w:val="auto"/>
        </w:rPr>
        <w:t>2023 to Mary Hickok) held for the account of STS Master Fund, Ltd., of which the Deer Park Reporting Persons share voting and dispositive power. Deer Park serves as investment adviser to STS Master Fund, Ltd., an exempted company organized under the laws of the Cayman Islands. The business address of the Deer Park Reporting Persons is 1195 Bangtail Way, Steamboat Springs, Colorado 80487.</w:t>
      </w:r>
    </w:p>
    <w:p>
      <w:pPr>
        <w:spacing w:after="0" w:line="34" w:lineRule="exact"/>
        <w:rPr>
          <w:rFonts w:ascii="Arial" w:cs="Arial" w:eastAsia="Arial" w:hAnsi="Arial"/>
          <w:sz w:val="26"/>
          <w:szCs w:val="26"/>
          <w:color w:val="auto"/>
          <w:vertAlign w:val="superscript"/>
        </w:rPr>
      </w:pPr>
    </w:p>
    <w:p>
      <w:pPr>
        <w:ind w:left="1580" w:right="1260" w:hanging="359"/>
        <w:spacing w:after="0"/>
        <w:tabs>
          <w:tab w:leader="none" w:pos="1580" w:val="left"/>
        </w:tabs>
        <w:numPr>
          <w:ilvl w:val="0"/>
          <w:numId w:val="36"/>
        </w:numPr>
        <w:rPr>
          <w:rFonts w:ascii="Arial" w:cs="Arial" w:eastAsia="Arial" w:hAnsi="Arial"/>
          <w:sz w:val="26"/>
          <w:szCs w:val="26"/>
          <w:color w:val="auto"/>
          <w:vertAlign w:val="superscript"/>
        </w:rPr>
      </w:pPr>
      <w:r>
        <w:rPr>
          <w:rFonts w:ascii="Arial" w:cs="Arial" w:eastAsia="Arial" w:hAnsi="Arial"/>
          <w:sz w:val="18"/>
          <w:szCs w:val="18"/>
          <w:color w:val="auto"/>
        </w:rPr>
        <w:t>Based on information contained in a Schedule 13D filed with the SEC on February 21, 2023, by Hoak Public Equities, L.P., a Texas limited partnership (“HPE”), on behalf of itself and Hoak Fund Management, L.P., a Texas limited partnership and HPE’s general partner (“Hoak Management”); Hoak &amp; Co., a Texas corporation and the general partner of Hoak Management; J. Hale Hoak, President of Hoak &amp; Co.; James M. Hoak, Jr., controlling shareholder and Chairman of Hoak &amp; Co., and trustee of the GRAT (as defined below); and the Nancy Hoak 2023 GRAT Agreement, a grantor retained annuity trust established in the State of Texas (“GRAT”) (collectively, the “Hoak Reporting Persons”). Each of Hoak Management, Hoak &amp; Co., James M. Hoak, Jr., and J. Hale Hoak may be deemed to be the beneficial owners of all shares of Common Stock held by HPE. The business address of each of the Reporting Persons is 3963 Maple Avenue, Suite 450, Dallas, TX 75219.</w:t>
      </w:r>
    </w:p>
    <w:p>
      <w:pPr>
        <w:spacing w:after="0" w:line="225" w:lineRule="exact"/>
        <w:rPr>
          <w:rFonts w:ascii="Arial" w:cs="Arial" w:eastAsia="Arial" w:hAnsi="Arial"/>
          <w:sz w:val="26"/>
          <w:szCs w:val="26"/>
          <w:color w:val="auto"/>
          <w:vertAlign w:val="superscript"/>
        </w:rPr>
      </w:pPr>
    </w:p>
    <w:p>
      <w:pPr>
        <w:ind w:left="1580" w:right="1340" w:hanging="359"/>
        <w:spacing w:after="0" w:line="232" w:lineRule="auto"/>
        <w:tabs>
          <w:tab w:leader="none" w:pos="1580" w:val="left"/>
        </w:tabs>
        <w:numPr>
          <w:ilvl w:val="0"/>
          <w:numId w:val="36"/>
        </w:numPr>
        <w:rPr>
          <w:rFonts w:ascii="Arial" w:cs="Arial" w:eastAsia="Arial" w:hAnsi="Arial"/>
          <w:sz w:val="26"/>
          <w:szCs w:val="26"/>
          <w:color w:val="auto"/>
          <w:vertAlign w:val="superscript"/>
        </w:rPr>
      </w:pPr>
      <w:r>
        <w:rPr>
          <w:rFonts w:ascii="Arial" w:cs="Arial" w:eastAsia="Arial" w:hAnsi="Arial"/>
          <w:sz w:val="18"/>
          <w:szCs w:val="18"/>
          <w:color w:val="auto"/>
        </w:rPr>
        <w:t>Based on information contained in a Schedule 13G filed with the SEC on February 21, 2023, by Steven R. Becker and includes (i) 45,000 shares of Common Stock held in the Steven Becker Roth IRA, (ii) 7,500 shares of Common Stock held in the Steven Becker Rollover IRA, and (iii) 40,000 shares of Common Stock held by Channels Holdings LLC, which is owned and controlled entirely by the Steven Becker Roth IRA. Mr. Becker’s business address is 500 Crescent Court, Suite 230, Dallas, Texas 75201.</w:t>
      </w:r>
    </w:p>
    <w:p>
      <w:pPr>
        <w:spacing w:after="0" w:line="34" w:lineRule="exact"/>
        <w:rPr>
          <w:rFonts w:ascii="Arial" w:cs="Arial" w:eastAsia="Arial" w:hAnsi="Arial"/>
          <w:sz w:val="26"/>
          <w:szCs w:val="26"/>
          <w:color w:val="auto"/>
          <w:vertAlign w:val="superscript"/>
        </w:rPr>
      </w:pPr>
    </w:p>
    <w:p>
      <w:pPr>
        <w:jc w:val="both"/>
        <w:ind w:left="1580" w:right="1440" w:hanging="359"/>
        <w:spacing w:after="0" w:line="220" w:lineRule="auto"/>
        <w:tabs>
          <w:tab w:leader="none" w:pos="1580" w:val="left"/>
        </w:tabs>
        <w:numPr>
          <w:ilvl w:val="0"/>
          <w:numId w:val="36"/>
        </w:numPr>
        <w:rPr>
          <w:rFonts w:ascii="Arial" w:cs="Arial" w:eastAsia="Arial" w:hAnsi="Arial"/>
          <w:sz w:val="26"/>
          <w:szCs w:val="26"/>
          <w:color w:val="auto"/>
          <w:vertAlign w:val="superscript"/>
        </w:rPr>
      </w:pPr>
      <w:r>
        <w:rPr>
          <w:rFonts w:ascii="Arial" w:cs="Arial" w:eastAsia="Arial" w:hAnsi="Arial"/>
          <w:sz w:val="18"/>
          <w:szCs w:val="18"/>
          <w:color w:val="auto"/>
        </w:rPr>
        <w:t>Consists of options to purchase 252,400 shares exercisable on or within 60 days after March 24, 2023 and 645,133 shares held by the William B. Shepro Revocable Trust (as to which Mr. and Mrs. Shepro share voting and dispositive power).</w:t>
      </w:r>
    </w:p>
    <w:p>
      <w:pPr>
        <w:spacing w:after="0" w:line="34" w:lineRule="exact"/>
        <w:rPr>
          <w:rFonts w:ascii="Arial" w:cs="Arial" w:eastAsia="Arial" w:hAnsi="Arial"/>
          <w:sz w:val="26"/>
          <w:szCs w:val="26"/>
          <w:color w:val="auto"/>
          <w:vertAlign w:val="superscript"/>
        </w:rPr>
      </w:pPr>
    </w:p>
    <w:p>
      <w:pPr>
        <w:ind w:left="1580" w:right="1240" w:hanging="359"/>
        <w:spacing w:after="0"/>
        <w:tabs>
          <w:tab w:leader="none" w:pos="1580" w:val="left"/>
        </w:tabs>
        <w:numPr>
          <w:ilvl w:val="0"/>
          <w:numId w:val="36"/>
        </w:numPr>
        <w:rPr>
          <w:rFonts w:ascii="Arial" w:cs="Arial" w:eastAsia="Arial" w:hAnsi="Arial"/>
          <w:sz w:val="26"/>
          <w:szCs w:val="26"/>
          <w:color w:val="auto"/>
          <w:vertAlign w:val="superscript"/>
        </w:rPr>
      </w:pPr>
      <w:r>
        <w:rPr>
          <w:rFonts w:ascii="Arial" w:cs="Arial" w:eastAsia="Arial" w:hAnsi="Arial"/>
          <w:sz w:val="18"/>
          <w:szCs w:val="18"/>
          <w:color w:val="auto"/>
        </w:rPr>
        <w:t>Consists of options to purchase 49,466 shares exercisable on or within 60 days after March 24, 2023 and 81,504 shares held jointly by Ms. Esterman and her spouse, Gregory F. Esterman.</w:t>
      </w:r>
    </w:p>
    <w:p>
      <w:pPr>
        <w:spacing w:after="0" w:line="182" w:lineRule="exact"/>
        <w:rPr>
          <w:rFonts w:ascii="Arial" w:cs="Arial" w:eastAsia="Arial" w:hAnsi="Arial"/>
          <w:sz w:val="26"/>
          <w:szCs w:val="26"/>
          <w:color w:val="auto"/>
          <w:vertAlign w:val="superscript"/>
        </w:rPr>
      </w:pPr>
    </w:p>
    <w:p>
      <w:pPr>
        <w:ind w:left="1580" w:right="1840" w:hanging="359"/>
        <w:spacing w:after="0" w:line="210" w:lineRule="auto"/>
        <w:tabs>
          <w:tab w:leader="none" w:pos="1580" w:val="left"/>
        </w:tabs>
        <w:numPr>
          <w:ilvl w:val="0"/>
          <w:numId w:val="36"/>
        </w:numPr>
        <w:rPr>
          <w:rFonts w:ascii="Arial" w:cs="Arial" w:eastAsia="Arial" w:hAnsi="Arial"/>
          <w:sz w:val="26"/>
          <w:szCs w:val="26"/>
          <w:color w:val="auto"/>
          <w:vertAlign w:val="superscript"/>
        </w:rPr>
      </w:pPr>
      <w:r>
        <w:rPr>
          <w:rFonts w:ascii="Arial" w:cs="Arial" w:eastAsia="Arial" w:hAnsi="Arial"/>
          <w:sz w:val="18"/>
          <w:szCs w:val="18"/>
          <w:color w:val="auto"/>
        </w:rPr>
        <w:t>Includes options to purchase 35,142 shares exercisable on or within 60 days after March 24, 2023 and 42,801 shares held directly by Mr. Ritts.</w:t>
      </w:r>
    </w:p>
    <w:p>
      <w:pPr>
        <w:ind w:left="1580" w:hanging="359"/>
        <w:spacing w:after="0" w:line="212" w:lineRule="auto"/>
        <w:tabs>
          <w:tab w:leader="none" w:pos="1580" w:val="left"/>
        </w:tabs>
        <w:numPr>
          <w:ilvl w:val="0"/>
          <w:numId w:val="36"/>
        </w:numPr>
        <w:rPr>
          <w:rFonts w:ascii="Arial" w:cs="Arial" w:eastAsia="Arial" w:hAnsi="Arial"/>
          <w:sz w:val="26"/>
          <w:szCs w:val="26"/>
          <w:color w:val="auto"/>
          <w:vertAlign w:val="superscript"/>
        </w:rPr>
      </w:pPr>
      <w:r>
        <w:rPr>
          <w:rFonts w:ascii="Arial" w:cs="Arial" w:eastAsia="Arial" w:hAnsi="Arial"/>
          <w:sz w:val="18"/>
          <w:szCs w:val="18"/>
          <w:color w:val="auto"/>
        </w:rPr>
        <w:t>Includes 125 restricted shares scheduled to vest within 60 days of March 24, 2023.</w:t>
      </w:r>
    </w:p>
    <w:p>
      <w:pPr>
        <w:spacing w:after="0" w:line="46" w:lineRule="exact"/>
        <w:rPr>
          <w:rFonts w:ascii="Arial" w:cs="Arial" w:eastAsia="Arial" w:hAnsi="Arial"/>
          <w:sz w:val="26"/>
          <w:szCs w:val="26"/>
          <w:color w:val="auto"/>
          <w:vertAlign w:val="superscript"/>
        </w:rPr>
      </w:pPr>
    </w:p>
    <w:p>
      <w:pPr>
        <w:ind w:left="1580" w:right="1260" w:hanging="359"/>
        <w:spacing w:after="0" w:line="210" w:lineRule="auto"/>
        <w:tabs>
          <w:tab w:leader="none" w:pos="1580" w:val="left"/>
        </w:tabs>
        <w:numPr>
          <w:ilvl w:val="0"/>
          <w:numId w:val="36"/>
        </w:numPr>
        <w:rPr>
          <w:rFonts w:ascii="Arial" w:cs="Arial" w:eastAsia="Arial" w:hAnsi="Arial"/>
          <w:sz w:val="26"/>
          <w:szCs w:val="26"/>
          <w:color w:val="auto"/>
          <w:vertAlign w:val="superscript"/>
        </w:rPr>
      </w:pPr>
      <w:r>
        <w:rPr>
          <w:rFonts w:ascii="Arial" w:cs="Arial" w:eastAsia="Arial" w:hAnsi="Arial"/>
          <w:sz w:val="18"/>
          <w:szCs w:val="18"/>
          <w:color w:val="auto"/>
        </w:rPr>
        <w:t>Shares received by Ms. Hickok’s as a Director were and are transferred to DPR CC LLC, a C-Corp 100% owned by Deer Park/STS Master Fund, Ltd.</w:t>
      </w:r>
    </w:p>
    <w:p>
      <w:pPr>
        <w:spacing w:after="0" w:line="18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Equity Compensation Plan Information</w:t>
      </w:r>
    </w:p>
    <w:p>
      <w:pPr>
        <w:spacing w:after="0" w:line="119" w:lineRule="exact"/>
        <w:rPr>
          <w:sz w:val="20"/>
          <w:szCs w:val="20"/>
          <w:color w:val="auto"/>
        </w:rPr>
      </w:pPr>
    </w:p>
    <w:p>
      <w:pPr>
        <w:jc w:val="both"/>
        <w:ind w:left="1220" w:right="1280"/>
        <w:spacing w:after="0" w:line="266"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securities</w:t>
            </w:r>
          </w:p>
        </w:tc>
        <w:tc>
          <w:tcPr>
            <w:tcW w:w="180" w:type="dxa"/>
            <w:vAlign w:val="bottom"/>
          </w:tcPr>
          <w:p>
            <w:pPr>
              <w:spacing w:after="0"/>
              <w:rPr>
                <w:sz w:val="18"/>
                <w:szCs w:val="18"/>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Weighted average</w:t>
            </w:r>
          </w:p>
        </w:tc>
        <w:tc>
          <w:tcPr>
            <w:tcW w:w="180" w:type="dxa"/>
            <w:vAlign w:val="bottom"/>
          </w:tcPr>
          <w:p>
            <w:pPr>
              <w:spacing w:after="0"/>
              <w:rPr>
                <w:sz w:val="18"/>
                <w:szCs w:val="18"/>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Number of securities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8"/>
              </w:rPr>
              <w:t>to be issued upon</w:t>
            </w:r>
          </w:p>
        </w:tc>
        <w:tc>
          <w:tcPr>
            <w:tcW w:w="1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exercise</w:t>
            </w:r>
          </w:p>
        </w:tc>
        <w:tc>
          <w:tcPr>
            <w:tcW w:w="180" w:type="dxa"/>
            <w:vAlign w:val="bottom"/>
          </w:tcPr>
          <w:p>
            <w:pPr>
              <w:spacing w:after="0"/>
              <w:rPr>
                <w:sz w:val="16"/>
                <w:szCs w:val="16"/>
                <w:color w:val="auto"/>
              </w:rPr>
            </w:pPr>
          </w:p>
        </w:tc>
        <w:tc>
          <w:tcPr>
            <w:tcW w:w="158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8"/>
              </w:rPr>
              <w:t>exercise price of</w:t>
            </w:r>
          </w:p>
        </w:tc>
        <w:tc>
          <w:tcPr>
            <w:tcW w:w="180" w:type="dxa"/>
            <w:vAlign w:val="bottom"/>
          </w:tcPr>
          <w:p>
            <w:pPr>
              <w:spacing w:after="0"/>
              <w:rPr>
                <w:sz w:val="16"/>
                <w:szCs w:val="16"/>
                <w:color w:val="auto"/>
              </w:rPr>
            </w:pPr>
          </w:p>
        </w:tc>
        <w:tc>
          <w:tcPr>
            <w:tcW w:w="204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7"/>
              </w:rPr>
              <w:t>remaining available for</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580" w:type="dxa"/>
            <w:vAlign w:val="bottom"/>
            <w:gridSpan w:val="2"/>
            <w:vMerge w:val="restart"/>
          </w:tcPr>
          <w:p>
            <w:pPr>
              <w:ind w:left="1220"/>
              <w:spacing w:after="0"/>
              <w:rPr>
                <w:sz w:val="20"/>
                <w:szCs w:val="20"/>
                <w:color w:val="auto"/>
              </w:rPr>
            </w:pPr>
            <w:r>
              <w:rPr>
                <w:rFonts w:ascii="Arial" w:cs="Arial" w:eastAsia="Arial" w:hAnsi="Arial"/>
                <w:sz w:val="18"/>
                <w:szCs w:val="18"/>
                <w:b w:val="1"/>
                <w:bCs w:val="1"/>
                <w:color w:val="auto"/>
              </w:rPr>
              <w:t>​</w:t>
            </w:r>
          </w:p>
        </w:tc>
        <w:tc>
          <w:tcPr>
            <w:tcW w:w="20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Plan category</w:t>
            </w:r>
          </w:p>
        </w:tc>
        <w:tc>
          <w:tcPr>
            <w:tcW w:w="3920" w:type="dxa"/>
            <w:vAlign w:val="bottom"/>
            <w:gridSpan w:val="5"/>
          </w:tcPr>
          <w:p>
            <w:pPr>
              <w:ind w:left="100"/>
              <w:spacing w:after="0" w:line="172" w:lineRule="exact"/>
              <w:rPr>
                <w:sz w:val="20"/>
                <w:szCs w:val="20"/>
                <w:color w:val="auto"/>
              </w:rPr>
            </w:pPr>
            <w:r>
              <w:rPr>
                <w:rFonts w:ascii="Arial" w:cs="Arial" w:eastAsia="Arial" w:hAnsi="Arial"/>
                <w:sz w:val="18"/>
                <w:szCs w:val="18"/>
                <w:b w:val="1"/>
                <w:bCs w:val="1"/>
                <w:color w:val="auto"/>
                <w:w w:val="99"/>
              </w:rPr>
              <w:t>of outstanding options, outstanding options,</w:t>
            </w:r>
          </w:p>
        </w:tc>
        <w:tc>
          <w:tcPr>
            <w:tcW w:w="20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future issuance under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80" w:type="dxa"/>
            <w:vAlign w:val="bottom"/>
            <w:gridSpan w:val="2"/>
            <w:vMerge w:val="continue"/>
          </w:tcPr>
          <w:p>
            <w:pPr>
              <w:spacing w:after="0"/>
              <w:rPr>
                <w:sz w:val="18"/>
                <w:szCs w:val="18"/>
                <w:color w:val="auto"/>
              </w:rPr>
            </w:pPr>
          </w:p>
        </w:tc>
        <w:tc>
          <w:tcPr>
            <w:tcW w:w="2060" w:type="dxa"/>
            <w:vAlign w:val="bottom"/>
            <w:vMerge w:val="continue"/>
          </w:tcPr>
          <w:p>
            <w:pPr>
              <w:spacing w:after="0"/>
              <w:rPr>
                <w:sz w:val="18"/>
                <w:szCs w:val="18"/>
                <w:color w:val="auto"/>
              </w:rPr>
            </w:pPr>
          </w:p>
        </w:tc>
        <w:tc>
          <w:tcPr>
            <w:tcW w:w="1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8"/>
              </w:rPr>
              <w:t>warrants and rights</w:t>
            </w:r>
          </w:p>
        </w:tc>
        <w:tc>
          <w:tcPr>
            <w:tcW w:w="48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​warrants and rights ​equity compensation plans​</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242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Equity compensation plans</w:t>
            </w:r>
          </w:p>
        </w:tc>
        <w:tc>
          <w:tcPr>
            <w:tcW w:w="1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​approved by security holders ​</w:t>
            </w:r>
          </w:p>
        </w:tc>
        <w:tc>
          <w:tcPr>
            <w:tcW w:w="1820" w:type="dxa"/>
            <w:vAlign w:val="bottom"/>
          </w:tcPr>
          <w:p>
            <w:pPr>
              <w:jc w:val="center"/>
              <w:spacing w:after="0"/>
              <w:rPr>
                <w:sz w:val="20"/>
                <w:szCs w:val="20"/>
                <w:color w:val="auto"/>
              </w:rPr>
            </w:pPr>
            <w:r>
              <w:rPr>
                <w:rFonts w:ascii="Arial" w:cs="Arial" w:eastAsia="Arial" w:hAnsi="Arial"/>
                <w:sz w:val="18"/>
                <w:szCs w:val="18"/>
                <w:color w:val="auto"/>
              </w:rPr>
              <w:t>​​ 745,277</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rPr>
              <w:t>​$ 27.03</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2040" w:type="dxa"/>
            <w:vAlign w:val="bottom"/>
          </w:tcPr>
          <w:p>
            <w:pPr>
              <w:ind w:left="560"/>
              <w:spacing w:after="0"/>
              <w:rPr>
                <w:sz w:val="20"/>
                <w:szCs w:val="20"/>
                <w:color w:val="auto"/>
              </w:rPr>
            </w:pPr>
            <w:r>
              <w:rPr>
                <w:rFonts w:ascii="Arial" w:cs="Arial" w:eastAsia="Arial" w:hAnsi="Arial"/>
                <w:sz w:val="18"/>
                <w:szCs w:val="18"/>
                <w:color w:val="auto"/>
              </w:rPr>
              <w:t>​​ 2,528,307</w:t>
            </w:r>
          </w:p>
        </w:tc>
        <w:tc>
          <w:tcPr>
            <w:tcW w:w="9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2"/>
        </w:trPr>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ind w:right="192"/>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-932180</wp:posOffset>
            </wp:positionV>
            <wp:extent cx="5403850" cy="285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03850" cy="28575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500"/>
          </w:cols>
          <w:pgMar w:left="700" w:top="95" w:right="699" w:bottom="941"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28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SECURITY OWNERSHIP OF CERTAIN BENEFICIAL OWNERS AND MANAGEMENT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-215900</wp:posOffset>
            </wp:positionV>
            <wp:extent cx="4076065" cy="142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76065" cy="142875"/>
                    </a:xfrm>
                    <a:prstGeom prst="rect">
                      <a:avLst/>
                    </a:prstGeom>
                    <a:noFill/>
                  </pic:spPr>
                </pic:pic>
              </a:graphicData>
            </a:graphic>
          </wp:anchor>
        </w:drawing>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Delinquent Section 16(a) Reports</w:t>
      </w:r>
    </w:p>
    <w:p>
      <w:pPr>
        <w:spacing w:after="0" w:line="119" w:lineRule="exact"/>
        <w:rPr>
          <w:sz w:val="20"/>
          <w:szCs w:val="20"/>
          <w:color w:val="auto"/>
        </w:rPr>
      </w:pPr>
    </w:p>
    <w:p>
      <w:pPr>
        <w:ind w:left="1220" w:right="639"/>
        <w:spacing w:after="0" w:line="251"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ten percent (10%) of our common stock to file reports of ownership and changes in ownership with the SEC. Executive officers, Directors and greater than</w:t>
      </w:r>
    </w:p>
    <w:p>
      <w:pPr>
        <w:spacing w:after="0" w:line="2" w:lineRule="exact"/>
        <w:rPr>
          <w:sz w:val="20"/>
          <w:szCs w:val="20"/>
          <w:color w:val="auto"/>
        </w:rPr>
      </w:pPr>
    </w:p>
    <w:p>
      <w:pPr>
        <w:ind w:left="1220" w:right="559"/>
        <w:spacing w:after="0" w:line="247" w:lineRule="auto"/>
        <w:rPr>
          <w:sz w:val="20"/>
          <w:szCs w:val="20"/>
          <w:color w:val="auto"/>
        </w:rPr>
      </w:pPr>
      <w:r>
        <w:rPr>
          <w:rFonts w:ascii="Arial" w:cs="Arial" w:eastAsia="Arial" w:hAnsi="Arial"/>
          <w:sz w:val="18"/>
          <w:szCs w:val="18"/>
          <w:color w:val="auto"/>
        </w:rPr>
        <w:t>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2022, except that the following Section 16 reports were filed late, each as the result of an administrative oversight: Michelle D. Esterman filed one late report, which covered three transactions; Gregory J. Ritts filed one late report, which covered three transactions; and William B. Shepro filed one late report, which covered three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9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Summary Compensation Table</w:t>
      </w:r>
    </w:p>
    <w:p>
      <w:pPr>
        <w:spacing w:after="0" w:line="119" w:lineRule="exact"/>
        <w:rPr>
          <w:sz w:val="20"/>
          <w:szCs w:val="20"/>
          <w:color w:val="auto"/>
        </w:rPr>
      </w:pPr>
    </w:p>
    <w:p>
      <w:pPr>
        <w:ind w:left="1220" w:right="979"/>
        <w:spacing w:after="0" w:line="252"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1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Our named executive officers for the year ended December 31, 2022 were as follows:</w:t>
      </w:r>
    </w:p>
    <w:p>
      <w:pPr>
        <w:spacing w:after="0" w:line="137" w:lineRule="exact"/>
        <w:rPr>
          <w:sz w:val="20"/>
          <w:szCs w:val="20"/>
          <w:color w:val="auto"/>
        </w:rPr>
      </w:pPr>
    </w:p>
    <w:p>
      <w:pPr>
        <w:ind w:left="1920" w:hanging="346"/>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William B. Shepro, Chief Executive Officer</w:t>
      </w:r>
    </w:p>
    <w:p>
      <w:pPr>
        <w:spacing w:after="0" w:line="137" w:lineRule="exact"/>
        <w:rPr>
          <w:rFonts w:ascii="Arial" w:cs="Arial" w:eastAsia="Arial" w:hAnsi="Arial"/>
          <w:sz w:val="18"/>
          <w:szCs w:val="18"/>
          <w:color w:val="auto"/>
        </w:rPr>
      </w:pPr>
    </w:p>
    <w:p>
      <w:pPr>
        <w:ind w:left="1920" w:hanging="346"/>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Michelle D. Esterman, Chief Financial Officer</w:t>
      </w:r>
    </w:p>
    <w:p>
      <w:pPr>
        <w:spacing w:after="0" w:line="137" w:lineRule="exact"/>
        <w:rPr>
          <w:rFonts w:ascii="Arial" w:cs="Arial" w:eastAsia="Arial" w:hAnsi="Arial"/>
          <w:sz w:val="18"/>
          <w:szCs w:val="18"/>
          <w:color w:val="auto"/>
        </w:rPr>
      </w:pPr>
    </w:p>
    <w:p>
      <w:pPr>
        <w:ind w:left="1920" w:hanging="346"/>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Gregory J. Ritts, Chief Legal and Compliance Officer</w:t>
      </w:r>
    </w:p>
    <w:p>
      <w:pPr>
        <w:spacing w:after="0" w:line="137" w:lineRule="exact"/>
        <w:rPr>
          <w:sz w:val="20"/>
          <w:szCs w:val="20"/>
          <w:color w:val="auto"/>
        </w:rPr>
      </w:pPr>
    </w:p>
    <w:p>
      <w:pPr>
        <w:ind w:left="1220" w:right="579"/>
        <w:spacing w:after="0" w:line="274" w:lineRule="auto"/>
        <w:rPr>
          <w:sz w:val="20"/>
          <w:szCs w:val="20"/>
          <w:color w:val="auto"/>
        </w:rPr>
      </w:pPr>
      <w:r>
        <w:rPr>
          <w:rFonts w:ascii="Arial" w:cs="Arial" w:eastAsia="Arial" w:hAnsi="Arial"/>
          <w:sz w:val="18"/>
          <w:szCs w:val="18"/>
          <w:color w:val="auto"/>
        </w:rPr>
        <w:t>The following table discloses compensation of our Named Executive Officers for fiscal years 2021 and 2022.</w:t>
      </w:r>
    </w:p>
    <w:p>
      <w:pPr>
        <w:spacing w:after="0" w:line="128"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rPr>
              <w:t>Non-Equity</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1620" w:type="dxa"/>
            <w:vAlign w:val="bottom"/>
          </w:tcPr>
          <w:p>
            <w:pPr>
              <w:jc w:val="center"/>
              <w:ind w:right="109"/>
              <w:spacing w:after="0" w:line="159" w:lineRule="exact"/>
              <w:rPr>
                <w:sz w:val="20"/>
                <w:szCs w:val="20"/>
                <w:color w:val="auto"/>
              </w:rPr>
            </w:pPr>
            <w:r>
              <w:rPr>
                <w:rFonts w:ascii="Arial" w:cs="Arial" w:eastAsia="Arial" w:hAnsi="Arial"/>
                <w:sz w:val="14"/>
                <w:szCs w:val="14"/>
                <w:b w:val="1"/>
                <w:bCs w:val="1"/>
                <w:color w:val="auto"/>
              </w:rPr>
              <w:t>Name and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02"/>
              <w:spacing w:after="0" w:line="15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3"/>
                <w:szCs w:val="13"/>
                <w:color w:val="auto"/>
              </w:rPr>
            </w:pPr>
          </w:p>
        </w:tc>
        <w:tc>
          <w:tcPr>
            <w:tcW w:w="1160" w:type="dxa"/>
            <w:vAlign w:val="bottom"/>
            <w:gridSpan w:val="2"/>
          </w:tcPr>
          <w:p>
            <w:pPr>
              <w:jc w:val="right"/>
              <w:ind w:right="21"/>
              <w:spacing w:after="0" w:line="159" w:lineRule="exact"/>
              <w:rPr>
                <w:sz w:val="20"/>
                <w:szCs w:val="20"/>
                <w:color w:val="auto"/>
              </w:rPr>
            </w:pPr>
            <w:r>
              <w:rPr>
                <w:rFonts w:ascii="Arial" w:cs="Arial" w:eastAsia="Arial" w:hAnsi="Arial"/>
                <w:sz w:val="14"/>
                <w:szCs w:val="14"/>
                <w:b w:val="1"/>
                <w:bCs w:val="1"/>
                <w:color w:val="auto"/>
              </w:rPr>
              <w:t>Incentive Plan</w:t>
            </w:r>
          </w:p>
        </w:tc>
        <w:tc>
          <w:tcPr>
            <w:tcW w:w="160" w:type="dxa"/>
            <w:vAlign w:val="bottom"/>
          </w:tcPr>
          <w:p>
            <w:pPr>
              <w:spacing w:after="0"/>
              <w:rPr>
                <w:sz w:val="13"/>
                <w:szCs w:val="13"/>
                <w:color w:val="auto"/>
              </w:rPr>
            </w:pPr>
          </w:p>
        </w:tc>
        <w:tc>
          <w:tcPr>
            <w:tcW w:w="880" w:type="dxa"/>
            <w:vAlign w:val="bottom"/>
            <w:gridSpan w:val="3"/>
          </w:tcPr>
          <w:p>
            <w:pPr>
              <w:ind w:left="240"/>
              <w:spacing w:after="0" w:line="15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center"/>
              <w:ind w:right="109"/>
              <w:spacing w:after="0"/>
              <w:rPr>
                <w:sz w:val="20"/>
                <w:szCs w:val="20"/>
                <w:color w:val="auto"/>
              </w:rPr>
            </w:pPr>
            <w:r>
              <w:rPr>
                <w:rFonts w:ascii="Arial" w:cs="Arial" w:eastAsia="Arial" w:hAnsi="Arial"/>
                <w:sz w:val="14"/>
                <w:szCs w:val="14"/>
                <w:b w:val="1"/>
                <w:bCs w:val="1"/>
                <w:color w:val="auto"/>
              </w:rPr>
              <w:t>Principal Position</w:t>
            </w:r>
          </w:p>
        </w:tc>
        <w:tc>
          <w:tcPr>
            <w:tcW w:w="520" w:type="dxa"/>
            <w:vAlign w:val="bottom"/>
            <w:gridSpan w:val="3"/>
          </w:tcPr>
          <w:p>
            <w:pPr>
              <w:ind w:left="40"/>
              <w:spacing w:after="0" w:line="194"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Year</w:t>
            </w:r>
          </w:p>
        </w:tc>
        <w:tc>
          <w:tcPr>
            <w:tcW w:w="920" w:type="dxa"/>
            <w:vAlign w:val="bottom"/>
            <w:gridSpan w:val="3"/>
          </w:tcPr>
          <w:p>
            <w:pPr>
              <w:jc w:val="right"/>
              <w:ind w:right="27"/>
              <w:spacing w:after="0" w:line="194"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Salary</w:t>
            </w:r>
            <w:r>
              <w:rPr>
                <w:rFonts w:ascii="Arial" w:cs="Arial" w:eastAsia="Arial" w:hAnsi="Arial"/>
                <w:sz w:val="14"/>
                <w:szCs w:val="14"/>
                <w:b w:val="1"/>
                <w:bCs w:val="1"/>
                <w:color w:val="auto"/>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9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7"/>
                <w:szCs w:val="17"/>
                <w:b w:val="1"/>
                <w:bCs w:val="1"/>
                <w:color w:val="auto"/>
                <w:vertAlign w:val="superscript"/>
              </w:rPr>
              <w:t>(2)</w:t>
            </w:r>
          </w:p>
        </w:tc>
        <w:tc>
          <w:tcPr>
            <w:tcW w:w="1320" w:type="dxa"/>
            <w:vAlign w:val="bottom"/>
            <w:gridSpan w:val="3"/>
          </w:tcPr>
          <w:p>
            <w:pPr>
              <w:jc w:val="right"/>
              <w:spacing w:after="0" w:line="194"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Compensation</w:t>
            </w:r>
            <w:r>
              <w:rPr>
                <w:rFonts w:ascii="Arial" w:cs="Arial" w:eastAsia="Arial" w:hAnsi="Arial"/>
                <w:sz w:val="14"/>
                <w:szCs w:val="14"/>
                <w:b w:val="1"/>
                <w:bCs w:val="1"/>
                <w:color w:val="auto"/>
                <w:vertAlign w:val="superscript"/>
              </w:rPr>
              <w:t>(3)</w:t>
            </w:r>
          </w:p>
        </w:tc>
        <w:tc>
          <w:tcPr>
            <w:tcW w:w="1580" w:type="dxa"/>
            <w:vAlign w:val="bottom"/>
            <w:gridSpan w:val="7"/>
          </w:tcPr>
          <w:p>
            <w:pPr>
              <w:jc w:val="right"/>
              <w:ind w:right="112"/>
              <w:spacing w:after="0" w:line="194"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Compensation</w:t>
            </w:r>
            <w:r>
              <w:rPr>
                <w:rFonts w:ascii="Arial" w:cs="Arial" w:eastAsia="Arial" w:hAnsi="Arial"/>
                <w:sz w:val="14"/>
                <w:szCs w:val="14"/>
                <w:b w:val="1"/>
                <w:bCs w:val="1"/>
                <w:color w:val="auto"/>
                <w:vertAlign w:val="superscript"/>
              </w:rPr>
              <w:t>(4)</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 ​</w:t>
            </w:r>
          </w:p>
        </w:tc>
        <w:tc>
          <w:tcPr>
            <w:tcW w:w="780" w:type="dxa"/>
            <w:vAlign w:val="bottom"/>
          </w:tcPr>
          <w:p>
            <w:pPr>
              <w:jc w:val="right"/>
              <w:ind w:right="24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vMerge w:val="restart"/>
          </w:tcPr>
          <w:p>
            <w:pPr>
              <w:ind w:left="40"/>
              <w:spacing w:after="0" w:line="14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line="145" w:lineRule="exact"/>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line="145" w:lineRule="exact"/>
              <w:rPr>
                <w:sz w:val="20"/>
                <w:szCs w:val="20"/>
                <w:color w:val="auto"/>
              </w:rPr>
            </w:pPr>
            <w:r>
              <w:rPr>
                <w:rFonts w:ascii="Arial" w:cs="Arial" w:eastAsia="Arial" w:hAnsi="Arial"/>
                <w:sz w:val="16"/>
                <w:szCs w:val="16"/>
                <w:color w:val="auto"/>
              </w:rPr>
              <w:t>​</w:t>
            </w: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145" w:lineRule="exact"/>
              <w:rPr>
                <w:sz w:val="20"/>
                <w:szCs w:val="20"/>
                <w:color w:val="auto"/>
              </w:rPr>
            </w:pPr>
            <w:r>
              <w:rPr>
                <w:rFonts w:ascii="Arial" w:cs="Arial" w:eastAsia="Arial" w:hAnsi="Arial"/>
                <w:sz w:val="16"/>
                <w:szCs w:val="16"/>
                <w:color w:val="auto"/>
              </w:rPr>
              <w:t>​​ ​</w:t>
            </w:r>
          </w:p>
        </w:tc>
        <w:tc>
          <w:tcPr>
            <w:tcW w:w="5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145" w:lineRule="exact"/>
              <w:rPr>
                <w:sz w:val="20"/>
                <w:szCs w:val="20"/>
                <w:color w:val="auto"/>
              </w:rPr>
            </w:pPr>
            <w:r>
              <w:rPr>
                <w:rFonts w:ascii="Arial" w:cs="Arial" w:eastAsia="Arial" w:hAnsi="Arial"/>
                <w:sz w:val="16"/>
                <w:szCs w:val="16"/>
                <w:color w:val="auto"/>
              </w:rPr>
              <w:t>​​ ​</w:t>
            </w: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145" w:lineRule="exact"/>
              <w:rPr>
                <w:sz w:val="20"/>
                <w:szCs w:val="20"/>
                <w:color w:val="auto"/>
              </w:rPr>
            </w:pPr>
            <w:r>
              <w:rPr>
                <w:rFonts w:ascii="Arial" w:cs="Arial" w:eastAsia="Arial" w:hAnsi="Arial"/>
                <w:sz w:val="16"/>
                <w:szCs w:val="16"/>
                <w:color w:val="auto"/>
              </w:rPr>
              <w:t>​​ ​</w:t>
            </w:r>
          </w:p>
        </w:tc>
        <w:tc>
          <w:tcPr>
            <w:tcW w:w="1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26"/>
        </w:trPr>
        <w:tc>
          <w:tcPr>
            <w:tcW w:w="180" w:type="dxa"/>
            <w:vAlign w:val="bottom"/>
          </w:tcPr>
          <w:p>
            <w:pPr>
              <w:spacing w:after="0" w:line="126" w:lineRule="exact"/>
              <w:rPr>
                <w:sz w:val="20"/>
                <w:szCs w:val="20"/>
                <w:color w:val="auto"/>
              </w:rPr>
            </w:pPr>
            <w:r>
              <w:rPr>
                <w:rFonts w:ascii="Arial" w:cs="Arial" w:eastAsia="Arial" w:hAnsi="Arial"/>
                <w:sz w:val="14"/>
                <w:szCs w:val="14"/>
                <w:color w:val="auto"/>
              </w:rPr>
              <w:t>​</w:t>
            </w:r>
          </w:p>
        </w:tc>
        <w:tc>
          <w:tcPr>
            <w:tcW w:w="16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40" w:type="dxa"/>
            <w:vAlign w:val="bottom"/>
            <w:gridSpan w:val="2"/>
            <w:shd w:val="clear" w:color="auto" w:fill="CCEEFF"/>
          </w:tcPr>
          <w:p>
            <w:pPr>
              <w:jc w:val="right"/>
              <w:ind w:right="269"/>
              <w:spacing w:after="0" w:line="126"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60"/>
              <w:spacing w:after="0" w:line="126" w:lineRule="exact"/>
              <w:rPr>
                <w:sz w:val="20"/>
                <w:szCs w:val="20"/>
                <w:color w:val="auto"/>
              </w:rPr>
            </w:pPr>
            <w:r>
              <w:rPr>
                <w:rFonts w:ascii="Arial" w:cs="Arial" w:eastAsia="Arial" w:hAnsi="Arial"/>
                <w:sz w:val="14"/>
                <w:szCs w:val="14"/>
                <w:color w:val="auto"/>
              </w:rPr>
              <w:t>​​ ​​</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591,830</w:t>
            </w:r>
          </w:p>
        </w:tc>
        <w:tc>
          <w:tcPr>
            <w:tcW w:w="120" w:type="dxa"/>
            <w:vAlign w:val="bottom"/>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jc w:val="right"/>
              <w:ind w:right="33"/>
              <w:spacing w:after="0" w:line="126"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465,961</w:t>
            </w:r>
          </w:p>
        </w:tc>
        <w:tc>
          <w:tcPr>
            <w:tcW w:w="160" w:type="dxa"/>
            <w:vAlign w:val="bottom"/>
            <w:vMerge w:val="continue"/>
            <w:shd w:val="clear" w:color="auto" w:fill="CCEEFF"/>
          </w:tcPr>
          <w:p>
            <w:pPr>
              <w:spacing w:after="0"/>
              <w:rPr>
                <w:sz w:val="10"/>
                <w:szCs w:val="10"/>
                <w:color w:val="auto"/>
              </w:rPr>
            </w:pPr>
          </w:p>
        </w:tc>
        <w:tc>
          <w:tcPr>
            <w:tcW w:w="560" w:type="dxa"/>
            <w:vAlign w:val="bottom"/>
            <w:shd w:val="clear" w:color="auto" w:fill="CCEEFF"/>
          </w:tcPr>
          <w:p>
            <w:pPr>
              <w:ind w:left="240"/>
              <w:spacing w:after="0" w:line="126"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ind w:left="180"/>
              <w:spacing w:after="0" w:line="12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95"/>
              </w:rPr>
              <w:t>2,161,673</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80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William B. Shepro</w:t>
            </w:r>
          </w:p>
        </w:tc>
        <w:tc>
          <w:tcPr>
            <w:tcW w:w="80" w:type="dxa"/>
            <w:vAlign w:val="bottom"/>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​2021</w:t>
            </w:r>
          </w:p>
        </w:tc>
        <w:tc>
          <w:tcPr>
            <w:tcW w:w="320" w:type="dxa"/>
            <w:vAlign w:val="bottom"/>
            <w:tcBorders>
              <w:bottom w:val="single" w:sz="8" w:color="CCEEFF"/>
            </w:tcBorders>
            <w:gridSpan w:val="2"/>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CCEEFF"/>
              <w:right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CCEEFF"/>
              <w:right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right w:val="single" w:sz="8" w:color="CCEEFF"/>
            </w:tcBorders>
            <w:gridSpan w:val="2"/>
            <w:shd w:val="clear" w:color="auto" w:fill="CCEEFF"/>
          </w:tcPr>
          <w:p>
            <w:pPr>
              <w:jc w:val="right"/>
              <w:ind w:right="161"/>
              <w:spacing w:after="0" w:line="92" w:lineRule="exact"/>
              <w:rPr>
                <w:sz w:val="20"/>
                <w:szCs w:val="20"/>
                <w:color w:val="auto"/>
              </w:rPr>
            </w:pPr>
            <w:r>
              <w:rPr>
                <w:rFonts w:ascii="Arial" w:cs="Arial" w:eastAsia="Arial" w:hAnsi="Arial"/>
                <w:sz w:val="10"/>
                <w:szCs w:val="10"/>
                <w:color w:val="auto"/>
              </w:rPr>
              <w:t>$619,037</w:t>
            </w:r>
          </w:p>
        </w:tc>
        <w:tc>
          <w:tcPr>
            <w:tcW w:w="1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gridSpan w:val="3"/>
            <w:shd w:val="clear" w:color="auto" w:fill="CCEEFF"/>
          </w:tcPr>
          <w:p>
            <w:pPr>
              <w:jc w:val="right"/>
              <w:spacing w:after="0" w:line="92" w:lineRule="exact"/>
              <w:rPr>
                <w:sz w:val="20"/>
                <w:szCs w:val="20"/>
                <w:color w:val="auto"/>
              </w:rPr>
            </w:pPr>
            <w:r>
              <w:rPr>
                <w:rFonts w:ascii="Arial" w:cs="Arial" w:eastAsia="Arial" w:hAnsi="Arial"/>
                <w:sz w:val="10"/>
                <w:szCs w:val="10"/>
                <w:color w:val="auto"/>
              </w:rPr>
              <w:t>$ 484,845</w:t>
            </w:r>
          </w:p>
        </w:tc>
        <w:tc>
          <w:tcPr>
            <w:tcW w:w="220" w:type="dxa"/>
            <w:vAlign w:val="bottom"/>
            <w:tcBorders>
              <w:bottom w:val="single" w:sz="8" w:color="CCEEFF"/>
              <w:right w:val="single" w:sz="8" w:color="CCEEFF"/>
            </w:tcBorders>
            <w:shd w:val="clear" w:color="auto" w:fill="CCEEFF"/>
          </w:tcPr>
          <w:p>
            <w:pPr>
              <w:spacing w:after="0"/>
              <w:rPr>
                <w:sz w:val="9"/>
                <w:szCs w:val="9"/>
                <w:color w:val="auto"/>
              </w:rPr>
            </w:pPr>
          </w:p>
        </w:tc>
        <w:tc>
          <w:tcPr>
            <w:tcW w:w="320" w:type="dxa"/>
            <w:vAlign w:val="bottom"/>
            <w:tcBorders>
              <w:bottom w:val="single" w:sz="8" w:color="CCEEFF"/>
            </w:tcBorders>
            <w:gridSpan w:val="2"/>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780" w:type="dxa"/>
            <w:vAlign w:val="bottom"/>
            <w:tcBorders>
              <w:bottom w:val="single" w:sz="8" w:color="CCEEFF"/>
              <w:right w:val="single" w:sz="8" w:color="CCEEFF"/>
            </w:tcBorders>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800" w:type="dxa"/>
            <w:vAlign w:val="bottom"/>
            <w:gridSpan w:val="2"/>
          </w:tcPr>
          <w:p>
            <w:pPr>
              <w:spacing w:after="0" w:line="169" w:lineRule="exact"/>
              <w:rPr>
                <w:sz w:val="20"/>
                <w:szCs w:val="20"/>
                <w:color w:val="auto"/>
              </w:rPr>
            </w:pPr>
            <w:r>
              <w:rPr>
                <w:rFonts w:ascii="Arial" w:cs="Arial" w:eastAsia="Arial" w:hAnsi="Arial"/>
                <w:sz w:val="16"/>
                <w:szCs w:val="16"/>
                <w:color w:val="auto"/>
              </w:rPr>
              <w:t>Chief Executive Officer</w:t>
            </w:r>
          </w:p>
        </w:tc>
        <w:tc>
          <w:tcPr>
            <w:tcW w:w="80" w:type="dxa"/>
            <w:vAlign w:val="bottom"/>
          </w:tcPr>
          <w:p>
            <w:pPr>
              <w:spacing w:after="0"/>
              <w:rPr>
                <w:sz w:val="19"/>
                <w:szCs w:val="19"/>
                <w:color w:val="auto"/>
              </w:rPr>
            </w:pPr>
          </w:p>
        </w:tc>
        <w:tc>
          <w:tcPr>
            <w:tcW w:w="1580" w:type="dxa"/>
            <w:vAlign w:val="bottom"/>
            <w:gridSpan w:val="7"/>
          </w:tcPr>
          <w:p>
            <w:pPr>
              <w:jc w:val="right"/>
              <w:spacing w:after="0" w:line="224"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bscript"/>
              </w:rPr>
              <w:t>​2022</w:t>
            </w:r>
            <w:r>
              <w:rPr>
                <w:rFonts w:ascii="Arial" w:cs="Arial" w:eastAsia="Arial" w:hAnsi="Arial"/>
                <w:sz w:val="14"/>
                <w:szCs w:val="14"/>
                <w:color w:val="auto"/>
              </w:rPr>
              <w:t>​​ ​​</w:t>
            </w:r>
            <w:r>
              <w:rPr>
                <w:rFonts w:ascii="Arial" w:cs="Arial" w:eastAsia="Arial" w:hAnsi="Arial"/>
                <w:sz w:val="25"/>
                <w:szCs w:val="25"/>
                <w:color w:val="auto"/>
                <w:vertAlign w:val="subscript"/>
              </w:rPr>
              <w:t>$ 877,119</w:t>
            </w:r>
            <w:r>
              <w:rPr>
                <w:rFonts w:ascii="Arial" w:cs="Arial" w:eastAsia="Arial" w:hAnsi="Arial"/>
                <w:sz w:val="8"/>
                <w:szCs w:val="8"/>
                <w:color w:val="auto"/>
              </w:rPr>
              <w:t>(5)</w:t>
            </w:r>
            <w:r>
              <w:rPr>
                <w:rFonts w:ascii="Arial" w:cs="Arial" w:eastAsia="Arial" w:hAnsi="Arial"/>
                <w:sz w:val="14"/>
                <w:szCs w:val="14"/>
                <w:color w:val="auto"/>
              </w:rPr>
              <w:t>​​ ​</w:t>
            </w:r>
          </w:p>
        </w:tc>
        <w:tc>
          <w:tcPr>
            <w:tcW w:w="1080" w:type="dxa"/>
            <w:vAlign w:val="bottom"/>
            <w:gridSpan w:val="3"/>
          </w:tcPr>
          <w:p>
            <w:pPr>
              <w:jc w:val="right"/>
              <w:spacing w:after="0" w:line="224"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$1,414,117 </w:t>
            </w:r>
            <w:r>
              <w:rPr>
                <w:rFonts w:ascii="Arial" w:cs="Arial" w:eastAsia="Arial" w:hAnsi="Arial"/>
                <w:sz w:val="25"/>
                <w:szCs w:val="25"/>
                <w:color w:val="auto"/>
                <w:vertAlign w:val="superscript"/>
              </w:rPr>
              <w:t>​​ ​</w:t>
            </w:r>
          </w:p>
        </w:tc>
        <w:tc>
          <w:tcPr>
            <w:tcW w:w="560" w:type="dxa"/>
            <w:vAlign w:val="bottom"/>
          </w:tcPr>
          <w:p>
            <w:pPr>
              <w:ind w:left="240"/>
              <w:spacing w:after="0" w:line="224"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bscript"/>
              </w:rPr>
              <w:t>​</w:t>
            </w:r>
          </w:p>
        </w:tc>
        <w:tc>
          <w:tcPr>
            <w:tcW w:w="6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 ​</w:t>
            </w:r>
          </w:p>
        </w:tc>
        <w:tc>
          <w:tcPr>
            <w:tcW w:w="1100" w:type="dxa"/>
            <w:vAlign w:val="bottom"/>
            <w:gridSpan w:val="4"/>
          </w:tcPr>
          <w:p>
            <w:pPr>
              <w:ind w:left="180"/>
              <w:spacing w:after="0" w:line="224"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$ 380,203</w:t>
            </w:r>
            <w:r>
              <w:rPr>
                <w:rFonts w:ascii="Arial" w:cs="Arial" w:eastAsia="Arial" w:hAnsi="Arial"/>
                <w:sz w:val="16"/>
                <w:szCs w:val="16"/>
                <w:color w:val="auto"/>
                <w:vertAlign w:val="superscript"/>
              </w:rPr>
              <w:t>(6)</w:t>
            </w:r>
          </w:p>
        </w:tc>
        <w:tc>
          <w:tcPr>
            <w:tcW w:w="320" w:type="dxa"/>
            <w:vAlign w:val="bottom"/>
            <w:gridSpan w:val="2"/>
          </w:tcPr>
          <w:p>
            <w:pPr>
              <w:jc w:val="right"/>
              <w:spacing w:after="0" w:line="224" w:lineRule="exact"/>
              <w:rPr>
                <w:sz w:val="20"/>
                <w:szCs w:val="20"/>
                <w:color w:val="auto"/>
              </w:rPr>
            </w:pPr>
            <w:r>
              <w:rPr>
                <w:rFonts w:ascii="Arial" w:cs="Arial" w:eastAsia="Arial" w:hAnsi="Arial"/>
                <w:sz w:val="14"/>
                <w:szCs w:val="14"/>
                <w:color w:val="auto"/>
              </w:rPr>
              <w:t>​​ ​ ​</w:t>
            </w:r>
            <w:r>
              <w:rPr>
                <w:rFonts w:ascii="Arial" w:cs="Arial" w:eastAsia="Arial" w:hAnsi="Arial"/>
                <w:sz w:val="25"/>
                <w:szCs w:val="25"/>
                <w:color w:val="auto"/>
                <w:vertAlign w:val="subscript"/>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w w:val="95"/>
              </w:rPr>
              <w:t>2,671,439</w:t>
            </w:r>
          </w:p>
        </w:tc>
        <w:tc>
          <w:tcPr>
            <w:tcW w:w="4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0"/>
        </w:trPr>
        <w:tc>
          <w:tcPr>
            <w:tcW w:w="18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3"/>
                <w:szCs w:val="13"/>
                <w:color w:val="auto"/>
              </w:rPr>
            </w:pPr>
          </w:p>
        </w:tc>
        <w:tc>
          <w:tcPr>
            <w:tcW w:w="520" w:type="dxa"/>
            <w:vAlign w:val="bottom"/>
            <w:gridSpan w:val="3"/>
          </w:tcPr>
          <w:p>
            <w:pPr>
              <w:jc w:val="right"/>
              <w:ind w:right="269"/>
              <w:spacing w:after="0" w:line="160" w:lineRule="exact"/>
              <w:rPr>
                <w:sz w:val="20"/>
                <w:szCs w:val="20"/>
                <w:color w:val="auto"/>
              </w:rPr>
            </w:pPr>
            <w:r>
              <w:rPr>
                <w:rFonts w:ascii="Arial" w:cs="Arial" w:eastAsia="Arial" w:hAnsi="Arial"/>
                <w:sz w:val="16"/>
                <w:szCs w:val="16"/>
                <w:color w:val="auto"/>
              </w:rPr>
              <w:t>​ ​​</w:t>
            </w:r>
          </w:p>
        </w:tc>
        <w:tc>
          <w:tcPr>
            <w:tcW w:w="32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6"/>
              </w:rPr>
              <w:t>382,814</w:t>
            </w:r>
          </w:p>
        </w:tc>
        <w:tc>
          <w:tcPr>
            <w:tcW w:w="12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10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200" w:type="dxa"/>
            <w:vAlign w:val="bottom"/>
          </w:tcPr>
          <w:p>
            <w:pPr>
              <w:jc w:val="right"/>
              <w:ind w:right="33"/>
              <w:spacing w:after="0" w:line="160" w:lineRule="exact"/>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241,066</w:t>
            </w:r>
          </w:p>
        </w:tc>
        <w:tc>
          <w:tcPr>
            <w:tcW w:w="160" w:type="dxa"/>
            <w:vAlign w:val="bottom"/>
          </w:tcPr>
          <w:p>
            <w:pPr>
              <w:jc w:val="right"/>
              <w:spacing w:after="0" w:line="160" w:lineRule="exact"/>
              <w:rPr>
                <w:sz w:val="20"/>
                <w:szCs w:val="20"/>
                <w:color w:val="auto"/>
              </w:rPr>
            </w:pPr>
            <w:r>
              <w:rPr>
                <w:rFonts w:ascii="Arial" w:cs="Arial" w:eastAsia="Arial" w:hAnsi="Arial"/>
                <w:sz w:val="16"/>
                <w:szCs w:val="16"/>
                <w:color w:val="auto"/>
              </w:rPr>
              <w:t>​​ ​</w:t>
            </w:r>
          </w:p>
        </w:tc>
        <w:tc>
          <w:tcPr>
            <w:tcW w:w="560" w:type="dxa"/>
            <w:vAlign w:val="bottom"/>
          </w:tcPr>
          <w:p>
            <w:pPr>
              <w:ind w:left="240"/>
              <w:spacing w:after="0" w:line="160" w:lineRule="exact"/>
              <w:rPr>
                <w:sz w:val="20"/>
                <w:szCs w:val="20"/>
                <w:color w:val="auto"/>
              </w:rPr>
            </w:pPr>
            <w:r>
              <w:rPr>
                <w:rFonts w:ascii="Arial" w:cs="Arial" w:eastAsia="Arial" w:hAnsi="Arial"/>
                <w:sz w:val="16"/>
                <w:szCs w:val="16"/>
                <w:color w:val="auto"/>
              </w:rPr>
              <w:t>​</w:t>
            </w:r>
          </w:p>
        </w:tc>
        <w:tc>
          <w:tcPr>
            <w:tcW w:w="600" w:type="dxa"/>
            <w:vAlign w:val="bottom"/>
          </w:tcPr>
          <w:p>
            <w:pPr>
              <w:spacing w:after="0"/>
              <w:rPr>
                <w:sz w:val="13"/>
                <w:szCs w:val="13"/>
                <w:color w:val="auto"/>
              </w:rPr>
            </w:pPr>
          </w:p>
        </w:tc>
        <w:tc>
          <w:tcPr>
            <w:tcW w:w="160" w:type="dxa"/>
            <w:vAlign w:val="bottom"/>
          </w:tcPr>
          <w:p>
            <w:pPr>
              <w:jc w:val="right"/>
              <w:spacing w:after="0" w:line="160" w:lineRule="exact"/>
              <w:rPr>
                <w:sz w:val="20"/>
                <w:szCs w:val="20"/>
                <w:color w:val="auto"/>
              </w:rPr>
            </w:pPr>
            <w:r>
              <w:rPr>
                <w:rFonts w:ascii="Arial" w:cs="Arial" w:eastAsia="Arial" w:hAnsi="Arial"/>
                <w:sz w:val="16"/>
                <w:szCs w:val="16"/>
                <w:color w:val="auto"/>
              </w:rPr>
              <w:t>​​ ​</w:t>
            </w:r>
          </w:p>
        </w:tc>
        <w:tc>
          <w:tcPr>
            <w:tcW w:w="280" w:type="dxa"/>
            <w:vAlign w:val="bottom"/>
          </w:tcPr>
          <w:p>
            <w:pPr>
              <w:ind w:left="180"/>
              <w:spacing w:after="0" w:line="160" w:lineRule="exact"/>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32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 ​ ​</w:t>
            </w: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color w:val="auto"/>
              </w:rPr>
              <w:t>764,263</w:t>
            </w:r>
          </w:p>
        </w:tc>
        <w:tc>
          <w:tcPr>
            <w:tcW w:w="40" w:type="dxa"/>
            <w:vAlign w:val="bottom"/>
          </w:tcPr>
          <w:p>
            <w:pPr>
              <w:jc w:val="right"/>
              <w:spacing w:after="0" w:line="160"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92"/>
        </w:trPr>
        <w:tc>
          <w:tcPr>
            <w:tcW w:w="180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Michelle D. Esterman</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jc w:val="right"/>
              <w:spacing w:after="0" w:line="92" w:lineRule="exact"/>
              <w:rPr>
                <w:sz w:val="20"/>
                <w:szCs w:val="20"/>
                <w:color w:val="auto"/>
              </w:rPr>
            </w:pPr>
            <w:r>
              <w:rPr>
                <w:rFonts w:ascii="Arial" w:cs="Arial" w:eastAsia="Arial" w:hAnsi="Arial"/>
                <w:sz w:val="10"/>
                <w:szCs w:val="10"/>
                <w:color w:val="auto"/>
              </w:rPr>
              <w:t>​2021</w:t>
            </w:r>
          </w:p>
        </w:tc>
        <w:tc>
          <w:tcPr>
            <w:tcW w:w="320" w:type="dxa"/>
            <w:vAlign w:val="bottom"/>
            <w:gridSpan w:val="2"/>
          </w:tcPr>
          <w:p>
            <w:pPr>
              <w:jc w:val="right"/>
              <w:spacing w:after="0" w:line="92" w:lineRule="exact"/>
              <w:rPr>
                <w:sz w:val="20"/>
                <w:szCs w:val="20"/>
                <w:color w:val="auto"/>
              </w:rPr>
            </w:pPr>
            <w:r>
              <w:rPr>
                <w:rFonts w:ascii="Arial" w:cs="Arial" w:eastAsia="Arial" w:hAnsi="Arial"/>
                <w:sz w:val="10"/>
                <w:szCs w:val="10"/>
                <w:color w:val="auto"/>
              </w:rPr>
              <w:t>$</w:t>
            </w: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jc w:val="right"/>
              <w:spacing w:after="0" w:line="92" w:lineRule="exact"/>
              <w:rPr>
                <w:sz w:val="20"/>
                <w:szCs w:val="20"/>
                <w:color w:val="auto"/>
              </w:rPr>
            </w:pPr>
            <w:r>
              <w:rPr>
                <w:rFonts w:ascii="Arial" w:cs="Arial" w:eastAsia="Arial" w:hAnsi="Arial"/>
                <w:sz w:val="10"/>
                <w:szCs w:val="10"/>
                <w:color w:val="auto"/>
              </w:rPr>
              <w:t>$</w:t>
            </w: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tcPr>
          <w:p>
            <w:pPr>
              <w:jc w:val="right"/>
              <w:ind w:right="161"/>
              <w:spacing w:after="0" w:line="92" w:lineRule="exact"/>
              <w:rPr>
                <w:sz w:val="20"/>
                <w:szCs w:val="20"/>
                <w:color w:val="auto"/>
              </w:rPr>
            </w:pPr>
            <w:r>
              <w:rPr>
                <w:rFonts w:ascii="Arial" w:cs="Arial" w:eastAsia="Arial" w:hAnsi="Arial"/>
                <w:sz w:val="10"/>
                <w:szCs w:val="10"/>
                <w:color w:val="auto"/>
              </w:rPr>
              <w:t>$140,383</w:t>
            </w: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gridSpan w:val="2"/>
          </w:tcPr>
          <w:p>
            <w:pPr>
              <w:jc w:val="right"/>
              <w:spacing w:after="0" w:line="92" w:lineRule="exact"/>
              <w:rPr>
                <w:sz w:val="20"/>
                <w:szCs w:val="20"/>
                <w:color w:val="auto"/>
              </w:rPr>
            </w:pPr>
            <w:r>
              <w:rPr>
                <w:rFonts w:ascii="Arial" w:cs="Arial" w:eastAsia="Arial" w:hAnsi="Arial"/>
                <w:sz w:val="10"/>
                <w:szCs w:val="10"/>
                <w:color w:val="auto"/>
              </w:rPr>
              <w:t>$</w:t>
            </w:r>
          </w:p>
        </w:tc>
        <w:tc>
          <w:tcPr>
            <w:tcW w:w="7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180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c>
          <w:tcPr>
            <w:tcW w:w="80" w:type="dxa"/>
            <w:vAlign w:val="bottom"/>
          </w:tcPr>
          <w:p>
            <w:pPr>
              <w:spacing w:after="0"/>
              <w:rPr>
                <w:sz w:val="23"/>
                <w:szCs w:val="23"/>
                <w:color w:val="auto"/>
              </w:rPr>
            </w:pPr>
          </w:p>
        </w:tc>
        <w:tc>
          <w:tcPr>
            <w:tcW w:w="760" w:type="dxa"/>
            <w:vAlign w:val="bottom"/>
            <w:gridSpan w:val="4"/>
          </w:tcPr>
          <w:p>
            <w:pPr>
              <w:jc w:val="right"/>
              <w:spacing w:after="0" w:line="265"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​2022</w:t>
            </w:r>
            <w:r>
              <w:rPr>
                <w:rFonts w:ascii="Arial" w:cs="Arial" w:eastAsia="Arial" w:hAnsi="Arial"/>
                <w:sz w:val="16"/>
                <w:szCs w:val="16"/>
                <w:color w:val="auto"/>
              </w:rPr>
              <w:t>​​ ​​</w:t>
            </w:r>
            <w:r>
              <w:rPr>
                <w:rFonts w:ascii="Arial" w:cs="Arial" w:eastAsia="Arial" w:hAnsi="Arial"/>
                <w:sz w:val="30"/>
                <w:szCs w:val="30"/>
                <w:color w:val="auto"/>
                <w:vertAlign w:val="subscript"/>
              </w:rPr>
              <w:t>$</w:t>
            </w:r>
          </w:p>
        </w:tc>
        <w:tc>
          <w:tcPr>
            <w:tcW w:w="820" w:type="dxa"/>
            <w:vAlign w:val="bottom"/>
            <w:gridSpan w:val="3"/>
          </w:tcPr>
          <w:p>
            <w:pPr>
              <w:jc w:val="right"/>
              <w:spacing w:after="0" w:line="265" w:lineRule="exact"/>
              <w:rPr>
                <w:sz w:val="20"/>
                <w:szCs w:val="20"/>
                <w:color w:val="auto"/>
              </w:rPr>
            </w:pPr>
            <w:r>
              <w:rPr>
                <w:rFonts w:ascii="Arial" w:cs="Arial" w:eastAsia="Arial" w:hAnsi="Arial"/>
                <w:sz w:val="30"/>
                <w:szCs w:val="30"/>
                <w:color w:val="auto"/>
                <w:w w:val="87"/>
                <w:vertAlign w:val="subscript"/>
              </w:rPr>
              <w:t>430,500</w:t>
            </w:r>
            <w:r>
              <w:rPr>
                <w:rFonts w:ascii="Arial" w:cs="Arial" w:eastAsia="Arial" w:hAnsi="Arial"/>
                <w:sz w:val="10"/>
                <w:szCs w:val="10"/>
                <w:color w:val="auto"/>
                <w:w w:val="87"/>
              </w:rPr>
              <w:t>(7)</w:t>
            </w:r>
            <w:r>
              <w:rPr>
                <w:rFonts w:ascii="Arial" w:cs="Arial" w:eastAsia="Arial" w:hAnsi="Arial"/>
                <w:sz w:val="15"/>
                <w:szCs w:val="15"/>
                <w:color w:val="auto"/>
                <w:w w:val="87"/>
              </w:rPr>
              <w:t>​​ ​</w:t>
            </w:r>
          </w:p>
        </w:tc>
        <w:tc>
          <w:tcPr>
            <w:tcW w:w="200" w:type="dxa"/>
            <w:vAlign w:val="bottom"/>
          </w:tcPr>
          <w:p>
            <w:pPr>
              <w:jc w:val="right"/>
              <w:spacing w:after="0" w:line="265"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333,705</w:t>
            </w:r>
          </w:p>
        </w:tc>
        <w:tc>
          <w:tcPr>
            <w:tcW w:w="16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40"/>
              <w:spacing w:after="0" w:line="265"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6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gridSpan w:val="2"/>
          </w:tcPr>
          <w:p>
            <w:pPr>
              <w:ind w:left="180"/>
              <w:spacing w:after="0" w:line="265"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320" w:type="dxa"/>
            <w:vAlign w:val="bottom"/>
            <w:gridSpan w:val="2"/>
          </w:tcPr>
          <w:p>
            <w:pPr>
              <w:jc w:val="right"/>
              <w:spacing w:after="0" w:line="265"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bscript"/>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764,205</w:t>
            </w:r>
          </w:p>
        </w:tc>
        <w:tc>
          <w:tcPr>
            <w:tcW w:w="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line="160"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2"/>
                <w:szCs w:val="2"/>
                <w:color w:val="auto"/>
              </w:rPr>
            </w:pPr>
          </w:p>
        </w:tc>
        <w:tc>
          <w:tcPr>
            <w:tcW w:w="80" w:type="dxa"/>
            <w:vAlign w:val="bottom"/>
            <w:vMerge w:val="restart"/>
          </w:tcPr>
          <w:p>
            <w:pPr>
              <w:ind w:left="40"/>
              <w:spacing w:after="0" w:line="160" w:lineRule="exact"/>
              <w:rPr>
                <w:sz w:val="20"/>
                <w:szCs w:val="20"/>
                <w:color w:val="auto"/>
              </w:rPr>
            </w:pPr>
            <w:r>
              <w:rPr>
                <w:rFonts w:ascii="Arial" w:cs="Arial" w:eastAsia="Arial" w:hAnsi="Arial"/>
                <w:sz w:val="16"/>
                <w:szCs w:val="16"/>
                <w:color w:val="auto"/>
              </w:rPr>
              <w:t>​</w:t>
            </w:r>
          </w:p>
        </w:tc>
        <w:tc>
          <w:tcPr>
            <w:tcW w:w="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32"/>
        </w:trPr>
        <w:tc>
          <w:tcPr>
            <w:tcW w:w="18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40" w:type="dxa"/>
            <w:vAlign w:val="bottom"/>
            <w:gridSpan w:val="2"/>
            <w:shd w:val="clear" w:color="auto" w:fill="CCEEFF"/>
          </w:tcPr>
          <w:p>
            <w:pPr>
              <w:jc w:val="right"/>
              <w:ind w:right="269"/>
              <w:spacing w:after="0" w:line="133" w:lineRule="exact"/>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5"/>
                <w:szCs w:val="15"/>
                <w:color w:val="auto"/>
              </w:rPr>
              <w:t>​​ ​​</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460,537</w:t>
            </w:r>
          </w:p>
        </w:tc>
        <w:tc>
          <w:tcPr>
            <w:tcW w:w="120" w:type="dxa"/>
            <w:vAlign w:val="bottom"/>
            <w:shd w:val="clear" w:color="auto" w:fill="CCEEFF"/>
          </w:tcPr>
          <w:p>
            <w:pPr>
              <w:jc w:val="right"/>
              <w:spacing w:after="0" w:line="133"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33"/>
              <w:spacing w:after="0" w:line="133" w:lineRule="exact"/>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158,134</w:t>
            </w:r>
          </w:p>
        </w:tc>
        <w:tc>
          <w:tcPr>
            <w:tcW w:w="160" w:type="dxa"/>
            <w:vAlign w:val="bottom"/>
            <w:shd w:val="clear" w:color="auto" w:fill="CCEEFF"/>
          </w:tcPr>
          <w:p>
            <w:pPr>
              <w:jc w:val="right"/>
              <w:spacing w:after="0" w:line="133" w:lineRule="exact"/>
              <w:rPr>
                <w:sz w:val="20"/>
                <w:szCs w:val="20"/>
                <w:color w:val="auto"/>
              </w:rPr>
            </w:pPr>
            <w:r>
              <w:rPr>
                <w:rFonts w:ascii="Arial" w:cs="Arial" w:eastAsia="Arial" w:hAnsi="Arial"/>
                <w:sz w:val="15"/>
                <w:szCs w:val="15"/>
                <w:color w:val="auto"/>
              </w:rPr>
              <w:t>​​ ​</w:t>
            </w:r>
          </w:p>
        </w:tc>
        <w:tc>
          <w:tcPr>
            <w:tcW w:w="560" w:type="dxa"/>
            <w:vAlign w:val="bottom"/>
            <w:shd w:val="clear" w:color="auto" w:fill="CCEEFF"/>
          </w:tcPr>
          <w:p>
            <w:pPr>
              <w:ind w:left="240"/>
              <w:spacing w:after="0" w:line="133" w:lineRule="exact"/>
              <w:rPr>
                <w:sz w:val="20"/>
                <w:szCs w:val="20"/>
                <w:color w:val="auto"/>
              </w:rPr>
            </w:pPr>
            <w:r>
              <w:rPr>
                <w:rFonts w:ascii="Arial" w:cs="Arial" w:eastAsia="Arial" w:hAnsi="Arial"/>
                <w:sz w:val="15"/>
                <w:szCs w:val="15"/>
                <w:color w:val="auto"/>
              </w:rPr>
              <w:t>​</w:t>
            </w:r>
          </w:p>
        </w:tc>
        <w:tc>
          <w:tcPr>
            <w:tcW w:w="6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jc w:val="right"/>
              <w:spacing w:after="0" w:line="133" w:lineRule="exact"/>
              <w:rPr>
                <w:sz w:val="20"/>
                <w:szCs w:val="20"/>
                <w:color w:val="auto"/>
              </w:rPr>
            </w:pPr>
            <w:r>
              <w:rPr>
                <w:rFonts w:ascii="Arial" w:cs="Arial" w:eastAsia="Arial" w:hAnsi="Arial"/>
                <w:sz w:val="15"/>
                <w:szCs w:val="15"/>
                <w:color w:val="auto"/>
              </w:rPr>
              <w:t>​​ ​</w:t>
            </w:r>
          </w:p>
        </w:tc>
        <w:tc>
          <w:tcPr>
            <w:tcW w:w="280" w:type="dxa"/>
            <w:vAlign w:val="bottom"/>
            <w:shd w:val="clear" w:color="auto" w:fill="CCEEFF"/>
          </w:tcPr>
          <w:p>
            <w:pPr>
              <w:ind w:left="180"/>
              <w:spacing w:after="0" w:line="133"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85,811</w:t>
            </w:r>
          </w:p>
        </w:tc>
        <w:tc>
          <w:tcPr>
            <w:tcW w:w="220" w:type="dxa"/>
            <w:vAlign w:val="bottom"/>
            <w:tcBorders>
              <w:right w:val="single" w:sz="8" w:color="CCEEFF"/>
            </w:tcBorders>
            <w:shd w:val="clear" w:color="auto" w:fill="CCEEFF"/>
          </w:tcPr>
          <w:p>
            <w:pPr>
              <w:spacing w:after="0"/>
              <w:rPr>
                <w:sz w:val="11"/>
                <w:szCs w:val="11"/>
                <w:color w:val="auto"/>
              </w:rPr>
            </w:pPr>
          </w:p>
        </w:tc>
        <w:tc>
          <w:tcPr>
            <w:tcW w:w="3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5"/>
                <w:szCs w:val="15"/>
                <w:color w:val="auto"/>
              </w:rPr>
              <w:t>​​ ​ ​</w:t>
            </w:r>
          </w:p>
        </w:tc>
        <w:tc>
          <w:tcPr>
            <w:tcW w:w="78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828,450</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Gregory J. Ritts</w:t>
            </w:r>
          </w:p>
        </w:tc>
        <w:tc>
          <w:tcPr>
            <w:tcW w:w="80" w:type="dxa"/>
            <w:vAlign w:val="bottom"/>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​2021</w:t>
            </w:r>
          </w:p>
        </w:tc>
        <w:tc>
          <w:tcPr>
            <w:tcW w:w="320" w:type="dxa"/>
            <w:vAlign w:val="bottom"/>
            <w:tcBorders>
              <w:bottom w:val="single" w:sz="8" w:color="CCEEFF"/>
            </w:tcBorders>
            <w:gridSpan w:val="2"/>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right w:val="single" w:sz="8" w:color="CCEEFF"/>
            </w:tcBorders>
            <w:gridSpan w:val="2"/>
            <w:shd w:val="clear" w:color="auto" w:fill="CCEEFF"/>
          </w:tcPr>
          <w:p>
            <w:pPr>
              <w:jc w:val="right"/>
              <w:ind w:right="161"/>
              <w:spacing w:after="0" w:line="92" w:lineRule="exact"/>
              <w:rPr>
                <w:sz w:val="20"/>
                <w:szCs w:val="20"/>
                <w:color w:val="auto"/>
              </w:rPr>
            </w:pPr>
            <w:r>
              <w:rPr>
                <w:rFonts w:ascii="Arial" w:cs="Arial" w:eastAsia="Arial" w:hAnsi="Arial"/>
                <w:sz w:val="10"/>
                <w:szCs w:val="10"/>
                <w:color w:val="auto"/>
              </w:rPr>
              <w:t>$123,968</w:t>
            </w:r>
          </w:p>
        </w:tc>
        <w:tc>
          <w:tcPr>
            <w:tcW w:w="1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ind w:left="200"/>
              <w:spacing w:after="0" w:line="92" w:lineRule="exact"/>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78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00" w:type="dxa"/>
            <w:vAlign w:val="bottom"/>
            <w:gridSpan w:val="2"/>
          </w:tcPr>
          <w:p>
            <w:pPr>
              <w:spacing w:after="0" w:line="120" w:lineRule="exact"/>
              <w:rPr>
                <w:sz w:val="20"/>
                <w:szCs w:val="20"/>
                <w:color w:val="auto"/>
              </w:rPr>
            </w:pPr>
            <w:r>
              <w:rPr>
                <w:rFonts w:ascii="Arial" w:cs="Arial" w:eastAsia="Arial" w:hAnsi="Arial"/>
                <w:sz w:val="12"/>
                <w:szCs w:val="12"/>
                <w:color w:val="auto"/>
              </w:rPr>
              <w:t>Chief Legal and</w:t>
            </w:r>
          </w:p>
        </w:tc>
        <w:tc>
          <w:tcPr>
            <w:tcW w:w="80" w:type="dxa"/>
            <w:vAlign w:val="bottom"/>
          </w:tcPr>
          <w:p>
            <w:pPr>
              <w:spacing w:after="0"/>
              <w:rPr>
                <w:sz w:val="10"/>
                <w:szCs w:val="10"/>
                <w:color w:val="auto"/>
              </w:rPr>
            </w:pPr>
          </w:p>
        </w:tc>
        <w:tc>
          <w:tcPr>
            <w:tcW w:w="760" w:type="dxa"/>
            <w:vAlign w:val="bottom"/>
            <w:gridSpan w:val="4"/>
            <w:vMerge w:val="restart"/>
          </w:tcPr>
          <w:p>
            <w:pPr>
              <w:jc w:val="right"/>
              <w:spacing w:after="0" w:line="292" w:lineRule="exact"/>
              <w:rPr>
                <w:sz w:val="20"/>
                <w:szCs w:val="20"/>
                <w:color w:val="auto"/>
              </w:rPr>
            </w:pPr>
            <w:r>
              <w:rPr>
                <w:rFonts w:ascii="Arial" w:cs="Arial" w:eastAsia="Arial" w:hAnsi="Arial"/>
                <w:sz w:val="16"/>
                <w:szCs w:val="16"/>
                <w:color w:val="auto"/>
              </w:rPr>
              <w:t>​​</w:t>
            </w:r>
            <w:r>
              <w:rPr>
                <w:rFonts w:ascii="Arial" w:cs="Arial" w:eastAsia="Arial" w:hAnsi="Arial"/>
                <w:sz w:val="31"/>
                <w:szCs w:val="31"/>
                <w:color w:val="auto"/>
                <w:vertAlign w:val="subscript"/>
              </w:rPr>
              <w:t>​2022</w:t>
            </w:r>
            <w:r>
              <w:rPr>
                <w:rFonts w:ascii="Arial" w:cs="Arial" w:eastAsia="Arial" w:hAnsi="Arial"/>
                <w:sz w:val="16"/>
                <w:szCs w:val="16"/>
                <w:color w:val="auto"/>
              </w:rPr>
              <w:t>​​ ​​</w:t>
            </w:r>
            <w:r>
              <w:rPr>
                <w:rFonts w:ascii="Arial" w:cs="Arial" w:eastAsia="Arial" w:hAnsi="Arial"/>
                <w:sz w:val="31"/>
                <w:szCs w:val="31"/>
                <w:color w:val="auto"/>
                <w:vertAlign w:val="subscript"/>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6"/>
              </w:rPr>
              <w:t>477,915</w:t>
            </w:r>
          </w:p>
        </w:tc>
        <w:tc>
          <w:tcPr>
            <w:tcW w:w="120" w:type="dxa"/>
            <w:vAlign w:val="bottom"/>
          </w:tcPr>
          <w:p>
            <w:pPr>
              <w:jc w:val="right"/>
              <w:spacing w:after="0"/>
              <w:rPr>
                <w:sz w:val="20"/>
                <w:szCs w:val="20"/>
                <w:color w:val="auto"/>
              </w:rPr>
            </w:pPr>
            <w:r>
              <w:rPr>
                <w:rFonts w:ascii="Arial" w:cs="Arial" w:eastAsia="Arial" w:hAnsi="Arial"/>
                <w:sz w:val="8"/>
                <w:szCs w:val="8"/>
                <w:color w:val="auto"/>
                <w:w w:val="81"/>
              </w:rPr>
              <w:t>(8)</w:t>
            </w:r>
          </w:p>
        </w:tc>
        <w:tc>
          <w:tcPr>
            <w:tcW w:w="100" w:type="dxa"/>
            <w:vAlign w:val="bottom"/>
          </w:tcPr>
          <w:p>
            <w:pPr>
              <w:spacing w:after="0"/>
              <w:rPr>
                <w:sz w:val="10"/>
                <w:szCs w:val="10"/>
                <w:color w:val="auto"/>
              </w:rPr>
            </w:pPr>
          </w:p>
        </w:tc>
        <w:tc>
          <w:tcPr>
            <w:tcW w:w="200" w:type="dxa"/>
            <w:vAlign w:val="bottom"/>
            <w:vMerge w:val="restart"/>
          </w:tcPr>
          <w:p>
            <w:pPr>
              <w:jc w:val="right"/>
              <w:spacing w:after="0" w:line="292"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316,185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560" w:type="dxa"/>
            <w:vAlign w:val="bottom"/>
            <w:vMerge w:val="restart"/>
          </w:tcPr>
          <w:p>
            <w:pPr>
              <w:ind w:left="240"/>
              <w:spacing w:after="0" w:line="292"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 ​</w:t>
            </w:r>
          </w:p>
        </w:tc>
        <w:tc>
          <w:tcPr>
            <w:tcW w:w="600" w:type="dxa"/>
            <w:vAlign w:val="bottom"/>
            <w:vMerge w:val="restart"/>
          </w:tcPr>
          <w:p>
            <w:pPr>
              <w:jc w:val="right"/>
              <w:ind w:right="161"/>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280" w:type="dxa"/>
            <w:vAlign w:val="bottom"/>
            <w:vMerge w:val="restart"/>
          </w:tcPr>
          <w:p>
            <w:pPr>
              <w:ind w:left="180"/>
              <w:spacing w:after="0" w:line="292" w:lineRule="exact"/>
              <w:rPr>
                <w:sz w:val="20"/>
                <w:szCs w:val="20"/>
                <w:color w:val="auto"/>
              </w:rPr>
            </w:pPr>
            <w:r>
              <w:rPr>
                <w:rFonts w:ascii="Arial" w:cs="Arial" w:eastAsia="Arial" w:hAnsi="Arial"/>
                <w:sz w:val="31"/>
                <w:szCs w:val="31"/>
                <w:color w:val="auto"/>
                <w:w w:val="89"/>
                <w:vertAlign w:val="superscript"/>
              </w:rPr>
              <w:t>​</w:t>
            </w:r>
            <w:r>
              <w:rPr>
                <w:rFonts w:ascii="Arial" w:cs="Arial" w:eastAsia="Arial" w:hAnsi="Arial"/>
                <w:sz w:val="16"/>
                <w:szCs w:val="16"/>
                <w:color w:val="auto"/>
                <w:w w:val="89"/>
              </w:rPr>
              <w:t>$</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92,075</w:t>
            </w:r>
          </w:p>
        </w:tc>
        <w:tc>
          <w:tcPr>
            <w:tcW w:w="220" w:type="dxa"/>
            <w:vAlign w:val="bottom"/>
          </w:tcPr>
          <w:p>
            <w:pPr>
              <w:jc w:val="right"/>
              <w:ind w:right="51"/>
              <w:spacing w:after="0"/>
              <w:rPr>
                <w:sz w:val="20"/>
                <w:szCs w:val="20"/>
                <w:color w:val="auto"/>
              </w:rPr>
            </w:pPr>
            <w:r>
              <w:rPr>
                <w:rFonts w:ascii="Arial" w:cs="Arial" w:eastAsia="Arial" w:hAnsi="Arial"/>
                <w:sz w:val="10"/>
                <w:szCs w:val="10"/>
                <w:color w:val="auto"/>
                <w:w w:val="81"/>
              </w:rPr>
              <w:t>(9)</w:t>
            </w:r>
          </w:p>
        </w:tc>
        <w:tc>
          <w:tcPr>
            <w:tcW w:w="320" w:type="dxa"/>
            <w:vAlign w:val="bottom"/>
            <w:gridSpan w:val="2"/>
            <w:vMerge w:val="restart"/>
          </w:tcPr>
          <w:p>
            <w:pPr>
              <w:jc w:val="right"/>
              <w:spacing w:after="0" w:line="292" w:lineRule="exact"/>
              <w:rPr>
                <w:sz w:val="20"/>
                <w:szCs w:val="20"/>
                <w:color w:val="auto"/>
              </w:rPr>
            </w:pPr>
            <w:r>
              <w:rPr>
                <w:rFonts w:ascii="Arial" w:cs="Arial" w:eastAsia="Arial" w:hAnsi="Arial"/>
                <w:sz w:val="16"/>
                <w:szCs w:val="16"/>
                <w:color w:val="auto"/>
              </w:rPr>
              <w:t>​​ ​ ​</w:t>
            </w:r>
            <w:r>
              <w:rPr>
                <w:rFonts w:ascii="Arial" w:cs="Arial" w:eastAsia="Arial" w:hAnsi="Arial"/>
                <w:sz w:val="31"/>
                <w:szCs w:val="31"/>
                <w:color w:val="auto"/>
                <w:vertAlign w:val="subscript"/>
              </w:rPr>
              <w:t>$</w:t>
            </w: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color w:val="auto"/>
              </w:rPr>
              <w:t>886,175</w:t>
            </w:r>
          </w:p>
        </w:tc>
        <w:tc>
          <w:tcPr>
            <w:tcW w:w="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1800" w:type="dxa"/>
            <w:vAlign w:val="bottom"/>
            <w:gridSpan w:val="2"/>
            <w:vMerge w:val="restart"/>
          </w:tcPr>
          <w:p>
            <w:pPr>
              <w:spacing w:after="0"/>
              <w:rPr>
                <w:sz w:val="20"/>
                <w:szCs w:val="20"/>
                <w:color w:val="auto"/>
              </w:rPr>
            </w:pPr>
            <w:r>
              <w:rPr>
                <w:rFonts w:ascii="Arial" w:cs="Arial" w:eastAsia="Arial" w:hAnsi="Arial"/>
                <w:sz w:val="16"/>
                <w:szCs w:val="16"/>
                <w:color w:val="auto"/>
              </w:rPr>
              <w:t>Compliance</w:t>
            </w:r>
          </w:p>
        </w:tc>
        <w:tc>
          <w:tcPr>
            <w:tcW w:w="8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 ​</w:t>
            </w:r>
          </w:p>
        </w:tc>
        <w:tc>
          <w:tcPr>
            <w:tcW w:w="2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-1056640</wp:posOffset>
            </wp:positionV>
            <wp:extent cx="5109845" cy="11347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09845" cy="1134745"/>
                    </a:xfrm>
                    <a:prstGeom prst="rect">
                      <a:avLst/>
                    </a:prstGeom>
                    <a:noFill/>
                  </pic:spPr>
                </pic:pic>
              </a:graphicData>
            </a:graphic>
          </wp:anchor>
        </w:drawing>
      </w:r>
    </w:p>
    <w:p>
      <w:pPr>
        <w:spacing w:after="0" w:line="137" w:lineRule="exact"/>
        <w:rPr>
          <w:sz w:val="20"/>
          <w:szCs w:val="20"/>
          <w:color w:val="auto"/>
        </w:rPr>
      </w:pPr>
    </w:p>
    <w:p>
      <w:pPr>
        <w:ind w:left="1580" w:hanging="359"/>
        <w:spacing w:after="0"/>
        <w:tabs>
          <w:tab w:leader="none" w:pos="1580" w:val="left"/>
        </w:tabs>
        <w:numPr>
          <w:ilvl w:val="0"/>
          <w:numId w:val="38"/>
        </w:numPr>
        <w:rPr>
          <w:rFonts w:ascii="Arial" w:cs="Arial" w:eastAsia="Arial" w:hAnsi="Arial"/>
          <w:sz w:val="26"/>
          <w:szCs w:val="26"/>
          <w:color w:val="auto"/>
          <w:vertAlign w:val="superscript"/>
        </w:rPr>
      </w:pPr>
      <w:r>
        <w:rPr>
          <w:rFonts w:ascii="Arial" w:cs="Arial" w:eastAsia="Arial" w:hAnsi="Arial"/>
          <w:sz w:val="18"/>
          <w:szCs w:val="18"/>
          <w:color w:val="auto"/>
        </w:rPr>
        <w:t>Represents amounts earned in corresponding year.</w:t>
      </w:r>
    </w:p>
    <w:p>
      <w:pPr>
        <w:spacing w:after="0" w:line="125" w:lineRule="exact"/>
        <w:rPr>
          <w:rFonts w:ascii="Arial" w:cs="Arial" w:eastAsia="Arial" w:hAnsi="Arial"/>
          <w:sz w:val="26"/>
          <w:szCs w:val="26"/>
          <w:color w:val="auto"/>
          <w:vertAlign w:val="superscript"/>
        </w:rPr>
      </w:pPr>
    </w:p>
    <w:p>
      <w:pPr>
        <w:ind w:left="1580" w:right="599" w:hanging="359"/>
        <w:spacing w:after="0" w:line="226" w:lineRule="auto"/>
        <w:tabs>
          <w:tab w:leader="none" w:pos="1580" w:val="left"/>
        </w:tabs>
        <w:numPr>
          <w:ilvl w:val="0"/>
          <w:numId w:val="38"/>
        </w:numPr>
        <w:rPr>
          <w:rFonts w:ascii="Arial" w:cs="Arial" w:eastAsia="Arial" w:hAnsi="Arial"/>
          <w:sz w:val="26"/>
          <w:szCs w:val="26"/>
          <w:color w:val="auto"/>
          <w:vertAlign w:val="superscript"/>
        </w:rPr>
      </w:pPr>
      <w:r>
        <w:rPr>
          <w:rFonts w:ascii="Arial" w:cs="Arial" w:eastAsia="Arial" w:hAnsi="Arial"/>
          <w:sz w:val="18"/>
          <w:szCs w:val="18"/>
          <w:color w:val="auto"/>
        </w:rPr>
        <w:t>Represents the grant date fair value in accordance with Financial Accounting Standards Board Accounting Standards Codification Topic 718 of the restricted share awards granted during each year presented. The value was determined by using the grant date fair value per award multiplied by the shares or RSUs granted, as per the grant date.</w:t>
      </w:r>
    </w:p>
    <w:p>
      <w:pPr>
        <w:spacing w:after="0" w:line="33" w:lineRule="exact"/>
        <w:rPr>
          <w:rFonts w:ascii="Arial" w:cs="Arial" w:eastAsia="Arial" w:hAnsi="Arial"/>
          <w:sz w:val="26"/>
          <w:szCs w:val="26"/>
          <w:color w:val="auto"/>
          <w:vertAlign w:val="superscript"/>
        </w:rPr>
      </w:pPr>
    </w:p>
    <w:p>
      <w:pPr>
        <w:ind w:left="1580" w:right="579" w:hanging="359"/>
        <w:spacing w:after="0" w:line="210" w:lineRule="auto"/>
        <w:tabs>
          <w:tab w:leader="none" w:pos="1580" w:val="left"/>
        </w:tabs>
        <w:numPr>
          <w:ilvl w:val="0"/>
          <w:numId w:val="38"/>
        </w:numPr>
        <w:rPr>
          <w:rFonts w:ascii="Arial" w:cs="Arial" w:eastAsia="Arial" w:hAnsi="Arial"/>
          <w:sz w:val="26"/>
          <w:szCs w:val="26"/>
          <w:color w:val="auto"/>
          <w:vertAlign w:val="superscript"/>
        </w:rPr>
      </w:pPr>
      <w:r>
        <w:rPr>
          <w:rFonts w:ascii="Arial" w:cs="Arial" w:eastAsia="Arial" w:hAnsi="Arial"/>
          <w:sz w:val="18"/>
          <w:szCs w:val="18"/>
          <w:color w:val="auto"/>
        </w:rPr>
        <w:t>Consists of the cash portion of annual incentive compensation related to performance in the year indicated and awarded in the first quarter of the following year.</w:t>
      </w:r>
    </w:p>
    <w:p>
      <w:pPr>
        <w:spacing w:after="0" w:line="20" w:lineRule="exact"/>
        <w:rPr>
          <w:rFonts w:ascii="Arial" w:cs="Arial" w:eastAsia="Arial" w:hAnsi="Arial"/>
          <w:sz w:val="26"/>
          <w:szCs w:val="26"/>
          <w:color w:val="auto"/>
          <w:vertAlign w:val="superscript"/>
        </w:rPr>
      </w:pPr>
    </w:p>
    <w:p>
      <w:pPr>
        <w:ind w:left="1580" w:right="539" w:hanging="359"/>
        <w:spacing w:after="0" w:line="220" w:lineRule="auto"/>
        <w:tabs>
          <w:tab w:leader="none" w:pos="1580" w:val="left"/>
        </w:tabs>
        <w:numPr>
          <w:ilvl w:val="0"/>
          <w:numId w:val="38"/>
        </w:numPr>
        <w:rPr>
          <w:rFonts w:ascii="Arial" w:cs="Arial" w:eastAsia="Arial" w:hAnsi="Arial"/>
          <w:sz w:val="26"/>
          <w:szCs w:val="26"/>
          <w:color w:val="auto"/>
          <w:vertAlign w:val="superscript"/>
        </w:rPr>
      </w:pPr>
      <w:r>
        <w:rPr>
          <w:rFonts w:ascii="Arial" w:cs="Arial" w:eastAsia="Arial" w:hAnsi="Arial"/>
          <w:sz w:val="18"/>
          <w:szCs w:val="18"/>
          <w:color w:val="auto"/>
        </w:rPr>
        <w:t>Consists of payments made to each Named Executive Officer or on their behalf pursuant to their respective employment agreements and relocation/expatriate plans, as detailed in the applicable footnotes.</w:t>
      </w:r>
    </w:p>
    <w:p>
      <w:pPr>
        <w:spacing w:after="0" w:line="21" w:lineRule="exact"/>
        <w:rPr>
          <w:rFonts w:ascii="Arial" w:cs="Arial" w:eastAsia="Arial" w:hAnsi="Arial"/>
          <w:sz w:val="26"/>
          <w:szCs w:val="26"/>
          <w:color w:val="auto"/>
          <w:vertAlign w:val="superscript"/>
        </w:rPr>
      </w:pPr>
    </w:p>
    <w:p>
      <w:pPr>
        <w:ind w:left="1580" w:right="819" w:hanging="359"/>
        <w:spacing w:after="0" w:line="232" w:lineRule="auto"/>
        <w:tabs>
          <w:tab w:leader="none" w:pos="1580" w:val="left"/>
        </w:tabs>
        <w:numPr>
          <w:ilvl w:val="0"/>
          <w:numId w:val="38"/>
        </w:numPr>
        <w:rPr>
          <w:rFonts w:ascii="Arial" w:cs="Arial" w:eastAsia="Arial" w:hAnsi="Arial"/>
          <w:sz w:val="26"/>
          <w:szCs w:val="26"/>
          <w:color w:val="auto"/>
          <w:vertAlign w:val="superscript"/>
        </w:rPr>
      </w:pPr>
      <w:r>
        <w:rPr>
          <w:rFonts w:ascii="Arial" w:cs="Arial" w:eastAsia="Arial" w:hAnsi="Arial"/>
          <w:sz w:val="18"/>
          <w:szCs w:val="18"/>
          <w:color w:val="auto"/>
        </w:rPr>
        <w:t>Mr. Shepro’s base salary is set in U.S. dollars and paid in euros. His base salary was converted to euros using an exchange rate of 0.83 euros to the U.S. dollar in accordance with his employment agreement. The base salary reported on the table above is the U.S. dollar base salary prior to conversion to euros. Mr. Shepro’s base salary was voluntarily reduced by 40% from March to December 2021, with 2022 reflecting the reinstated salary for the full year.</w:t>
      </w:r>
    </w:p>
    <w:p>
      <w:pPr>
        <w:spacing w:after="0" w:line="34" w:lineRule="exact"/>
        <w:rPr>
          <w:rFonts w:ascii="Arial" w:cs="Arial" w:eastAsia="Arial" w:hAnsi="Arial"/>
          <w:sz w:val="26"/>
          <w:szCs w:val="26"/>
          <w:color w:val="auto"/>
          <w:vertAlign w:val="superscript"/>
        </w:rPr>
      </w:pPr>
    </w:p>
    <w:p>
      <w:pPr>
        <w:ind w:left="1580" w:right="639" w:hanging="359"/>
        <w:spacing w:after="0"/>
        <w:tabs>
          <w:tab w:leader="none" w:pos="1580" w:val="left"/>
        </w:tabs>
        <w:numPr>
          <w:ilvl w:val="0"/>
          <w:numId w:val="38"/>
        </w:numPr>
        <w:rPr>
          <w:rFonts w:ascii="Arial" w:cs="Arial" w:eastAsia="Arial" w:hAnsi="Arial"/>
          <w:sz w:val="26"/>
          <w:szCs w:val="26"/>
          <w:color w:val="auto"/>
          <w:vertAlign w:val="superscript"/>
        </w:rPr>
      </w:pPr>
      <w:r>
        <w:rPr>
          <w:rFonts w:ascii="Arial" w:cs="Arial" w:eastAsia="Arial" w:hAnsi="Arial"/>
          <w:sz w:val="18"/>
          <w:szCs w:val="18"/>
          <w:color w:val="auto"/>
        </w:rPr>
        <w:t>Includes personal use of a company car, an education allowance, a goods and services allowance, a travel allowance, medical benefits, $82,532 for income tax normalization and $170,561 tax gross-up payments on perquisites. Mr. Shepro’s other compensation includes benefits paid in euros and, for purposes of the table, is converted into U.S. dollars based on the OANDA one-year average exchange rate ending on December 31, 2022 of 0.9510 euros to the U.S. dollar. In response to the anticipated impact to the Company’s revenue and cash flow from government and servicer measures to assist borrowers in response to the COVID-19 pandemic, Mr. Shepro agreed to waive on a permanent basis his housing allowance, effective March 1, 2021, and the use of one company-leased vehicle effective June 1, 2021.</w:t>
      </w:r>
    </w:p>
    <w:p>
      <w:pPr>
        <w:spacing w:after="0" w:line="202" w:lineRule="exact"/>
        <w:rPr>
          <w:rFonts w:ascii="Arial" w:cs="Arial" w:eastAsia="Arial" w:hAnsi="Arial"/>
          <w:sz w:val="26"/>
          <w:szCs w:val="26"/>
          <w:color w:val="auto"/>
          <w:vertAlign w:val="superscript"/>
        </w:rPr>
      </w:pPr>
    </w:p>
    <w:p>
      <w:pPr>
        <w:jc w:val="both"/>
        <w:ind w:left="1580" w:right="1739" w:hanging="359"/>
        <w:spacing w:after="0" w:line="210" w:lineRule="auto"/>
        <w:tabs>
          <w:tab w:leader="none" w:pos="1580" w:val="left"/>
        </w:tabs>
        <w:numPr>
          <w:ilvl w:val="0"/>
          <w:numId w:val="38"/>
        </w:numPr>
        <w:rPr>
          <w:rFonts w:ascii="Arial" w:cs="Arial" w:eastAsia="Arial" w:hAnsi="Arial"/>
          <w:sz w:val="26"/>
          <w:szCs w:val="26"/>
          <w:color w:val="auto"/>
          <w:vertAlign w:val="superscript"/>
        </w:rPr>
      </w:pPr>
      <w:r>
        <w:rPr>
          <w:rFonts w:ascii="Arial" w:cs="Arial" w:eastAsia="Arial" w:hAnsi="Arial"/>
          <w:sz w:val="18"/>
          <w:szCs w:val="18"/>
          <w:color w:val="auto"/>
        </w:rPr>
        <w:t>Ms. Esterman’s base salary was voluntarily reduced by 15% from March to December 2021, with 2022 reflecting the reinstated salary for the full year.</w:t>
      </w:r>
    </w:p>
    <w:p>
      <w:pPr>
        <w:spacing w:after="0" w:line="33" w:lineRule="exact"/>
        <w:rPr>
          <w:rFonts w:ascii="Arial" w:cs="Arial" w:eastAsia="Arial" w:hAnsi="Arial"/>
          <w:sz w:val="26"/>
          <w:szCs w:val="26"/>
          <w:color w:val="auto"/>
          <w:vertAlign w:val="superscript"/>
        </w:rPr>
      </w:pPr>
    </w:p>
    <w:p>
      <w:pPr>
        <w:ind w:left="1580" w:right="579" w:hanging="359"/>
        <w:spacing w:after="0" w:line="226" w:lineRule="auto"/>
        <w:tabs>
          <w:tab w:leader="none" w:pos="1580" w:val="left"/>
        </w:tabs>
        <w:numPr>
          <w:ilvl w:val="0"/>
          <w:numId w:val="38"/>
        </w:numPr>
        <w:rPr>
          <w:rFonts w:ascii="Arial" w:cs="Arial" w:eastAsia="Arial" w:hAnsi="Arial"/>
          <w:sz w:val="26"/>
          <w:szCs w:val="26"/>
          <w:color w:val="auto"/>
          <w:vertAlign w:val="superscript"/>
        </w:rPr>
      </w:pPr>
      <w:r>
        <w:rPr>
          <w:rFonts w:ascii="Arial" w:cs="Arial" w:eastAsia="Arial" w:hAnsi="Arial"/>
          <w:sz w:val="18"/>
          <w:szCs w:val="18"/>
          <w:color w:val="auto"/>
        </w:rPr>
        <w:t>Mr. Ritts’ base salary is set in U.S. dollars and paid in euros. His base salary was converted to euros using an exchange rate of 0.83 euros to the U.S. dollar in accordance with his employment agreement. The number reported on the table above is the U.S. dollar base salary applicable for the period prior to conversion to euros.</w:t>
      </w:r>
    </w:p>
    <w:p>
      <w:pPr>
        <w:spacing w:after="0" w:line="36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4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12" w:lineRule="exact"/>
        <w:rPr>
          <w:sz w:val="20"/>
          <w:szCs w:val="20"/>
          <w:color w:val="auto"/>
        </w:rPr>
      </w:pPr>
    </w:p>
    <w:p>
      <w:pPr>
        <w:ind w:left="1580" w:right="1099" w:hanging="359"/>
        <w:spacing w:after="0" w:line="229" w:lineRule="auto"/>
        <w:tabs>
          <w:tab w:leader="none" w:pos="1580" w:val="left"/>
        </w:tabs>
        <w:numPr>
          <w:ilvl w:val="0"/>
          <w:numId w:val="39"/>
        </w:numPr>
        <w:rPr>
          <w:rFonts w:ascii="Arial" w:cs="Arial" w:eastAsia="Arial" w:hAnsi="Arial"/>
          <w:sz w:val="26"/>
          <w:szCs w:val="26"/>
          <w:color w:val="auto"/>
          <w:vertAlign w:val="superscript"/>
        </w:rPr>
      </w:pPr>
      <w:r>
        <w:rPr>
          <w:rFonts w:ascii="Arial" w:cs="Arial" w:eastAsia="Arial" w:hAnsi="Arial"/>
          <w:sz w:val="18"/>
          <w:szCs w:val="18"/>
          <w:color w:val="auto"/>
        </w:rPr>
        <w:t>Includes a travel allowance, $25,236 for housing allowance, $31,456 for medical benefits and $28,080 tax gross-up payments made on perquisites. Mr. Ritts’ other compensation includes benefits paid in euros and, for purposes of the table, is converted into U.S. dollars based on the OANDA one-year average exchange rate ending on December 31, 2022 of 0.9510 euros to the U.S. dollar.</w:t>
      </w:r>
    </w:p>
    <w:p>
      <w:pPr>
        <w:spacing w:after="0" w:line="189"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Narrative Disclosure to Summary Compensation Table</w:t>
      </w:r>
    </w:p>
    <w:p>
      <w:pPr>
        <w:spacing w:after="0" w:line="119" w:lineRule="exact"/>
        <w:rPr>
          <w:sz w:val="20"/>
          <w:szCs w:val="20"/>
          <w:color w:val="auto"/>
        </w:rPr>
      </w:pPr>
    </w:p>
    <w:p>
      <w:pPr>
        <w:ind w:left="1220" w:right="519"/>
        <w:spacing w:after="0" w:line="255" w:lineRule="auto"/>
        <w:rPr>
          <w:sz w:val="20"/>
          <w:szCs w:val="20"/>
          <w:color w:val="auto"/>
        </w:rPr>
      </w:pPr>
      <w:r>
        <w:rPr>
          <w:rFonts w:ascii="Arial" w:cs="Arial" w:eastAsia="Arial" w:hAnsi="Arial"/>
          <w:sz w:val="18"/>
          <w:szCs w:val="18"/>
          <w:color w:val="auto"/>
        </w:rPr>
        <w:t>For the year ended December 31, 2022, the compensation program for our Named Executive Officers consisted of base salary, annual incentive compensation, equity awards, other benefits, as well as certain relocation and foreign living allowances for the Luxembourg-based Named Executive Officers.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Base Salary</w:t>
      </w:r>
    </w:p>
    <w:p>
      <w:pPr>
        <w:spacing w:after="0" w:line="137" w:lineRule="exact"/>
        <w:rPr>
          <w:sz w:val="20"/>
          <w:szCs w:val="20"/>
          <w:color w:val="auto"/>
        </w:rPr>
      </w:pPr>
    </w:p>
    <w:p>
      <w:pPr>
        <w:ind w:left="1220" w:right="1059"/>
        <w:spacing w:after="0" w:line="274" w:lineRule="auto"/>
        <w:rPr>
          <w:sz w:val="20"/>
          <w:szCs w:val="20"/>
          <w:color w:val="auto"/>
        </w:rPr>
      </w:pPr>
      <w:r>
        <w:rPr>
          <w:rFonts w:ascii="Arial" w:cs="Arial" w:eastAsia="Arial" w:hAnsi="Arial"/>
          <w:sz w:val="18"/>
          <w:szCs w:val="18"/>
          <w:color w:val="auto"/>
        </w:rPr>
        <w:t>The Compensation Committee sets the base salary for our Chief Executive Officer and approves the base salaries for all other Named Executive Officers.</w:t>
      </w:r>
    </w:p>
    <w:p>
      <w:pPr>
        <w:spacing w:after="0" w:line="96" w:lineRule="exact"/>
        <w:rPr>
          <w:sz w:val="20"/>
          <w:szCs w:val="20"/>
          <w:color w:val="auto"/>
        </w:rPr>
      </w:pPr>
    </w:p>
    <w:p>
      <w:pPr>
        <w:ind w:left="1220" w:right="639"/>
        <w:spacing w:after="0" w:line="251" w:lineRule="auto"/>
        <w:rPr>
          <w:sz w:val="20"/>
          <w:szCs w:val="20"/>
          <w:color w:val="auto"/>
        </w:rPr>
      </w:pPr>
      <w:r>
        <w:rPr>
          <w:rFonts w:ascii="Arial" w:cs="Arial" w:eastAsia="Arial" w:hAnsi="Arial"/>
          <w:sz w:val="18"/>
          <w:szCs w:val="18"/>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a relocation, a promotion or other change in job responsibility. In addition, base salaries of the Luxembourg-based Named Executive Officers may be subject to inflationary adjustments from time to time as required by applicable Luxembourg law.</w:t>
      </w:r>
    </w:p>
    <w:p>
      <w:pPr>
        <w:spacing w:after="0" w:line="117" w:lineRule="exact"/>
        <w:rPr>
          <w:sz w:val="20"/>
          <w:szCs w:val="20"/>
          <w:color w:val="auto"/>
        </w:rPr>
      </w:pPr>
    </w:p>
    <w:p>
      <w:pPr>
        <w:ind w:left="1220" w:right="939"/>
        <w:spacing w:after="0" w:line="274" w:lineRule="auto"/>
        <w:rPr>
          <w:sz w:val="20"/>
          <w:szCs w:val="20"/>
          <w:color w:val="auto"/>
        </w:rPr>
      </w:pPr>
      <w:r>
        <w:rPr>
          <w:rFonts w:ascii="Arial" w:cs="Arial" w:eastAsia="Arial" w:hAnsi="Arial"/>
          <w:sz w:val="18"/>
          <w:szCs w:val="18"/>
          <w:color w:val="auto"/>
        </w:rPr>
        <w:t>Base salaries for our Named Executive Officers are set in U.S. dollars and paid in euros (other than for Ms. Esterman, who resides in the U.S.).</w:t>
      </w:r>
    </w:p>
    <w:p>
      <w:pPr>
        <w:spacing w:after="0" w:line="8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Annual Incentive Compensation</w:t>
      </w:r>
    </w:p>
    <w:p>
      <w:pPr>
        <w:spacing w:after="0" w:line="150" w:lineRule="exact"/>
        <w:rPr>
          <w:sz w:val="20"/>
          <w:szCs w:val="20"/>
          <w:color w:val="auto"/>
        </w:rPr>
      </w:pPr>
    </w:p>
    <w:p>
      <w:pPr>
        <w:ind w:left="1220" w:right="1119"/>
        <w:spacing w:after="0" w:line="259" w:lineRule="auto"/>
        <w:rPr>
          <w:sz w:val="20"/>
          <w:szCs w:val="20"/>
          <w:color w:val="auto"/>
        </w:rPr>
      </w:pPr>
      <w:r>
        <w:rPr>
          <w:rFonts w:ascii="Arial" w:cs="Arial" w:eastAsia="Arial" w:hAnsi="Arial"/>
          <w:sz w:val="18"/>
          <w:szCs w:val="18"/>
          <w:color w:val="auto"/>
        </w:rPr>
        <w:t>The Compensation Committee sets the target incentive compensation for our Chief Executive Officer and approves the target incentive compensation for all other Named Executive Officers.</w:t>
      </w:r>
    </w:p>
    <w:p>
      <w:pPr>
        <w:spacing w:after="0" w:line="111" w:lineRule="exact"/>
        <w:rPr>
          <w:sz w:val="20"/>
          <w:szCs w:val="20"/>
          <w:color w:val="auto"/>
        </w:rPr>
      </w:pPr>
    </w:p>
    <w:p>
      <w:pPr>
        <w:ind w:left="1220" w:right="519"/>
        <w:spacing w:after="0" w:line="251" w:lineRule="auto"/>
        <w:rPr>
          <w:sz w:val="20"/>
          <w:szCs w:val="20"/>
          <w:color w:val="auto"/>
        </w:rPr>
      </w:pPr>
      <w:r>
        <w:rPr>
          <w:rFonts w:ascii="Arial" w:cs="Arial" w:eastAsia="Arial" w:hAnsi="Arial"/>
          <w:sz w:val="18"/>
          <w:szCs w:val="18"/>
          <w:color w:val="auto"/>
        </w:rPr>
        <w:t>Target incentive compensation is reviewed periodically, and adjustments may be made based on market information, internal review of the Named Executive Officer’s compensation in relation to other executives and performance. In addition, the Chief Executive Officer’s target incentive compensation historically has been adjusted commensurate with inflationary salary indexation under Luxembourg law. The incentives are typically paid in a mix of cash and equity as approved by the Board.</w:t>
      </w:r>
    </w:p>
    <w:p>
      <w:pPr>
        <w:spacing w:after="0" w:line="104" w:lineRule="exact"/>
        <w:rPr>
          <w:sz w:val="20"/>
          <w:szCs w:val="20"/>
          <w:color w:val="auto"/>
        </w:rPr>
      </w:pPr>
    </w:p>
    <w:p>
      <w:pPr>
        <w:ind w:left="1220" w:right="919"/>
        <w:spacing w:after="0" w:line="259" w:lineRule="auto"/>
        <w:rPr>
          <w:sz w:val="20"/>
          <w:szCs w:val="20"/>
          <w:color w:val="auto"/>
        </w:rPr>
      </w:pPr>
      <w:r>
        <w:rPr>
          <w:rFonts w:ascii="Arial" w:cs="Arial" w:eastAsia="Arial" w:hAnsi="Arial"/>
          <w:sz w:val="18"/>
          <w:szCs w:val="18"/>
          <w:color w:val="auto"/>
        </w:rPr>
        <w:t>For the year ended December 31, 2022, the Named Executive Officers had the following target annual bonus amounts: Mr. Shepro—$1,315,785, Ms. Esterman—$295,068, and Mr. Ritts—$246,000.</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Performance metrics for the annual incentive compensation for the year ended</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December 31, 2022:</w:t>
      </w:r>
    </w:p>
    <w:p>
      <w:pPr>
        <w:spacing w:after="0" w:line="124"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740" w:type="dxa"/>
            <w:vAlign w:val="bottom"/>
            <w:gridSpan w:val="9"/>
          </w:tcPr>
          <w:p>
            <w:pPr>
              <w:ind w:left="160"/>
              <w:spacing w:after="0"/>
              <w:rPr>
                <w:sz w:val="20"/>
                <w:szCs w:val="20"/>
                <w:color w:val="auto"/>
              </w:rPr>
            </w:pPr>
            <w:r>
              <w:rPr>
                <w:rFonts w:ascii="Arial" w:cs="Arial" w:eastAsia="Arial" w:hAnsi="Arial"/>
                <w:sz w:val="18"/>
                <w:szCs w:val="18"/>
                <w:b w:val="1"/>
                <w:bCs w:val="1"/>
                <w:color w:val="auto"/>
                <w:w w:val="97"/>
              </w:rPr>
              <w:t>Consolidated Service Consolidated AdjustedSupport Function Corporate Cost</w:t>
            </w:r>
          </w:p>
        </w:tc>
        <w:tc>
          <w:tcPr>
            <w:tcW w:w="40" w:type="dxa"/>
            <w:vAlign w:val="bottom"/>
          </w:tcPr>
          <w:p>
            <w:pPr>
              <w:spacing w:after="0"/>
              <w:rPr>
                <w:sz w:val="18"/>
                <w:szCs w:val="18"/>
                <w:color w:val="auto"/>
              </w:rPr>
            </w:pPr>
          </w:p>
        </w:tc>
      </w:tr>
      <w:tr>
        <w:trPr>
          <w:trHeight w:val="217"/>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ind w:left="80"/>
              <w:spacing w:after="0"/>
              <w:rPr>
                <w:sz w:val="20"/>
                <w:szCs w:val="20"/>
                <w:color w:val="auto"/>
              </w:rPr>
            </w:pPr>
            <w:r>
              <w:rPr>
                <w:rFonts w:ascii="Arial" w:cs="Arial" w:eastAsia="Arial" w:hAnsi="Arial"/>
                <w:sz w:val="18"/>
                <w:szCs w:val="18"/>
                <w:b w:val="1"/>
                <w:bCs w:val="1"/>
                <w:color w:val="auto"/>
              </w:rPr>
              <w:t>Revenue Budget</w:t>
            </w:r>
          </w:p>
        </w:tc>
        <w:tc>
          <w:tcPr>
            <w:tcW w:w="3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EBITDA Budget</w:t>
            </w:r>
          </w:p>
        </w:tc>
        <w:tc>
          <w:tcPr>
            <w:tcW w:w="4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Budget</w:t>
            </w: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​Reduction Goal ​</w:t>
            </w:r>
          </w:p>
        </w:tc>
      </w:tr>
      <w:tr>
        <w:trPr>
          <w:trHeight w:val="192"/>
        </w:trPr>
        <w:tc>
          <w:tcPr>
            <w:tcW w:w="6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William​</w:t>
            </w:r>
          </w:p>
        </w:tc>
        <w:tc>
          <w:tcPr>
            <w:tcW w:w="1040" w:type="dxa"/>
            <w:vAlign w:val="bottom"/>
            <w:tcBorders>
              <w:top w:val="single" w:sz="8" w:color="CCEEFF"/>
            </w:tcBorders>
            <w:gridSpan w:val="2"/>
            <w:shd w:val="clear" w:color="auto" w:fill="CCEEFF"/>
          </w:tcPr>
          <w:p>
            <w:pPr>
              <w:ind w:left="20"/>
              <w:spacing w:after="0" w:line="192" w:lineRule="exact"/>
              <w:rPr>
                <w:sz w:val="20"/>
                <w:szCs w:val="20"/>
                <w:color w:val="auto"/>
              </w:rPr>
            </w:pPr>
            <w:r>
              <w:rPr>
                <w:rFonts w:ascii="Arial" w:cs="Arial" w:eastAsia="Arial" w:hAnsi="Arial"/>
                <w:sz w:val="18"/>
                <w:szCs w:val="18"/>
                <w:color w:val="auto"/>
              </w:rPr>
              <w:t>B. Shepro</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12"/>
              <w:spacing w:after="0" w:line="192"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ind w:left="600"/>
              <w:spacing w:after="0" w:line="192" w:lineRule="exact"/>
              <w:rPr>
                <w:sz w:val="20"/>
                <w:szCs w:val="20"/>
                <w:color w:val="auto"/>
              </w:rPr>
            </w:pPr>
            <w:r>
              <w:rPr>
                <w:rFonts w:ascii="Arial" w:cs="Arial" w:eastAsia="Arial" w:hAnsi="Arial"/>
                <w:sz w:val="18"/>
                <w:szCs w:val="18"/>
                <w:color w:val="auto"/>
              </w:rPr>
              <w:t>​​40%</w:t>
            </w:r>
          </w:p>
        </w:tc>
        <w:tc>
          <w:tcPr>
            <w:tcW w:w="320" w:type="dxa"/>
            <w:vAlign w:val="bottom"/>
            <w:tcBorders>
              <w:top w:val="single" w:sz="8" w:color="auto"/>
            </w:tcBorders>
            <w:shd w:val="clear" w:color="auto" w:fill="CCEEFF"/>
          </w:tcPr>
          <w:p>
            <w:pPr>
              <w:jc w:val="right"/>
              <w:ind w:right="32"/>
              <w:spacing w:after="0" w:line="192" w:lineRule="exact"/>
              <w:rPr>
                <w:sz w:val="20"/>
                <w:szCs w:val="20"/>
                <w:color w:val="auto"/>
              </w:rPr>
            </w:pPr>
            <w:r>
              <w:rPr>
                <w:rFonts w:ascii="Arial" w:cs="Arial" w:eastAsia="Arial" w:hAnsi="Arial"/>
                <w:sz w:val="18"/>
                <w:szCs w:val="18"/>
                <w:color w:val="auto"/>
              </w:rPr>
              <w:t>​ ​</w:t>
            </w:r>
          </w:p>
        </w:tc>
        <w:tc>
          <w:tcPr>
            <w:tcW w:w="1580" w:type="dxa"/>
            <w:vAlign w:val="bottom"/>
            <w:tcBorders>
              <w:top w:val="single" w:sz="8" w:color="auto"/>
            </w:tcBorders>
            <w:shd w:val="clear" w:color="auto" w:fill="CCEEFF"/>
          </w:tcPr>
          <w:p>
            <w:pPr>
              <w:ind w:left="620"/>
              <w:spacing w:after="0" w:line="192" w:lineRule="exact"/>
              <w:rPr>
                <w:sz w:val="20"/>
                <w:szCs w:val="20"/>
                <w:color w:val="auto"/>
              </w:rPr>
            </w:pPr>
            <w:r>
              <w:rPr>
                <w:rFonts w:ascii="Arial" w:cs="Arial" w:eastAsia="Arial" w:hAnsi="Arial"/>
                <w:sz w:val="18"/>
                <w:szCs w:val="18"/>
                <w:color w:val="auto"/>
              </w:rPr>
              <w:t>​​60%</w:t>
            </w:r>
          </w:p>
        </w:tc>
        <w:tc>
          <w:tcPr>
            <w:tcW w:w="420" w:type="dxa"/>
            <w:vAlign w:val="bottom"/>
            <w:tcBorders>
              <w:top w:val="single" w:sz="8" w:color="auto"/>
            </w:tcBorders>
            <w:shd w:val="clear" w:color="auto" w:fill="CCEEFF"/>
          </w:tcPr>
          <w:p>
            <w:pPr>
              <w:jc w:val="right"/>
              <w:ind w:right="112"/>
              <w:spacing w:after="0" w:line="19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380"/>
              <w:spacing w:after="0" w:line="192" w:lineRule="exact"/>
              <w:rPr>
                <w:sz w:val="20"/>
                <w:szCs w:val="20"/>
                <w:color w:val="auto"/>
              </w:rPr>
            </w:pPr>
            <w:r>
              <w:rPr>
                <w:rFonts w:ascii="Arial" w:cs="Arial" w:eastAsia="Arial" w:hAnsi="Arial"/>
                <w:sz w:val="18"/>
                <w:szCs w:val="18"/>
                <w:color w:val="auto"/>
              </w:rPr>
              <w:t>​​ ​</w:t>
            </w:r>
          </w:p>
        </w:tc>
        <w:tc>
          <w:tcPr>
            <w:tcW w:w="560" w:type="dxa"/>
            <w:vAlign w:val="bottom"/>
            <w:tcBorders>
              <w:top w:val="single" w:sz="8" w:color="auto"/>
            </w:tcBorders>
            <w:shd w:val="clear" w:color="auto" w:fill="CCEEFF"/>
          </w:tcPr>
          <w:p>
            <w:pPr>
              <w:ind w:left="200"/>
              <w:spacing w:after="0" w:line="19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260"/>
              <w:spacing w:after="0" w:line="192" w:lineRule="exact"/>
              <w:rPr>
                <w:sz w:val="20"/>
                <w:szCs w:val="20"/>
                <w:color w:val="auto"/>
              </w:rPr>
            </w:pPr>
            <w:r>
              <w:rPr>
                <w:rFonts w:ascii="Arial" w:cs="Arial" w:eastAsia="Arial" w:hAnsi="Arial"/>
                <w:sz w:val="18"/>
                <w:szCs w:val="18"/>
                <w:color w:val="auto"/>
              </w:rPr>
              <w:t>​ ​</w:t>
            </w:r>
          </w:p>
        </w:tc>
        <w:tc>
          <w:tcPr>
            <w:tcW w:w="40" w:type="dxa"/>
            <w:vAlign w:val="bottom"/>
          </w:tcPr>
          <w:p>
            <w:pPr>
              <w:jc w:val="right"/>
              <w:spacing w:after="0" w:line="192" w:lineRule="exact"/>
              <w:rPr>
                <w:sz w:val="20"/>
                <w:szCs w:val="20"/>
                <w:color w:val="auto"/>
              </w:rPr>
            </w:pPr>
            <w:r>
              <w:rPr>
                <w:rFonts w:ascii="Arial" w:cs="Arial" w:eastAsia="Arial" w:hAnsi="Arial"/>
                <w:sz w:val="18"/>
                <w:szCs w:val="18"/>
                <w:color w:val="auto"/>
              </w:rPr>
              <w:t>​</w:t>
            </w:r>
          </w:p>
        </w:tc>
      </w:tr>
      <w:tr>
        <w:trPr>
          <w:trHeight w:val="199"/>
        </w:trPr>
        <w:tc>
          <w:tcPr>
            <w:tcW w:w="740" w:type="dxa"/>
            <w:vAlign w:val="bottom"/>
            <w:gridSpan w:val="2"/>
          </w:tcPr>
          <w:p>
            <w:pPr>
              <w:spacing w:after="0" w:line="199" w:lineRule="exact"/>
              <w:rPr>
                <w:sz w:val="20"/>
                <w:szCs w:val="20"/>
                <w:color w:val="auto"/>
              </w:rPr>
            </w:pPr>
            <w:r>
              <w:rPr>
                <w:rFonts w:ascii="Arial" w:cs="Arial" w:eastAsia="Arial" w:hAnsi="Arial"/>
                <w:sz w:val="18"/>
                <w:szCs w:val="18"/>
                <w:color w:val="auto"/>
              </w:rPr>
              <w:t>Michelle​</w:t>
            </w:r>
          </w:p>
        </w:tc>
        <w:tc>
          <w:tcPr>
            <w:tcW w:w="1260" w:type="dxa"/>
            <w:vAlign w:val="bottom"/>
            <w:gridSpan w:val="3"/>
          </w:tcPr>
          <w:p>
            <w:pPr>
              <w:jc w:val="right"/>
              <w:ind w:right="12"/>
              <w:spacing w:after="0" w:line="199" w:lineRule="exact"/>
              <w:rPr>
                <w:sz w:val="20"/>
                <w:szCs w:val="20"/>
                <w:color w:val="auto"/>
              </w:rPr>
            </w:pPr>
            <w:r>
              <w:rPr>
                <w:rFonts w:ascii="Arial" w:cs="Arial" w:eastAsia="Arial" w:hAnsi="Arial"/>
                <w:sz w:val="18"/>
                <w:szCs w:val="18"/>
                <w:color w:val="auto"/>
              </w:rPr>
              <w:t>D. Esterman​</w:t>
            </w:r>
          </w:p>
        </w:tc>
        <w:tc>
          <w:tcPr>
            <w:tcW w:w="1560" w:type="dxa"/>
            <w:vAlign w:val="bottom"/>
          </w:tcPr>
          <w:p>
            <w:pPr>
              <w:ind w:left="600"/>
              <w:spacing w:after="0" w:line="199" w:lineRule="exact"/>
              <w:rPr>
                <w:sz w:val="20"/>
                <w:szCs w:val="20"/>
                <w:color w:val="auto"/>
              </w:rPr>
            </w:pPr>
            <w:r>
              <w:rPr>
                <w:rFonts w:ascii="Arial" w:cs="Arial" w:eastAsia="Arial" w:hAnsi="Arial"/>
                <w:sz w:val="18"/>
                <w:szCs w:val="18"/>
                <w:color w:val="auto"/>
              </w:rPr>
              <w:t>​​35%</w:t>
            </w:r>
          </w:p>
        </w:tc>
        <w:tc>
          <w:tcPr>
            <w:tcW w:w="320" w:type="dxa"/>
            <w:vAlign w:val="bottom"/>
          </w:tcPr>
          <w:p>
            <w:pPr>
              <w:jc w:val="right"/>
              <w:ind w:right="32"/>
              <w:spacing w:after="0" w:line="199" w:lineRule="exact"/>
              <w:rPr>
                <w:sz w:val="20"/>
                <w:szCs w:val="20"/>
                <w:color w:val="auto"/>
              </w:rPr>
            </w:pPr>
            <w:r>
              <w:rPr>
                <w:rFonts w:ascii="Arial" w:cs="Arial" w:eastAsia="Arial" w:hAnsi="Arial"/>
                <w:sz w:val="18"/>
                <w:szCs w:val="18"/>
                <w:color w:val="auto"/>
              </w:rPr>
              <w:t>​ ​</w:t>
            </w:r>
          </w:p>
        </w:tc>
        <w:tc>
          <w:tcPr>
            <w:tcW w:w="1580" w:type="dxa"/>
            <w:vAlign w:val="bottom"/>
          </w:tcPr>
          <w:p>
            <w:pPr>
              <w:ind w:left="620"/>
              <w:spacing w:after="0" w:line="199" w:lineRule="exact"/>
              <w:rPr>
                <w:sz w:val="20"/>
                <w:szCs w:val="20"/>
                <w:color w:val="auto"/>
              </w:rPr>
            </w:pPr>
            <w:r>
              <w:rPr>
                <w:rFonts w:ascii="Arial" w:cs="Arial" w:eastAsia="Arial" w:hAnsi="Arial"/>
                <w:sz w:val="18"/>
                <w:szCs w:val="18"/>
                <w:color w:val="auto"/>
              </w:rPr>
              <w:t>​​55%</w:t>
            </w:r>
          </w:p>
        </w:tc>
        <w:tc>
          <w:tcPr>
            <w:tcW w:w="420" w:type="dxa"/>
            <w:vAlign w:val="bottom"/>
          </w:tcPr>
          <w:p>
            <w:pPr>
              <w:jc w:val="right"/>
              <w:ind w:right="112"/>
              <w:spacing w:after="0" w:line="199" w:lineRule="exact"/>
              <w:rPr>
                <w:sz w:val="20"/>
                <w:szCs w:val="20"/>
                <w:color w:val="auto"/>
              </w:rPr>
            </w:pPr>
            <w:r>
              <w:rPr>
                <w:rFonts w:ascii="Arial" w:cs="Arial" w:eastAsia="Arial" w:hAnsi="Arial"/>
                <w:sz w:val="18"/>
                <w:szCs w:val="18"/>
                <w:color w:val="auto"/>
              </w:rPr>
              <w:t>​​</w:t>
            </w:r>
          </w:p>
        </w:tc>
        <w:tc>
          <w:tcPr>
            <w:tcW w:w="1000" w:type="dxa"/>
            <w:vAlign w:val="bottom"/>
          </w:tcPr>
          <w:p>
            <w:pPr>
              <w:ind w:left="380"/>
              <w:spacing w:after="0" w:line="199" w:lineRule="exact"/>
              <w:rPr>
                <w:sz w:val="20"/>
                <w:szCs w:val="20"/>
                <w:color w:val="auto"/>
              </w:rPr>
            </w:pPr>
            <w:r>
              <w:rPr>
                <w:rFonts w:ascii="Arial" w:cs="Arial" w:eastAsia="Arial" w:hAnsi="Arial"/>
                <w:sz w:val="18"/>
                <w:szCs w:val="18"/>
                <w:color w:val="auto"/>
              </w:rPr>
              <w:t>​​5%</w:t>
            </w:r>
          </w:p>
        </w:tc>
        <w:tc>
          <w:tcPr>
            <w:tcW w:w="560" w:type="dxa"/>
            <w:vAlign w:val="bottom"/>
          </w:tcPr>
          <w:p>
            <w:pPr>
              <w:ind w:left="200"/>
              <w:spacing w:after="0" w:line="199" w:lineRule="exact"/>
              <w:rPr>
                <w:sz w:val="20"/>
                <w:szCs w:val="20"/>
                <w:color w:val="auto"/>
              </w:rPr>
            </w:pPr>
            <w:r>
              <w:rPr>
                <w:rFonts w:ascii="Arial" w:cs="Arial" w:eastAsia="Arial" w:hAnsi="Arial"/>
                <w:sz w:val="18"/>
                <w:szCs w:val="18"/>
                <w:color w:val="auto"/>
              </w:rPr>
              <w:t>​​</w:t>
            </w:r>
          </w:p>
        </w:tc>
        <w:tc>
          <w:tcPr>
            <w:tcW w:w="1000" w:type="dxa"/>
            <w:vAlign w:val="bottom"/>
          </w:tcPr>
          <w:p>
            <w:pPr>
              <w:ind w:left="260"/>
              <w:spacing w:after="0" w:line="199" w:lineRule="exact"/>
              <w:rPr>
                <w:sz w:val="20"/>
                <w:szCs w:val="20"/>
                <w:color w:val="auto"/>
              </w:rPr>
            </w:pPr>
            <w:r>
              <w:rPr>
                <w:rFonts w:ascii="Arial" w:cs="Arial" w:eastAsia="Arial" w:hAnsi="Arial"/>
                <w:sz w:val="18"/>
                <w:szCs w:val="18"/>
                <w:color w:val="auto"/>
              </w:rPr>
              <w:t>​5%</w:t>
            </w:r>
          </w:p>
        </w:tc>
        <w:tc>
          <w:tcPr>
            <w:tcW w:w="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r>
      <w:tr>
        <w:trPr>
          <w:trHeight w:val="21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 Ritts</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c>
          <w:tcPr>
            <w:tcW w:w="15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-394335</wp:posOffset>
            </wp:positionV>
            <wp:extent cx="11766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109" w:lineRule="exact"/>
        <w:rPr>
          <w:sz w:val="20"/>
          <w:szCs w:val="20"/>
          <w:color w:val="auto"/>
        </w:rPr>
      </w:pPr>
    </w:p>
    <w:p>
      <w:pPr>
        <w:ind w:left="1220" w:right="539"/>
        <w:spacing w:after="0" w:line="251" w:lineRule="auto"/>
        <w:rPr>
          <w:sz w:val="20"/>
          <w:szCs w:val="20"/>
          <w:color w:val="auto"/>
        </w:rPr>
      </w:pPr>
      <w:r>
        <w:rPr>
          <w:rFonts w:ascii="Arial" w:cs="Arial" w:eastAsia="Arial" w:hAnsi="Arial"/>
          <w:sz w:val="18"/>
          <w:szCs w:val="18"/>
          <w:color w:val="auto"/>
        </w:rPr>
        <w:t>The annual incentives for the Named Executive Officers (and other employees eligible for an annual incentive) are also determined based on a variable bonus pool (the “Bonus Pool”), with the size of the pool being subject to change by an amount equal to 25% of any increase or decrease of Adjusted EBITDA calculated based on (1) service revenue differences from budget multiplied by the budgeted Adjusted EBITDA margin excluding support function and corporate costs and (2) Adjusted EBITDA differences from budget multiplied by 12.5%.</w:t>
      </w:r>
    </w:p>
    <w:p>
      <w:pPr>
        <w:spacing w:after="0" w:line="117" w:lineRule="exact"/>
        <w:rPr>
          <w:sz w:val="20"/>
          <w:szCs w:val="20"/>
          <w:color w:val="auto"/>
        </w:rPr>
      </w:pPr>
    </w:p>
    <w:p>
      <w:pPr>
        <w:ind w:left="1220" w:right="739"/>
        <w:spacing w:after="0" w:line="252" w:lineRule="auto"/>
        <w:rPr>
          <w:sz w:val="20"/>
          <w:szCs w:val="20"/>
          <w:color w:val="auto"/>
        </w:rPr>
      </w:pPr>
      <w:r>
        <w:rPr>
          <w:rFonts w:ascii="Arial" w:cs="Arial" w:eastAsia="Arial" w:hAnsi="Arial"/>
          <w:sz w:val="18"/>
          <w:szCs w:val="18"/>
          <w:color w:val="auto"/>
        </w:rPr>
        <w:t>In the fourth quarter of 2022, the Board of Directors approved certain changes to the 2022 annual incentive compensation computation and payouts as set forth below. The changes were intended to more accurately reflect the market conditions in which the Company operated in 2022, which materially deviated from the market condition assumptions underlying the original 2022 budget and annual incentive compensation computation.</w:t>
      </w:r>
    </w:p>
    <w:p>
      <w:pPr>
        <w:spacing w:after="0" w:line="35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1200"/>
        <w:spacing w:after="0"/>
        <w:tabs>
          <w:tab w:leader="none" w:pos="12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12" w:lineRule="exact"/>
        <w:rPr>
          <w:sz w:val="20"/>
          <w:szCs w:val="20"/>
          <w:color w:val="auto"/>
        </w:rPr>
      </w:pPr>
    </w:p>
    <w:p>
      <w:pPr>
        <w:ind w:left="1920" w:right="1560" w:hanging="346"/>
        <w:spacing w:after="0" w:line="255" w:lineRule="auto"/>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Scorecards: The Board approved amendments to the 2022 budget to address the impact of certain unanticipated market conditions on the Company’s financial performance mainly arising from external market conditions. These amendments were mostly driven by:</w:t>
      </w:r>
    </w:p>
    <w:p>
      <w:pPr>
        <w:spacing w:after="0" w:line="86" w:lineRule="exact"/>
        <w:rPr>
          <w:rFonts w:ascii="Arial" w:cs="Arial" w:eastAsia="Arial" w:hAnsi="Arial"/>
          <w:sz w:val="18"/>
          <w:szCs w:val="18"/>
          <w:color w:val="auto"/>
        </w:rPr>
      </w:pPr>
    </w:p>
    <w:p>
      <w:pPr>
        <w:ind w:left="2280" w:right="1440" w:hanging="353"/>
        <w:spacing w:after="0" w:line="251" w:lineRule="auto"/>
        <w:tabs>
          <w:tab w:leader="none" w:pos="2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Default Market Recovery Timeline: The existing 2022 budget assumed that the default market would return to a more normal operating environment in 2022, including increasing rates of foreclosure initiations and foreclosure sales throughout the year, following the late 2021 expiration of borrower relief measures. The actual rates of foreclosure initiations and foreclosure sales significantly lagged budgetary assumptions, however.</w:t>
      </w:r>
    </w:p>
    <w:p>
      <w:pPr>
        <w:spacing w:after="0" w:line="90" w:lineRule="exact"/>
        <w:rPr>
          <w:rFonts w:ascii="Arial" w:cs="Arial" w:eastAsia="Arial" w:hAnsi="Arial"/>
          <w:sz w:val="18"/>
          <w:szCs w:val="18"/>
          <w:color w:val="auto"/>
        </w:rPr>
      </w:pPr>
    </w:p>
    <w:p>
      <w:pPr>
        <w:ind w:left="2280" w:right="1440" w:hanging="353"/>
        <w:spacing w:after="0" w:line="251" w:lineRule="auto"/>
        <w:tabs>
          <w:tab w:leader="none" w:pos="2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Origination Volume Declines: The existing 2022 budget assumed a smaller decline in residential mortgage loan origination (number of loans) over 2021 than the actual decline experienced in 2022. The original 2022 budget was based on the Mortgage Bankers Association’s (“MBA”) January 2022 projected 37% decline in origination volume. In October 2022, the MBA revised its 2022 forecast to a 56% decline of origination volume.</w:t>
      </w:r>
    </w:p>
    <w:p>
      <w:pPr>
        <w:spacing w:after="0" w:line="104" w:lineRule="exact"/>
        <w:rPr>
          <w:rFonts w:ascii="Arial" w:cs="Arial" w:eastAsia="Arial" w:hAnsi="Arial"/>
          <w:sz w:val="18"/>
          <w:szCs w:val="18"/>
          <w:color w:val="auto"/>
        </w:rPr>
      </w:pPr>
    </w:p>
    <w:p>
      <w:pPr>
        <w:ind w:left="2280" w:right="1320" w:hanging="353"/>
        <w:spacing w:after="0" w:line="249" w:lineRule="auto"/>
        <w:tabs>
          <w:tab w:leader="none" w:pos="2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Slower Growth of Origination-related Services: Origination-related services provided to members of the Lenders One mortgage cooperative and other Origination businesses did not grow at anticipated rates due to longer than anticipated timeframes for customers to implement processes to purchase new services, members performing certain services previously acquired from Altisource or the cooperative to enable such members to retain and utilize their own employees, and the greater than market decline of the residential mortgage loan refinancing market and our title and valuation solutions that primarily support such loan refinancings.</w:t>
      </w:r>
    </w:p>
    <w:p>
      <w:pPr>
        <w:spacing w:after="0" w:line="320" w:lineRule="exact"/>
        <w:rPr>
          <w:sz w:val="20"/>
          <w:szCs w:val="20"/>
          <w:color w:val="auto"/>
        </w:rPr>
      </w:pPr>
    </w:p>
    <w:p>
      <w:pPr>
        <w:ind w:left="1920" w:right="1460"/>
        <w:spacing w:after="0" w:line="244" w:lineRule="auto"/>
        <w:rPr>
          <w:sz w:val="20"/>
          <w:szCs w:val="20"/>
          <w:color w:val="auto"/>
        </w:rPr>
      </w:pPr>
      <w:r>
        <w:rPr>
          <w:rFonts w:ascii="Arial" w:cs="Arial" w:eastAsia="Arial" w:hAnsi="Arial"/>
          <w:sz w:val="18"/>
          <w:szCs w:val="18"/>
          <w:color w:val="auto"/>
        </w:rPr>
        <w:t>In order to reduce expenses to help offset the reductions in consolidated service revenue and adjusted EBITDA budgets, the Board also approved reducing the support function budgets. These amendments in budget resulted in changes in the scorecard for the NEOs.</w:t>
      </w:r>
    </w:p>
    <w:p>
      <w:pPr>
        <w:spacing w:after="0" w:line="98" w:lineRule="exact"/>
        <w:rPr>
          <w:sz w:val="20"/>
          <w:szCs w:val="20"/>
          <w:color w:val="auto"/>
        </w:rPr>
      </w:pPr>
    </w:p>
    <w:p>
      <w:pPr>
        <w:ind w:left="1920" w:right="1360" w:hanging="346"/>
        <w:spacing w:after="0" w:line="255" w:lineRule="auto"/>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Bonus Pool: The Board also decided that the 2022 Bonus Pool would be set at 50% of original target level of achievement in recognition of the Company’s year-over-year improvement in Adjusted EBITDA, despite challenging market conditions, and the importance of the bonus in employee retention and motivation.</w:t>
      </w:r>
    </w:p>
    <w:p>
      <w:pPr>
        <w:spacing w:after="0" w:line="86" w:lineRule="exact"/>
        <w:rPr>
          <w:rFonts w:ascii="Arial" w:cs="Arial" w:eastAsia="Arial" w:hAnsi="Arial"/>
          <w:sz w:val="18"/>
          <w:szCs w:val="18"/>
          <w:color w:val="auto"/>
        </w:rPr>
      </w:pPr>
    </w:p>
    <w:p>
      <w:pPr>
        <w:ind w:left="1920" w:right="1260" w:hanging="346"/>
        <w:spacing w:after="0" w:line="247" w:lineRule="auto"/>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Incentive Payout Methodology—The 2022 annual incentive compensation earned by the Named Executive Officers would be paid entirely in RSUs (as opposed to mix of cash and equity). The award quantum would be determined by dividing the value of actual incentive earned by the Named Executive Officer by the average closing price of ASPS common stock for the 30 trading days preceding the date of the grant. The cash portion of the annual incentive compensation historically is paid immediately, with the RSU portion of the award equally vesting on the first and second anniversaries of the grant date. However, for the 2022 annual incentive compensation, the portion of RSUs that would have historically been paid in cash (and now being paid in RSUs) would vest with the first tranche of the RSU portion of the award on the first anniversary of the grant date, resulting in 80% of such award vesting on the first anniversary; the remainder of the award would vest on the second anniversary of the grant date.</w:t>
      </w:r>
    </w:p>
    <w:p>
      <w:pPr>
        <w:spacing w:after="0" w:line="342" w:lineRule="exact"/>
        <w:rPr>
          <w:sz w:val="20"/>
          <w:szCs w:val="20"/>
          <w:color w:val="auto"/>
        </w:rPr>
      </w:pPr>
    </w:p>
    <w:p>
      <w:pPr>
        <w:ind w:left="1220" w:right="1260"/>
        <w:spacing w:after="0" w:line="238" w:lineRule="auto"/>
        <w:rPr>
          <w:sz w:val="20"/>
          <w:szCs w:val="20"/>
          <w:color w:val="auto"/>
        </w:rPr>
      </w:pPr>
      <w:r>
        <w:rPr>
          <w:rFonts w:ascii="Arial" w:cs="Arial" w:eastAsia="Arial" w:hAnsi="Arial"/>
          <w:sz w:val="18"/>
          <w:szCs w:val="18"/>
          <w:color w:val="auto"/>
        </w:rPr>
        <w:t>The changes to the 2022 annual incentive compensation computation and payouts using performance against the revised 2022 budget resulted in an increase in the value of the annual incentive compensation received by the Named Executive Officers when compared to the payouts which would have been earned based on performance against the original budget. However, paying the annual incentive compensation solely in equity permits the Company to conserve cash by eliminating the cash impact on the Company. The table below summarizes the equity award received as part of the annual incentive that was included in the Summary Compensation Table for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b w:val="1"/>
                <w:bCs w:val="1"/>
                <w:color w:val="auto"/>
              </w:rPr>
              <w:t>Target</w:t>
            </w:r>
          </w:p>
        </w:tc>
        <w:tc>
          <w:tcPr>
            <w:tcW w:w="80" w:type="dxa"/>
            <w:vAlign w:val="bottom"/>
          </w:tcPr>
          <w:p>
            <w:pPr>
              <w:spacing w:after="0"/>
              <w:rPr>
                <w:sz w:val="18"/>
                <w:szCs w:val="18"/>
                <w:color w:val="auto"/>
              </w:rPr>
            </w:pPr>
          </w:p>
        </w:tc>
        <w:tc>
          <w:tcPr>
            <w:tcW w:w="192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8"/>
              </w:rPr>
              <w:t>Overall Attainment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2000" w:type="dxa"/>
            <w:vAlign w:val="bottom"/>
          </w:tcPr>
          <w:p>
            <w:pPr>
              <w:ind w:left="1080"/>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​​Annual Bonus ​​</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6"/>
              </w:rPr>
              <w:t>Percentage</w:t>
            </w:r>
          </w:p>
        </w:tc>
        <w:tc>
          <w:tcPr>
            <w:tcW w:w="180" w:type="dxa"/>
            <w:vAlign w:val="bottom"/>
          </w:tcPr>
          <w:p>
            <w:pPr>
              <w:spacing w:after="0"/>
              <w:rPr>
                <w:sz w:val="19"/>
                <w:szCs w:val="19"/>
                <w:color w:val="auto"/>
              </w:rPr>
            </w:pPr>
          </w:p>
        </w:tc>
        <w:tc>
          <w:tcPr>
            <w:tcW w:w="4140" w:type="dxa"/>
            <w:vAlign w:val="bottom"/>
            <w:gridSpan w:val="10"/>
          </w:tcPr>
          <w:p>
            <w:pPr>
              <w:ind w:left="20"/>
              <w:spacing w:after="0"/>
              <w:rPr>
                <w:sz w:val="20"/>
                <w:szCs w:val="20"/>
                <w:color w:val="auto"/>
              </w:rPr>
            </w:pPr>
            <w:r>
              <w:rPr>
                <w:rFonts w:ascii="Arial" w:cs="Arial" w:eastAsia="Arial" w:hAnsi="Arial"/>
                <w:sz w:val="18"/>
                <w:szCs w:val="18"/>
                <w:b w:val="1"/>
                <w:bCs w:val="1"/>
                <w:color w:val="auto"/>
              </w:rPr>
              <w:t>​​Actual Earnings ​​# RSUs Granted</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0" w:type="dxa"/>
            <w:vAlign w:val="bottom"/>
            <w:vMerge w:val="restart"/>
          </w:tcPr>
          <w:p>
            <w:pPr>
              <w:spacing w:after="0"/>
              <w:rPr>
                <w:sz w:val="20"/>
                <w:szCs w:val="20"/>
                <w:color w:val="auto"/>
              </w:rPr>
            </w:pPr>
            <w:r>
              <w:rPr>
                <w:rFonts w:ascii="Arial" w:cs="Arial" w:eastAsia="Arial" w:hAnsi="Arial"/>
                <w:sz w:val="18"/>
                <w:szCs w:val="18"/>
                <w:color w:val="auto"/>
              </w:rPr>
              <w:t>William B. Shepro</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1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12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​$ 1,315,785</w:t>
            </w: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ind w:left="420"/>
              <w:spacing w:after="0" w:line="192" w:lineRule="exact"/>
              <w:rPr>
                <w:sz w:val="20"/>
                <w:szCs w:val="20"/>
                <w:color w:val="auto"/>
              </w:rPr>
            </w:pPr>
            <w:r>
              <w:rPr>
                <w:rFonts w:ascii="Arial" w:cs="Arial" w:eastAsia="Arial" w:hAnsi="Arial"/>
                <w:sz w:val="18"/>
                <w:szCs w:val="18"/>
                <w:color w:val="auto"/>
              </w:rPr>
              <w:t>​54.6%</w:t>
            </w:r>
          </w:p>
        </w:tc>
        <w:tc>
          <w:tcPr>
            <w:tcW w:w="1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120"/>
              <w:spacing w:after="0" w:line="192" w:lineRule="exact"/>
              <w:rPr>
                <w:sz w:val="20"/>
                <w:szCs w:val="20"/>
                <w:color w:val="auto"/>
              </w:rPr>
            </w:pPr>
            <w:r>
              <w:rPr>
                <w:rFonts w:ascii="Arial" w:cs="Arial" w:eastAsia="Arial" w:hAnsi="Arial"/>
                <w:sz w:val="18"/>
                <w:szCs w:val="18"/>
                <w:color w:val="auto"/>
              </w:rPr>
              <w:t>​$ 718,881</w:t>
            </w:r>
          </w:p>
        </w:tc>
        <w:tc>
          <w:tcPr>
            <w:tcW w:w="1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52"/>
              <w:spacing w:after="0" w:line="192" w:lineRule="exact"/>
              <w:rPr>
                <w:sz w:val="20"/>
                <w:szCs w:val="20"/>
                <w:color w:val="auto"/>
              </w:rPr>
            </w:pPr>
            <w:r>
              <w:rPr>
                <w:rFonts w:ascii="Arial" w:cs="Arial" w:eastAsia="Arial" w:hAnsi="Arial"/>
                <w:sz w:val="18"/>
                <w:szCs w:val="18"/>
                <w:color w:val="auto"/>
              </w:rPr>
              <w:t>​ 129,521</w:t>
            </w:r>
          </w:p>
        </w:tc>
        <w:tc>
          <w:tcPr>
            <w:tcW w:w="1420" w:type="dxa"/>
            <w:vAlign w:val="bottom"/>
            <w:gridSpan w:val="2"/>
          </w:tcPr>
          <w:p>
            <w:pPr>
              <w:ind w:left="160"/>
              <w:spacing w:after="0" w:line="19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2000" w:type="dxa"/>
            <w:vAlign w:val="bottom"/>
          </w:tcPr>
          <w:p>
            <w:pPr>
              <w:spacing w:after="0" w:line="199" w:lineRule="exact"/>
              <w:rPr>
                <w:sz w:val="20"/>
                <w:szCs w:val="20"/>
                <w:color w:val="auto"/>
              </w:rPr>
            </w:pPr>
            <w:r>
              <w:rPr>
                <w:rFonts w:ascii="Arial" w:cs="Arial" w:eastAsia="Arial" w:hAnsi="Arial"/>
                <w:sz w:val="18"/>
                <w:szCs w:val="18"/>
                <w:color w:val="auto"/>
              </w:rPr>
              <w:t>Michelle D. Esterman</w:t>
            </w:r>
          </w:p>
        </w:tc>
        <w:tc>
          <w:tcPr>
            <w:tcW w:w="260" w:type="dxa"/>
            <w:vAlign w:val="bottom"/>
          </w:tcPr>
          <w:p>
            <w:pPr>
              <w:ind w:left="180"/>
              <w:spacing w:after="0" w:line="199" w:lineRule="exact"/>
              <w:rPr>
                <w:sz w:val="20"/>
                <w:szCs w:val="20"/>
                <w:color w:val="auto"/>
              </w:rPr>
            </w:pPr>
            <w:r>
              <w:rPr>
                <w:rFonts w:ascii="Arial" w:cs="Arial" w:eastAsia="Arial" w:hAnsi="Arial"/>
                <w:sz w:val="18"/>
                <w:szCs w:val="18"/>
                <w:color w:val="auto"/>
              </w:rPr>
              <w:t>​​</w:t>
            </w:r>
          </w:p>
        </w:tc>
        <w:tc>
          <w:tcPr>
            <w:tcW w:w="260" w:type="dxa"/>
            <w:vAlign w:val="bottom"/>
          </w:tcPr>
          <w:p>
            <w:pPr>
              <w:ind w:left="120"/>
              <w:spacing w:after="0" w:line="19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9" w:lineRule="exact"/>
              <w:rPr>
                <w:sz w:val="20"/>
                <w:szCs w:val="20"/>
                <w:color w:val="auto"/>
              </w:rPr>
            </w:pPr>
            <w:r>
              <w:rPr>
                <w:rFonts w:ascii="Arial" w:cs="Arial" w:eastAsia="Arial" w:hAnsi="Arial"/>
                <w:sz w:val="18"/>
                <w:szCs w:val="18"/>
                <w:color w:val="auto"/>
              </w:rPr>
              <w:t>295,068</w:t>
            </w:r>
          </w:p>
        </w:tc>
        <w:tc>
          <w:tcPr>
            <w:tcW w:w="340" w:type="dxa"/>
            <w:vAlign w:val="bottom"/>
            <w:gridSpan w:val="3"/>
          </w:tcPr>
          <w:p>
            <w:pPr>
              <w:jc w:val="right"/>
              <w:ind w:right="140"/>
              <w:spacing w:after="0" w:line="199" w:lineRule="exact"/>
              <w:rPr>
                <w:sz w:val="20"/>
                <w:szCs w:val="20"/>
                <w:color w:val="auto"/>
              </w:rPr>
            </w:pPr>
            <w:r>
              <w:rPr>
                <w:rFonts w:ascii="Arial" w:cs="Arial" w:eastAsia="Arial" w:hAnsi="Arial"/>
                <w:sz w:val="18"/>
                <w:szCs w:val="18"/>
                <w:color w:val="auto"/>
              </w:rPr>
              <w:t>​​​</w:t>
            </w:r>
          </w:p>
        </w:tc>
        <w:tc>
          <w:tcPr>
            <w:tcW w:w="1240" w:type="dxa"/>
            <w:vAlign w:val="bottom"/>
          </w:tcPr>
          <w:p>
            <w:pPr>
              <w:ind w:left="420"/>
              <w:spacing w:after="0" w:line="199" w:lineRule="exact"/>
              <w:rPr>
                <w:sz w:val="20"/>
                <w:szCs w:val="20"/>
                <w:color w:val="auto"/>
              </w:rPr>
            </w:pPr>
            <w:r>
              <w:rPr>
                <w:rFonts w:ascii="Arial" w:cs="Arial" w:eastAsia="Arial" w:hAnsi="Arial"/>
                <w:sz w:val="18"/>
                <w:szCs w:val="18"/>
                <w:color w:val="auto"/>
              </w:rPr>
              <w:t>​54.5%</w:t>
            </w:r>
          </w:p>
        </w:tc>
        <w:tc>
          <w:tcPr>
            <w:tcW w:w="420" w:type="dxa"/>
            <w:vAlign w:val="bottom"/>
            <w:gridSpan w:val="3"/>
          </w:tcPr>
          <w:p>
            <w:pPr>
              <w:jc w:val="right"/>
              <w:ind w:right="120"/>
              <w:spacing w:after="0" w:line="199" w:lineRule="exact"/>
              <w:rPr>
                <w:sz w:val="20"/>
                <w:szCs w:val="20"/>
                <w:color w:val="auto"/>
              </w:rPr>
            </w:pPr>
            <w:r>
              <w:rPr>
                <w:rFonts w:ascii="Arial" w:cs="Arial" w:eastAsia="Arial" w:hAnsi="Arial"/>
                <w:sz w:val="18"/>
                <w:szCs w:val="18"/>
                <w:color w:val="auto"/>
              </w:rPr>
              <w:t>​​​</w:t>
            </w:r>
          </w:p>
        </w:tc>
        <w:tc>
          <w:tcPr>
            <w:tcW w:w="1060" w:type="dxa"/>
            <w:vAlign w:val="bottom"/>
          </w:tcPr>
          <w:p>
            <w:pPr>
              <w:ind w:left="120"/>
              <w:spacing w:after="0" w:line="199" w:lineRule="exact"/>
              <w:rPr>
                <w:sz w:val="20"/>
                <w:szCs w:val="20"/>
                <w:color w:val="auto"/>
              </w:rPr>
            </w:pPr>
            <w:r>
              <w:rPr>
                <w:rFonts w:ascii="Arial" w:cs="Arial" w:eastAsia="Arial" w:hAnsi="Arial"/>
                <w:sz w:val="18"/>
                <w:szCs w:val="18"/>
                <w:color w:val="auto"/>
              </w:rPr>
              <w:t>​$ 160,938</w:t>
            </w:r>
          </w:p>
        </w:tc>
        <w:tc>
          <w:tcPr>
            <w:tcW w:w="420" w:type="dxa"/>
            <w:vAlign w:val="bottom"/>
            <w:gridSpan w:val="3"/>
          </w:tcPr>
          <w:p>
            <w:pPr>
              <w:jc w:val="right"/>
              <w:ind w:right="140"/>
              <w:spacing w:after="0" w:line="199"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99"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line="199" w:lineRule="exact"/>
              <w:rPr>
                <w:sz w:val="20"/>
                <w:szCs w:val="20"/>
                <w:color w:val="auto"/>
              </w:rPr>
            </w:pPr>
            <w:r>
              <w:rPr>
                <w:rFonts w:ascii="Arial" w:cs="Arial" w:eastAsia="Arial" w:hAnsi="Arial"/>
                <w:sz w:val="18"/>
                <w:szCs w:val="18"/>
                <w:color w:val="auto"/>
              </w:rPr>
              <w:t>28,996</w:t>
            </w:r>
          </w:p>
        </w:tc>
        <w:tc>
          <w:tcPr>
            <w:tcW w:w="1420" w:type="dxa"/>
            <w:vAlign w:val="bottom"/>
            <w:gridSpan w:val="2"/>
          </w:tcPr>
          <w:p>
            <w:pPr>
              <w:ind w:left="16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Gregory J. Ritts</w:t>
            </w:r>
          </w:p>
        </w:tc>
        <w:tc>
          <w:tcPr>
            <w:tcW w:w="2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246,000</w:t>
            </w: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ind w:left="420"/>
              <w:spacing w:after="0"/>
              <w:rPr>
                <w:sz w:val="20"/>
                <w:szCs w:val="20"/>
                <w:color w:val="auto"/>
              </w:rPr>
            </w:pPr>
            <w:r>
              <w:rPr>
                <w:rFonts w:ascii="Arial" w:cs="Arial" w:eastAsia="Arial" w:hAnsi="Arial"/>
                <w:sz w:val="18"/>
                <w:szCs w:val="18"/>
                <w:color w:val="auto"/>
              </w:rPr>
              <w:t>​55.0%</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ind w:left="120"/>
              <w:spacing w:after="0"/>
              <w:rPr>
                <w:sz w:val="20"/>
                <w:szCs w:val="20"/>
                <w:color w:val="auto"/>
              </w:rPr>
            </w:pPr>
            <w:r>
              <w:rPr>
                <w:rFonts w:ascii="Arial" w:cs="Arial" w:eastAsia="Arial" w:hAnsi="Arial"/>
                <w:sz w:val="18"/>
                <w:szCs w:val="18"/>
                <w:color w:val="auto"/>
              </w:rPr>
              <w:t>​$ 135,196</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24,358</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9"/>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752"/>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2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-772795</wp:posOffset>
            </wp:positionV>
            <wp:extent cx="5109845" cy="134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09845" cy="13462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-1033145</wp:posOffset>
            </wp:positionV>
            <wp:extent cx="5109845" cy="134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09845" cy="13462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500"/>
          </w:cols>
          <w:pgMar w:left="700" w:top="95" w:right="699" w:bottom="649"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67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119" w:lineRule="exact"/>
        <w:rPr>
          <w:sz w:val="20"/>
          <w:szCs w:val="20"/>
          <w:color w:val="auto"/>
        </w:rPr>
      </w:pPr>
    </w:p>
    <w:p>
      <w:pPr>
        <w:ind w:left="1220" w:right="860"/>
        <w:spacing w:after="0" w:line="256" w:lineRule="auto"/>
        <w:rPr>
          <w:sz w:val="20"/>
          <w:szCs w:val="20"/>
          <w:color w:val="auto"/>
        </w:rPr>
      </w:pPr>
      <w:r>
        <w:rPr>
          <w:rFonts w:ascii="Arial" w:cs="Arial" w:eastAsia="Arial" w:hAnsi="Arial"/>
          <w:sz w:val="18"/>
          <w:szCs w:val="18"/>
          <w:color w:val="auto"/>
        </w:rPr>
        <w:t>In March 2022, we granted restricted stock unit awards to certain Named Executive Officers. The awards had a combination of time-based vesting and performance-based vesting, and details regarding the vesting terms of such awards are described below in the notes to the table below.</w:t>
      </w:r>
    </w:p>
    <w:p>
      <w:pPr>
        <w:spacing w:after="0" w:line="390"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169"/>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w w:val="97"/>
              </w:rPr>
              <w:t>Stock Awards</w:t>
            </w:r>
            <w:r>
              <w:rPr>
                <w:rFonts w:ascii="Arial" w:cs="Arial" w:eastAsia="Arial" w:hAnsi="Arial"/>
                <w:sz w:val="17"/>
                <w:szCs w:val="17"/>
                <w:b w:val="1"/>
                <w:bCs w:val="1"/>
                <w:color w:val="auto"/>
                <w:w w:val="97"/>
                <w:vertAlign w:val="superscript"/>
              </w:rPr>
              <w:t>(5)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right"/>
              <w:ind w:right="138"/>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Equity</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Incentive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8"/>
              </w:rPr>
              <w:t>Incentive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Plan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Plan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70"/>
              <w:spacing w:after="0" w:line="159" w:lineRule="exact"/>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jc w:val="center"/>
              <w:ind w:right="40"/>
              <w:spacing w:after="0" w:line="159" w:lineRule="exact"/>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3"/>
                <w:szCs w:val="13"/>
                <w:color w:val="auto"/>
              </w:rPr>
            </w:pPr>
          </w:p>
        </w:tc>
        <w:tc>
          <w:tcPr>
            <w:tcW w:w="9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15"/>
              <w:spacing w:after="0" w:line="15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Value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jc w:val="center"/>
              <w:ind w:right="40"/>
              <w:spacing w:after="0" w:line="159" w:lineRule="exact"/>
              <w:rPr>
                <w:sz w:val="20"/>
                <w:szCs w:val="20"/>
                <w:color w:val="auto"/>
              </w:rPr>
            </w:pPr>
            <w:r>
              <w:rPr>
                <w:rFonts w:ascii="Arial" w:cs="Arial" w:eastAsia="Arial" w:hAnsi="Arial"/>
                <w:sz w:val="14"/>
                <w:szCs w:val="14"/>
                <w:b w:val="1"/>
                <w:bCs w:val="1"/>
                <w:color w:val="auto"/>
                <w:w w:val="98"/>
              </w:rPr>
              <w:t>Securities</w:t>
            </w:r>
          </w:p>
        </w:tc>
        <w:tc>
          <w:tcPr>
            <w:tcW w:w="120" w:type="dxa"/>
            <w:vAlign w:val="bottom"/>
          </w:tcPr>
          <w:p>
            <w:pPr>
              <w:spacing w:after="0"/>
              <w:rPr>
                <w:sz w:val="13"/>
                <w:szCs w:val="13"/>
                <w:color w:val="auto"/>
              </w:rPr>
            </w:pPr>
          </w:p>
        </w:tc>
        <w:tc>
          <w:tcPr>
            <w:tcW w:w="9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Unearned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jc w:val="center"/>
              <w:ind w:right="80"/>
              <w:spacing w:after="0" w:line="159" w:lineRule="exact"/>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3"/>
                <w:szCs w:val="13"/>
                <w:color w:val="auto"/>
              </w:rPr>
            </w:pPr>
          </w:p>
        </w:tc>
        <w:tc>
          <w:tcPr>
            <w:tcW w:w="9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Underlying</w:t>
            </w: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7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3"/>
                <w:szCs w:val="13"/>
                <w:color w:val="auto"/>
              </w:rPr>
            </w:pPr>
          </w:p>
        </w:tc>
        <w:tc>
          <w:tcPr>
            <w:tcW w:w="86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860" w:type="dxa"/>
            <w:vAlign w:val="bottom"/>
            <w:gridSpan w:val="3"/>
          </w:tcPr>
          <w:p>
            <w:pPr>
              <w:ind w:left="160"/>
              <w:spacing w:after="0" w:line="159" w:lineRule="exact"/>
              <w:rPr>
                <w:sz w:val="20"/>
                <w:szCs w:val="20"/>
                <w:color w:val="auto"/>
              </w:rPr>
            </w:pPr>
            <w:r>
              <w:rPr>
                <w:rFonts w:ascii="Arial" w:cs="Arial" w:eastAsia="Arial" w:hAnsi="Arial"/>
                <w:sz w:val="14"/>
                <w:szCs w:val="14"/>
                <w:b w:val="1"/>
                <w:bCs w:val="1"/>
                <w:color w:val="auto"/>
              </w:rPr>
              <w:t>Value of</w:t>
            </w:r>
          </w:p>
        </w:tc>
        <w:tc>
          <w:tcPr>
            <w:tcW w:w="8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90"/>
              <w:spacing w:after="0" w:line="159"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6"/>
          </w:tcPr>
          <w:p>
            <w:pPr>
              <w:jc w:val="center"/>
              <w:ind w:right="51"/>
              <w:spacing w:after="0" w:line="146" w:lineRule="exact"/>
              <w:rPr>
                <w:sz w:val="20"/>
                <w:szCs w:val="20"/>
                <w:color w:val="auto"/>
              </w:rPr>
            </w:pPr>
            <w:r>
              <w:rPr>
                <w:rFonts w:ascii="Arial" w:cs="Arial" w:eastAsia="Arial" w:hAnsi="Arial"/>
                <w:sz w:val="14"/>
                <w:szCs w:val="14"/>
                <w:b w:val="1"/>
                <w:bCs w:val="1"/>
                <w:color w:val="auto"/>
                <w:w w:val="98"/>
              </w:rPr>
              <w:t>Unexercised</w:t>
            </w:r>
          </w:p>
        </w:tc>
        <w:tc>
          <w:tcPr>
            <w:tcW w:w="92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rPr>
              <w:t>Unexercised</w:t>
            </w:r>
          </w:p>
        </w:tc>
        <w:tc>
          <w:tcPr>
            <w:tcW w:w="140" w:type="dxa"/>
            <w:vAlign w:val="bottom"/>
          </w:tcPr>
          <w:p>
            <w:pPr>
              <w:spacing w:after="0"/>
              <w:rPr>
                <w:sz w:val="12"/>
                <w:szCs w:val="12"/>
                <w:color w:val="auto"/>
              </w:rPr>
            </w:pPr>
          </w:p>
        </w:tc>
        <w:tc>
          <w:tcPr>
            <w:tcW w:w="940" w:type="dxa"/>
            <w:vAlign w:val="bottom"/>
            <w:gridSpan w:val="4"/>
          </w:tcPr>
          <w:p>
            <w:pPr>
              <w:jc w:val="center"/>
              <w:ind w:right="31"/>
              <w:spacing w:after="0" w:line="146" w:lineRule="exact"/>
              <w:rPr>
                <w:sz w:val="20"/>
                <w:szCs w:val="20"/>
                <w:color w:val="auto"/>
              </w:rPr>
            </w:pPr>
            <w:r>
              <w:rPr>
                <w:rFonts w:ascii="Arial" w:cs="Arial" w:eastAsia="Arial" w:hAnsi="Arial"/>
                <w:sz w:val="14"/>
                <w:szCs w:val="14"/>
                <w:b w:val="1"/>
                <w:bCs w:val="1"/>
                <w:color w:val="auto"/>
              </w:rPr>
              <w:t>Unexercised</w:t>
            </w:r>
          </w:p>
        </w:tc>
        <w:tc>
          <w:tcPr>
            <w:tcW w:w="720" w:type="dxa"/>
            <w:vAlign w:val="bottom"/>
            <w:gridSpan w:val="5"/>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100"/>
              <w:spacing w:after="0" w:line="146" w:lineRule="exact"/>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2"/>
                <w:szCs w:val="12"/>
                <w:color w:val="auto"/>
              </w:rPr>
            </w:pPr>
          </w:p>
        </w:tc>
        <w:tc>
          <w:tcPr>
            <w:tcW w:w="860" w:type="dxa"/>
            <w:vAlign w:val="bottom"/>
            <w:gridSpan w:val="3"/>
          </w:tcPr>
          <w:p>
            <w:pPr>
              <w:ind w:left="80"/>
              <w:spacing w:after="0" w:line="146"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2"/>
                <w:szCs w:val="12"/>
                <w:color w:val="auto"/>
              </w:rPr>
            </w:pPr>
          </w:p>
        </w:tc>
        <w:tc>
          <w:tcPr>
            <w:tcW w:w="900" w:type="dxa"/>
            <w:vAlign w:val="bottom"/>
            <w:gridSpan w:val="4"/>
          </w:tcPr>
          <w:p>
            <w:pPr>
              <w:jc w:val="center"/>
              <w:ind w:right="91"/>
              <w:spacing w:after="0" w:line="146" w:lineRule="exact"/>
              <w:rPr>
                <w:sz w:val="20"/>
                <w:szCs w:val="20"/>
                <w:color w:val="auto"/>
              </w:rPr>
            </w:pPr>
            <w:r>
              <w:rPr>
                <w:rFonts w:ascii="Arial" w:cs="Arial" w:eastAsia="Arial" w:hAnsi="Arial"/>
                <w:sz w:val="14"/>
                <w:szCs w:val="14"/>
                <w:b w:val="1"/>
                <w:bCs w:val="1"/>
                <w:color w:val="auto"/>
              </w:rPr>
              <w:t>Underlying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50"/>
              <w:spacing w:after="0" w:line="146" w:lineRule="exact"/>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140"/>
              <w:spacing w:after="0" w:line="159" w:lineRule="exact"/>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3"/>
                <w:szCs w:val="13"/>
                <w:color w:val="auto"/>
              </w:rPr>
            </w:pPr>
          </w:p>
        </w:tc>
        <w:tc>
          <w:tcPr>
            <w:tcW w:w="9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8"/>
              </w:rPr>
              <w:t>Options</w:t>
            </w: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3"/>
                <w:szCs w:val="13"/>
                <w:color w:val="auto"/>
              </w:rPr>
            </w:pPr>
          </w:p>
        </w:tc>
        <w:tc>
          <w:tcPr>
            <w:tcW w:w="1320" w:type="dxa"/>
            <w:vAlign w:val="bottom"/>
            <w:gridSpan w:val="6"/>
          </w:tcPr>
          <w:p>
            <w:pPr>
              <w:spacing w:after="0" w:line="159" w:lineRule="exact"/>
              <w:rPr>
                <w:sz w:val="20"/>
                <w:szCs w:val="20"/>
                <w:color w:val="auto"/>
              </w:rPr>
            </w:pPr>
            <w:r>
              <w:rPr>
                <w:rFonts w:ascii="Arial" w:cs="Arial" w:eastAsia="Arial" w:hAnsi="Arial"/>
                <w:sz w:val="14"/>
                <w:szCs w:val="14"/>
                <w:b w:val="1"/>
                <w:bCs w:val="1"/>
                <w:color w:val="auto"/>
              </w:rPr>
              <w:t>Exercise Expiration</w:t>
            </w:r>
          </w:p>
        </w:tc>
        <w:tc>
          <w:tcPr>
            <w:tcW w:w="80" w:type="dxa"/>
            <w:vAlign w:val="bottom"/>
          </w:tcPr>
          <w:p>
            <w:pPr>
              <w:spacing w:after="0"/>
              <w:rPr>
                <w:sz w:val="13"/>
                <w:szCs w:val="13"/>
                <w:color w:val="auto"/>
              </w:rPr>
            </w:pPr>
          </w:p>
        </w:tc>
        <w:tc>
          <w:tcPr>
            <w:tcW w:w="860" w:type="dxa"/>
            <w:vAlign w:val="bottom"/>
            <w:gridSpan w:val="3"/>
          </w:tcPr>
          <w:p>
            <w:pPr>
              <w:ind w:left="100"/>
              <w:spacing w:after="0" w:line="159" w:lineRule="exact"/>
              <w:rPr>
                <w:sz w:val="20"/>
                <w:szCs w:val="20"/>
                <w:color w:val="auto"/>
              </w:rPr>
            </w:pPr>
            <w:r>
              <w:rPr>
                <w:rFonts w:ascii="Arial" w:cs="Arial" w:eastAsia="Arial" w:hAnsi="Arial"/>
                <w:sz w:val="14"/>
                <w:szCs w:val="14"/>
                <w:b w:val="1"/>
                <w:bCs w:val="1"/>
                <w:color w:val="auto"/>
              </w:rPr>
              <w:t>That Have</w:t>
            </w:r>
          </w:p>
        </w:tc>
        <w:tc>
          <w:tcPr>
            <w:tcW w:w="160" w:type="dxa"/>
            <w:vAlign w:val="bottom"/>
          </w:tcPr>
          <w:p>
            <w:pPr>
              <w:spacing w:after="0"/>
              <w:rPr>
                <w:sz w:val="13"/>
                <w:szCs w:val="13"/>
                <w:color w:val="auto"/>
              </w:rPr>
            </w:pPr>
          </w:p>
        </w:tc>
        <w:tc>
          <w:tcPr>
            <w:tcW w:w="86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That Have</w:t>
            </w:r>
          </w:p>
        </w:tc>
        <w:tc>
          <w:tcPr>
            <w:tcW w:w="8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Unearned</w:t>
            </w:r>
          </w:p>
        </w:tc>
        <w:tc>
          <w:tcPr>
            <w:tcW w:w="16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8"/>
              </w:rPr>
              <w:t>Have Not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229"/>
              <w:spacing w:after="0"/>
              <w:rPr>
                <w:sz w:val="20"/>
                <w:szCs w:val="20"/>
                <w:color w:val="auto"/>
              </w:rPr>
            </w:pPr>
            <w:r>
              <w:rPr>
                <w:rFonts w:ascii="Arial" w:cs="Arial" w:eastAsia="Arial" w:hAnsi="Arial"/>
                <w:sz w:val="14"/>
                <w:szCs w:val="14"/>
                <w:b w:val="1"/>
                <w:bCs w:val="1"/>
                <w:color w:val="auto"/>
                <w:w w:val="99"/>
              </w:rPr>
              <w:t>Name</w:t>
            </w:r>
          </w:p>
        </w:tc>
        <w:tc>
          <w:tcPr>
            <w:tcW w:w="2920" w:type="dxa"/>
            <w:vAlign w:val="bottom"/>
            <w:gridSpan w:val="13"/>
          </w:tcPr>
          <w:p>
            <w:pPr>
              <w:jc w:val="center"/>
              <w:ind w:right="38"/>
              <w:spacing w:after="0"/>
              <w:rPr>
                <w:sz w:val="20"/>
                <w:szCs w:val="20"/>
                <w:color w:val="auto"/>
              </w:rPr>
            </w:pPr>
            <w:r>
              <w:rPr>
                <w:rFonts w:ascii="Arial" w:cs="Arial" w:eastAsia="Arial" w:hAnsi="Arial"/>
                <w:sz w:val="14"/>
                <w:szCs w:val="14"/>
                <w:b w:val="1"/>
                <w:bCs w:val="1"/>
                <w:color w:val="auto"/>
              </w:rPr>
              <w:t>​​Exercisable ​​Unexercisable</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 Options</w:t>
            </w:r>
            <w:r>
              <w:rPr>
                <w:rFonts w:ascii="Arial" w:cs="Arial" w:eastAsia="Arial" w:hAnsi="Arial"/>
                <w:sz w:val="17"/>
                <w:szCs w:val="17"/>
                <w:b w:val="1"/>
                <w:bCs w:val="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6"/>
                <w:szCs w:val="16"/>
                <w:color w:val="auto"/>
              </w:rPr>
            </w:pPr>
          </w:p>
        </w:tc>
        <w:tc>
          <w:tcPr>
            <w:tcW w:w="140" w:type="dxa"/>
            <w:vAlign w:val="bottom"/>
          </w:tcPr>
          <w:p>
            <w:pPr>
              <w:jc w:val="right"/>
              <w:ind w:right="25"/>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29"/>
              <w:spacing w:after="0"/>
              <w:rPr>
                <w:sz w:val="20"/>
                <w:szCs w:val="20"/>
                <w:color w:val="auto"/>
              </w:rPr>
            </w:pPr>
            <w:r>
              <w:rPr>
                <w:rFonts w:ascii="Arial" w:cs="Arial" w:eastAsia="Arial" w:hAnsi="Arial"/>
                <w:sz w:val="14"/>
                <w:szCs w:val="14"/>
                <w:b w:val="1"/>
                <w:bCs w:val="1"/>
                <w:color w:val="auto"/>
              </w:rPr>
              <w:t>Date</w:t>
            </w:r>
          </w:p>
        </w:tc>
        <w:tc>
          <w:tcPr>
            <w:tcW w:w="1960" w:type="dxa"/>
            <w:vAlign w:val="bottom"/>
            <w:gridSpan w:val="8"/>
          </w:tcPr>
          <w:p>
            <w:pPr>
              <w:ind w:left="20"/>
              <w:spacing w:after="0"/>
              <w:rPr>
                <w:sz w:val="20"/>
                <w:szCs w:val="20"/>
                <w:color w:val="auto"/>
              </w:rPr>
            </w:pPr>
            <w:r>
              <w:rPr>
                <w:rFonts w:ascii="Arial" w:cs="Arial" w:eastAsia="Arial" w:hAnsi="Arial"/>
                <w:sz w:val="14"/>
                <w:szCs w:val="14"/>
                <w:b w:val="1"/>
                <w:bCs w:val="1"/>
                <w:color w:val="auto"/>
              </w:rPr>
              <w:t>​​Not Vested</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 ​ Not Vested</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 Shares</w:t>
            </w:r>
            <w:r>
              <w:rPr>
                <w:rFonts w:ascii="Arial" w:cs="Arial" w:eastAsia="Arial" w:hAnsi="Arial"/>
                <w:sz w:val="17"/>
                <w:szCs w:val="17"/>
                <w:b w:val="1"/>
                <w:bCs w:val="1"/>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4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133" w:lineRule="exact"/>
              <w:rPr>
                <w:sz w:val="20"/>
                <w:szCs w:val="20"/>
                <w:color w:val="auto"/>
              </w:rPr>
            </w:pPr>
            <w:r>
              <w:rPr>
                <w:rFonts w:ascii="Arial" w:cs="Arial" w:eastAsia="Arial" w:hAnsi="Arial"/>
                <w:sz w:val="14"/>
                <w:szCs w:val="14"/>
                <w:color w:val="auto"/>
              </w:rPr>
              <w:t>​​​</w:t>
            </w: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133" w:lineRule="exact"/>
              <w:rPr>
                <w:sz w:val="20"/>
                <w:szCs w:val="20"/>
                <w:color w:val="auto"/>
              </w:rPr>
            </w:pPr>
            <w:r>
              <w:rPr>
                <w:rFonts w:ascii="Arial" w:cs="Arial" w:eastAsia="Arial" w:hAnsi="Arial"/>
                <w:sz w:val="14"/>
                <w:szCs w:val="14"/>
                <w:color w:val="auto"/>
              </w:rPr>
              <w:t>​​ ​</w:t>
            </w: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133" w:lineRule="exact"/>
              <w:rPr>
                <w:sz w:val="20"/>
                <w:szCs w:val="20"/>
                <w:color w:val="auto"/>
              </w:rPr>
            </w:pPr>
            <w:r>
              <w:rPr>
                <w:rFonts w:ascii="Arial" w:cs="Arial" w:eastAsia="Arial" w:hAnsi="Arial"/>
                <w:sz w:val="14"/>
                <w:szCs w:val="14"/>
                <w:color w:val="auto"/>
              </w:rPr>
              <w:t>​​ ​</w:t>
            </w: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2"/>
        </w:trPr>
        <w:tc>
          <w:tcPr>
            <w:tcW w:w="280" w:type="dxa"/>
            <w:vAlign w:val="bottom"/>
          </w:tcPr>
          <w:p>
            <w:pPr>
              <w:spacing w:after="0" w:line="113" w:lineRule="exact"/>
              <w:rPr>
                <w:sz w:val="20"/>
                <w:szCs w:val="20"/>
                <w:color w:val="auto"/>
              </w:rPr>
            </w:pPr>
            <w:r>
              <w:rPr>
                <w:rFonts w:ascii="Arial" w:cs="Arial" w:eastAsia="Arial" w:hAnsi="Arial"/>
                <w:sz w:val="13"/>
                <w:szCs w:val="13"/>
                <w:color w:val="auto"/>
              </w:rPr>
              <w:t>​</w:t>
            </w:r>
          </w:p>
        </w:tc>
        <w:tc>
          <w:tcPr>
            <w:tcW w:w="1200" w:type="dxa"/>
            <w:vAlign w:val="bottom"/>
          </w:tcPr>
          <w:p>
            <w:pPr>
              <w:spacing w:after="0"/>
              <w:rPr>
                <w:sz w:val="9"/>
                <w:szCs w:val="9"/>
                <w:color w:val="auto"/>
              </w:rPr>
            </w:pPr>
          </w:p>
        </w:tc>
        <w:tc>
          <w:tcPr>
            <w:tcW w:w="40" w:type="dxa"/>
            <w:vAlign w:val="bottom"/>
            <w:tcBorders>
              <w:right w:val="single" w:sz="8" w:color="CCEEFF"/>
            </w:tcBorders>
          </w:tcPr>
          <w:p>
            <w:pPr>
              <w:spacing w:after="0"/>
              <w:rPr>
                <w:sz w:val="9"/>
                <w:szCs w:val="9"/>
                <w:color w:val="auto"/>
              </w:rPr>
            </w:pPr>
          </w:p>
        </w:tc>
        <w:tc>
          <w:tcPr>
            <w:tcW w:w="40" w:type="dxa"/>
            <w:vAlign w:val="bottom"/>
            <w:shd w:val="clear" w:color="auto" w:fill="CCEEFF"/>
          </w:tcPr>
          <w:p>
            <w:pPr>
              <w:jc w:val="right"/>
              <w:spacing w:after="0" w:line="113"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52,400</w:t>
            </w:r>
          </w:p>
        </w:tc>
        <w:tc>
          <w:tcPr>
            <w:tcW w:w="160" w:type="dxa"/>
            <w:vAlign w:val="bottom"/>
            <w:tcBorders>
              <w:right w:val="single" w:sz="8" w:color="CCEEFF"/>
            </w:tcBorders>
            <w:shd w:val="clear" w:color="auto" w:fill="CCEEFF"/>
          </w:tcPr>
          <w:p>
            <w:pPr>
              <w:spacing w:after="0"/>
              <w:rPr>
                <w:sz w:val="9"/>
                <w:szCs w:val="9"/>
                <w:color w:val="auto"/>
              </w:rPr>
            </w:pPr>
          </w:p>
        </w:tc>
        <w:tc>
          <w:tcPr>
            <w:tcW w:w="120" w:type="dxa"/>
            <w:vAlign w:val="bottom"/>
            <w:tcBorders>
              <w:left w:val="single" w:sz="8" w:color="CCEEFF"/>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center"/>
              <w:ind w:right="89"/>
              <w:spacing w:after="0" w:line="113"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ind w:left="60"/>
              <w:spacing w:after="0" w:line="113" w:lineRule="exact"/>
              <w:rPr>
                <w:sz w:val="20"/>
                <w:szCs w:val="20"/>
                <w:color w:val="auto"/>
              </w:rPr>
            </w:pPr>
            <w:r>
              <w:rPr>
                <w:rFonts w:ascii="Arial" w:cs="Arial" w:eastAsia="Arial" w:hAnsi="Arial"/>
                <w:sz w:val="13"/>
                <w:szCs w:val="13"/>
                <w:color w:val="auto"/>
              </w:rPr>
              <w:t>​​​</w:t>
            </w:r>
          </w:p>
        </w:tc>
        <w:tc>
          <w:tcPr>
            <w:tcW w:w="240" w:type="dxa"/>
            <w:vAlign w:val="bottom"/>
            <w:tcBorders>
              <w:left w:val="single" w:sz="8" w:color="CCEEFF"/>
            </w:tcBorders>
            <w:shd w:val="clear" w:color="auto" w:fill="CCEEFF"/>
          </w:tcPr>
          <w:p>
            <w:pPr>
              <w:ind w:left="180"/>
              <w:spacing w:after="0" w:line="113" w:lineRule="exact"/>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ind w:left="40"/>
              <w:spacing w:after="0" w:line="113"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5"/>
              <w:spacing w:after="0" w:line="113"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380" w:type="dxa"/>
            <w:vAlign w:val="bottom"/>
            <w:tcBorders>
              <w:left w:val="single" w:sz="8" w:color="CCEEFF"/>
            </w:tcBorders>
            <w:shd w:val="clear" w:color="auto" w:fill="CCEEFF"/>
          </w:tcPr>
          <w:p>
            <w:pPr>
              <w:ind w:left="200"/>
              <w:spacing w:after="0" w:line="113" w:lineRule="exact"/>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Borders>
              <w:right w:val="single" w:sz="8" w:color="CCEEFF"/>
            </w:tcBorders>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ind w:left="120"/>
              <w:spacing w:after="0" w:line="113"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vMerge w:val="continue"/>
            <w:shd w:val="clear" w:color="auto" w:fill="CCEEFF"/>
          </w:tcPr>
          <w:p>
            <w:pPr>
              <w:spacing w:after="0"/>
              <w:rPr>
                <w:sz w:val="9"/>
                <w:szCs w:val="9"/>
                <w:color w:val="auto"/>
              </w:rPr>
            </w:pPr>
          </w:p>
        </w:tc>
        <w:tc>
          <w:tcPr>
            <w:tcW w:w="180" w:type="dxa"/>
            <w:vAlign w:val="bottom"/>
            <w:tcBorders>
              <w:left w:val="single" w:sz="8" w:color="CCEEFF"/>
            </w:tcBorders>
            <w:shd w:val="clear" w:color="auto" w:fill="CCEEFF"/>
          </w:tcPr>
          <w:p>
            <w:pPr>
              <w:ind w:left="120"/>
              <w:spacing w:after="0" w:line="113"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ind w:left="80"/>
              <w:spacing w:after="0" w:line="113"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80" w:type="dxa"/>
            <w:vAlign w:val="bottom"/>
            <w:gridSpan w:val="2"/>
          </w:tcPr>
          <w:p>
            <w:pPr>
              <w:spacing w:after="0" w:line="93" w:lineRule="exact"/>
              <w:rPr>
                <w:sz w:val="20"/>
                <w:szCs w:val="20"/>
                <w:color w:val="auto"/>
              </w:rPr>
            </w:pPr>
            <w:r>
              <w:rPr>
                <w:rFonts w:ascii="Arial" w:cs="Arial" w:eastAsia="Arial" w:hAnsi="Arial"/>
                <w:sz w:val="10"/>
                <w:szCs w:val="10"/>
                <w:color w:val="auto"/>
              </w:rPr>
              <w:t>William B. Shepro</w:t>
            </w:r>
          </w:p>
        </w:tc>
        <w:tc>
          <w:tcPr>
            <w:tcW w:w="40" w:type="dxa"/>
            <w:vAlign w:val="bottom"/>
            <w:tcBorders>
              <w:right w:val="single" w:sz="8" w:color="CCEEFF"/>
            </w:tcBorders>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gridSpan w:val="2"/>
            <w:shd w:val="clear" w:color="auto" w:fill="CCEEFF"/>
          </w:tcPr>
          <w:p>
            <w:pPr>
              <w:ind w:left="100"/>
              <w:spacing w:after="0" w:line="93" w:lineRule="exact"/>
              <w:rPr>
                <w:sz w:val="20"/>
                <w:szCs w:val="20"/>
                <w:color w:val="auto"/>
              </w:rPr>
            </w:pPr>
            <w:r>
              <w:rPr>
                <w:rFonts w:ascii="Arial" w:cs="Arial" w:eastAsia="Arial" w:hAnsi="Arial"/>
                <w:sz w:val="10"/>
                <w:szCs w:val="10"/>
                <w:color w:val="auto"/>
              </w:rPr>
              <w:t>​</w:t>
            </w:r>
          </w:p>
        </w:tc>
        <w:tc>
          <w:tcPr>
            <w:tcW w:w="480" w:type="dxa"/>
            <w:vAlign w:val="bottom"/>
            <w:vMerge w:val="continue"/>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20" w:type="dxa"/>
            <w:vAlign w:val="bottom"/>
            <w:tcBorders>
              <w:left w:val="single" w:sz="8" w:color="CCEEFF"/>
            </w:tcBorders>
            <w:shd w:val="clear" w:color="auto" w:fill="CCEEFF"/>
          </w:tcPr>
          <w:p>
            <w:pPr>
              <w:spacing w:after="0"/>
              <w:rPr>
                <w:sz w:val="8"/>
                <w:szCs w:val="8"/>
                <w:color w:val="auto"/>
              </w:rPr>
            </w:pPr>
          </w:p>
        </w:tc>
        <w:tc>
          <w:tcPr>
            <w:tcW w:w="920" w:type="dxa"/>
            <w:vAlign w:val="bottom"/>
            <w:gridSpan w:val="2"/>
            <w:shd w:val="clear" w:color="auto" w:fill="CCEEFF"/>
          </w:tcPr>
          <w:p>
            <w:pPr>
              <w:jc w:val="center"/>
              <w:spacing w:after="0" w:line="93" w:lineRule="exact"/>
              <w:rPr>
                <w:sz w:val="20"/>
                <w:szCs w:val="20"/>
                <w:color w:val="auto"/>
              </w:rPr>
            </w:pPr>
            <w:r>
              <w:rPr>
                <w:rFonts w:ascii="Arial" w:cs="Arial" w:eastAsia="Arial" w:hAnsi="Arial"/>
                <w:sz w:val="10"/>
                <w:szCs w:val="10"/>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240" w:type="dxa"/>
            <w:vAlign w:val="bottom"/>
            <w:tcBorders>
              <w:left w:val="single" w:sz="8" w:color="CCEEFF"/>
            </w:tcBorders>
            <w:shd w:val="clear" w:color="auto" w:fill="CCEEFF"/>
          </w:tcPr>
          <w:p>
            <w:pPr>
              <w:ind w:left="180"/>
              <w:spacing w:after="0" w:line="93" w:lineRule="exact"/>
              <w:rPr>
                <w:sz w:val="20"/>
                <w:szCs w:val="20"/>
                <w:color w:val="auto"/>
              </w:rPr>
            </w:pPr>
            <w:r>
              <w:rPr>
                <w:rFonts w:ascii="Arial" w:cs="Arial" w:eastAsia="Arial" w:hAnsi="Arial"/>
                <w:sz w:val="10"/>
                <w:szCs w:val="10"/>
                <w:color w:val="auto"/>
              </w:rPr>
              <w:t>​</w:t>
            </w:r>
          </w:p>
        </w:tc>
        <w:tc>
          <w:tcPr>
            <w:tcW w:w="380" w:type="dxa"/>
            <w:vAlign w:val="bottom"/>
            <w:vMerge w:val="continue"/>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gridSpan w:val="3"/>
            <w:shd w:val="clear" w:color="auto" w:fill="CCEEFF"/>
          </w:tcPr>
          <w:p>
            <w:pPr>
              <w:ind w:left="40"/>
              <w:spacing w:after="0" w:line="93" w:lineRule="exact"/>
              <w:rPr>
                <w:sz w:val="20"/>
                <w:szCs w:val="20"/>
                <w:color w:val="auto"/>
              </w:rPr>
            </w:pPr>
            <w:r>
              <w:rPr>
                <w:rFonts w:ascii="Arial" w:cs="Arial" w:eastAsia="Arial" w:hAnsi="Arial"/>
                <w:sz w:val="10"/>
                <w:szCs w:val="10"/>
                <w:color w:val="auto"/>
              </w:rPr>
              <w:t>$18.79</w:t>
            </w:r>
          </w:p>
        </w:tc>
        <w:tc>
          <w:tcPr>
            <w:tcW w:w="100" w:type="dxa"/>
            <w:vAlign w:val="bottom"/>
            <w:shd w:val="clear" w:color="auto" w:fill="CCEEFF"/>
          </w:tcPr>
          <w:p>
            <w:pPr>
              <w:spacing w:after="0"/>
              <w:rPr>
                <w:sz w:val="8"/>
                <w:szCs w:val="8"/>
                <w:color w:val="auto"/>
              </w:rPr>
            </w:pPr>
          </w:p>
        </w:tc>
        <w:tc>
          <w:tcPr>
            <w:tcW w:w="740" w:type="dxa"/>
            <w:vAlign w:val="bottom"/>
            <w:tcBorders>
              <w:left w:val="single" w:sz="8" w:color="CCEEFF"/>
            </w:tcBorders>
            <w:gridSpan w:val="2"/>
            <w:shd w:val="clear" w:color="auto" w:fill="CCEEFF"/>
          </w:tcPr>
          <w:p>
            <w:pPr>
              <w:jc w:val="right"/>
              <w:spacing w:after="0" w:line="93" w:lineRule="exact"/>
              <w:rPr>
                <w:sz w:val="20"/>
                <w:szCs w:val="20"/>
                <w:color w:val="auto"/>
              </w:rPr>
            </w:pPr>
            <w:r>
              <w:rPr>
                <w:rFonts w:ascii="Arial" w:cs="Arial" w:eastAsia="Arial" w:hAnsi="Arial"/>
                <w:sz w:val="10"/>
                <w:szCs w:val="10"/>
                <w:color w:val="auto"/>
              </w:rPr>
              <w:t>​ 4/15/2025</w:t>
            </w:r>
          </w:p>
        </w:tc>
        <w:tc>
          <w:tcPr>
            <w:tcW w:w="80" w:type="dxa"/>
            <w:vAlign w:val="bottom"/>
            <w:shd w:val="clear" w:color="auto" w:fill="CCEEFF"/>
          </w:tcPr>
          <w:p>
            <w:pPr>
              <w:spacing w:after="0"/>
              <w:rPr>
                <w:sz w:val="8"/>
                <w:szCs w:val="8"/>
                <w:color w:val="auto"/>
              </w:rPr>
            </w:pPr>
          </w:p>
        </w:tc>
        <w:tc>
          <w:tcPr>
            <w:tcW w:w="380" w:type="dxa"/>
            <w:vAlign w:val="bottom"/>
            <w:tcBorders>
              <w:left w:val="single" w:sz="8" w:color="CCEEFF"/>
            </w:tcBorders>
            <w:shd w:val="clear" w:color="auto" w:fill="CCEEFF"/>
          </w:tcPr>
          <w:p>
            <w:pPr>
              <w:ind w:left="200"/>
              <w:spacing w:after="0" w:line="93" w:lineRule="exact"/>
              <w:rPr>
                <w:sz w:val="20"/>
                <w:szCs w:val="20"/>
                <w:color w:val="auto"/>
              </w:rPr>
            </w:pPr>
            <w:r>
              <w:rPr>
                <w:rFonts w:ascii="Arial" w:cs="Arial" w:eastAsia="Arial" w:hAnsi="Arial"/>
                <w:sz w:val="10"/>
                <w:szCs w:val="10"/>
                <w:color w:val="auto"/>
              </w:rPr>
              <w:t>​</w:t>
            </w:r>
          </w:p>
        </w:tc>
        <w:tc>
          <w:tcPr>
            <w:tcW w:w="260" w:type="dxa"/>
            <w:vAlign w:val="bottom"/>
            <w:vMerge w:val="continue"/>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600" w:type="dxa"/>
            <w:vAlign w:val="bottom"/>
            <w:tcBorders>
              <w:right w:val="single" w:sz="8" w:color="CCEEFF"/>
            </w:tcBorders>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left w:val="single" w:sz="8" w:color="CCEEFF"/>
            </w:tcBorders>
            <w:shd w:val="clear" w:color="auto" w:fill="CCEEFF"/>
          </w:tcPr>
          <w:p>
            <w:pPr>
              <w:ind w:left="120"/>
              <w:spacing w:after="0" w:line="93" w:lineRule="exact"/>
              <w:rPr>
                <w:sz w:val="20"/>
                <w:szCs w:val="20"/>
                <w:color w:val="auto"/>
              </w:rPr>
            </w:pPr>
            <w:r>
              <w:rPr>
                <w:rFonts w:ascii="Arial" w:cs="Arial" w:eastAsia="Arial" w:hAnsi="Arial"/>
                <w:sz w:val="10"/>
                <w:szCs w:val="10"/>
                <w:color w:val="auto"/>
              </w:rPr>
              <w:t>​</w:t>
            </w:r>
          </w:p>
        </w:tc>
        <w:tc>
          <w:tcPr>
            <w:tcW w:w="400" w:type="dxa"/>
            <w:vAlign w:val="bottom"/>
            <w:vMerge w:val="continue"/>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560" w:type="dxa"/>
            <w:vAlign w:val="bottom"/>
            <w:tcBorders>
              <w:right w:val="single" w:sz="8" w:color="CCEEFF"/>
            </w:tcBorders>
            <w:vMerge w:val="continue"/>
            <w:shd w:val="clear" w:color="auto" w:fill="CCEEFF"/>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center"/>
              <w:ind w:right="89"/>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0"/>
                <w:szCs w:val="10"/>
                <w:color w:val="auto"/>
              </w:rPr>
            </w:pPr>
          </w:p>
        </w:tc>
        <w:tc>
          <w:tcPr>
            <w:tcW w:w="8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6"/>
                <w:szCs w:val="6"/>
                <w:color w:val="auto"/>
              </w:rPr>
            </w:pPr>
          </w:p>
        </w:tc>
        <w:tc>
          <w:tcPr>
            <w:tcW w:w="720" w:type="dxa"/>
            <w:vAlign w:val="bottom"/>
            <w:gridSpan w:val="3"/>
          </w:tcPr>
          <w:p>
            <w:pPr>
              <w:spacing w:after="0" w:line="80" w:lineRule="exact"/>
              <w:rPr>
                <w:sz w:val="20"/>
                <w:szCs w:val="20"/>
                <w:color w:val="auto"/>
              </w:rPr>
            </w:pPr>
            <w:r>
              <w:rPr>
                <w:rFonts w:ascii="Arial" w:cs="Arial" w:eastAsia="Arial" w:hAnsi="Arial"/>
                <w:sz w:val="9"/>
                <w:szCs w:val="9"/>
                <w:color w:val="auto"/>
              </w:rPr>
              <w:t>​200,000</w:t>
            </w:r>
          </w:p>
        </w:tc>
        <w:tc>
          <w:tcPr>
            <w:tcW w:w="120" w:type="dxa"/>
            <w:vAlign w:val="bottom"/>
          </w:tcPr>
          <w:p>
            <w:pPr>
              <w:spacing w:after="0"/>
              <w:rPr>
                <w:sz w:val="6"/>
                <w:szCs w:val="6"/>
                <w:color w:val="auto"/>
              </w:rPr>
            </w:pPr>
          </w:p>
        </w:tc>
        <w:tc>
          <w:tcPr>
            <w:tcW w:w="920" w:type="dxa"/>
            <w:vAlign w:val="bottom"/>
            <w:gridSpan w:val="2"/>
          </w:tcPr>
          <w:p>
            <w:pPr>
              <w:jc w:val="center"/>
              <w:spacing w:after="0" w:line="80"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6"/>
                <w:szCs w:val="6"/>
                <w:color w:val="auto"/>
              </w:rPr>
            </w:pPr>
          </w:p>
        </w:tc>
        <w:tc>
          <w:tcPr>
            <w:tcW w:w="240" w:type="dxa"/>
            <w:vAlign w:val="bottom"/>
          </w:tcPr>
          <w:p>
            <w:pPr>
              <w:ind w:left="180"/>
              <w:spacing w:after="0" w:line="80" w:lineRule="exact"/>
              <w:rPr>
                <w:sz w:val="20"/>
                <w:szCs w:val="20"/>
                <w:color w:val="auto"/>
              </w:rPr>
            </w:pPr>
            <w:r>
              <w:rPr>
                <w:rFonts w:ascii="Arial" w:cs="Arial" w:eastAsia="Arial" w:hAnsi="Arial"/>
                <w:sz w:val="9"/>
                <w:szCs w:val="9"/>
                <w:color w:val="auto"/>
              </w:rPr>
              <w:t>​</w:t>
            </w:r>
          </w:p>
        </w:tc>
        <w:tc>
          <w:tcPr>
            <w:tcW w:w="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gridSpan w:val="3"/>
          </w:tcPr>
          <w:p>
            <w:pPr>
              <w:ind w:left="40"/>
              <w:spacing w:after="0" w:line="80" w:lineRule="exact"/>
              <w:rPr>
                <w:sz w:val="20"/>
                <w:szCs w:val="20"/>
                <w:color w:val="auto"/>
              </w:rPr>
            </w:pPr>
            <w:r>
              <w:rPr>
                <w:rFonts w:ascii="Arial" w:cs="Arial" w:eastAsia="Arial" w:hAnsi="Arial"/>
                <w:sz w:val="9"/>
                <w:szCs w:val="9"/>
                <w:color w:val="auto"/>
              </w:rPr>
              <w:t>$24.82</w:t>
            </w:r>
          </w:p>
        </w:tc>
        <w:tc>
          <w:tcPr>
            <w:tcW w:w="100" w:type="dxa"/>
            <w:vAlign w:val="bottom"/>
          </w:tcPr>
          <w:p>
            <w:pPr>
              <w:spacing w:after="0"/>
              <w:rPr>
                <w:sz w:val="6"/>
                <w:szCs w:val="6"/>
                <w:color w:val="auto"/>
              </w:rPr>
            </w:pPr>
          </w:p>
        </w:tc>
        <w:tc>
          <w:tcPr>
            <w:tcW w:w="740" w:type="dxa"/>
            <w:vAlign w:val="bottom"/>
            <w:gridSpan w:val="2"/>
          </w:tcPr>
          <w:p>
            <w:pPr>
              <w:jc w:val="right"/>
              <w:spacing w:after="0" w:line="80" w:lineRule="exact"/>
              <w:rPr>
                <w:sz w:val="20"/>
                <w:szCs w:val="20"/>
                <w:color w:val="auto"/>
              </w:rPr>
            </w:pPr>
            <w:r>
              <w:rPr>
                <w:rFonts w:ascii="Arial" w:cs="Arial" w:eastAsia="Arial" w:hAnsi="Arial"/>
                <w:sz w:val="9"/>
                <w:szCs w:val="9"/>
                <w:color w:val="auto"/>
              </w:rPr>
              <w:t>​ 2/12/2028</w:t>
            </w:r>
          </w:p>
        </w:tc>
        <w:tc>
          <w:tcPr>
            <w:tcW w:w="80" w:type="dxa"/>
            <w:vAlign w:val="bottom"/>
          </w:tcPr>
          <w:p>
            <w:pPr>
              <w:spacing w:after="0"/>
              <w:rPr>
                <w:sz w:val="6"/>
                <w:szCs w:val="6"/>
                <w:color w:val="auto"/>
              </w:rPr>
            </w:pPr>
          </w:p>
        </w:tc>
        <w:tc>
          <w:tcPr>
            <w:tcW w:w="380" w:type="dxa"/>
            <w:vAlign w:val="bottom"/>
          </w:tcPr>
          <w:p>
            <w:pPr>
              <w:ind w:left="200"/>
              <w:spacing w:after="0" w:line="80" w:lineRule="exact"/>
              <w:rPr>
                <w:sz w:val="20"/>
                <w:szCs w:val="20"/>
                <w:color w:val="auto"/>
              </w:rPr>
            </w:pPr>
            <w:r>
              <w:rPr>
                <w:rFonts w:ascii="Arial" w:cs="Arial" w:eastAsia="Arial" w:hAnsi="Arial"/>
                <w:sz w:val="9"/>
                <w:szCs w:val="9"/>
                <w:color w:val="auto"/>
              </w:rPr>
              <w:t>​</w:t>
            </w:r>
          </w:p>
        </w:tc>
        <w:tc>
          <w:tcPr>
            <w:tcW w:w="2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ind w:left="120"/>
              <w:spacing w:after="0" w:line="80" w:lineRule="exact"/>
              <w:rPr>
                <w:sz w:val="20"/>
                <w:szCs w:val="20"/>
                <w:color w:val="auto"/>
              </w:rPr>
            </w:pPr>
            <w:r>
              <w:rPr>
                <w:rFonts w:ascii="Arial" w:cs="Arial" w:eastAsia="Arial" w:hAnsi="Arial"/>
                <w:sz w:val="9"/>
                <w:szCs w:val="9"/>
                <w:color w:val="auto"/>
              </w:rPr>
              <w:t>​</w:t>
            </w:r>
          </w:p>
        </w:tc>
        <w:tc>
          <w:tcPr>
            <w:tcW w:w="4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center"/>
              <w:ind w:right="89"/>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shd w:val="clear" w:color="auto" w:fill="CCEEFF"/>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(6)</w:t>
            </w:r>
          </w:p>
        </w:tc>
        <w:tc>
          <w:tcPr>
            <w:tcW w:w="1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spacing w:after="0"/>
              <w:rPr>
                <w:sz w:val="4"/>
                <w:szCs w:val="4"/>
                <w:color w:val="auto"/>
              </w:rPr>
            </w:pPr>
          </w:p>
        </w:tc>
        <w:tc>
          <w:tcPr>
            <w:tcW w:w="920" w:type="dxa"/>
            <w:vAlign w:val="bottom"/>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Borders>
              <w:right w:val="single" w:sz="8" w:color="CCEEFF"/>
            </w:tcBorders>
            <w:shd w:val="clear" w:color="auto" w:fill="CCEEFF"/>
          </w:tcPr>
          <w:p>
            <w:pPr>
              <w:spacing w:after="0"/>
              <w:rPr>
                <w:sz w:val="4"/>
                <w:szCs w:val="4"/>
                <w:color w:val="auto"/>
              </w:rPr>
            </w:pPr>
          </w:p>
        </w:tc>
        <w:tc>
          <w:tcPr>
            <w:tcW w:w="240" w:type="dxa"/>
            <w:vAlign w:val="bottom"/>
            <w:tcBorders>
              <w:left w:val="single" w:sz="8" w:color="CCEEFF"/>
            </w:tcBorders>
            <w:shd w:val="clear" w:color="auto" w:fill="CCEEFF"/>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8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tcBorders>
              <w:left w:val="single" w:sz="8" w:color="CCEEFF"/>
            </w:tcBorders>
            <w:gridSpan w:val="2"/>
            <w:shd w:val="clear" w:color="auto" w:fill="CCEEFF"/>
          </w:tcPr>
          <w:p>
            <w:pPr>
              <w:ind w:left="120"/>
              <w:spacing w:after="0" w:line="57" w:lineRule="exact"/>
              <w:rPr>
                <w:sz w:val="20"/>
                <w:szCs w:val="20"/>
                <w:color w:val="auto"/>
              </w:rPr>
            </w:pPr>
            <w:r>
              <w:rPr>
                <w:rFonts w:ascii="Arial" w:cs="Arial" w:eastAsia="Arial" w:hAnsi="Arial"/>
                <w:sz w:val="6"/>
                <w:szCs w:val="6"/>
                <w:color w:val="auto"/>
              </w:rPr>
              <w:t>​32,880</w:t>
            </w:r>
          </w:p>
        </w:tc>
        <w:tc>
          <w:tcPr>
            <w:tcW w:w="16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tcBorders>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$ 311,045</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left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(7)</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spacing w:after="0"/>
              <w:rPr>
                <w:sz w:val="4"/>
                <w:szCs w:val="4"/>
                <w:color w:val="auto"/>
              </w:rPr>
            </w:pPr>
          </w:p>
        </w:tc>
        <w:tc>
          <w:tcPr>
            <w:tcW w:w="920" w:type="dxa"/>
            <w:vAlign w:val="bottom"/>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Borders>
              <w:right w:val="single" w:sz="8" w:color="CCEEFF"/>
            </w:tcBorders>
            <w:shd w:val="clear" w:color="auto" w:fill="CCEEFF"/>
          </w:tcPr>
          <w:p>
            <w:pPr>
              <w:spacing w:after="0"/>
              <w:rPr>
                <w:sz w:val="4"/>
                <w:szCs w:val="4"/>
                <w:color w:val="auto"/>
              </w:rPr>
            </w:pPr>
          </w:p>
        </w:tc>
        <w:tc>
          <w:tcPr>
            <w:tcW w:w="240" w:type="dxa"/>
            <w:vAlign w:val="bottom"/>
            <w:tcBorders>
              <w:left w:val="single" w:sz="8" w:color="CCEEFF"/>
            </w:tcBorders>
            <w:shd w:val="clear" w:color="auto" w:fill="CCEEFF"/>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8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tcBorders>
              <w:left w:val="single" w:sz="8" w:color="CCEEFF"/>
            </w:tcBorders>
            <w:gridSpan w:val="2"/>
            <w:shd w:val="clear" w:color="auto" w:fill="CCEEFF"/>
          </w:tcPr>
          <w:p>
            <w:pPr>
              <w:ind w:left="120"/>
              <w:spacing w:after="0" w:line="57" w:lineRule="exact"/>
              <w:rPr>
                <w:sz w:val="20"/>
                <w:szCs w:val="20"/>
                <w:color w:val="auto"/>
              </w:rPr>
            </w:pPr>
            <w:r>
              <w:rPr>
                <w:rFonts w:ascii="Arial" w:cs="Arial" w:eastAsia="Arial" w:hAnsi="Arial"/>
                <w:sz w:val="6"/>
                <w:szCs w:val="6"/>
                <w:color w:val="auto"/>
              </w:rPr>
              <w:t>​10,960</w:t>
            </w:r>
          </w:p>
        </w:tc>
        <w:tc>
          <w:tcPr>
            <w:tcW w:w="16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tcBorders>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$103,682</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left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(8)</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9"/>
        </w:trPr>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CCEEFF"/>
            </w:tcBorders>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left w:val="single" w:sz="8" w:color="CCEEFF"/>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240" w:type="dxa"/>
            <w:vAlign w:val="bottom"/>
            <w:tcBorders>
              <w:left w:val="single" w:sz="8" w:color="CCEEFF"/>
              <w:bottom w:val="single" w:sz="8" w:color="CCEEFF"/>
            </w:tcBorders>
            <w:shd w:val="clear" w:color="auto" w:fill="CCEEFF"/>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8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80" w:type="dxa"/>
            <w:vAlign w:val="bottom"/>
            <w:tcBorders>
              <w:left w:val="single" w:sz="8" w:color="CCEEFF"/>
              <w:bottom w:val="single" w:sz="8" w:color="CCEEFF"/>
            </w:tcBorders>
            <w:gridSpan w:val="2"/>
            <w:shd w:val="clear" w:color="auto" w:fill="CCEEFF"/>
          </w:tcPr>
          <w:p>
            <w:pPr>
              <w:ind w:left="120"/>
              <w:spacing w:after="0" w:line="57" w:lineRule="exact"/>
              <w:rPr>
                <w:sz w:val="20"/>
                <w:szCs w:val="20"/>
                <w:color w:val="auto"/>
              </w:rPr>
            </w:pPr>
            <w:r>
              <w:rPr>
                <w:rFonts w:ascii="Arial" w:cs="Arial" w:eastAsia="Arial" w:hAnsi="Arial"/>
                <w:sz w:val="6"/>
                <w:szCs w:val="6"/>
                <w:color w:val="auto"/>
              </w:rPr>
              <w:t>​40,000</w:t>
            </w: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CCEEFF"/>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$378,400</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center"/>
              <w:ind w:right="89"/>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220" w:type="dxa"/>
            <w:vAlign w:val="bottom"/>
          </w:tcPr>
          <w:p>
            <w:pPr>
              <w:spacing w:after="0"/>
              <w:rPr>
                <w:sz w:val="20"/>
                <w:szCs w:val="20"/>
                <w:color w:val="auto"/>
              </w:rPr>
            </w:pPr>
            <w:r>
              <w:rPr>
                <w:rFonts w:ascii="Arial" w:cs="Arial" w:eastAsia="Arial" w:hAnsi="Arial"/>
                <w:sz w:val="9"/>
                <w:szCs w:val="9"/>
                <w:color w:val="auto"/>
              </w:rPr>
              <w:t>(9)</w:t>
            </w: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6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22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 3,333</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$ 31,530</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(22)</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​12,599</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$ 119,187</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center"/>
              <w:ind w:left="167"/>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(20)</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jc w:val="center"/>
              <w:ind w:left="327"/>
              <w:spacing w:after="0" w:line="57"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 4,800</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$ 45,408</w:t>
            </w: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80" w:type="dxa"/>
            <w:vAlign w:val="bottom"/>
            <w:vMerge w:val="restart"/>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vMerge w:val="restart"/>
          </w:tcPr>
          <w:p>
            <w:pPr>
              <w:jc w:val="center"/>
              <w:ind w:left="167"/>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shd w:val="clear" w:color="auto" w:fill="CCEEFF"/>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8"/>
                <w:szCs w:val="8"/>
                <w:color w:val="auto"/>
              </w:rPr>
              <w:t>(21)</w:t>
            </w:r>
            <w:r>
              <w:rPr>
                <w:rFonts w:ascii="Arial" w:cs="Arial" w:eastAsia="Arial" w:hAnsi="Arial"/>
                <w:sz w:val="13"/>
                <w:szCs w:val="13"/>
                <w:color w:val="auto"/>
              </w:rPr>
              <w:t>​​ ​</w:t>
            </w:r>
          </w:p>
        </w:tc>
        <w:tc>
          <w:tcPr>
            <w:tcW w:w="140" w:type="dxa"/>
            <w:vAlign w:val="bottom"/>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CCEEFF"/>
            </w:tcBorders>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jc w:val="center"/>
              <w:ind w:left="327"/>
              <w:spacing w:after="0" w:line="57"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240" w:type="dxa"/>
            <w:vAlign w:val="bottom"/>
            <w:tcBorders>
              <w:left w:val="single" w:sz="8" w:color="CCEEFF"/>
              <w:bottom w:val="single" w:sz="8" w:color="CCEEFF"/>
            </w:tcBorders>
            <w:shd w:val="clear" w:color="auto" w:fill="CCEEFF"/>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8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80" w:type="dxa"/>
            <w:vAlign w:val="bottom"/>
            <w:tcBorders>
              <w:left w:val="single" w:sz="8" w:color="CCEEFF"/>
              <w:bottom w:val="single" w:sz="8" w:color="CCEEFF"/>
            </w:tcBorders>
            <w:gridSpan w:val="2"/>
            <w:shd w:val="clear" w:color="auto" w:fill="CCEEFF"/>
          </w:tcPr>
          <w:p>
            <w:pPr>
              <w:ind w:left="120"/>
              <w:spacing w:after="0" w:line="57" w:lineRule="exact"/>
              <w:rPr>
                <w:sz w:val="20"/>
                <w:szCs w:val="20"/>
                <w:color w:val="auto"/>
              </w:rPr>
            </w:pPr>
            <w:r>
              <w:rPr>
                <w:rFonts w:ascii="Arial" w:cs="Arial" w:eastAsia="Arial" w:hAnsi="Arial"/>
                <w:sz w:val="6"/>
                <w:szCs w:val="6"/>
                <w:color w:val="auto"/>
              </w:rPr>
              <w:t>​ 8,400</w:t>
            </w: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CCEEFF"/>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$ 79,464</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540" w:type="dxa"/>
            <w:vAlign w:val="bottom"/>
          </w:tcPr>
          <w:p>
            <w:pPr>
              <w:jc w:val="center"/>
              <w:ind w:left="167"/>
              <w:spacing w:after="0" w:line="119"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0"/>
                <w:szCs w:val="10"/>
                <w:color w:val="auto"/>
              </w:rPr>
            </w:pPr>
          </w:p>
        </w:tc>
        <w:tc>
          <w:tcPr>
            <w:tcW w:w="140" w:type="dxa"/>
            <w:vAlign w:val="bottom"/>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320" w:type="dxa"/>
            <w:vAlign w:val="bottom"/>
            <w:gridSpan w:val="2"/>
          </w:tcPr>
          <w:p>
            <w:pPr>
              <w:jc w:val="right"/>
              <w:spacing w:after="0" w:line="119" w:lineRule="exact"/>
              <w:rPr>
                <w:sz w:val="20"/>
                <w:szCs w:val="20"/>
                <w:color w:val="auto"/>
              </w:rPr>
            </w:pPr>
            <w:r>
              <w:rPr>
                <w:rFonts w:ascii="Arial" w:cs="Arial" w:eastAsia="Arial" w:hAnsi="Arial"/>
                <w:sz w:val="8"/>
                <w:szCs w:val="8"/>
                <w:color w:val="auto"/>
              </w:rPr>
              <w:t>(25)</w:t>
            </w:r>
            <w:r>
              <w:rPr>
                <w:rFonts w:ascii="Arial" w:cs="Arial" w:eastAsia="Arial" w:hAnsi="Arial"/>
                <w:sz w:val="13"/>
                <w:szCs w:val="13"/>
                <w:color w:val="auto"/>
              </w:rPr>
              <w:t>​​ ​</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jc w:val="center"/>
              <w:ind w:left="327"/>
              <w:spacing w:after="0" w:line="57"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​40,974</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$387,614</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center"/>
              <w:ind w:left="167"/>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(24)</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jc w:val="center"/>
              <w:ind w:left="327"/>
              <w:spacing w:after="0" w:line="57"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​53,882</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$509,724</w:t>
            </w: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80" w:type="dxa"/>
            <w:vAlign w:val="bottom"/>
            <w:vMerge w:val="restart"/>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vMerge w:val="restart"/>
          </w:tcPr>
          <w:p>
            <w:pPr>
              <w:jc w:val="center"/>
              <w:ind w:left="167"/>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spacing w:after="0" w:line="20" w:lineRule="exact"/>
              <w:rPr>
                <w:sz w:val="1"/>
                <w:szCs w:val="1"/>
                <w:color w:val="auto"/>
              </w:rPr>
            </w:pPr>
          </w:p>
        </w:tc>
        <w:tc>
          <w:tcPr>
            <w:tcW w:w="140" w:type="dxa"/>
            <w:vAlign w:val="bottom"/>
            <w:vMerge w:val="restart"/>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4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shd w:val="clear" w:color="auto" w:fill="CCEEFF"/>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(25)</w:t>
            </w:r>
          </w:p>
        </w:tc>
        <w:tc>
          <w:tcPr>
            <w:tcW w:w="1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CCEEFF"/>
            </w:tcBorders>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jc w:val="center"/>
              <w:ind w:left="327"/>
              <w:spacing w:after="0" w:line="57"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left w:val="single" w:sz="8" w:color="CCEEFF"/>
              <w:bottom w:val="single" w:sz="8" w:color="CCEEFF"/>
            </w:tcBorders>
            <w:shd w:val="clear" w:color="auto" w:fill="CCEEFF"/>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40" w:type="dxa"/>
            <w:vAlign w:val="bottom"/>
            <w:tcBorders>
              <w:left w:val="single" w:sz="8" w:color="CCEEFF"/>
              <w:bottom w:val="single" w:sz="8" w:color="CCEEFF"/>
            </w:tcBorders>
            <w:gridSpan w:val="2"/>
            <w:shd w:val="clear" w:color="auto" w:fill="CCEEFF"/>
          </w:tcPr>
          <w:p>
            <w:pPr>
              <w:ind w:left="200"/>
              <w:spacing w:after="0" w:line="57" w:lineRule="exact"/>
              <w:rPr>
                <w:sz w:val="20"/>
                <w:szCs w:val="20"/>
                <w:color w:val="auto"/>
              </w:rPr>
            </w:pPr>
            <w:r>
              <w:rPr>
                <w:rFonts w:ascii="Arial" w:cs="Arial" w:eastAsia="Arial" w:hAnsi="Arial"/>
                <w:sz w:val="6"/>
                <w:szCs w:val="6"/>
                <w:color w:val="auto"/>
              </w:rPr>
              <w:t>​40,975</w:t>
            </w: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right w:val="single" w:sz="8" w:color="CCEEFF"/>
            </w:tcBorders>
            <w:gridSpan w:val="3"/>
            <w:shd w:val="clear" w:color="auto" w:fill="CCEEFF"/>
          </w:tcPr>
          <w:p>
            <w:pPr>
              <w:ind w:left="120"/>
              <w:spacing w:after="0" w:line="57" w:lineRule="exact"/>
              <w:rPr>
                <w:sz w:val="20"/>
                <w:szCs w:val="20"/>
                <w:color w:val="auto"/>
              </w:rPr>
            </w:pPr>
            <w:r>
              <w:rPr>
                <w:rFonts w:ascii="Arial" w:cs="Arial" w:eastAsia="Arial" w:hAnsi="Arial"/>
                <w:sz w:val="6"/>
                <w:szCs w:val="6"/>
                <w:color w:val="auto"/>
              </w:rPr>
              <w:t>$387,624</w:t>
            </w:r>
          </w:p>
        </w:tc>
        <w:tc>
          <w:tcPr>
            <w:tcW w:w="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left w:val="single" w:sz="8" w:color="CCEEFF"/>
              <w:bottom w:val="single" w:sz="8" w:color="CCEEFF"/>
            </w:tcBorders>
            <w:shd w:val="clear" w:color="auto" w:fill="CCEEFF"/>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1200" w:type="dxa"/>
            <w:vAlign w:val="bottom"/>
          </w:tcPr>
          <w:p>
            <w:pPr>
              <w:spacing w:after="0"/>
              <w:rPr>
                <w:sz w:val="10"/>
                <w:szCs w:val="10"/>
                <w:color w:val="auto"/>
              </w:rPr>
            </w:pPr>
          </w:p>
        </w:tc>
        <w:tc>
          <w:tcPr>
            <w:tcW w:w="8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13,400</w:t>
            </w:r>
          </w:p>
        </w:tc>
        <w:tc>
          <w:tcPr>
            <w:tcW w:w="160" w:type="dxa"/>
            <w:vAlign w:val="bottom"/>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center"/>
              <w:ind w:right="89"/>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0"/>
                <w:szCs w:val="10"/>
                <w:color w:val="auto"/>
              </w:rPr>
            </w:pPr>
          </w:p>
        </w:tc>
        <w:tc>
          <w:tcPr>
            <w:tcW w:w="8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70"/>
        </w:trPr>
        <w:tc>
          <w:tcPr>
            <w:tcW w:w="1480" w:type="dxa"/>
            <w:vAlign w:val="bottom"/>
            <w:gridSpan w:val="2"/>
          </w:tcPr>
          <w:p>
            <w:pPr>
              <w:spacing w:after="0" w:line="70" w:lineRule="exact"/>
              <w:rPr>
                <w:sz w:val="20"/>
                <w:szCs w:val="20"/>
                <w:color w:val="auto"/>
              </w:rPr>
            </w:pPr>
            <w:r>
              <w:rPr>
                <w:rFonts w:ascii="Arial" w:cs="Arial" w:eastAsia="Arial" w:hAnsi="Arial"/>
                <w:sz w:val="8"/>
                <w:szCs w:val="8"/>
                <w:color w:val="auto"/>
              </w:rPr>
              <w:t>Michelle D. Esterman</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gridSpan w:val="2"/>
          </w:tcPr>
          <w:p>
            <w:pPr>
              <w:ind w:left="100"/>
              <w:spacing w:after="0" w:line="70" w:lineRule="exact"/>
              <w:rPr>
                <w:sz w:val="20"/>
                <w:szCs w:val="20"/>
                <w:color w:val="auto"/>
              </w:rPr>
            </w:pPr>
            <w:r>
              <w:rPr>
                <w:rFonts w:ascii="Arial" w:cs="Arial" w:eastAsia="Arial" w:hAnsi="Arial"/>
                <w:sz w:val="8"/>
                <w:szCs w:val="8"/>
                <w:color w:val="auto"/>
              </w:rPr>
              <w:t>​</w:t>
            </w:r>
          </w:p>
        </w:tc>
        <w:tc>
          <w:tcPr>
            <w:tcW w:w="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tcPr>
          <w:p>
            <w:pPr>
              <w:jc w:val="center"/>
              <w:spacing w:after="0" w:line="7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6"/>
                <w:szCs w:val="6"/>
                <w:color w:val="auto"/>
              </w:rPr>
            </w:pPr>
          </w:p>
        </w:tc>
        <w:tc>
          <w:tcPr>
            <w:tcW w:w="240" w:type="dxa"/>
            <w:vAlign w:val="bottom"/>
          </w:tcPr>
          <w:p>
            <w:pPr>
              <w:ind w:left="180"/>
              <w:spacing w:after="0" w:line="70" w:lineRule="exact"/>
              <w:rPr>
                <w:sz w:val="20"/>
                <w:szCs w:val="20"/>
                <w:color w:val="auto"/>
              </w:rPr>
            </w:pPr>
            <w:r>
              <w:rPr>
                <w:rFonts w:ascii="Arial" w:cs="Arial" w:eastAsia="Arial" w:hAnsi="Arial"/>
                <w:sz w:val="8"/>
                <w:szCs w:val="8"/>
                <w:color w:val="auto"/>
              </w:rPr>
              <w:t>​</w:t>
            </w:r>
          </w:p>
        </w:tc>
        <w:tc>
          <w:tcPr>
            <w:tcW w:w="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gridSpan w:val="3"/>
          </w:tcPr>
          <w:p>
            <w:pPr>
              <w:ind w:left="40"/>
              <w:spacing w:after="0" w:line="70" w:lineRule="exact"/>
              <w:rPr>
                <w:sz w:val="20"/>
                <w:szCs w:val="20"/>
                <w:color w:val="auto"/>
              </w:rPr>
            </w:pPr>
            <w:r>
              <w:rPr>
                <w:rFonts w:ascii="Arial" w:cs="Arial" w:eastAsia="Arial" w:hAnsi="Arial"/>
                <w:sz w:val="8"/>
                <w:szCs w:val="8"/>
                <w:color w:val="auto"/>
              </w:rPr>
              <w:t>$18.79</w:t>
            </w:r>
          </w:p>
        </w:tc>
        <w:tc>
          <w:tcPr>
            <w:tcW w:w="100" w:type="dxa"/>
            <w:vAlign w:val="bottom"/>
          </w:tcPr>
          <w:p>
            <w:pPr>
              <w:spacing w:after="0"/>
              <w:rPr>
                <w:sz w:val="6"/>
                <w:szCs w:val="6"/>
                <w:color w:val="auto"/>
              </w:rPr>
            </w:pPr>
          </w:p>
        </w:tc>
        <w:tc>
          <w:tcPr>
            <w:tcW w:w="740" w:type="dxa"/>
            <w:vAlign w:val="bottom"/>
            <w:gridSpan w:val="2"/>
          </w:tcPr>
          <w:p>
            <w:pPr>
              <w:jc w:val="right"/>
              <w:spacing w:after="0" w:line="70" w:lineRule="exact"/>
              <w:rPr>
                <w:sz w:val="20"/>
                <w:szCs w:val="20"/>
                <w:color w:val="auto"/>
              </w:rPr>
            </w:pPr>
            <w:r>
              <w:rPr>
                <w:rFonts w:ascii="Arial" w:cs="Arial" w:eastAsia="Arial" w:hAnsi="Arial"/>
                <w:sz w:val="8"/>
                <w:szCs w:val="8"/>
                <w:color w:val="auto"/>
              </w:rPr>
              <w:t>​ 4/15/2025</w:t>
            </w:r>
          </w:p>
        </w:tc>
        <w:tc>
          <w:tcPr>
            <w:tcW w:w="80" w:type="dxa"/>
            <w:vAlign w:val="bottom"/>
          </w:tcPr>
          <w:p>
            <w:pPr>
              <w:spacing w:after="0"/>
              <w:rPr>
                <w:sz w:val="6"/>
                <w:szCs w:val="6"/>
                <w:color w:val="auto"/>
              </w:rPr>
            </w:pPr>
          </w:p>
        </w:tc>
        <w:tc>
          <w:tcPr>
            <w:tcW w:w="380" w:type="dxa"/>
            <w:vAlign w:val="bottom"/>
          </w:tcPr>
          <w:p>
            <w:pPr>
              <w:ind w:left="200"/>
              <w:spacing w:after="0" w:line="70" w:lineRule="exact"/>
              <w:rPr>
                <w:sz w:val="20"/>
                <w:szCs w:val="20"/>
                <w:color w:val="auto"/>
              </w:rPr>
            </w:pPr>
            <w:r>
              <w:rPr>
                <w:rFonts w:ascii="Arial" w:cs="Arial" w:eastAsia="Arial" w:hAnsi="Arial"/>
                <w:sz w:val="8"/>
                <w:szCs w:val="8"/>
                <w:color w:val="auto"/>
              </w:rPr>
              <w:t>​</w:t>
            </w:r>
          </w:p>
        </w:tc>
        <w:tc>
          <w:tcPr>
            <w:tcW w:w="2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ind w:left="120"/>
              <w:spacing w:after="0" w:line="70" w:lineRule="exact"/>
              <w:rPr>
                <w:sz w:val="20"/>
                <w:szCs w:val="20"/>
                <w:color w:val="auto"/>
              </w:rPr>
            </w:pPr>
            <w:r>
              <w:rPr>
                <w:rFonts w:ascii="Arial" w:cs="Arial" w:eastAsia="Arial" w:hAnsi="Arial"/>
                <w:sz w:val="8"/>
                <w:szCs w:val="8"/>
                <w:color w:val="auto"/>
              </w:rPr>
              <w:t>​</w:t>
            </w:r>
          </w:p>
        </w:tc>
        <w:tc>
          <w:tcPr>
            <w:tcW w:w="4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6,250</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3"/>
          </w:tcPr>
          <w:p>
            <w:pPr>
              <w:ind w:left="40"/>
              <w:spacing w:after="0" w:line="57" w:lineRule="exact"/>
              <w:rPr>
                <w:sz w:val="20"/>
                <w:szCs w:val="20"/>
                <w:color w:val="auto"/>
              </w:rPr>
            </w:pPr>
            <w:r>
              <w:rPr>
                <w:rFonts w:ascii="Arial" w:cs="Arial" w:eastAsia="Arial" w:hAnsi="Arial"/>
                <w:sz w:val="6"/>
                <w:szCs w:val="6"/>
                <w:color w:val="auto"/>
              </w:rPr>
              <w:t>$21.89</w:t>
            </w:r>
          </w:p>
        </w:tc>
        <w:tc>
          <w:tcPr>
            <w:tcW w:w="100" w:type="dxa"/>
            <w:vAlign w:val="bottom"/>
          </w:tcPr>
          <w:p>
            <w:pPr>
              <w:spacing w:after="0"/>
              <w:rPr>
                <w:sz w:val="4"/>
                <w:szCs w:val="4"/>
                <w:color w:val="auto"/>
              </w:rPr>
            </w:pPr>
          </w:p>
        </w:tc>
        <w:tc>
          <w:tcPr>
            <w:tcW w:w="740" w:type="dxa"/>
            <w:vAlign w:val="bottom"/>
            <w:gridSpan w:val="2"/>
          </w:tcPr>
          <w:p>
            <w:pPr>
              <w:jc w:val="right"/>
              <w:spacing w:after="0" w:line="57" w:lineRule="exact"/>
              <w:rPr>
                <w:sz w:val="20"/>
                <w:szCs w:val="20"/>
                <w:color w:val="auto"/>
              </w:rPr>
            </w:pPr>
            <w:r>
              <w:rPr>
                <w:rFonts w:ascii="Arial" w:cs="Arial" w:eastAsia="Arial" w:hAnsi="Arial"/>
                <w:sz w:val="6"/>
                <w:szCs w:val="6"/>
                <w:color w:val="auto"/>
              </w:rPr>
              <w:t>​ 2/10/2025</w:t>
            </w: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12,500</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3"/>
          </w:tcPr>
          <w:p>
            <w:pPr>
              <w:ind w:left="40"/>
              <w:spacing w:after="0" w:line="57" w:lineRule="exact"/>
              <w:rPr>
                <w:sz w:val="20"/>
                <w:szCs w:val="20"/>
                <w:color w:val="auto"/>
              </w:rPr>
            </w:pPr>
            <w:r>
              <w:rPr>
                <w:rFonts w:ascii="Arial" w:cs="Arial" w:eastAsia="Arial" w:hAnsi="Arial"/>
                <w:sz w:val="6"/>
                <w:szCs w:val="6"/>
                <w:color w:val="auto"/>
              </w:rPr>
              <w:t>$21.89</w:t>
            </w:r>
          </w:p>
        </w:tc>
        <w:tc>
          <w:tcPr>
            <w:tcW w:w="100" w:type="dxa"/>
            <w:vAlign w:val="bottom"/>
          </w:tcPr>
          <w:p>
            <w:pPr>
              <w:spacing w:after="0"/>
              <w:rPr>
                <w:sz w:val="4"/>
                <w:szCs w:val="4"/>
                <w:color w:val="auto"/>
              </w:rPr>
            </w:pPr>
          </w:p>
        </w:tc>
        <w:tc>
          <w:tcPr>
            <w:tcW w:w="740" w:type="dxa"/>
            <w:vAlign w:val="bottom"/>
            <w:gridSpan w:val="2"/>
          </w:tcPr>
          <w:p>
            <w:pPr>
              <w:jc w:val="right"/>
              <w:spacing w:after="0" w:line="57" w:lineRule="exact"/>
              <w:rPr>
                <w:sz w:val="20"/>
                <w:szCs w:val="20"/>
                <w:color w:val="auto"/>
              </w:rPr>
            </w:pPr>
            <w:r>
              <w:rPr>
                <w:rFonts w:ascii="Arial" w:cs="Arial" w:eastAsia="Arial" w:hAnsi="Arial"/>
                <w:sz w:val="6"/>
                <w:szCs w:val="6"/>
                <w:color w:val="auto"/>
              </w:rPr>
              <w:t>​ 2/10/2025</w:t>
            </w: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(10)</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620" w:type="dxa"/>
            <w:vAlign w:val="bottom"/>
            <w:gridSpan w:val="2"/>
          </w:tcPr>
          <w:p>
            <w:pPr>
              <w:ind w:left="180"/>
              <w:spacing w:after="0" w:line="57" w:lineRule="exact"/>
              <w:rPr>
                <w:sz w:val="20"/>
                <w:szCs w:val="20"/>
                <w:color w:val="auto"/>
              </w:rPr>
            </w:pPr>
            <w:r>
              <w:rPr>
                <w:rFonts w:ascii="Arial" w:cs="Arial" w:eastAsia="Arial" w:hAnsi="Arial"/>
                <w:sz w:val="6"/>
                <w:szCs w:val="6"/>
                <w:color w:val="auto"/>
              </w:rPr>
              <w:t>​ 6,250</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3"/>
          </w:tcPr>
          <w:p>
            <w:pPr>
              <w:ind w:left="40"/>
              <w:spacing w:after="0" w:line="57" w:lineRule="exact"/>
              <w:rPr>
                <w:sz w:val="20"/>
                <w:szCs w:val="20"/>
                <w:color w:val="auto"/>
              </w:rPr>
            </w:pPr>
            <w:r>
              <w:rPr>
                <w:rFonts w:ascii="Arial" w:cs="Arial" w:eastAsia="Arial" w:hAnsi="Arial"/>
                <w:sz w:val="6"/>
                <w:szCs w:val="6"/>
                <w:color w:val="auto"/>
              </w:rPr>
              <w:t>$21.89</w:t>
            </w:r>
          </w:p>
        </w:tc>
        <w:tc>
          <w:tcPr>
            <w:tcW w:w="100" w:type="dxa"/>
            <w:vAlign w:val="bottom"/>
          </w:tcPr>
          <w:p>
            <w:pPr>
              <w:spacing w:after="0"/>
              <w:rPr>
                <w:sz w:val="4"/>
                <w:szCs w:val="4"/>
                <w:color w:val="auto"/>
              </w:rPr>
            </w:pPr>
          </w:p>
        </w:tc>
        <w:tc>
          <w:tcPr>
            <w:tcW w:w="740" w:type="dxa"/>
            <w:vAlign w:val="bottom"/>
            <w:gridSpan w:val="2"/>
          </w:tcPr>
          <w:p>
            <w:pPr>
              <w:jc w:val="right"/>
              <w:spacing w:after="0" w:line="57" w:lineRule="exact"/>
              <w:rPr>
                <w:sz w:val="20"/>
                <w:szCs w:val="20"/>
                <w:color w:val="auto"/>
              </w:rPr>
            </w:pPr>
            <w:r>
              <w:rPr>
                <w:rFonts w:ascii="Arial" w:cs="Arial" w:eastAsia="Arial" w:hAnsi="Arial"/>
                <w:sz w:val="6"/>
                <w:szCs w:val="6"/>
                <w:color w:val="auto"/>
              </w:rPr>
              <w:t>​ 2/10/2025</w:t>
            </w: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17,316</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3"/>
          </w:tcPr>
          <w:p>
            <w:pPr>
              <w:ind w:left="40"/>
              <w:spacing w:after="0" w:line="57" w:lineRule="exact"/>
              <w:rPr>
                <w:sz w:val="20"/>
                <w:szCs w:val="20"/>
                <w:color w:val="auto"/>
              </w:rPr>
            </w:pPr>
            <w:r>
              <w:rPr>
                <w:rFonts w:ascii="Arial" w:cs="Arial" w:eastAsia="Arial" w:hAnsi="Arial"/>
                <w:sz w:val="6"/>
                <w:szCs w:val="6"/>
                <w:color w:val="auto"/>
              </w:rPr>
              <w:t>$24.82</w:t>
            </w:r>
          </w:p>
        </w:tc>
        <w:tc>
          <w:tcPr>
            <w:tcW w:w="100" w:type="dxa"/>
            <w:vAlign w:val="bottom"/>
          </w:tcPr>
          <w:p>
            <w:pPr>
              <w:spacing w:after="0"/>
              <w:rPr>
                <w:sz w:val="4"/>
                <w:szCs w:val="4"/>
                <w:color w:val="auto"/>
              </w:rPr>
            </w:pPr>
          </w:p>
        </w:tc>
        <w:tc>
          <w:tcPr>
            <w:tcW w:w="740" w:type="dxa"/>
            <w:vAlign w:val="bottom"/>
            <w:gridSpan w:val="2"/>
          </w:tcPr>
          <w:p>
            <w:pPr>
              <w:jc w:val="right"/>
              <w:spacing w:after="0" w:line="57" w:lineRule="exact"/>
              <w:rPr>
                <w:sz w:val="20"/>
                <w:szCs w:val="20"/>
                <w:color w:val="auto"/>
              </w:rPr>
            </w:pPr>
            <w:r>
              <w:rPr>
                <w:rFonts w:ascii="Arial" w:cs="Arial" w:eastAsia="Arial" w:hAnsi="Arial"/>
                <w:sz w:val="6"/>
                <w:szCs w:val="6"/>
                <w:color w:val="auto"/>
              </w:rPr>
              <w:t>​ 2/12/2028</w:t>
            </w: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(11)</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69,711</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 7,369</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gridSpan w:val="2"/>
          </w:tcPr>
          <w:p>
            <w:pPr>
              <w:ind w:left="80"/>
              <w:spacing w:after="0" w:line="57" w:lineRule="exact"/>
              <w:rPr>
                <w:sz w:val="20"/>
                <w:szCs w:val="20"/>
                <w:color w:val="auto"/>
              </w:rPr>
            </w:pPr>
            <w:r>
              <w:rPr>
                <w:rFonts w:ascii="Arial" w:cs="Arial" w:eastAsia="Arial" w:hAnsi="Arial"/>
                <w:sz w:val="6"/>
                <w:szCs w:val="6"/>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(12)</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23,234</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 2,456</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gridSpan w:val="2"/>
          </w:tcPr>
          <w:p>
            <w:pPr>
              <w:ind w:left="80"/>
              <w:spacing w:after="0" w:line="57" w:lineRule="exact"/>
              <w:rPr>
                <w:sz w:val="20"/>
                <w:szCs w:val="20"/>
                <w:color w:val="auto"/>
              </w:rPr>
            </w:pPr>
            <w:r>
              <w:rPr>
                <w:rFonts w:ascii="Arial" w:cs="Arial" w:eastAsia="Arial" w:hAnsi="Arial"/>
                <w:sz w:val="6"/>
                <w:szCs w:val="6"/>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(13)</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18,920</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 2,000</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gridSpan w:val="2"/>
          </w:tcPr>
          <w:p>
            <w:pPr>
              <w:ind w:left="120"/>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9"/>
                <w:szCs w:val="9"/>
                <w:color w:val="auto"/>
              </w:rPr>
              <w:t>(8)</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​19,000</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$179,740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(9)</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 1,583</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$ 14,975</w:t>
            </w: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(22)</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 9,333</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$ 88,290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(21)</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 1,333</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$ 12,610</w:t>
            </w: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(21)</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 6,223</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$ 58,870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(25)</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​10,000</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$ 94,600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(23)</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​12,219</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$ 115,592</w:t>
            </w: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(24)</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40" w:type="dxa"/>
            <w:vAlign w:val="bottom"/>
          </w:tcPr>
          <w:p>
            <w:pPr>
              <w:ind w:left="180"/>
              <w:spacing w:after="0"/>
              <w:rPr>
                <w:sz w:val="20"/>
                <w:szCs w:val="20"/>
                <w:color w:val="auto"/>
              </w:rPr>
            </w:pPr>
            <w:r>
              <w:rPr>
                <w:rFonts w:ascii="Arial" w:cs="Arial" w:eastAsia="Arial" w:hAnsi="Arial"/>
                <w:sz w:val="14"/>
                <w:szCs w:val="14"/>
                <w:color w:val="auto"/>
              </w:rPr>
              <w:t>​</w:t>
            </w: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ind w:right="5"/>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ind w:left="200"/>
              <w:spacing w:after="0"/>
              <w:rPr>
                <w:sz w:val="20"/>
                <w:szCs w:val="20"/>
                <w:color w:val="auto"/>
              </w:rPr>
            </w:pPr>
            <w:r>
              <w:rPr>
                <w:rFonts w:ascii="Arial" w:cs="Arial" w:eastAsia="Arial" w:hAnsi="Arial"/>
                <w:sz w:val="14"/>
                <w:szCs w:val="14"/>
                <w:color w:val="auto"/>
                <w:w w:val="97"/>
              </w:rPr>
              <w:t>​10,000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color w:val="auto"/>
              </w:rPr>
              <w:t>$ 94,600</w:t>
            </w:r>
          </w:p>
        </w:tc>
        <w:tc>
          <w:tcPr>
            <w:tcW w:w="80" w:type="dxa"/>
            <w:vAlign w:val="bottom"/>
          </w:tcPr>
          <w:p>
            <w:pPr>
              <w:spacing w:after="0"/>
              <w:rPr>
                <w:sz w:val="16"/>
                <w:szCs w:val="16"/>
                <w:color w:val="auto"/>
              </w:rPr>
            </w:pP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c>
          <w:tcPr>
            <w:tcW w:w="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-3622040</wp:posOffset>
            </wp:positionV>
            <wp:extent cx="6059170" cy="1529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59170" cy="152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10060"/>
          </w:cols>
          <w:pgMar w:left="700" w:top="95" w:right="113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324" w:lineRule="exact"/>
        <w:rPr>
          <w:sz w:val="20"/>
          <w:szCs w:val="20"/>
          <w:color w:val="auto"/>
        </w:rPr>
      </w:pPr>
    </w:p>
    <w:tbl>
      <w:tblPr>
        <w:tblLayout w:type="fixed"/>
        <w:tblInd w:w="480" w:type="dxa"/>
        <w:tblCellMar>
          <w:top w:w="0" w:type="dxa"/>
          <w:left w:w="0" w:type="dxa"/>
          <w:bottom w:w="0" w:type="dxa"/>
          <w:right w:w="0" w:type="dxa"/>
        </w:tblCellMar>
      </w:tblPr>
      <w:tr>
        <w:trPr>
          <w:trHeight w:val="145"/>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12"/>
            <w:vMerge w:val="restart"/>
          </w:tcPr>
          <w:p>
            <w:pPr>
              <w:jc w:val="right"/>
              <w:spacing w:after="0"/>
              <w:rPr>
                <w:sz w:val="20"/>
                <w:szCs w:val="20"/>
                <w:color w:val="auto"/>
              </w:rPr>
            </w:pPr>
            <w:r>
              <w:rPr>
                <w:rFonts w:ascii="Arial" w:cs="Arial" w:eastAsia="Arial" w:hAnsi="Arial"/>
                <w:sz w:val="31"/>
                <w:szCs w:val="31"/>
                <w:b w:val="1"/>
                <w:bCs w:val="1"/>
                <w:color w:val="314F60"/>
                <w:w w:val="99"/>
                <w:vertAlign w:val="superscript"/>
              </w:rPr>
              <w:t>​</w:t>
            </w:r>
            <w:r>
              <w:rPr>
                <w:rFonts w:ascii="Arial" w:cs="Arial" w:eastAsia="Arial" w:hAnsi="Arial"/>
                <w:sz w:val="16"/>
                <w:szCs w:val="16"/>
                <w:b w:val="1"/>
                <w:bCs w:val="1"/>
                <w:color w:val="314F60"/>
                <w:w w:val="99"/>
              </w:rPr>
              <w:t xml:space="preserve"> EXECUTIVE COMPENSATION</w:t>
            </w:r>
          </w:p>
        </w:tc>
        <w:tc>
          <w:tcPr>
            <w:tcW w:w="10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b w:val="1"/>
                <w:bCs w:val="1"/>
                <w:color w:val="314F60"/>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right w:val="single" w:sz="8" w:color="75FF00"/>
            </w:tcBorders>
          </w:tcPr>
          <w:p>
            <w:pPr>
              <w:spacing w:after="0"/>
              <w:rPr>
                <w:sz w:val="18"/>
                <w:szCs w:val="18"/>
                <w:color w:val="auto"/>
              </w:rPr>
            </w:pPr>
          </w:p>
        </w:tc>
        <w:tc>
          <w:tcPr>
            <w:tcW w:w="2360" w:type="dxa"/>
            <w:vAlign w:val="bottom"/>
            <w:gridSpan w:val="1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center"/>
              <w:ind w:right="109"/>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75FF00"/>
            </w:tcBorders>
          </w:tcPr>
          <w:p>
            <w:pPr>
              <w:spacing w:after="0"/>
              <w:rPr>
                <w:sz w:val="24"/>
                <w:szCs w:val="24"/>
                <w:color w:val="auto"/>
              </w:rPr>
            </w:pPr>
          </w:p>
        </w:tc>
        <w:tc>
          <w:tcPr>
            <w:tcW w:w="220" w:type="dxa"/>
            <w:vAlign w:val="bottom"/>
            <w:tcBorders>
              <w:top w:val="single" w:sz="8" w:color="75FF00"/>
            </w:tcBorders>
          </w:tcPr>
          <w:p>
            <w:pPr>
              <w:spacing w:after="0"/>
              <w:rPr>
                <w:sz w:val="24"/>
                <w:szCs w:val="24"/>
                <w:color w:val="auto"/>
              </w:rPr>
            </w:pPr>
          </w:p>
        </w:tc>
        <w:tc>
          <w:tcPr>
            <w:tcW w:w="120" w:type="dxa"/>
            <w:vAlign w:val="bottom"/>
            <w:tcBorders>
              <w:top w:val="single" w:sz="8" w:color="75FF00"/>
            </w:tcBorders>
          </w:tcPr>
          <w:p>
            <w:pPr>
              <w:spacing w:after="0"/>
              <w:rPr>
                <w:sz w:val="24"/>
                <w:szCs w:val="24"/>
                <w:color w:val="auto"/>
              </w:rPr>
            </w:pPr>
          </w:p>
        </w:tc>
        <w:tc>
          <w:tcPr>
            <w:tcW w:w="100" w:type="dxa"/>
            <w:vAlign w:val="bottom"/>
            <w:tcBorders>
              <w:top w:val="single" w:sz="8" w:color="75FF00"/>
            </w:tcBorders>
          </w:tcPr>
          <w:p>
            <w:pPr>
              <w:spacing w:after="0"/>
              <w:rPr>
                <w:sz w:val="24"/>
                <w:szCs w:val="24"/>
                <w:color w:val="auto"/>
              </w:rPr>
            </w:pPr>
          </w:p>
        </w:tc>
        <w:tc>
          <w:tcPr>
            <w:tcW w:w="180" w:type="dxa"/>
            <w:vAlign w:val="bottom"/>
            <w:tcBorders>
              <w:top w:val="single" w:sz="8" w:color="75FF00"/>
            </w:tcBorders>
          </w:tcPr>
          <w:p>
            <w:pPr>
              <w:spacing w:after="0"/>
              <w:rPr>
                <w:sz w:val="24"/>
                <w:szCs w:val="24"/>
                <w:color w:val="auto"/>
              </w:rPr>
            </w:pPr>
          </w:p>
        </w:tc>
        <w:tc>
          <w:tcPr>
            <w:tcW w:w="80" w:type="dxa"/>
            <w:vAlign w:val="bottom"/>
            <w:tcBorders>
              <w:top w:val="single" w:sz="8" w:color="75FF00"/>
            </w:tcBorders>
          </w:tcPr>
          <w:p>
            <w:pPr>
              <w:spacing w:after="0"/>
              <w:rPr>
                <w:sz w:val="24"/>
                <w:szCs w:val="24"/>
                <w:color w:val="auto"/>
              </w:rPr>
            </w:pPr>
          </w:p>
        </w:tc>
        <w:tc>
          <w:tcPr>
            <w:tcW w:w="1300" w:type="dxa"/>
            <w:vAlign w:val="bottom"/>
            <w:tcBorders>
              <w:top w:val="single" w:sz="8" w:color="75FF00"/>
            </w:tcBorders>
            <w:gridSpan w:val="4"/>
          </w:tcPr>
          <w:p>
            <w:pPr>
              <w:ind w:left="4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(5)</w:t>
            </w:r>
          </w:p>
        </w:tc>
        <w:tc>
          <w:tcPr>
            <w:tcW w:w="140" w:type="dxa"/>
            <w:vAlign w:val="bottom"/>
            <w:tcBorders>
              <w:top w:val="single" w:sz="8" w:color="75FF00"/>
            </w:tcBorders>
          </w:tcPr>
          <w:p>
            <w:pPr>
              <w:spacing w:after="0"/>
              <w:rPr>
                <w:sz w:val="24"/>
                <w:szCs w:val="24"/>
                <w:color w:val="auto"/>
              </w:rPr>
            </w:pPr>
          </w:p>
        </w:tc>
        <w:tc>
          <w:tcPr>
            <w:tcW w:w="120" w:type="dxa"/>
            <w:vAlign w:val="bottom"/>
            <w:tcBorders>
              <w:top w:val="single" w:sz="8" w:color="75FF00"/>
            </w:tcBorders>
          </w:tcPr>
          <w:p>
            <w:pPr>
              <w:spacing w:after="0"/>
              <w:rPr>
                <w:sz w:val="24"/>
                <w:szCs w:val="24"/>
                <w:color w:val="auto"/>
              </w:rPr>
            </w:pPr>
          </w:p>
        </w:tc>
        <w:tc>
          <w:tcPr>
            <w:tcW w:w="100" w:type="dxa"/>
            <w:vAlign w:val="bottom"/>
            <w:tcBorders>
              <w:top w:val="single" w:sz="8" w:color="75FF00"/>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center"/>
              <w:ind w:left="146"/>
              <w:spacing w:after="0" w:line="156" w:lineRule="exact"/>
              <w:rPr>
                <w:sz w:val="20"/>
                <w:szCs w:val="20"/>
                <w:color w:val="auto"/>
              </w:rPr>
            </w:pPr>
            <w:r>
              <w:rPr>
                <w:rFonts w:ascii="Arial" w:cs="Arial" w:eastAsia="Arial" w:hAnsi="Arial"/>
                <w:sz w:val="14"/>
                <w:szCs w:val="14"/>
                <w:b w:val="1"/>
                <w:bCs w:val="1"/>
                <w:color w:val="auto"/>
                <w:w w:val="98"/>
              </w:rPr>
              <w:t>Equity</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center"/>
              <w:ind w:left="87"/>
              <w:spacing w:after="0" w:line="156"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Incentive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Incentive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Plan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Plan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7"/>
              </w:rPr>
              <w:t>Awards: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7"/>
              </w:rPr>
              <w:t>Awards: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center"/>
              <w:ind w:right="20"/>
              <w:spacing w:after="0" w:line="159" w:lineRule="exact"/>
              <w:rPr>
                <w:sz w:val="20"/>
                <w:szCs w:val="20"/>
                <w:color w:val="auto"/>
              </w:rPr>
            </w:pPr>
            <w:r>
              <w:rPr>
                <w:rFonts w:ascii="Arial" w:cs="Arial" w:eastAsia="Arial" w:hAnsi="Arial"/>
                <w:sz w:val="14"/>
                <w:szCs w:val="14"/>
                <w:b w:val="1"/>
                <w:bCs w:val="1"/>
                <w:color w:val="auto"/>
                <w:w w:val="99"/>
              </w:rPr>
              <w:t>Number of</w:t>
            </w:r>
          </w:p>
        </w:tc>
        <w:tc>
          <w:tcPr>
            <w:tcW w:w="80" w:type="dxa"/>
            <w:vAlign w:val="bottom"/>
          </w:tcPr>
          <w:p>
            <w:pPr>
              <w:spacing w:after="0"/>
              <w:rPr>
                <w:sz w:val="13"/>
                <w:szCs w:val="13"/>
                <w:color w:val="auto"/>
              </w:rPr>
            </w:pP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9"/>
              </w:rPr>
              <w:t>Number of</w:t>
            </w: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Value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center"/>
              <w:ind w:right="20"/>
              <w:spacing w:after="0" w:line="159" w:lineRule="exact"/>
              <w:rPr>
                <w:sz w:val="20"/>
                <w:szCs w:val="20"/>
                <w:color w:val="auto"/>
              </w:rPr>
            </w:pPr>
            <w:r>
              <w:rPr>
                <w:rFonts w:ascii="Arial" w:cs="Arial" w:eastAsia="Arial" w:hAnsi="Arial"/>
                <w:sz w:val="14"/>
                <w:szCs w:val="14"/>
                <w:b w:val="1"/>
                <w:bCs w:val="1"/>
                <w:color w:val="auto"/>
                <w:w w:val="98"/>
              </w:rPr>
              <w:t>Securities</w:t>
            </w:r>
          </w:p>
        </w:tc>
        <w:tc>
          <w:tcPr>
            <w:tcW w:w="80" w:type="dxa"/>
            <w:vAlign w:val="bottom"/>
          </w:tcPr>
          <w:p>
            <w:pPr>
              <w:spacing w:after="0"/>
              <w:rPr>
                <w:sz w:val="13"/>
                <w:szCs w:val="13"/>
                <w:color w:val="auto"/>
              </w:rPr>
            </w:pP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8"/>
              </w:rPr>
              <w:t>Securities</w:t>
            </w: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8"/>
              </w:rPr>
              <w:t>Securities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Unearned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center"/>
              <w:ind w:right="60"/>
              <w:spacing w:after="0" w:line="159" w:lineRule="exact"/>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3"/>
                <w:szCs w:val="13"/>
                <w:color w:val="auto"/>
              </w:rPr>
            </w:pP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6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3"/>
                <w:szCs w:val="13"/>
                <w:color w:val="auto"/>
              </w:rPr>
            </w:pPr>
          </w:p>
        </w:tc>
        <w:tc>
          <w:tcPr>
            <w:tcW w:w="840" w:type="dxa"/>
            <w:vAlign w:val="bottom"/>
            <w:gridSpan w:val="4"/>
          </w:tcPr>
          <w:p>
            <w:pPr>
              <w:ind w:left="60"/>
              <w:spacing w:after="0" w:line="159"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Value of</w:t>
            </w:r>
          </w:p>
        </w:tc>
        <w:tc>
          <w:tcPr>
            <w:tcW w:w="10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8"/>
              </w:rPr>
              <w:t>Securities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jc w:val="center"/>
              <w:ind w:right="11"/>
              <w:spacing w:after="0" w:line="146" w:lineRule="exact"/>
              <w:rPr>
                <w:sz w:val="20"/>
                <w:szCs w:val="20"/>
                <w:color w:val="auto"/>
              </w:rPr>
            </w:pPr>
            <w:r>
              <w:rPr>
                <w:rFonts w:ascii="Arial" w:cs="Arial" w:eastAsia="Arial" w:hAnsi="Arial"/>
                <w:sz w:val="14"/>
                <w:szCs w:val="14"/>
                <w:b w:val="1"/>
                <w:bCs w:val="1"/>
                <w:color w:val="auto"/>
              </w:rPr>
              <w:t>Unexercised</w:t>
            </w:r>
          </w:p>
        </w:tc>
        <w:tc>
          <w:tcPr>
            <w:tcW w:w="10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rPr>
              <w:t>Unexercised</w:t>
            </w:r>
          </w:p>
        </w:tc>
        <w:tc>
          <w:tcPr>
            <w:tcW w:w="80" w:type="dxa"/>
            <w:vAlign w:val="bottom"/>
          </w:tcPr>
          <w:p>
            <w:pPr>
              <w:spacing w:after="0"/>
              <w:rPr>
                <w:sz w:val="12"/>
                <w:szCs w:val="12"/>
                <w:color w:val="auto"/>
              </w:rPr>
            </w:pPr>
          </w:p>
        </w:tc>
        <w:tc>
          <w:tcPr>
            <w:tcW w:w="960" w:type="dxa"/>
            <w:vAlign w:val="bottom"/>
            <w:gridSpan w:val="4"/>
          </w:tcPr>
          <w:p>
            <w:pPr>
              <w:jc w:val="center"/>
              <w:ind w:right="32"/>
              <w:spacing w:after="0" w:line="146" w:lineRule="exact"/>
              <w:rPr>
                <w:sz w:val="20"/>
                <w:szCs w:val="20"/>
                <w:color w:val="auto"/>
              </w:rPr>
            </w:pPr>
            <w:r>
              <w:rPr>
                <w:rFonts w:ascii="Arial" w:cs="Arial" w:eastAsia="Arial" w:hAnsi="Arial"/>
                <w:sz w:val="14"/>
                <w:szCs w:val="14"/>
                <w:b w:val="1"/>
                <w:bCs w:val="1"/>
                <w:color w:val="auto"/>
                <w:w w:val="98"/>
              </w:rPr>
              <w:t>Unexercised</w:t>
            </w:r>
          </w:p>
        </w:tc>
        <w:tc>
          <w:tcPr>
            <w:tcW w:w="6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ind w:left="80"/>
              <w:spacing w:after="0" w:line="146" w:lineRule="exact"/>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2"/>
                <w:szCs w:val="12"/>
                <w:color w:val="auto"/>
              </w:rPr>
            </w:pPr>
          </w:p>
        </w:tc>
        <w:tc>
          <w:tcPr>
            <w:tcW w:w="860" w:type="dxa"/>
            <w:vAlign w:val="bottom"/>
            <w:gridSpan w:val="4"/>
          </w:tcPr>
          <w:p>
            <w:pPr>
              <w:jc w:val="center"/>
              <w:ind w:right="52"/>
              <w:spacing w:after="0" w:line="146"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49"/>
              <w:spacing w:after="0" w:line="146" w:lineRule="exact"/>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ind w:left="140"/>
              <w:spacing w:after="0" w:line="159"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3"/>
                <w:szCs w:val="13"/>
                <w:color w:val="auto"/>
              </w:rPr>
            </w:pP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3"/>
                <w:szCs w:val="13"/>
                <w:color w:val="auto"/>
              </w:rPr>
            </w:pPr>
          </w:p>
        </w:tc>
        <w:tc>
          <w:tcPr>
            <w:tcW w:w="620" w:type="dxa"/>
            <w:vAlign w:val="bottom"/>
            <w:gridSpan w:val="5"/>
          </w:tcPr>
          <w:p>
            <w:pPr>
              <w:jc w:val="center"/>
              <w:spacing w:after="0" w:line="159" w:lineRule="exact"/>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3"/>
                <w:szCs w:val="13"/>
                <w:color w:val="auto"/>
              </w:rPr>
            </w:pPr>
          </w:p>
        </w:tc>
        <w:tc>
          <w:tcPr>
            <w:tcW w:w="7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9"/>
              </w:rPr>
              <w:t>Expiration</w:t>
            </w:r>
          </w:p>
        </w:tc>
        <w:tc>
          <w:tcPr>
            <w:tcW w:w="100" w:type="dxa"/>
            <w:vAlign w:val="bottom"/>
          </w:tcPr>
          <w:p>
            <w:pPr>
              <w:spacing w:after="0"/>
              <w:rPr>
                <w:sz w:val="13"/>
                <w:szCs w:val="13"/>
                <w:color w:val="auto"/>
              </w:rPr>
            </w:pPr>
          </w:p>
        </w:tc>
        <w:tc>
          <w:tcPr>
            <w:tcW w:w="840" w:type="dxa"/>
            <w:vAlign w:val="bottom"/>
            <w:gridSpan w:val="4"/>
          </w:tcPr>
          <w:p>
            <w:pPr>
              <w:ind w:left="80"/>
              <w:spacing w:after="0" w:line="159" w:lineRule="exact"/>
              <w:rPr>
                <w:sz w:val="20"/>
                <w:szCs w:val="20"/>
                <w:color w:val="auto"/>
              </w:rPr>
            </w:pPr>
            <w:r>
              <w:rPr>
                <w:rFonts w:ascii="Arial" w:cs="Arial" w:eastAsia="Arial" w:hAnsi="Arial"/>
                <w:sz w:val="14"/>
                <w:szCs w:val="14"/>
                <w:b w:val="1"/>
                <w:bCs w:val="1"/>
                <w:color w:val="auto"/>
              </w:rPr>
              <w:t>That Have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That Have</w:t>
            </w:r>
          </w:p>
        </w:tc>
        <w:tc>
          <w:tcPr>
            <w:tcW w:w="10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Unearned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8"/>
              </w:rPr>
              <w:t>Have Not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center"/>
              <w:ind w:right="149"/>
              <w:spacing w:after="0"/>
              <w:rPr>
                <w:sz w:val="20"/>
                <w:szCs w:val="20"/>
                <w:color w:val="auto"/>
              </w:rPr>
            </w:pPr>
            <w:r>
              <w:rPr>
                <w:rFonts w:ascii="Arial" w:cs="Arial" w:eastAsia="Arial" w:hAnsi="Arial"/>
                <w:sz w:val="14"/>
                <w:szCs w:val="14"/>
                <w:b w:val="1"/>
                <w:bCs w:val="1"/>
                <w:color w:val="auto"/>
              </w:rPr>
              <w:t>Name</w:t>
            </w:r>
          </w:p>
        </w:tc>
        <w:tc>
          <w:tcPr>
            <w:tcW w:w="2140" w:type="dxa"/>
            <w:vAlign w:val="bottom"/>
            <w:gridSpan w:val="9"/>
          </w:tcPr>
          <w:p>
            <w:pPr>
              <w:jc w:val="right"/>
              <w:spacing w:after="0"/>
              <w:rPr>
                <w:sz w:val="20"/>
                <w:szCs w:val="20"/>
                <w:color w:val="auto"/>
              </w:rPr>
            </w:pPr>
            <w:r>
              <w:rPr>
                <w:rFonts w:ascii="Arial" w:cs="Arial" w:eastAsia="Arial" w:hAnsi="Arial"/>
                <w:sz w:val="14"/>
                <w:szCs w:val="14"/>
                <w:b w:val="1"/>
                <w:bCs w:val="1"/>
                <w:color w:val="auto"/>
              </w:rPr>
              <w:t>​​Exercisable ​​Unexercisable</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9"/>
              </w:rPr>
              <w:t>Price</w:t>
            </w:r>
          </w:p>
        </w:tc>
        <w:tc>
          <w:tcPr>
            <w:tcW w:w="20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center"/>
              <w:ind w:right="29"/>
              <w:spacing w:after="0"/>
              <w:rPr>
                <w:sz w:val="20"/>
                <w:szCs w:val="20"/>
                <w:color w:val="auto"/>
              </w:rPr>
            </w:pPr>
            <w:r>
              <w:rPr>
                <w:rFonts w:ascii="Arial" w:cs="Arial" w:eastAsia="Arial" w:hAnsi="Arial"/>
                <w:sz w:val="14"/>
                <w:szCs w:val="14"/>
                <w:b w:val="1"/>
                <w:bCs w:val="1"/>
                <w:color w:val="auto"/>
              </w:rPr>
              <w:t>Date</w:t>
            </w:r>
          </w:p>
        </w:tc>
        <w:tc>
          <w:tcPr>
            <w:tcW w:w="1160" w:type="dxa"/>
            <w:vAlign w:val="bottom"/>
            <w:gridSpan w:val="7"/>
          </w:tcPr>
          <w:p>
            <w:pPr>
              <w:jc w:val="right"/>
              <w:spacing w:after="0"/>
              <w:rPr>
                <w:sz w:val="20"/>
                <w:szCs w:val="20"/>
                <w:color w:val="auto"/>
              </w:rPr>
            </w:pPr>
            <w:r>
              <w:rPr>
                <w:rFonts w:ascii="Arial" w:cs="Arial" w:eastAsia="Arial" w:hAnsi="Arial"/>
                <w:sz w:val="14"/>
                <w:szCs w:val="14"/>
                <w:b w:val="1"/>
                <w:bCs w:val="1"/>
                <w:color w:val="auto"/>
              </w:rPr>
              <w:t>​​Not Vested</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 ​</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Not Vested</w:t>
            </w:r>
          </w:p>
        </w:tc>
        <w:tc>
          <w:tcPr>
            <w:tcW w:w="840" w:type="dxa"/>
            <w:vAlign w:val="bottom"/>
            <w:gridSpan w:val="4"/>
          </w:tcPr>
          <w:p>
            <w:pPr>
              <w:jc w:val="right"/>
              <w:ind w:right="37"/>
              <w:spacing w:after="0"/>
              <w:rPr>
                <w:sz w:val="20"/>
                <w:szCs w:val="20"/>
                <w:color w:val="auto"/>
              </w:rPr>
            </w:pPr>
            <w:r>
              <w:rPr>
                <w:rFonts w:ascii="Arial" w:cs="Arial" w:eastAsia="Arial" w:hAnsi="Arial"/>
                <w:sz w:val="14"/>
                <w:szCs w:val="14"/>
                <w:b w:val="1"/>
                <w:bCs w:val="1"/>
                <w:color w:val="auto"/>
              </w:rPr>
              <w:t>​​ Shares</w:t>
            </w:r>
            <w:r>
              <w:rPr>
                <w:rFonts w:ascii="Arial" w:cs="Arial" w:eastAsia="Arial" w:hAnsi="Arial"/>
                <w:sz w:val="17"/>
                <w:szCs w:val="17"/>
                <w:b w:val="1"/>
                <w:bCs w:val="1"/>
                <w:color w:val="auto"/>
                <w:vertAlign w:val="superscript"/>
              </w:rPr>
              <w:t>(4)</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4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spacing w:after="0" w:line="133" w:lineRule="exact"/>
              <w:rPr>
                <w:sz w:val="20"/>
                <w:szCs w:val="20"/>
                <w:color w:val="auto"/>
              </w:rPr>
            </w:pPr>
            <w:r>
              <w:rPr>
                <w:rFonts w:ascii="Arial" w:cs="Arial" w:eastAsia="Arial" w:hAnsi="Arial"/>
                <w:sz w:val="14"/>
                <w:szCs w:val="14"/>
                <w:color w:val="auto"/>
              </w:rPr>
              <w:t>​​</w:t>
            </w: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line="133" w:lineRule="exact"/>
              <w:rPr>
                <w:sz w:val="20"/>
                <w:szCs w:val="20"/>
                <w:color w:val="auto"/>
              </w:rPr>
            </w:pPr>
            <w:r>
              <w:rPr>
                <w:rFonts w:ascii="Arial" w:cs="Arial" w:eastAsia="Arial" w:hAnsi="Arial"/>
                <w:sz w:val="14"/>
                <w:szCs w:val="14"/>
                <w:color w:val="auto"/>
              </w:rPr>
              <w:t>​​​</w:t>
            </w:r>
          </w:p>
        </w:tc>
        <w:tc>
          <w:tcPr>
            <w:tcW w:w="10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vMerge w:val="restart"/>
          </w:tcPr>
          <w:p>
            <w:pPr>
              <w:jc w:val="center"/>
              <w:spacing w:after="0" w:line="133" w:lineRule="exact"/>
              <w:rPr>
                <w:sz w:val="20"/>
                <w:szCs w:val="20"/>
                <w:color w:val="auto"/>
              </w:rPr>
            </w:pPr>
            <w:r>
              <w:rPr>
                <w:rFonts w:ascii="Arial" w:cs="Arial" w:eastAsia="Arial" w:hAnsi="Arial"/>
                <w:sz w:val="14"/>
                <w:szCs w:val="14"/>
                <w:color w:val="auto"/>
              </w:rPr>
              <w:t>​​​</w:t>
            </w: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133"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133"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jc w:val="right"/>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jc w:val="center"/>
              <w:spacing w:after="0" w:line="133"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jc w:val="right"/>
              <w:spacing w:after="0" w:line="133"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2"/>
        </w:trPr>
        <w:tc>
          <w:tcPr>
            <w:tcW w:w="200" w:type="dxa"/>
            <w:vAlign w:val="bottom"/>
          </w:tcPr>
          <w:p>
            <w:pPr>
              <w:spacing w:after="0" w:line="113" w:lineRule="exact"/>
              <w:rPr>
                <w:sz w:val="20"/>
                <w:szCs w:val="20"/>
                <w:color w:val="auto"/>
              </w:rPr>
            </w:pPr>
            <w:r>
              <w:rPr>
                <w:rFonts w:ascii="Arial" w:cs="Arial" w:eastAsia="Arial" w:hAnsi="Arial"/>
                <w:sz w:val="13"/>
                <w:szCs w:val="13"/>
                <w:color w:val="auto"/>
              </w:rPr>
              <w:t>​</w:t>
            </w:r>
          </w:p>
        </w:tc>
        <w:tc>
          <w:tcPr>
            <w:tcW w:w="940" w:type="dxa"/>
            <w:vAlign w:val="bottom"/>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240" w:type="dxa"/>
            <w:vAlign w:val="bottom"/>
          </w:tcPr>
          <w:p>
            <w:pPr>
              <w:ind w:left="140"/>
              <w:spacing w:after="0" w:line="113"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7,800</w:t>
            </w:r>
          </w:p>
        </w:tc>
        <w:tc>
          <w:tcPr>
            <w:tcW w:w="1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060" w:type="dxa"/>
            <w:vAlign w:val="bottom"/>
            <w:gridSpan w:val="2"/>
          </w:tcPr>
          <w:p>
            <w:pPr>
              <w:ind w:left="420"/>
              <w:spacing w:after="0" w:line="113" w:lineRule="exact"/>
              <w:rPr>
                <w:sz w:val="20"/>
                <w:szCs w:val="20"/>
                <w:color w:val="auto"/>
              </w:rPr>
            </w:pPr>
            <w:r>
              <w:rPr>
                <w:rFonts w:ascii="Arial" w:cs="Arial" w:eastAsia="Arial" w:hAnsi="Arial"/>
                <w:sz w:val="13"/>
                <w:szCs w:val="13"/>
                <w:color w:val="auto"/>
              </w:rPr>
              <w:t>​</w:t>
            </w:r>
          </w:p>
        </w:tc>
        <w:tc>
          <w:tcPr>
            <w:tcW w:w="80" w:type="dxa"/>
            <w:vAlign w:val="bottom"/>
            <w:vMerge w:val="continue"/>
          </w:tcPr>
          <w:p>
            <w:pPr>
              <w:spacing w:after="0"/>
              <w:rPr>
                <w:sz w:val="9"/>
                <w:szCs w:val="9"/>
                <w:color w:val="auto"/>
              </w:rPr>
            </w:pPr>
          </w:p>
        </w:tc>
        <w:tc>
          <w:tcPr>
            <w:tcW w:w="260" w:type="dxa"/>
            <w:vAlign w:val="bottom"/>
          </w:tcPr>
          <w:p>
            <w:pPr>
              <w:ind w:left="180"/>
              <w:spacing w:after="0" w:line="113"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ind w:left="100"/>
              <w:spacing w:after="0" w:line="11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gridSpan w:val="2"/>
          </w:tcPr>
          <w:p>
            <w:pPr>
              <w:jc w:val="right"/>
              <w:ind w:right="6"/>
              <w:spacing w:after="0" w:line="113" w:lineRule="exact"/>
              <w:rPr>
                <w:sz w:val="20"/>
                <w:szCs w:val="20"/>
                <w:color w:val="auto"/>
              </w:rPr>
            </w:pPr>
            <w:r>
              <w:rPr>
                <w:rFonts w:ascii="Arial" w:cs="Arial" w:eastAsia="Arial" w:hAnsi="Arial"/>
                <w:sz w:val="13"/>
                <w:szCs w:val="13"/>
                <w:color w:val="auto"/>
              </w:rPr>
              <w:t>​​​​</w:t>
            </w:r>
          </w:p>
        </w:tc>
        <w:tc>
          <w:tcPr>
            <w:tcW w:w="6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60" w:type="dxa"/>
            <w:vAlign w:val="bottom"/>
          </w:tcPr>
          <w:p>
            <w:pPr>
              <w:ind w:left="180"/>
              <w:spacing w:after="0" w:line="113"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9"/>
                <w:szCs w:val="9"/>
                <w:color w:val="auto"/>
              </w:rPr>
            </w:pPr>
          </w:p>
        </w:tc>
        <w:tc>
          <w:tcPr>
            <w:tcW w:w="120" w:type="dxa"/>
            <w:vAlign w:val="bottom"/>
          </w:tcPr>
          <w:p>
            <w:pPr>
              <w:spacing w:after="0" w:line="113" w:lineRule="exact"/>
              <w:rPr>
                <w:sz w:val="20"/>
                <w:szCs w:val="20"/>
                <w:color w:val="auto"/>
              </w:rPr>
            </w:pPr>
            <w:r>
              <w:rPr>
                <w:rFonts w:ascii="Arial" w:cs="Arial" w:eastAsia="Arial" w:hAnsi="Arial"/>
                <w:sz w:val="13"/>
                <w:szCs w:val="13"/>
                <w:color w:val="auto"/>
              </w:rPr>
              <w:t>​ ​</w:t>
            </w:r>
          </w:p>
        </w:tc>
        <w:tc>
          <w:tcPr>
            <w:tcW w:w="100" w:type="dxa"/>
            <w:vAlign w:val="bottom"/>
            <w:vMerge w:val="continue"/>
          </w:tcPr>
          <w:p>
            <w:pPr>
              <w:spacing w:after="0"/>
              <w:rPr>
                <w:sz w:val="9"/>
                <w:szCs w:val="9"/>
                <w:color w:val="auto"/>
              </w:rPr>
            </w:pPr>
          </w:p>
        </w:tc>
        <w:tc>
          <w:tcPr>
            <w:tcW w:w="180" w:type="dxa"/>
            <w:vAlign w:val="bottom"/>
          </w:tcPr>
          <w:p>
            <w:pPr>
              <w:ind w:left="120"/>
              <w:spacing w:after="0" w:line="113"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vMerge w:val="continue"/>
          </w:tcPr>
          <w:p>
            <w:pPr>
              <w:spacing w:after="0"/>
              <w:rPr>
                <w:sz w:val="9"/>
                <w:szCs w:val="9"/>
                <w:color w:val="auto"/>
              </w:rPr>
            </w:pPr>
          </w:p>
        </w:tc>
        <w:tc>
          <w:tcPr>
            <w:tcW w:w="200" w:type="dxa"/>
            <w:vAlign w:val="bottom"/>
          </w:tcPr>
          <w:p>
            <w:pPr>
              <w:ind w:left="120"/>
              <w:spacing w:after="0" w:line="113" w:lineRule="exact"/>
              <w:rPr>
                <w:sz w:val="20"/>
                <w:szCs w:val="20"/>
                <w:color w:val="auto"/>
              </w:rPr>
            </w:pPr>
            <w:r>
              <w:rPr>
                <w:rFonts w:ascii="Arial" w:cs="Arial" w:eastAsia="Arial" w:hAnsi="Arial"/>
                <w:sz w:val="13"/>
                <w:szCs w:val="13"/>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9"/>
                <w:szCs w:val="9"/>
                <w:color w:val="auto"/>
              </w:rPr>
            </w:pPr>
          </w:p>
        </w:tc>
        <w:tc>
          <w:tcPr>
            <w:tcW w:w="120" w:type="dxa"/>
            <w:vAlign w:val="bottom"/>
          </w:tcPr>
          <w:p>
            <w:pPr>
              <w:jc w:val="right"/>
              <w:spacing w:after="0" w:line="113" w:lineRule="exact"/>
              <w:rPr>
                <w:sz w:val="20"/>
                <w:szCs w:val="20"/>
                <w:color w:val="auto"/>
              </w:rPr>
            </w:pPr>
            <w:r>
              <w:rPr>
                <w:rFonts w:ascii="Arial" w:cs="Arial" w:eastAsia="Arial" w:hAnsi="Arial"/>
                <w:sz w:val="13"/>
                <w:szCs w:val="13"/>
                <w:color w:val="auto"/>
              </w:rPr>
              <w:t>​ ​</w:t>
            </w:r>
          </w:p>
        </w:tc>
        <w:tc>
          <w:tcPr>
            <w:tcW w:w="100" w:type="dxa"/>
            <w:vAlign w:val="bottom"/>
            <w:vMerge w:val="continue"/>
          </w:tcPr>
          <w:p>
            <w:pPr>
              <w:spacing w:after="0"/>
              <w:rPr>
                <w:sz w:val="9"/>
                <w:szCs w:val="9"/>
                <w:color w:val="auto"/>
              </w:rPr>
            </w:pPr>
          </w:p>
        </w:tc>
        <w:tc>
          <w:tcPr>
            <w:tcW w:w="140" w:type="dxa"/>
            <w:vAlign w:val="bottom"/>
          </w:tcPr>
          <w:p>
            <w:pPr>
              <w:ind w:left="80"/>
              <w:spacing w:after="0" w:line="113"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140" w:type="dxa"/>
            <w:vAlign w:val="bottom"/>
            <w:gridSpan w:val="2"/>
          </w:tcPr>
          <w:p>
            <w:pPr>
              <w:spacing w:after="0" w:line="57" w:lineRule="exact"/>
              <w:rPr>
                <w:sz w:val="20"/>
                <w:szCs w:val="20"/>
                <w:color w:val="auto"/>
              </w:rPr>
            </w:pPr>
            <w:r>
              <w:rPr>
                <w:rFonts w:ascii="Arial" w:cs="Arial" w:eastAsia="Arial" w:hAnsi="Arial"/>
                <w:sz w:val="6"/>
                <w:szCs w:val="6"/>
                <w:color w:val="auto"/>
              </w:rPr>
              <w:t>Gregory J. Ritts</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4"/>
          </w:tcPr>
          <w:p>
            <w:pPr>
              <w:ind w:left="100"/>
              <w:spacing w:after="0" w:line="57" w:lineRule="exact"/>
              <w:rPr>
                <w:sz w:val="20"/>
                <w:szCs w:val="20"/>
                <w:color w:val="auto"/>
              </w:rPr>
            </w:pPr>
            <w:r>
              <w:rPr>
                <w:rFonts w:ascii="Arial" w:cs="Arial" w:eastAsia="Arial" w:hAnsi="Arial"/>
                <w:sz w:val="6"/>
                <w:szCs w:val="6"/>
                <w:color w:val="auto"/>
              </w:rPr>
              <w:t>$18.79</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right"/>
              <w:spacing w:after="0" w:line="57" w:lineRule="exact"/>
              <w:rPr>
                <w:sz w:val="20"/>
                <w:szCs w:val="20"/>
                <w:color w:val="auto"/>
              </w:rPr>
            </w:pPr>
            <w:r>
              <w:rPr>
                <w:rFonts w:ascii="Arial" w:cs="Arial" w:eastAsia="Arial" w:hAnsi="Arial"/>
                <w:sz w:val="6"/>
                <w:szCs w:val="6"/>
                <w:color w:val="auto"/>
              </w:rPr>
              <w:t>​ 4/15/2025</w:t>
            </w: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2"/>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gridSpan w:val="3"/>
          </w:tcPr>
          <w:p>
            <w:pPr>
              <w:jc w:val="right"/>
              <w:ind w:right="180"/>
              <w:spacing w:after="0" w:line="57" w:lineRule="exact"/>
              <w:rPr>
                <w:sz w:val="20"/>
                <w:szCs w:val="20"/>
                <w:color w:val="auto"/>
              </w:rPr>
            </w:pPr>
            <w:r>
              <w:rPr>
                <w:rFonts w:ascii="Arial" w:cs="Arial" w:eastAsia="Arial" w:hAnsi="Arial"/>
                <w:sz w:val="6"/>
                <w:szCs w:val="6"/>
                <w:color w:val="auto"/>
              </w:rPr>
              <w:t>​ 14,842</w:t>
            </w:r>
          </w:p>
        </w:tc>
        <w:tc>
          <w:tcPr>
            <w:tcW w:w="80" w:type="dxa"/>
            <w:vAlign w:val="bottom"/>
          </w:tcPr>
          <w:p>
            <w:pPr>
              <w:spacing w:after="0"/>
              <w:rPr>
                <w:sz w:val="4"/>
                <w:szCs w:val="4"/>
                <w:color w:val="auto"/>
              </w:rPr>
            </w:pPr>
          </w:p>
        </w:tc>
        <w:tc>
          <w:tcPr>
            <w:tcW w:w="106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4"/>
          </w:tcPr>
          <w:p>
            <w:pPr>
              <w:ind w:left="100"/>
              <w:spacing w:after="0" w:line="57" w:lineRule="exact"/>
              <w:rPr>
                <w:sz w:val="20"/>
                <w:szCs w:val="20"/>
                <w:color w:val="auto"/>
              </w:rPr>
            </w:pPr>
            <w:r>
              <w:rPr>
                <w:rFonts w:ascii="Arial" w:cs="Arial" w:eastAsia="Arial" w:hAnsi="Arial"/>
                <w:sz w:val="6"/>
                <w:szCs w:val="6"/>
                <w:color w:val="auto"/>
              </w:rPr>
              <w:t>$24.82</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right"/>
              <w:spacing w:after="0" w:line="57" w:lineRule="exact"/>
              <w:rPr>
                <w:sz w:val="20"/>
                <w:szCs w:val="20"/>
                <w:color w:val="auto"/>
              </w:rPr>
            </w:pPr>
            <w:r>
              <w:rPr>
                <w:rFonts w:ascii="Arial" w:cs="Arial" w:eastAsia="Arial" w:hAnsi="Arial"/>
                <w:sz w:val="6"/>
                <w:szCs w:val="6"/>
                <w:color w:val="auto"/>
              </w:rPr>
              <w:t>​ 2/12/2028</w:t>
            </w: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w w:val="87"/>
              </w:rPr>
              <w:t>(19)</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2"/>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4"/>
                <w:szCs w:val="4"/>
                <w:color w:val="auto"/>
              </w:rPr>
            </w:pPr>
          </w:p>
        </w:tc>
        <w:tc>
          <w:tcPr>
            <w:tcW w:w="660" w:type="dxa"/>
            <w:vAlign w:val="bottom"/>
            <w:gridSpan w:val="2"/>
          </w:tcPr>
          <w:p>
            <w:pPr>
              <w:jc w:val="right"/>
              <w:spacing w:after="0" w:line="57" w:lineRule="exact"/>
              <w:rPr>
                <w:sz w:val="20"/>
                <w:szCs w:val="20"/>
                <w:color w:val="auto"/>
              </w:rPr>
            </w:pPr>
            <w:r>
              <w:rPr>
                <w:rFonts w:ascii="Arial" w:cs="Arial" w:eastAsia="Arial" w:hAnsi="Arial"/>
                <w:sz w:val="6"/>
                <w:szCs w:val="6"/>
                <w:color w:val="auto"/>
              </w:rPr>
              <w:t>​ 3,333</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4"/>
          </w:tcPr>
          <w:p>
            <w:pPr>
              <w:ind w:left="100"/>
              <w:spacing w:after="0" w:line="57" w:lineRule="exact"/>
              <w:rPr>
                <w:sz w:val="20"/>
                <w:szCs w:val="20"/>
                <w:color w:val="auto"/>
              </w:rPr>
            </w:pPr>
            <w:r>
              <w:rPr>
                <w:rFonts w:ascii="Arial" w:cs="Arial" w:eastAsia="Arial" w:hAnsi="Arial"/>
                <w:sz w:val="6"/>
                <w:szCs w:val="6"/>
                <w:color w:val="auto"/>
              </w:rPr>
              <w:t>$27.65</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right"/>
              <w:spacing w:after="0" w:line="57" w:lineRule="exact"/>
              <w:rPr>
                <w:sz w:val="20"/>
                <w:szCs w:val="20"/>
                <w:color w:val="auto"/>
              </w:rPr>
            </w:pPr>
            <w:r>
              <w:rPr>
                <w:rFonts w:ascii="Arial" w:cs="Arial" w:eastAsia="Arial" w:hAnsi="Arial"/>
                <w:sz w:val="6"/>
                <w:szCs w:val="6"/>
                <w:color w:val="auto"/>
              </w:rPr>
              <w:t>​ 7/27/2027</w:t>
            </w: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w:t>
            </w:r>
          </w:p>
        </w:tc>
        <w:tc>
          <w:tcPr>
            <w:tcW w:w="1060" w:type="dxa"/>
            <w:vAlign w:val="bottom"/>
            <w:tcBorders>
              <w:left w:val="single" w:sz="8" w:color="CCEEFF"/>
              <w:right w:val="single" w:sz="8" w:color="CCEEFF"/>
            </w:tcBorders>
            <w:gridSpan w:val="2"/>
            <w:shd w:val="clear" w:color="auto" w:fill="CCEEFF"/>
          </w:tcPr>
          <w:p>
            <w:pPr>
              <w:ind w:left="42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87"/>
              </w:rPr>
              <w:t>(18)</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60" w:type="dxa"/>
            <w:vAlign w:val="bottom"/>
            <w:tcBorders>
              <w:left w:val="single" w:sz="8" w:color="CCEEFF"/>
              <w:right w:val="single" w:sz="8" w:color="CCEEFF"/>
            </w:tcBorders>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shd w:val="clear" w:color="auto" w:fill="CCEEFF"/>
          </w:tcPr>
          <w:p>
            <w:pPr>
              <w:spacing w:after="0"/>
              <w:rPr>
                <w:sz w:val="4"/>
                <w:szCs w:val="4"/>
                <w:color w:val="auto"/>
              </w:rPr>
            </w:pPr>
          </w:p>
        </w:tc>
        <w:tc>
          <w:tcPr>
            <w:tcW w:w="660" w:type="dxa"/>
            <w:vAlign w:val="bottom"/>
            <w:tcBorders>
              <w:lef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1,667</w:t>
            </w: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tcBorders>
              <w:left w:val="single" w:sz="8" w:color="CCEEFF"/>
            </w:tcBorders>
            <w:gridSpan w:val="4"/>
            <w:shd w:val="clear" w:color="auto" w:fill="CCEEFF"/>
          </w:tcPr>
          <w:p>
            <w:pPr>
              <w:ind w:left="100"/>
              <w:spacing w:after="0" w:line="57" w:lineRule="exact"/>
              <w:rPr>
                <w:sz w:val="20"/>
                <w:szCs w:val="20"/>
                <w:color w:val="auto"/>
              </w:rPr>
            </w:pPr>
            <w:r>
              <w:rPr>
                <w:rFonts w:ascii="Arial" w:cs="Arial" w:eastAsia="Arial" w:hAnsi="Arial"/>
                <w:sz w:val="6"/>
                <w:szCs w:val="6"/>
                <w:color w:val="auto"/>
              </w:rPr>
              <w:t>$27.65</w:t>
            </w: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tcBorders>
              <w:righ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7/27/2027</w:t>
            </w:r>
          </w:p>
        </w:tc>
        <w:tc>
          <w:tcPr>
            <w:tcW w:w="100" w:type="dxa"/>
            <w:vAlign w:val="bottom"/>
            <w:shd w:val="clear" w:color="auto" w:fill="CCEEFF"/>
          </w:tcPr>
          <w:p>
            <w:pPr>
              <w:spacing w:after="0"/>
              <w:rPr>
                <w:sz w:val="4"/>
                <w:szCs w:val="4"/>
                <w:color w:val="auto"/>
              </w:rPr>
            </w:pPr>
          </w:p>
        </w:tc>
        <w:tc>
          <w:tcPr>
            <w:tcW w:w="36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left w:val="single" w:sz="8" w:color="CCEEFF"/>
              <w:right w:val="single" w:sz="8" w:color="CCEEFF"/>
            </w:tcBorders>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9"/>
        </w:trPr>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60" w:type="dxa"/>
            <w:vAlign w:val="bottom"/>
            <w:tcBorders>
              <w:left w:val="single" w:sz="8" w:color="CCEEFF"/>
              <w:bottom w:val="single" w:sz="8" w:color="CCEEFF"/>
              <w:right w:val="single" w:sz="8" w:color="CCEEFF"/>
            </w:tcBorders>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CCEEFF"/>
            </w:tcBorders>
            <w:shd w:val="clear" w:color="auto" w:fill="CCEEFF"/>
          </w:tcPr>
          <w:p>
            <w:pPr>
              <w:spacing w:after="0"/>
              <w:rPr>
                <w:sz w:val="5"/>
                <w:szCs w:val="5"/>
                <w:color w:val="auto"/>
              </w:rPr>
            </w:pPr>
          </w:p>
        </w:tc>
        <w:tc>
          <w:tcPr>
            <w:tcW w:w="2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0" w:type="dxa"/>
            <w:vAlign w:val="bottom"/>
            <w:tcBorders>
              <w:left w:val="single" w:sz="8" w:color="CCEEFF"/>
              <w:bottom w:val="single" w:sz="8" w:color="CCEEFF"/>
            </w:tcBorders>
            <w:gridSpan w:val="4"/>
            <w:shd w:val="clear" w:color="auto" w:fill="CCEEFF"/>
          </w:tcPr>
          <w:p>
            <w:pPr>
              <w:ind w:left="100"/>
              <w:spacing w:after="0" w:line="57" w:lineRule="exact"/>
              <w:rPr>
                <w:sz w:val="20"/>
                <w:szCs w:val="20"/>
                <w:color w:val="auto"/>
              </w:rPr>
            </w:pPr>
            <w:r>
              <w:rPr>
                <w:rFonts w:ascii="Arial" w:cs="Arial" w:eastAsia="Arial" w:hAnsi="Arial"/>
                <w:sz w:val="6"/>
                <w:szCs w:val="6"/>
                <w:color w:val="auto"/>
              </w:rPr>
              <w:t>$32.64</w:t>
            </w: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righ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8/29/2026</w:t>
            </w: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left w:val="single" w:sz="8" w:color="CCEEFF"/>
              <w:bottom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40"/>
              <w:spacing w:after="0" w:line="119"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1060" w:type="dxa"/>
            <w:vAlign w:val="bottom"/>
            <w:gridSpan w:val="2"/>
          </w:tcPr>
          <w:p>
            <w:pPr>
              <w:ind w:left="42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w w:val="87"/>
              </w:rPr>
              <w:t>(16)</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100"/>
              <w:spacing w:after="0" w:line="11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gridSpan w:val="2"/>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4"/>
                <w:szCs w:val="4"/>
                <w:color w:val="auto"/>
              </w:rPr>
            </w:pPr>
          </w:p>
        </w:tc>
        <w:tc>
          <w:tcPr>
            <w:tcW w:w="660" w:type="dxa"/>
            <w:vAlign w:val="bottom"/>
            <w:gridSpan w:val="2"/>
          </w:tcPr>
          <w:p>
            <w:pPr>
              <w:jc w:val="right"/>
              <w:spacing w:after="0" w:line="57" w:lineRule="exact"/>
              <w:rPr>
                <w:sz w:val="20"/>
                <w:szCs w:val="20"/>
                <w:color w:val="auto"/>
              </w:rPr>
            </w:pPr>
            <w:r>
              <w:rPr>
                <w:rFonts w:ascii="Arial" w:cs="Arial" w:eastAsia="Arial" w:hAnsi="Arial"/>
                <w:sz w:val="6"/>
                <w:szCs w:val="6"/>
                <w:color w:val="auto"/>
              </w:rPr>
              <w:t>​ 3,333</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4"/>
          </w:tcPr>
          <w:p>
            <w:pPr>
              <w:ind w:left="100"/>
              <w:spacing w:after="0" w:line="57" w:lineRule="exact"/>
              <w:rPr>
                <w:sz w:val="20"/>
                <w:szCs w:val="20"/>
                <w:color w:val="auto"/>
              </w:rPr>
            </w:pPr>
            <w:r>
              <w:rPr>
                <w:rFonts w:ascii="Arial" w:cs="Arial" w:eastAsia="Arial" w:hAnsi="Arial"/>
                <w:sz w:val="6"/>
                <w:szCs w:val="6"/>
                <w:color w:val="auto"/>
              </w:rPr>
              <w:t>$32.64</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right"/>
              <w:spacing w:after="0" w:line="57" w:lineRule="exact"/>
              <w:rPr>
                <w:sz w:val="20"/>
                <w:szCs w:val="20"/>
                <w:color w:val="auto"/>
              </w:rPr>
            </w:pPr>
            <w:r>
              <w:rPr>
                <w:rFonts w:ascii="Arial" w:cs="Arial" w:eastAsia="Arial" w:hAnsi="Arial"/>
                <w:sz w:val="6"/>
                <w:szCs w:val="6"/>
                <w:color w:val="auto"/>
              </w:rPr>
              <w:t>​ 8/29/2026</w:t>
            </w: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1060" w:type="dxa"/>
            <w:vAlign w:val="bottom"/>
            <w:tcBorders>
              <w:left w:val="single" w:sz="8" w:color="CCEEFF"/>
              <w:right w:val="single" w:sz="8" w:color="CCEEFF"/>
            </w:tcBorders>
            <w:gridSpan w:val="2"/>
            <w:shd w:val="clear" w:color="auto" w:fill="CCEEFF"/>
          </w:tcPr>
          <w:p>
            <w:pPr>
              <w:ind w:left="42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87"/>
              </w:rPr>
              <w:t>(17)</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Borders>
              <w:left w:val="single" w:sz="8" w:color="CCEEFF"/>
              <w:bottom w:val="single" w:sz="8" w:color="CCEEFF"/>
              <w:right w:val="single" w:sz="8" w:color="CCEEFF"/>
            </w:tcBorders>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CCEEFF"/>
            </w:tcBorders>
            <w:shd w:val="clear" w:color="auto" w:fill="CCEEFF"/>
          </w:tcPr>
          <w:p>
            <w:pPr>
              <w:spacing w:after="0"/>
              <w:rPr>
                <w:sz w:val="5"/>
                <w:szCs w:val="5"/>
                <w:color w:val="auto"/>
              </w:rPr>
            </w:pPr>
          </w:p>
        </w:tc>
        <w:tc>
          <w:tcPr>
            <w:tcW w:w="660" w:type="dxa"/>
            <w:vAlign w:val="bottom"/>
            <w:tcBorders>
              <w:left w:val="single" w:sz="8" w:color="CCEEFF"/>
              <w:bottom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1,667</w:t>
            </w: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0" w:type="dxa"/>
            <w:vAlign w:val="bottom"/>
            <w:tcBorders>
              <w:left w:val="single" w:sz="8" w:color="CCEEFF"/>
              <w:bottom w:val="single" w:sz="8" w:color="CCEEFF"/>
            </w:tcBorders>
            <w:gridSpan w:val="4"/>
            <w:shd w:val="clear" w:color="auto" w:fill="CCEEFF"/>
          </w:tcPr>
          <w:p>
            <w:pPr>
              <w:ind w:left="100"/>
              <w:spacing w:after="0" w:line="57" w:lineRule="exact"/>
              <w:rPr>
                <w:sz w:val="20"/>
                <w:szCs w:val="20"/>
                <w:color w:val="auto"/>
              </w:rPr>
            </w:pPr>
            <w:r>
              <w:rPr>
                <w:rFonts w:ascii="Arial" w:cs="Arial" w:eastAsia="Arial" w:hAnsi="Arial"/>
                <w:sz w:val="6"/>
                <w:szCs w:val="6"/>
                <w:color w:val="auto"/>
              </w:rPr>
              <w:t>$32.64</w:t>
            </w: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righ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8/29/2026</w:t>
            </w: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left w:val="single" w:sz="8" w:color="CCEEFF"/>
              <w:bottom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40"/>
              <w:spacing w:after="0" w:line="119"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ind w:left="420"/>
              <w:spacing w:after="0" w:line="119"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0"/>
                <w:szCs w:val="10"/>
                <w:color w:val="auto"/>
              </w:rPr>
            </w:pP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100"/>
              <w:spacing w:after="0" w:line="11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gridSpan w:val="2"/>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4"/>
          </w:tcPr>
          <w:p>
            <w:pPr>
              <w:ind w:left="100"/>
              <w:spacing w:after="0" w:line="57" w:lineRule="exact"/>
              <w:rPr>
                <w:sz w:val="20"/>
                <w:szCs w:val="20"/>
                <w:color w:val="auto"/>
              </w:rPr>
            </w:pPr>
            <w:r>
              <w:rPr>
                <w:rFonts w:ascii="Arial" w:cs="Arial" w:eastAsia="Arial" w:hAnsi="Arial"/>
                <w:sz w:val="6"/>
                <w:szCs w:val="6"/>
                <w:color w:val="auto"/>
              </w:rPr>
              <w:t>$96.87</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right"/>
              <w:spacing w:after="0" w:line="57" w:lineRule="exact"/>
              <w:rPr>
                <w:sz w:val="20"/>
                <w:szCs w:val="20"/>
                <w:color w:val="auto"/>
              </w:rPr>
            </w:pPr>
            <w:r>
              <w:rPr>
                <w:rFonts w:ascii="Arial" w:cs="Arial" w:eastAsia="Arial" w:hAnsi="Arial"/>
                <w:sz w:val="6"/>
                <w:szCs w:val="6"/>
                <w:color w:val="auto"/>
              </w:rPr>
              <w:t>​ 10/1/2024</w:t>
            </w: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2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87"/>
              </w:rPr>
              <w:t>(14)</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tcBorders>
              <w:lef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​15,000</w:t>
            </w: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tcBorders>
              <w:left w:val="single" w:sz="8" w:color="CCEEFF"/>
            </w:tcBorders>
            <w:gridSpan w:val="4"/>
            <w:shd w:val="clear" w:color="auto" w:fill="CCEEFF"/>
          </w:tcPr>
          <w:p>
            <w:pPr>
              <w:ind w:left="100"/>
              <w:spacing w:after="0" w:line="57" w:lineRule="exact"/>
              <w:rPr>
                <w:sz w:val="20"/>
                <w:szCs w:val="20"/>
                <w:color w:val="auto"/>
              </w:rPr>
            </w:pPr>
            <w:r>
              <w:rPr>
                <w:rFonts w:ascii="Arial" w:cs="Arial" w:eastAsia="Arial" w:hAnsi="Arial"/>
                <w:sz w:val="6"/>
                <w:szCs w:val="6"/>
                <w:color w:val="auto"/>
              </w:rPr>
              <w:t>$96.87</w:t>
            </w: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tcBorders>
              <w:righ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10/1/2024</w:t>
            </w:r>
          </w:p>
        </w:tc>
        <w:tc>
          <w:tcPr>
            <w:tcW w:w="100" w:type="dxa"/>
            <w:vAlign w:val="bottom"/>
            <w:shd w:val="clear" w:color="auto" w:fill="CCEEFF"/>
          </w:tcPr>
          <w:p>
            <w:pPr>
              <w:spacing w:after="0"/>
              <w:rPr>
                <w:sz w:val="4"/>
                <w:szCs w:val="4"/>
                <w:color w:val="auto"/>
              </w:rPr>
            </w:pPr>
          </w:p>
        </w:tc>
        <w:tc>
          <w:tcPr>
            <w:tcW w:w="36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87"/>
              </w:rPr>
              <w:t>(15)</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9"/>
        </w:trPr>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60" w:type="dxa"/>
            <w:vAlign w:val="bottom"/>
            <w:tcBorders>
              <w:left w:val="single" w:sz="8" w:color="CCEEFF"/>
              <w:bottom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7,500</w:t>
            </w: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0" w:type="dxa"/>
            <w:vAlign w:val="bottom"/>
            <w:tcBorders>
              <w:left w:val="single" w:sz="8" w:color="CCEEFF"/>
              <w:bottom w:val="single" w:sz="8" w:color="CCEEFF"/>
            </w:tcBorders>
            <w:gridSpan w:val="4"/>
            <w:shd w:val="clear" w:color="auto" w:fill="CCEEFF"/>
          </w:tcPr>
          <w:p>
            <w:pPr>
              <w:ind w:left="100"/>
              <w:spacing w:after="0" w:line="57" w:lineRule="exact"/>
              <w:rPr>
                <w:sz w:val="20"/>
                <w:szCs w:val="20"/>
                <w:color w:val="auto"/>
              </w:rPr>
            </w:pPr>
            <w:r>
              <w:rPr>
                <w:rFonts w:ascii="Arial" w:cs="Arial" w:eastAsia="Arial" w:hAnsi="Arial"/>
                <w:sz w:val="6"/>
                <w:szCs w:val="6"/>
                <w:color w:val="auto"/>
              </w:rPr>
              <w:t>$96.87</w:t>
            </w: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righ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10/1/2024</w:t>
            </w: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left w:val="single" w:sz="8" w:color="CCEEFF"/>
              <w:bottom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40"/>
              <w:spacing w:after="0" w:line="119"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ind w:left="420"/>
              <w:spacing w:after="0" w:line="119" w:lineRule="exact"/>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260" w:type="dxa"/>
            <w:vAlign w:val="bottom"/>
            <w:gridSpan w:val="2"/>
          </w:tcPr>
          <w:p>
            <w:pPr>
              <w:jc w:val="right"/>
              <w:spacing w:after="0" w:line="119" w:lineRule="exact"/>
              <w:rPr>
                <w:sz w:val="20"/>
                <w:szCs w:val="20"/>
                <w:color w:val="auto"/>
              </w:rPr>
            </w:pPr>
            <w:r>
              <w:rPr>
                <w:rFonts w:ascii="Arial" w:cs="Arial" w:eastAsia="Arial" w:hAnsi="Arial"/>
                <w:sz w:val="8"/>
                <w:szCs w:val="8"/>
                <w:color w:val="auto"/>
              </w:rPr>
              <w:t>(11)</w:t>
            </w: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ind w:left="140"/>
              <w:spacing w:after="0" w:line="57" w:lineRule="exact"/>
              <w:rPr>
                <w:sz w:val="20"/>
                <w:szCs w:val="20"/>
                <w:color w:val="auto"/>
              </w:rPr>
            </w:pPr>
            <w:r>
              <w:rPr>
                <w:rFonts w:ascii="Arial" w:cs="Arial" w:eastAsia="Arial" w:hAnsi="Arial"/>
                <w:sz w:val="6"/>
                <w:szCs w:val="6"/>
                <w:color w:val="auto"/>
              </w:rPr>
              <w:t>​ 6,316</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$ 59,749</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6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2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8"/>
                <w:szCs w:val="8"/>
                <w:color w:val="auto"/>
              </w:rPr>
              <w:t>(12)</w:t>
            </w: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left w:val="single" w:sz="8" w:color="CCEEFF"/>
              <w:bottom w:val="single" w:sz="8" w:color="CCEEFF"/>
            </w:tcBorders>
            <w:gridSpan w:val="2"/>
            <w:shd w:val="clear" w:color="auto" w:fill="CCEEFF"/>
          </w:tcPr>
          <w:p>
            <w:pPr>
              <w:ind w:left="140"/>
              <w:spacing w:after="0" w:line="57" w:lineRule="exact"/>
              <w:rPr>
                <w:sz w:val="20"/>
                <w:szCs w:val="20"/>
                <w:color w:val="auto"/>
              </w:rPr>
            </w:pPr>
            <w:r>
              <w:rPr>
                <w:rFonts w:ascii="Arial" w:cs="Arial" w:eastAsia="Arial" w:hAnsi="Arial"/>
                <w:sz w:val="6"/>
                <w:szCs w:val="6"/>
                <w:color w:val="auto"/>
              </w:rPr>
              <w:t>​ 2,105</w:t>
            </w: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80" w:type="dxa"/>
            <w:vAlign w:val="bottom"/>
            <w:tcBorders>
              <w:left w:val="single" w:sz="8" w:color="CCEEFF"/>
              <w:bottom w:val="single" w:sz="8" w:color="CCEEFF"/>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$ 19,913</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40"/>
              <w:spacing w:after="0" w:line="119"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ind w:left="420"/>
              <w:spacing w:after="0" w:line="119" w:lineRule="exact"/>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w w:val="72"/>
              </w:rPr>
              <w:t>(8)</w:t>
            </w: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ind w:left="140"/>
              <w:spacing w:after="0" w:line="57" w:lineRule="exact"/>
              <w:rPr>
                <w:sz w:val="20"/>
                <w:szCs w:val="20"/>
                <w:color w:val="auto"/>
              </w:rPr>
            </w:pPr>
            <w:r>
              <w:rPr>
                <w:rFonts w:ascii="Arial" w:cs="Arial" w:eastAsia="Arial" w:hAnsi="Arial"/>
                <w:sz w:val="6"/>
                <w:szCs w:val="6"/>
                <w:color w:val="auto"/>
              </w:rPr>
              <w:t>​19,000</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$179,740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6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(9)</w:t>
            </w: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tcBorders>
              <w:left w:val="single" w:sz="8" w:color="CCEEFF"/>
            </w:tcBorders>
            <w:gridSpan w:val="3"/>
            <w:shd w:val="clear" w:color="auto" w:fill="CCEEFF"/>
          </w:tcPr>
          <w:p>
            <w:pPr>
              <w:ind w:left="200"/>
              <w:spacing w:after="0" w:line="57" w:lineRule="exact"/>
              <w:rPr>
                <w:sz w:val="20"/>
                <w:szCs w:val="20"/>
                <w:color w:val="auto"/>
              </w:rPr>
            </w:pPr>
            <w:r>
              <w:rPr>
                <w:rFonts w:ascii="Arial" w:cs="Arial" w:eastAsia="Arial" w:hAnsi="Arial"/>
                <w:sz w:val="6"/>
                <w:szCs w:val="6"/>
                <w:color w:val="auto"/>
              </w:rPr>
              <w:t>​ 1,583</w:t>
            </w: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tcBorders>
              <w:right w:val="single" w:sz="8" w:color="CCEEFF"/>
            </w:tcBorders>
            <w:gridSpan w:val="3"/>
            <w:shd w:val="clear" w:color="auto" w:fill="CCEEFF"/>
          </w:tcPr>
          <w:p>
            <w:pPr>
              <w:ind w:left="120"/>
              <w:spacing w:after="0" w:line="57" w:lineRule="exact"/>
              <w:rPr>
                <w:sz w:val="20"/>
                <w:szCs w:val="20"/>
                <w:color w:val="auto"/>
              </w:rPr>
            </w:pPr>
            <w:r>
              <w:rPr>
                <w:rFonts w:ascii="Arial" w:cs="Arial" w:eastAsia="Arial" w:hAnsi="Arial"/>
                <w:sz w:val="6"/>
                <w:szCs w:val="6"/>
                <w:color w:val="auto"/>
              </w:rPr>
              <w:t>$ 14,975</w:t>
            </w:r>
          </w:p>
        </w:tc>
        <w:tc>
          <w:tcPr>
            <w:tcW w:w="10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9"/>
                <w:szCs w:val="9"/>
                <w:color w:val="auto"/>
              </w:rPr>
              <w:t>(22)</w:t>
            </w: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9"/>
        </w:trPr>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left w:val="single" w:sz="8" w:color="CCEEFF"/>
              <w:bottom w:val="single" w:sz="8" w:color="CCEEFF"/>
            </w:tcBorders>
            <w:gridSpan w:val="2"/>
            <w:shd w:val="clear" w:color="auto" w:fill="CCEEFF"/>
          </w:tcPr>
          <w:p>
            <w:pPr>
              <w:ind w:left="140"/>
              <w:spacing w:after="0" w:line="57" w:lineRule="exact"/>
              <w:rPr>
                <w:sz w:val="20"/>
                <w:szCs w:val="20"/>
                <w:color w:val="auto"/>
              </w:rPr>
            </w:pPr>
            <w:r>
              <w:rPr>
                <w:rFonts w:ascii="Arial" w:cs="Arial" w:eastAsia="Arial" w:hAnsi="Arial"/>
                <w:sz w:val="6"/>
                <w:szCs w:val="6"/>
                <w:color w:val="auto"/>
              </w:rPr>
              <w:t>​ 8,200</w:t>
            </w: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80" w:type="dxa"/>
            <w:vAlign w:val="bottom"/>
            <w:tcBorders>
              <w:left w:val="single" w:sz="8" w:color="CCEEFF"/>
              <w:bottom w:val="single" w:sz="8" w:color="CCEEFF"/>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$ 77,572</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40"/>
              <w:spacing w:after="0" w:line="119"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ind w:left="420"/>
              <w:spacing w:after="0" w:line="119" w:lineRule="exact"/>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260" w:type="dxa"/>
            <w:vAlign w:val="bottom"/>
            <w:gridSpan w:val="2"/>
          </w:tcPr>
          <w:p>
            <w:pPr>
              <w:jc w:val="right"/>
              <w:spacing w:after="0" w:line="119" w:lineRule="exact"/>
              <w:rPr>
                <w:sz w:val="20"/>
                <w:szCs w:val="20"/>
                <w:color w:val="auto"/>
              </w:rPr>
            </w:pPr>
            <w:r>
              <w:rPr>
                <w:rFonts w:ascii="Arial" w:cs="Arial" w:eastAsia="Arial" w:hAnsi="Arial"/>
                <w:sz w:val="8"/>
                <w:szCs w:val="8"/>
                <w:color w:val="auto"/>
              </w:rPr>
              <w:t>(21)</w:t>
            </w: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ind w:left="140"/>
              <w:spacing w:after="0" w:line="57" w:lineRule="exact"/>
              <w:rPr>
                <w:sz w:val="20"/>
                <w:szCs w:val="20"/>
                <w:color w:val="auto"/>
              </w:rPr>
            </w:pPr>
            <w:r>
              <w:rPr>
                <w:rFonts w:ascii="Arial" w:cs="Arial" w:eastAsia="Arial" w:hAnsi="Arial"/>
                <w:sz w:val="6"/>
                <w:szCs w:val="6"/>
                <w:color w:val="auto"/>
              </w:rPr>
              <w:t>​ 5,467</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$ 51,718</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6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(20)</w:t>
            </w: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120"/>
              <w:spacing w:after="0" w:line="57" w:lineRule="exact"/>
              <w:rPr>
                <w:sz w:val="20"/>
                <w:szCs w:val="20"/>
                <w:color w:val="auto"/>
              </w:rPr>
            </w:pPr>
            <w:r>
              <w:rPr>
                <w:rFonts w:ascii="Arial" w:cs="Arial" w:eastAsia="Arial" w:hAnsi="Arial"/>
                <w:sz w:val="6"/>
                <w:szCs w:val="6"/>
                <w:color w:val="auto"/>
              </w:rPr>
              <w:t>$</w:t>
            </w: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9"/>
                <w:szCs w:val="9"/>
                <w:color w:val="auto"/>
              </w:rPr>
              <w:t>(25)</w:t>
            </w: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tcBorders>
              <w:left w:val="single" w:sz="8" w:color="CCEEFF"/>
            </w:tcBorders>
            <w:gridSpan w:val="2"/>
            <w:shd w:val="clear" w:color="auto" w:fill="CCEEFF"/>
          </w:tcPr>
          <w:p>
            <w:pPr>
              <w:ind w:left="140"/>
              <w:spacing w:after="0" w:line="57" w:lineRule="exact"/>
              <w:rPr>
                <w:sz w:val="20"/>
                <w:szCs w:val="20"/>
                <w:color w:val="auto"/>
              </w:rPr>
            </w:pPr>
            <w:r>
              <w:rPr>
                <w:rFonts w:ascii="Arial" w:cs="Arial" w:eastAsia="Arial" w:hAnsi="Arial"/>
                <w:sz w:val="6"/>
                <w:szCs w:val="6"/>
                <w:color w:val="auto"/>
              </w:rPr>
              <w:t>​10,000</w:t>
            </w: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tcBorders>
              <w:left w:val="single" w:sz="8" w:color="CCEEFF"/>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$ 94,460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(23)</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tcBorders>
              <w:left w:val="single" w:sz="8" w:color="CCEEFF"/>
            </w:tcBorders>
            <w:gridSpan w:val="3"/>
            <w:shd w:val="clear" w:color="auto" w:fill="CCEEFF"/>
          </w:tcPr>
          <w:p>
            <w:pPr>
              <w:ind w:left="200"/>
              <w:spacing w:after="0" w:line="57" w:lineRule="exact"/>
              <w:rPr>
                <w:sz w:val="20"/>
                <w:szCs w:val="20"/>
                <w:color w:val="auto"/>
              </w:rPr>
            </w:pPr>
            <w:r>
              <w:rPr>
                <w:rFonts w:ascii="Arial" w:cs="Arial" w:eastAsia="Arial" w:hAnsi="Arial"/>
                <w:sz w:val="6"/>
                <w:szCs w:val="6"/>
                <w:color w:val="auto"/>
              </w:rPr>
              <w:t>​10,790</w:t>
            </w: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tcBorders>
              <w:right w:val="single" w:sz="8" w:color="CCEEFF"/>
            </w:tcBorders>
            <w:gridSpan w:val="3"/>
            <w:shd w:val="clear" w:color="auto" w:fill="CCEEFF"/>
          </w:tcPr>
          <w:p>
            <w:pPr>
              <w:ind w:left="120"/>
              <w:spacing w:after="0" w:line="57" w:lineRule="exact"/>
              <w:rPr>
                <w:sz w:val="20"/>
                <w:szCs w:val="20"/>
                <w:color w:val="auto"/>
              </w:rPr>
            </w:pPr>
            <w:r>
              <w:rPr>
                <w:rFonts w:ascii="Arial" w:cs="Arial" w:eastAsia="Arial" w:hAnsi="Arial"/>
                <w:sz w:val="6"/>
                <w:szCs w:val="6"/>
                <w:color w:val="auto"/>
              </w:rPr>
              <w:t>$102,073</w:t>
            </w:r>
          </w:p>
        </w:tc>
        <w:tc>
          <w:tcPr>
            <w:tcW w:w="10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(24)</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420" w:type="dxa"/>
            <w:vAlign w:val="bottom"/>
            <w:vMerge w:val="continue"/>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left="387"/>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ind w:left="200"/>
              <w:spacing w:after="0"/>
              <w:rPr>
                <w:sz w:val="20"/>
                <w:szCs w:val="20"/>
                <w:color w:val="auto"/>
              </w:rPr>
            </w:pPr>
            <w:r>
              <w:rPr>
                <w:rFonts w:ascii="Arial" w:cs="Arial" w:eastAsia="Arial" w:hAnsi="Arial"/>
                <w:sz w:val="14"/>
                <w:szCs w:val="14"/>
                <w:color w:val="auto"/>
              </w:rPr>
              <w:t>​</w:t>
            </w:r>
          </w:p>
        </w:tc>
        <w:tc>
          <w:tcPr>
            <w:tcW w:w="400" w:type="dxa"/>
            <w:vAlign w:val="bottom"/>
            <w:vMerge w:val="continue"/>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w w:val="93"/>
              </w:rPr>
              <w:t>​10,000</w:t>
            </w: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$ 94,600</w:t>
            </w:r>
          </w:p>
        </w:tc>
        <w:tc>
          <w:tcPr>
            <w:tcW w:w="1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6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-2587625</wp:posOffset>
            </wp:positionV>
            <wp:extent cx="6059170" cy="25882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59170" cy="2588260"/>
                    </a:xfrm>
                    <a:prstGeom prst="rect">
                      <a:avLst/>
                    </a:prstGeom>
                    <a:noFill/>
                  </pic:spPr>
                </pic:pic>
              </a:graphicData>
            </a:graphic>
          </wp:anchor>
        </w:drawing>
      </w:r>
    </w:p>
    <w:p>
      <w:pPr>
        <w:spacing w:after="0" w:line="175" w:lineRule="exact"/>
        <w:rPr>
          <w:sz w:val="20"/>
          <w:szCs w:val="20"/>
          <w:color w:val="auto"/>
        </w:rPr>
      </w:pPr>
    </w:p>
    <w:p>
      <w:pPr>
        <w:ind w:left="1580" w:right="1240" w:hanging="359"/>
        <w:spacing w:after="0" w:line="210" w:lineRule="auto"/>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Options awarded for which the performance hurdles have been achieved but remain subject to additional service-based criteria.</w:t>
      </w:r>
    </w:p>
    <w:p>
      <w:pPr>
        <w:ind w:left="1580" w:hanging="359"/>
        <w:spacing w:after="0" w:line="191" w:lineRule="auto"/>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Options awarded for which the performance hurdles have not been achieved.</w:t>
      </w:r>
    </w:p>
    <w:p>
      <w:pPr>
        <w:spacing w:after="0" w:line="49" w:lineRule="exact"/>
        <w:rPr>
          <w:rFonts w:ascii="Arial" w:cs="Arial" w:eastAsia="Arial" w:hAnsi="Arial"/>
          <w:sz w:val="26"/>
          <w:szCs w:val="26"/>
          <w:color w:val="auto"/>
          <w:vertAlign w:val="superscript"/>
        </w:rPr>
      </w:pPr>
    </w:p>
    <w:p>
      <w:pPr>
        <w:ind w:left="1580" w:right="1200" w:hanging="359"/>
        <w:spacing w:after="0" w:line="202" w:lineRule="auto"/>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Restricted shares and RSUs awarded but remain subject to additional service-based vesting criteria.</w:t>
      </w:r>
    </w:p>
    <w:p>
      <w:pPr>
        <w:spacing w:after="0" w:line="21" w:lineRule="exact"/>
        <w:rPr>
          <w:rFonts w:ascii="Arial" w:cs="Arial" w:eastAsia="Arial" w:hAnsi="Arial"/>
          <w:sz w:val="26"/>
          <w:szCs w:val="26"/>
          <w:color w:val="auto"/>
          <w:vertAlign w:val="superscript"/>
        </w:rPr>
      </w:pPr>
    </w:p>
    <w:p>
      <w:pPr>
        <w:ind w:left="1580" w:right="940" w:hanging="359"/>
        <w:spacing w:after="0" w:line="210" w:lineRule="auto"/>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Restricted shares and RSUs awarded for which the performance hurdles have not been achieved.</w:t>
      </w:r>
    </w:p>
    <w:p>
      <w:pPr>
        <w:spacing w:after="0" w:line="7" w:lineRule="exact"/>
        <w:rPr>
          <w:rFonts w:ascii="Arial" w:cs="Arial" w:eastAsia="Arial" w:hAnsi="Arial"/>
          <w:sz w:val="26"/>
          <w:szCs w:val="26"/>
          <w:color w:val="auto"/>
          <w:vertAlign w:val="superscript"/>
        </w:rPr>
      </w:pPr>
    </w:p>
    <w:p>
      <w:pPr>
        <w:ind w:left="1580" w:right="940" w:hanging="359"/>
        <w:spacing w:after="0" w:line="210" w:lineRule="auto"/>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All award values set forth herein have been calculated using the closing common share price of $9.46 for Altisource as of December 31, 2022.</w:t>
      </w:r>
    </w:p>
    <w:p>
      <w:pPr>
        <w:spacing w:after="0" w:line="20" w:lineRule="exact"/>
        <w:rPr>
          <w:rFonts w:ascii="Arial" w:cs="Arial" w:eastAsia="Arial" w:hAnsi="Arial"/>
          <w:sz w:val="26"/>
          <w:szCs w:val="26"/>
          <w:color w:val="auto"/>
          <w:vertAlign w:val="superscript"/>
        </w:rPr>
      </w:pPr>
    </w:p>
    <w:p>
      <w:pPr>
        <w:ind w:left="1580" w:right="820" w:hanging="359"/>
        <w:spacing w:after="0" w:line="235" w:lineRule="auto"/>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Represents the February 27, 2020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spacing w:after="0" w:line="22" w:lineRule="exact"/>
        <w:rPr>
          <w:rFonts w:ascii="Arial" w:cs="Arial" w:eastAsia="Arial" w:hAnsi="Arial"/>
          <w:sz w:val="26"/>
          <w:szCs w:val="26"/>
          <w:color w:val="auto"/>
          <w:vertAlign w:val="superscript"/>
        </w:rPr>
      </w:pPr>
    </w:p>
    <w:p>
      <w:pPr>
        <w:ind w:left="1580" w:right="800" w:hanging="359"/>
        <w:spacing w:after="0" w:line="225" w:lineRule="auto"/>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Represents the February 27, 2020 award of performance-based RSUs, which vest in three (3) equal installments on February 27, 2021, February 27, 2022 and February 27, 2023, subject each year to the executive officer meeting a minimum performance level of fifty percent (50%) on his or her annual scorecard for the 2020,2021 and 2022</w:t>
      </w:r>
    </w:p>
    <w:p>
      <w:pPr>
        <w:ind w:left="1580"/>
        <w:spacing w:after="0"/>
        <w:rPr>
          <w:rFonts w:ascii="Arial" w:cs="Arial" w:eastAsia="Arial" w:hAnsi="Arial"/>
          <w:sz w:val="26"/>
          <w:szCs w:val="26"/>
          <w:color w:val="auto"/>
          <w:vertAlign w:val="superscript"/>
        </w:rPr>
      </w:pPr>
      <w:r>
        <w:rPr>
          <w:rFonts w:ascii="Arial" w:cs="Arial" w:eastAsia="Arial" w:hAnsi="Arial"/>
          <w:sz w:val="18"/>
          <w:szCs w:val="18"/>
          <w:color w:val="auto"/>
        </w:rPr>
        <w:t>service years</w:t>
      </w:r>
    </w:p>
    <w:p>
      <w:pPr>
        <w:spacing w:after="0" w:line="15" w:lineRule="exact"/>
        <w:rPr>
          <w:rFonts w:ascii="Arial" w:cs="Arial" w:eastAsia="Arial" w:hAnsi="Arial"/>
          <w:sz w:val="26"/>
          <w:szCs w:val="26"/>
          <w:color w:val="auto"/>
          <w:vertAlign w:val="superscript"/>
        </w:rPr>
      </w:pPr>
    </w:p>
    <w:p>
      <w:pPr>
        <w:ind w:left="1580" w:right="880" w:hanging="359"/>
        <w:spacing w:after="0"/>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Represents the October 01, 2020 award of performance-based RSUs. Granted pursuant to our 2009 Equity Incentive Plan. Performance-based RSU awards are scheduled to vest as follows:</w:t>
      </w:r>
    </w:p>
    <w:p>
      <w:pPr>
        <w:spacing w:after="0" w:line="208" w:lineRule="exact"/>
        <w:rPr>
          <w:rFonts w:ascii="Arial" w:cs="Arial" w:eastAsia="Arial" w:hAnsi="Arial"/>
          <w:sz w:val="26"/>
          <w:szCs w:val="26"/>
          <w:color w:val="auto"/>
          <w:vertAlign w:val="superscript"/>
        </w:rPr>
      </w:pPr>
    </w:p>
    <w:p>
      <w:pPr>
        <w:ind w:left="1760" w:right="1060" w:hanging="186"/>
        <w:spacing w:after="0" w:line="274" w:lineRule="auto"/>
        <w:tabs>
          <w:tab w:leader="none" w:pos="1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10% of the award will start to vest when the average closing price of ASPS common stock over a period of 30 calendar days is equal to or greater than $20</w:t>
      </w:r>
    </w:p>
    <w:p>
      <w:pPr>
        <w:spacing w:after="0" w:line="43" w:lineRule="exact"/>
        <w:rPr>
          <w:rFonts w:ascii="Arial" w:cs="Arial" w:eastAsia="Arial" w:hAnsi="Arial"/>
          <w:sz w:val="18"/>
          <w:szCs w:val="18"/>
          <w:color w:val="auto"/>
        </w:rPr>
      </w:pPr>
    </w:p>
    <w:p>
      <w:pPr>
        <w:ind w:left="1760" w:right="1060" w:hanging="186"/>
        <w:spacing w:after="0" w:line="274" w:lineRule="auto"/>
        <w:tabs>
          <w:tab w:leader="none" w:pos="1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30% of the award will start to vest when the average closing price of ASPS common stock over a period of 30 calendar days is equal to or greater than $25</w:t>
      </w:r>
    </w:p>
    <w:p>
      <w:pPr>
        <w:spacing w:after="0" w:line="34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10060"/>
          </w:cols>
          <w:pgMar w:left="700" w:top="95" w:right="113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12" w:lineRule="exact"/>
        <w:rPr>
          <w:sz w:val="20"/>
          <w:szCs w:val="20"/>
          <w:color w:val="auto"/>
        </w:rPr>
      </w:pPr>
    </w:p>
    <w:p>
      <w:pPr>
        <w:ind w:left="1760" w:right="759" w:hanging="186"/>
        <w:spacing w:after="0" w:line="257" w:lineRule="auto"/>
        <w:tabs>
          <w:tab w:leader="none" w:pos="1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40% of the award will start to vest when the average closing price of ASPS common stock over a period of 30 calendar days is equal to or greater than $35</w:t>
      </w:r>
    </w:p>
    <w:p>
      <w:pPr>
        <w:ind w:left="1220" w:right="879"/>
        <w:spacing w:after="0" w:line="253" w:lineRule="auto"/>
        <w:rPr>
          <w:sz w:val="20"/>
          <w:szCs w:val="20"/>
          <w:color w:val="auto"/>
        </w:rPr>
      </w:pPr>
      <w:r>
        <w:rPr>
          <w:rFonts w:ascii="Arial" w:cs="Arial" w:eastAsia="Arial" w:hAnsi="Arial"/>
          <w:sz w:val="18"/>
          <w:szCs w:val="18"/>
          <w:color w:val="auto"/>
        </w:rPr>
        <w:t>These RSUs awards will expire on October 01, 2030 if the performance metrics have not been achieved.</w:t>
      </w:r>
    </w:p>
    <w:p>
      <w:pPr>
        <w:spacing w:after="0" w:line="33" w:lineRule="exact"/>
        <w:rPr>
          <w:sz w:val="20"/>
          <w:szCs w:val="20"/>
          <w:color w:val="auto"/>
        </w:rPr>
      </w:pPr>
    </w:p>
    <w:p>
      <w:pPr>
        <w:ind w:left="1580" w:right="1199" w:hanging="359"/>
        <w:spacing w:after="0" w:line="210" w:lineRule="auto"/>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Time-based RSU awards are scheduled to vest in three (3) equal installments on October 1, 2021, October 1, 2022 and October 1, 2023.</w:t>
      </w:r>
    </w:p>
    <w:p>
      <w:pPr>
        <w:ind w:left="1580" w:hanging="359"/>
        <w:spacing w:after="0" w:line="209" w:lineRule="auto"/>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Represents the February 10, 2015 award of performance-based Options. Twenty-</w:t>
      </w:r>
    </w:p>
    <w:p>
      <w:pPr>
        <w:ind w:left="1580" w:right="579"/>
        <w:spacing w:after="0" w:line="248" w:lineRule="auto"/>
        <w:rPr>
          <w:rFonts w:ascii="Arial" w:cs="Arial" w:eastAsia="Arial" w:hAnsi="Arial"/>
          <w:sz w:val="26"/>
          <w:szCs w:val="26"/>
          <w:color w:val="auto"/>
          <w:vertAlign w:val="superscript"/>
        </w:rPr>
      </w:pPr>
      <w:r>
        <w:rPr>
          <w:rFonts w:ascii="Arial" w:cs="Arial" w:eastAsia="Arial" w:hAnsi="Arial"/>
          <w:sz w:val="18"/>
          <w:szCs w:val="18"/>
          <w:color w:val="auto"/>
        </w:rPr>
        <w:t>five percent (25%) of options vest upon Altisource achieving a stock price of $65.67 and an annual rate of return of twenty-five percent (25%) over the exercise price with the balance vesting twenty-five percent (25%) each subsequent anniversary thereof. These awards will expire on February 10, 2025 if the performance metrics have not been achieved.</w:t>
      </w:r>
    </w:p>
    <w:p>
      <w:pPr>
        <w:spacing w:after="0" w:line="240" w:lineRule="exact"/>
        <w:rPr>
          <w:rFonts w:ascii="Arial" w:cs="Arial" w:eastAsia="Arial" w:hAnsi="Arial"/>
          <w:sz w:val="26"/>
          <w:szCs w:val="26"/>
          <w:color w:val="auto"/>
          <w:vertAlign w:val="superscript"/>
        </w:rPr>
      </w:pPr>
    </w:p>
    <w:p>
      <w:pPr>
        <w:ind w:left="1580" w:right="539" w:hanging="359"/>
        <w:spacing w:after="0" w:line="235" w:lineRule="auto"/>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Represents the January 24, 2020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spacing w:after="0" w:line="35" w:lineRule="exact"/>
        <w:rPr>
          <w:rFonts w:ascii="Arial" w:cs="Arial" w:eastAsia="Arial" w:hAnsi="Arial"/>
          <w:sz w:val="26"/>
          <w:szCs w:val="26"/>
          <w:color w:val="auto"/>
          <w:vertAlign w:val="superscript"/>
        </w:rPr>
      </w:pPr>
    </w:p>
    <w:p>
      <w:pPr>
        <w:ind w:left="1580" w:right="499" w:hanging="359"/>
        <w:spacing w:after="0"/>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Represents the January 24, 2020 award of performance-based RSUs, which vest in three (3) equal installments on January 24, 2021, January 24, 2022 and January 24, 2023, subject each year to the executive officer meeting a minimum performance level of fifty percent (50%) on his or her annual scorecard for the 2020, 2021 and 2022 service years.</w:t>
      </w:r>
    </w:p>
    <w:p>
      <w:pPr>
        <w:spacing w:after="0" w:line="191" w:lineRule="exact"/>
        <w:rPr>
          <w:rFonts w:ascii="Arial" w:cs="Arial" w:eastAsia="Arial" w:hAnsi="Arial"/>
          <w:sz w:val="26"/>
          <w:szCs w:val="26"/>
          <w:color w:val="auto"/>
          <w:vertAlign w:val="superscript"/>
        </w:rPr>
      </w:pPr>
    </w:p>
    <w:p>
      <w:pPr>
        <w:ind w:left="1580" w:right="1199" w:hanging="359"/>
        <w:spacing w:after="0" w:line="210" w:lineRule="auto"/>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Time-based RSU awards are scheduled to vest in three (3) equal installments on February 26, 2021, February 26, 2022 and February 26, 2023.</w:t>
      </w:r>
    </w:p>
    <w:p>
      <w:pPr>
        <w:ind w:left="1580" w:hanging="359"/>
        <w:spacing w:after="0" w:line="209" w:lineRule="auto"/>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Represents the October 01, 2014 award of performance-based Options. Twenty-</w:t>
      </w:r>
    </w:p>
    <w:p>
      <w:pPr>
        <w:ind w:left="1580" w:right="639"/>
        <w:spacing w:after="0" w:line="248" w:lineRule="auto"/>
        <w:rPr>
          <w:rFonts w:ascii="Arial" w:cs="Arial" w:eastAsia="Arial" w:hAnsi="Arial"/>
          <w:sz w:val="26"/>
          <w:szCs w:val="26"/>
          <w:color w:val="auto"/>
          <w:vertAlign w:val="superscript"/>
        </w:rPr>
      </w:pPr>
      <w:r>
        <w:rPr>
          <w:rFonts w:ascii="Arial" w:cs="Arial" w:eastAsia="Arial" w:hAnsi="Arial"/>
          <w:sz w:val="18"/>
          <w:szCs w:val="18"/>
          <w:color w:val="auto"/>
        </w:rPr>
        <w:t>five percent (25%) of options vest upon Altisource achieving a stock price of $193.74 and an annual rate of return of twenty percent (20%) over the exercise price with the balance vesting twenty-five percent (25%) each subsequent anniversary thereof. These awards will expire on October 01, 2024 if the performance metrics have not been achieved.</w:t>
      </w:r>
    </w:p>
    <w:p>
      <w:pPr>
        <w:spacing w:after="0" w:line="207" w:lineRule="exact"/>
        <w:rPr>
          <w:rFonts w:ascii="Arial" w:cs="Arial" w:eastAsia="Arial" w:hAnsi="Arial"/>
          <w:sz w:val="26"/>
          <w:szCs w:val="26"/>
          <w:color w:val="auto"/>
          <w:vertAlign w:val="superscript"/>
        </w:rPr>
      </w:pPr>
    </w:p>
    <w:p>
      <w:pPr>
        <w:ind w:left="1580" w:hanging="359"/>
        <w:spacing w:after="0" w:line="209" w:lineRule="auto"/>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Represents the October 01, 2014 award of performance-based Options. Twenty-</w:t>
      </w:r>
    </w:p>
    <w:p>
      <w:pPr>
        <w:ind w:left="1580" w:right="639"/>
        <w:spacing w:after="0" w:line="248" w:lineRule="auto"/>
        <w:rPr>
          <w:rFonts w:ascii="Arial" w:cs="Arial" w:eastAsia="Arial" w:hAnsi="Arial"/>
          <w:sz w:val="26"/>
          <w:szCs w:val="26"/>
          <w:color w:val="auto"/>
          <w:vertAlign w:val="superscript"/>
        </w:rPr>
      </w:pPr>
      <w:r>
        <w:rPr>
          <w:rFonts w:ascii="Arial" w:cs="Arial" w:eastAsia="Arial" w:hAnsi="Arial"/>
          <w:sz w:val="18"/>
          <w:szCs w:val="18"/>
          <w:color w:val="auto"/>
        </w:rPr>
        <w:t>five percent (25%) of options vest upon Altisource achieving a stock price of $290.61 and an annual rate of return of twenty percent (20%) over the exercise price with the balance vesting twenty-five percent (25%) each subsequent anniversary thereof. These awards will expire on October 01, 2024 if the performance metrics have not been achieved.</w:t>
      </w:r>
    </w:p>
    <w:p>
      <w:pPr>
        <w:spacing w:after="0" w:line="240" w:lineRule="exact"/>
        <w:rPr>
          <w:rFonts w:ascii="Arial" w:cs="Arial" w:eastAsia="Arial" w:hAnsi="Arial"/>
          <w:sz w:val="26"/>
          <w:szCs w:val="26"/>
          <w:color w:val="auto"/>
          <w:vertAlign w:val="superscript"/>
        </w:rPr>
      </w:pPr>
    </w:p>
    <w:p>
      <w:pPr>
        <w:ind w:left="1580" w:right="539" w:hanging="359"/>
        <w:spacing w:after="0" w:line="229" w:lineRule="auto"/>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Represents the August 29, 2016 award of performance-based Options. One-third of options vest upon Altisource achieving a stock price of $65.28 and an annual rate of return of twenty percent (20%) over the exercise price with the balance vesting one-third each subsequent anniversary thereof. These awards will expire on August 29, 2026 if the performance metrics have not been achieved.</w:t>
      </w:r>
    </w:p>
    <w:p>
      <w:pPr>
        <w:spacing w:after="0" w:line="36" w:lineRule="exact"/>
        <w:rPr>
          <w:rFonts w:ascii="Arial" w:cs="Arial" w:eastAsia="Arial" w:hAnsi="Arial"/>
          <w:sz w:val="26"/>
          <w:szCs w:val="26"/>
          <w:color w:val="auto"/>
          <w:vertAlign w:val="superscript"/>
        </w:rPr>
      </w:pPr>
    </w:p>
    <w:p>
      <w:pPr>
        <w:ind w:left="1580" w:right="539" w:hanging="359"/>
        <w:spacing w:after="0" w:line="229" w:lineRule="auto"/>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Represents the August 29, 2016 award of performance-based Options. One-third of options vest upon Altisource achieving a stock price of $97.92 and an annual rate of return of twenty-five percent (25%) over the exercise price with the balance vesting one-third each subsequent anniversary thereof. These awards will expire on August 29, 2026 if the performance metrics have not been achieved.</w:t>
      </w:r>
    </w:p>
    <w:p>
      <w:pPr>
        <w:spacing w:after="0" w:line="36" w:lineRule="exact"/>
        <w:rPr>
          <w:rFonts w:ascii="Arial" w:cs="Arial" w:eastAsia="Arial" w:hAnsi="Arial"/>
          <w:sz w:val="26"/>
          <w:szCs w:val="26"/>
          <w:color w:val="auto"/>
          <w:vertAlign w:val="superscript"/>
        </w:rPr>
      </w:pPr>
    </w:p>
    <w:p>
      <w:pPr>
        <w:ind w:left="1580" w:right="539" w:hanging="359"/>
        <w:spacing w:after="0" w:line="229" w:lineRule="auto"/>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Represents the July 27, 2017 award of performance-based Options. One-third of options vest upon Altisource achieving a stock price of $82.95 and an annual rate of return of twenty-five percent (25%) over the exercise price with the balance vesting one-third each subsequent anniversary thereof. These awards will expire on July 27, 2027 if the performance metrics have not been achieved.</w:t>
      </w:r>
    </w:p>
    <w:p>
      <w:pPr>
        <w:spacing w:after="0" w:line="36" w:lineRule="exact"/>
        <w:rPr>
          <w:rFonts w:ascii="Arial" w:cs="Arial" w:eastAsia="Arial" w:hAnsi="Arial"/>
          <w:sz w:val="26"/>
          <w:szCs w:val="26"/>
          <w:color w:val="auto"/>
          <w:vertAlign w:val="superscript"/>
        </w:rPr>
      </w:pPr>
    </w:p>
    <w:p>
      <w:pPr>
        <w:ind w:left="1580" w:right="539" w:hanging="359"/>
        <w:spacing w:after="0" w:line="228" w:lineRule="auto"/>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Represents the July 27, 2017 award of performance-based Options. One-third of options vest upon Altisource achieving a stock price of $55.30 and an annual rate of return of twenty percent (20%) over the exercise price with the balance vesting one-third each subsequent anniversary thereof. These awards will expire on July 27, 2027 if the performance metrics have not been achieved.</w:t>
      </w:r>
    </w:p>
    <w:p>
      <w:pPr>
        <w:spacing w:after="0" w:line="4" w:lineRule="exact"/>
        <w:rPr>
          <w:rFonts w:ascii="Arial" w:cs="Arial" w:eastAsia="Arial" w:hAnsi="Arial"/>
          <w:sz w:val="26"/>
          <w:szCs w:val="26"/>
          <w:color w:val="auto"/>
          <w:vertAlign w:val="superscript"/>
        </w:rPr>
      </w:pPr>
    </w:p>
    <w:p>
      <w:pPr>
        <w:ind w:left="1580" w:hanging="359"/>
        <w:spacing w:after="0" w:line="215" w:lineRule="auto"/>
        <w:tabs>
          <w:tab w:leader="none" w:pos="15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RSUs vest in two (2) equal installments on March 21, 2022 and March 21, 2023.</w:t>
      </w:r>
    </w:p>
    <w:p>
      <w:pPr>
        <w:spacing w:after="0" w:line="36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121"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41" w:lineRule="exact"/>
        <w:rPr>
          <w:sz w:val="20"/>
          <w:szCs w:val="20"/>
          <w:color w:val="auto"/>
        </w:rPr>
      </w:pPr>
    </w:p>
    <w:p>
      <w:pPr>
        <w:ind w:left="1580" w:hanging="359"/>
        <w:spacing w:after="0"/>
        <w:tabs>
          <w:tab w:leader="none" w:pos="1580" w:val="left"/>
        </w:tabs>
        <w:numPr>
          <w:ilvl w:val="0"/>
          <w:numId w:val="45"/>
        </w:numPr>
        <w:rPr>
          <w:rFonts w:ascii="Arial" w:cs="Arial" w:eastAsia="Arial" w:hAnsi="Arial"/>
          <w:sz w:val="26"/>
          <w:szCs w:val="26"/>
          <w:color w:val="auto"/>
          <w:vertAlign w:val="superscript"/>
        </w:rPr>
      </w:pPr>
      <w:r>
        <w:rPr>
          <w:rFonts w:ascii="Arial" w:cs="Arial" w:eastAsia="Arial" w:hAnsi="Arial"/>
          <w:sz w:val="18"/>
          <w:szCs w:val="18"/>
          <w:color w:val="auto"/>
        </w:rPr>
        <w:t>Represents the March 9, 2021 award of performance-based RSUs, which vest in two</w:t>
      </w:r>
    </w:p>
    <w:p>
      <w:pPr>
        <w:jc w:val="both"/>
        <w:ind w:left="1580" w:right="539"/>
        <w:spacing w:after="0" w:line="247" w:lineRule="auto"/>
        <w:rPr>
          <w:rFonts w:ascii="Arial" w:cs="Arial" w:eastAsia="Arial" w:hAnsi="Arial"/>
          <w:sz w:val="26"/>
          <w:szCs w:val="26"/>
          <w:color w:val="auto"/>
          <w:vertAlign w:val="superscript"/>
        </w:rPr>
      </w:pPr>
      <w:r>
        <w:rPr>
          <w:rFonts w:ascii="Arial" w:cs="Arial" w:eastAsia="Arial" w:hAnsi="Arial"/>
          <w:sz w:val="18"/>
          <w:szCs w:val="18"/>
          <w:color w:val="auto"/>
        </w:rPr>
        <w:t>(3) equal installments on March 9, 2022, March 9, 2023 and March 9, 2024 subject each year to the executive officer meeting a minimum performance level of fifty percent (50%) on his or her annual scorecard for the 2021, 2022 and 2023 service years.</w:t>
      </w:r>
    </w:p>
    <w:p>
      <w:pPr>
        <w:spacing w:after="0" w:line="19" w:lineRule="exact"/>
        <w:rPr>
          <w:rFonts w:ascii="Arial" w:cs="Arial" w:eastAsia="Arial" w:hAnsi="Arial"/>
          <w:sz w:val="26"/>
          <w:szCs w:val="26"/>
          <w:color w:val="auto"/>
          <w:vertAlign w:val="superscript"/>
        </w:rPr>
      </w:pPr>
    </w:p>
    <w:p>
      <w:pPr>
        <w:ind w:left="1580" w:right="519" w:hanging="359"/>
        <w:spacing w:after="0" w:line="233" w:lineRule="auto"/>
        <w:tabs>
          <w:tab w:leader="none" w:pos="1580" w:val="left"/>
        </w:tabs>
        <w:numPr>
          <w:ilvl w:val="0"/>
          <w:numId w:val="45"/>
        </w:numPr>
        <w:rPr>
          <w:rFonts w:ascii="Arial" w:cs="Arial" w:eastAsia="Arial" w:hAnsi="Arial"/>
          <w:sz w:val="26"/>
          <w:szCs w:val="26"/>
          <w:color w:val="auto"/>
          <w:vertAlign w:val="superscript"/>
        </w:rPr>
      </w:pPr>
      <w:r>
        <w:rPr>
          <w:rFonts w:ascii="Arial" w:cs="Arial" w:eastAsia="Arial" w:hAnsi="Arial"/>
          <w:sz w:val="18"/>
          <w:szCs w:val="18"/>
          <w:color w:val="auto"/>
        </w:rPr>
        <w:t>Represents the March 9, 2021 award of performance-based RSUs, which cliff vest on the third anniversary of the grant date if certain financial measures are achieved. The number of performance-based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If the performance criteria is below a certain threshold, the award is cancelled.</w:t>
      </w:r>
    </w:p>
    <w:p>
      <w:pPr>
        <w:spacing w:after="0" w:line="6" w:lineRule="exact"/>
        <w:rPr>
          <w:rFonts w:ascii="Arial" w:cs="Arial" w:eastAsia="Arial" w:hAnsi="Arial"/>
          <w:sz w:val="26"/>
          <w:szCs w:val="26"/>
          <w:color w:val="auto"/>
          <w:vertAlign w:val="superscript"/>
        </w:rPr>
      </w:pPr>
    </w:p>
    <w:p>
      <w:pPr>
        <w:ind w:left="1580" w:hanging="359"/>
        <w:spacing w:after="0" w:line="212" w:lineRule="auto"/>
        <w:tabs>
          <w:tab w:leader="none" w:pos="1580" w:val="left"/>
        </w:tabs>
        <w:numPr>
          <w:ilvl w:val="0"/>
          <w:numId w:val="45"/>
        </w:numPr>
        <w:rPr>
          <w:rFonts w:ascii="Arial" w:cs="Arial" w:eastAsia="Arial" w:hAnsi="Arial"/>
          <w:sz w:val="26"/>
          <w:szCs w:val="26"/>
          <w:color w:val="auto"/>
          <w:vertAlign w:val="superscript"/>
        </w:rPr>
      </w:pPr>
      <w:r>
        <w:rPr>
          <w:rFonts w:ascii="Arial" w:cs="Arial" w:eastAsia="Arial" w:hAnsi="Arial"/>
          <w:sz w:val="18"/>
          <w:szCs w:val="18"/>
          <w:color w:val="auto"/>
        </w:rPr>
        <w:t>RSUs vest in two (2) equal installments on March 1, 2023 and March 1, 2024.</w:t>
      </w:r>
    </w:p>
    <w:p>
      <w:pPr>
        <w:spacing w:after="0" w:line="49" w:lineRule="exact"/>
        <w:rPr>
          <w:rFonts w:ascii="Arial" w:cs="Arial" w:eastAsia="Arial" w:hAnsi="Arial"/>
          <w:sz w:val="26"/>
          <w:szCs w:val="26"/>
          <w:color w:val="auto"/>
          <w:vertAlign w:val="superscript"/>
        </w:rPr>
      </w:pPr>
    </w:p>
    <w:p>
      <w:pPr>
        <w:ind w:left="1580" w:right="1199" w:hanging="359"/>
        <w:spacing w:after="0" w:line="202" w:lineRule="auto"/>
        <w:tabs>
          <w:tab w:leader="none" w:pos="1580" w:val="left"/>
        </w:tabs>
        <w:numPr>
          <w:ilvl w:val="0"/>
          <w:numId w:val="45"/>
        </w:numPr>
        <w:rPr>
          <w:rFonts w:ascii="Arial" w:cs="Arial" w:eastAsia="Arial" w:hAnsi="Arial"/>
          <w:sz w:val="26"/>
          <w:szCs w:val="26"/>
          <w:color w:val="auto"/>
          <w:vertAlign w:val="superscript"/>
        </w:rPr>
      </w:pPr>
      <w:r>
        <w:rPr>
          <w:rFonts w:ascii="Arial" w:cs="Arial" w:eastAsia="Arial" w:hAnsi="Arial"/>
          <w:sz w:val="18"/>
          <w:szCs w:val="18"/>
          <w:color w:val="auto"/>
        </w:rPr>
        <w:t>Time-based RSU awards are scheduled to vest in three (3) equal installments on March 1, 2023, March 1, 2024 and March 1, 2025.</w:t>
      </w:r>
    </w:p>
    <w:p>
      <w:pPr>
        <w:spacing w:after="0" w:line="34" w:lineRule="exact"/>
        <w:rPr>
          <w:rFonts w:ascii="Arial" w:cs="Arial" w:eastAsia="Arial" w:hAnsi="Arial"/>
          <w:sz w:val="26"/>
          <w:szCs w:val="26"/>
          <w:color w:val="auto"/>
          <w:vertAlign w:val="superscript"/>
        </w:rPr>
      </w:pPr>
    </w:p>
    <w:p>
      <w:pPr>
        <w:ind w:left="1580" w:right="539" w:hanging="359"/>
        <w:spacing w:after="0" w:line="235" w:lineRule="auto"/>
        <w:tabs>
          <w:tab w:leader="none" w:pos="1580" w:val="left"/>
        </w:tabs>
        <w:numPr>
          <w:ilvl w:val="0"/>
          <w:numId w:val="45"/>
        </w:numPr>
        <w:rPr>
          <w:rFonts w:ascii="Arial" w:cs="Arial" w:eastAsia="Arial" w:hAnsi="Arial"/>
          <w:sz w:val="26"/>
          <w:szCs w:val="26"/>
          <w:color w:val="auto"/>
          <w:vertAlign w:val="superscript"/>
        </w:rPr>
      </w:pPr>
      <w:r>
        <w:rPr>
          <w:rFonts w:ascii="Arial" w:cs="Arial" w:eastAsia="Arial" w:hAnsi="Arial"/>
          <w:sz w:val="18"/>
          <w:szCs w:val="18"/>
          <w:color w:val="auto"/>
        </w:rPr>
        <w:t>Represents the March 1, 2022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Employment Agreements</w:t>
      </w:r>
    </w:p>
    <w:p>
      <w:pPr>
        <w:spacing w:after="0" w:line="119" w:lineRule="exact"/>
        <w:rPr>
          <w:sz w:val="20"/>
          <w:szCs w:val="20"/>
          <w:color w:val="auto"/>
        </w:rPr>
      </w:pPr>
    </w:p>
    <w:p>
      <w:pPr>
        <w:ind w:left="1220" w:right="579"/>
        <w:spacing w:after="0"/>
        <w:rPr>
          <w:sz w:val="20"/>
          <w:szCs w:val="20"/>
          <w:color w:val="auto"/>
        </w:rPr>
      </w:pPr>
      <w:r>
        <w:rPr>
          <w:rFonts w:ascii="Arial" w:cs="Arial" w:eastAsia="Arial" w:hAnsi="Arial"/>
          <w:sz w:val="18"/>
          <w:szCs w:val="18"/>
          <w:color w:val="auto"/>
        </w:rPr>
        <w:t>Altisource is party to Luxembourg employment agreements with each of our Luxembourg-based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316" w:lineRule="exact"/>
        <w:rPr>
          <w:sz w:val="20"/>
          <w:szCs w:val="20"/>
          <w:color w:val="auto"/>
        </w:rPr>
      </w:pPr>
    </w:p>
    <w:p>
      <w:pPr>
        <w:ind w:left="1220" w:right="659"/>
        <w:spacing w:after="0" w:line="238" w:lineRule="auto"/>
        <w:rPr>
          <w:sz w:val="20"/>
          <w:szCs w:val="20"/>
          <w:color w:val="auto"/>
        </w:rPr>
      </w:pPr>
      <w:r>
        <w:rPr>
          <w:rFonts w:ascii="Arial" w:cs="Arial" w:eastAsia="Arial" w:hAnsi="Arial"/>
          <w:sz w:val="18"/>
          <w:szCs w:val="18"/>
          <w:color w:val="auto"/>
        </w:rPr>
        <w:t>In order to terminate the employment agreement, each party must provide notice in accordance with the applicable time periods set forth in article L.124-1 of the Luxembourg Labor Code; provided, however, in the event of termination by the Company for “Cause” ​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article L.124- 10 of the Luxembourg Labor Code), no notice period is required. In addition, in the event of termination by the Company without “Cause” or, in some instances, resignation by the executive for “Good Reason,” the executive will receive severance benefits as described below. Furthermore, the executive may be entitled to receive additional payments in accordance with article L.124-7 of the Luxembourg Labor Code if executive has been employed for more than five (5) years, which period has been satisfied by each of our Luxembourg-based Named Executive Officers.</w:t>
      </w:r>
    </w:p>
    <w:p>
      <w:pPr>
        <w:spacing w:after="0" w:line="118" w:lineRule="exact"/>
        <w:rPr>
          <w:sz w:val="20"/>
          <w:szCs w:val="20"/>
          <w:color w:val="auto"/>
        </w:rPr>
      </w:pPr>
    </w:p>
    <w:p>
      <w:pPr>
        <w:ind w:left="1220" w:right="579"/>
        <w:spacing w:after="0" w:line="241" w:lineRule="auto"/>
        <w:rPr>
          <w:sz w:val="20"/>
          <w:szCs w:val="20"/>
          <w:color w:val="auto"/>
        </w:rPr>
      </w:pPr>
      <w:r>
        <w:rPr>
          <w:rFonts w:ascii="Arial" w:cs="Arial" w:eastAsia="Arial" w:hAnsi="Arial"/>
          <w:sz w:val="18"/>
          <w:szCs w:val="18"/>
          <w:color w:val="auto"/>
        </w:rPr>
        <w:t>The agreements also include a covenant not to disclose our confidential information and to enter into an intellectual property agreement. In addition, the agreements include covenants of non-competition for a minimum period of one (1) year, and non-solicitation of two</w:t>
      </w:r>
    </w:p>
    <w:p>
      <w:pPr>
        <w:spacing w:after="0" w:line="1" w:lineRule="exact"/>
        <w:rPr>
          <w:sz w:val="20"/>
          <w:szCs w:val="20"/>
          <w:color w:val="auto"/>
        </w:rPr>
      </w:pPr>
    </w:p>
    <w:p>
      <w:pPr>
        <w:ind w:left="1220" w:right="519" w:firstLine="1"/>
        <w:spacing w:after="0"/>
        <w:tabs>
          <w:tab w:leader="none" w:pos="1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years, or one (1) year in the case of the Chief Executive Officer, following the termination of the agreement. The agreements are governed, interpreted and subject to the limitations of, and performed pursuant to and in accordance with, the laws of the Grand Duchy of Luxembourg.</w:t>
      </w:r>
    </w:p>
    <w:p>
      <w:pPr>
        <w:spacing w:after="0" w:line="375"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Potential Payments Upon Termination or Change of Control</w:t>
      </w:r>
    </w:p>
    <w:p>
      <w:pPr>
        <w:spacing w:after="0" w:line="132" w:lineRule="exact"/>
        <w:rPr>
          <w:sz w:val="20"/>
          <w:szCs w:val="20"/>
          <w:color w:val="auto"/>
        </w:rPr>
      </w:pPr>
    </w:p>
    <w:p>
      <w:pPr>
        <w:ind w:left="1220" w:right="579"/>
        <w:spacing w:after="0"/>
        <w:rPr>
          <w:sz w:val="20"/>
          <w:szCs w:val="20"/>
          <w:color w:val="auto"/>
        </w:rPr>
      </w:pPr>
      <w:r>
        <w:rPr>
          <w:rFonts w:ascii="Arial" w:cs="Arial" w:eastAsia="Arial" w:hAnsi="Arial"/>
          <w:sz w:val="18"/>
          <w:szCs w:val="18"/>
          <w:color w:val="auto"/>
        </w:rPr>
        <w:t>As discussed above, Messrs. Shepro and Ritts have entered into employment agreements with the Company. Under these agreements, if employment is terminated as a result of retirement or disability or otherwise without cause, as defined therein, the Company will pay all standard relocation costs to relocate the executive officer to the United States. If the Company terminates the employment of the foregoing Named Executive Officers other than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L.124-10 of the Luxembourg Labor Code) and, in the case of Mr. Shepro, if he terminates his employment for “Good Reason” ​(as defined in his employment agreement), the</w:t>
      </w:r>
    </w:p>
    <w:p>
      <w:pPr>
        <w:spacing w:after="0" w:line="200" w:lineRule="exact"/>
        <w:rPr>
          <w:sz w:val="20"/>
          <w:szCs w:val="20"/>
          <w:color w:val="auto"/>
        </w:rPr>
      </w:pPr>
    </w:p>
    <w:p>
      <w:pPr>
        <w:spacing w:after="0" w:line="3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67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12" w:lineRule="exact"/>
        <w:rPr>
          <w:sz w:val="20"/>
          <w:szCs w:val="20"/>
          <w:color w:val="auto"/>
        </w:rPr>
      </w:pPr>
    </w:p>
    <w:p>
      <w:pPr>
        <w:ind w:left="1220" w:right="519"/>
        <w:spacing w:after="0" w:line="238" w:lineRule="auto"/>
        <w:rPr>
          <w:sz w:val="20"/>
          <w:szCs w:val="20"/>
          <w:color w:val="auto"/>
        </w:rPr>
      </w:pPr>
      <w:r>
        <w:rPr>
          <w:rFonts w:ascii="Arial" w:cs="Arial" w:eastAsia="Arial" w:hAnsi="Arial"/>
          <w:sz w:val="18"/>
          <w:szCs w:val="18"/>
          <w:color w:val="auto"/>
        </w:rPr>
        <w:t>Company shall make a cash payment of twelve (12) months’ base salary (in the case of Mr. Shepro) and four (4) months’ base salary (in the case of Mr. Ritts) in addition to certain notice and additional payments as may be required under articles L.124 -1 and L.124-7 of the Luxembourg Labor Code. In the case of Mr. Shepro, the Company shall also pay at least one</w:t>
      </w:r>
    </w:p>
    <w:p>
      <w:pPr>
        <w:spacing w:after="0" w:line="2" w:lineRule="exact"/>
        <w:rPr>
          <w:sz w:val="20"/>
          <w:szCs w:val="20"/>
          <w:color w:val="auto"/>
        </w:rPr>
      </w:pPr>
    </w:p>
    <w:p>
      <w:pPr>
        <w:ind w:left="1220" w:right="539" w:firstLine="1"/>
        <w:spacing w:after="0"/>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year of target incentive compensation in such instances. Additionally, if the Company terminates the employment of Mr. Shepro other than for “Cause” after October 1 of the service year, and before incentives are paid for the respective service year, Mr. Shepro will be entitled to receive incentive compensation for such service year. The employment agreement of Mr. Ritts additionally provides that, in the event of a Change of Control (as defined therein), the Company shall make a lump-sum cash payment to Mr. Ritts equal to twelve (12) months’ base salary plus one (1) year’s target incentive compensation. Additionally, if such Change of Control happens after October 1 of a service year and before incentives are paid for such service year, Mr. Ritts will be entitled to receive incentive compensation for such service year with such payment to be prorated to the date of such Change of Control if occurring between October 1 and December 31 of such year. Subsequent to such Change of Control, if Mr. Ritts is terminated other than for Cause, his severance payment would be limited to the statutory notice and such other payment obligations required under articles L.124-1 and L.124-7 of the Luxembourg Labor Code, notwithstanding the third sentence of this paragraph. If the Company terminates one of the foregoing Named Executive Officers for “Cause,” the Company may do so without notice and with no obligation to make any further payments to such executive, other than amounts accrued and unpaid at the date of termination.</w:t>
      </w:r>
    </w:p>
    <w:p>
      <w:pPr>
        <w:spacing w:after="0" w:line="200" w:lineRule="exact"/>
        <w:rPr>
          <w:sz w:val="20"/>
          <w:szCs w:val="20"/>
          <w:color w:val="auto"/>
        </w:rPr>
      </w:pPr>
    </w:p>
    <w:p>
      <w:pPr>
        <w:spacing w:after="0" w:line="271" w:lineRule="exact"/>
        <w:rPr>
          <w:sz w:val="20"/>
          <w:szCs w:val="20"/>
          <w:color w:val="auto"/>
        </w:rPr>
      </w:pPr>
    </w:p>
    <w:p>
      <w:pPr>
        <w:ind w:left="1220" w:right="599"/>
        <w:spacing w:after="0"/>
        <w:rPr>
          <w:sz w:val="20"/>
          <w:szCs w:val="20"/>
          <w:color w:val="auto"/>
        </w:rPr>
      </w:pPr>
      <w:r>
        <w:rPr>
          <w:rFonts w:ascii="Arial" w:cs="Arial" w:eastAsia="Arial" w:hAnsi="Arial"/>
          <w:sz w:val="18"/>
          <w:szCs w:val="18"/>
          <w:color w:val="auto"/>
        </w:rPr>
        <w:t>With respect to stock options, typically, upon termination of a Named Executive Officer’s employment other than for “Cause,” as defined by the applicable stock option agreement, or by reason of resignation, the Named Executive Officer will be entitled to retain any vested portion of prior awards granted and any unvested market-based options for which the vesting hurdles have already been achieved. Typically, the Named Executive Officer’s right to retain any options following termination of employment is subject to the requirement that he or she has been employed with the Company for a period of at least two (2) years, which period has been satisfied by each of our Named Executive Officers. Upon termination of employment for “Cause,” all vested and unvested stock options awarded pursuant to such agreement will be forfeited.</w:t>
      </w:r>
    </w:p>
    <w:p>
      <w:pPr>
        <w:spacing w:after="0" w:line="308" w:lineRule="exact"/>
        <w:rPr>
          <w:sz w:val="20"/>
          <w:szCs w:val="20"/>
          <w:color w:val="auto"/>
        </w:rPr>
      </w:pPr>
    </w:p>
    <w:p>
      <w:pPr>
        <w:ind w:left="1220" w:right="519"/>
        <w:spacing w:after="0"/>
        <w:rPr>
          <w:sz w:val="20"/>
          <w:szCs w:val="20"/>
          <w:color w:val="auto"/>
        </w:rPr>
      </w:pPr>
      <w:r>
        <w:rPr>
          <w:rFonts w:ascii="Arial" w:cs="Arial" w:eastAsia="Arial" w:hAnsi="Arial"/>
          <w:sz w:val="18"/>
          <w:szCs w:val="18"/>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Named Executive Officer’s right to the acceleration of options following termination of employment is subject to the requirement that he or she has been employed with the Company for a period of at least three (3) years in the case of retirement and two (2) years in other instances, which periods have been satisfied by each of our Named Executive Officers. Additionally, pursuant to certain of these agreements, if there is a change of control transaction (“Transaction”), the Compensation Committee may, </w:t>
      </w:r>
      <w:r>
        <w:rPr>
          <w:rFonts w:ascii="Arial" w:cs="Arial" w:eastAsia="Arial" w:hAnsi="Arial"/>
          <w:sz w:val="18"/>
          <w:szCs w:val="18"/>
          <w:i w:val="1"/>
          <w:iCs w:val="1"/>
          <w:color w:val="auto"/>
        </w:rPr>
        <w:t>inter alia</w:t>
      </w:r>
      <w:r>
        <w:rPr>
          <w:rFonts w:ascii="Arial" w:cs="Arial" w:eastAsia="Arial" w:hAnsi="Arial"/>
          <w:sz w:val="18"/>
          <w:szCs w:val="18"/>
          <w:color w:val="auto"/>
        </w:rPr>
        <w:t>, adjust the vesting conditions of the options in its discretion, which could result in the immediate vesting of some or all of the options. Under the terms of the stock option awards granted to our Named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275" w:lineRule="exact"/>
        <w:rPr>
          <w:sz w:val="20"/>
          <w:szCs w:val="20"/>
          <w:color w:val="auto"/>
        </w:rPr>
      </w:pPr>
    </w:p>
    <w:p>
      <w:pPr>
        <w:ind w:left="1220" w:right="539"/>
        <w:spacing w:after="0" w:line="236" w:lineRule="auto"/>
        <w:rPr>
          <w:sz w:val="20"/>
          <w:szCs w:val="20"/>
          <w:color w:val="auto"/>
        </w:rPr>
      </w:pPr>
      <w:r>
        <w:rPr>
          <w:rFonts w:ascii="Arial" w:cs="Arial" w:eastAsia="Arial" w:hAnsi="Arial"/>
          <w:sz w:val="18"/>
          <w:szCs w:val="18"/>
          <w:color w:val="auto"/>
        </w:rPr>
        <w:t>With respect to restricted shares and RSUs granted to our Named Executive Officers, in some instances if the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 applicable award agreement, certain unvested restricted shares and RSUs will vest after</w:t>
      </w:r>
    </w:p>
    <w:p>
      <w:pPr>
        <w:spacing w:after="0" w:line="1" w:lineRule="exact"/>
        <w:rPr>
          <w:sz w:val="20"/>
          <w:szCs w:val="20"/>
          <w:color w:val="auto"/>
        </w:rPr>
      </w:pPr>
    </w:p>
    <w:p>
      <w:pPr>
        <w:ind w:left="1220" w:right="499"/>
        <w:spacing w:after="0" w:line="255" w:lineRule="auto"/>
        <w:rPr>
          <w:sz w:val="20"/>
          <w:szCs w:val="20"/>
          <w:color w:val="auto"/>
        </w:rPr>
      </w:pPr>
      <w:r>
        <w:rPr>
          <w:rFonts w:ascii="Arial" w:cs="Arial" w:eastAsia="Arial" w:hAnsi="Arial"/>
          <w:sz w:val="18"/>
          <w:szCs w:val="18"/>
          <w:color w:val="auto"/>
        </w:rPr>
        <w:t>30 days of such termination. In addition, certain restricted share and RSU awards provide for the vesting of unvested restricted shares and RSUs in the event of a Transaction.</w:t>
      </w:r>
    </w:p>
    <w:p>
      <w:pPr>
        <w:spacing w:after="0" w:line="100" w:lineRule="exact"/>
        <w:rPr>
          <w:sz w:val="20"/>
          <w:szCs w:val="20"/>
          <w:color w:val="auto"/>
        </w:rPr>
      </w:pPr>
    </w:p>
    <w:p>
      <w:pPr>
        <w:ind w:left="1220" w:right="959"/>
        <w:spacing w:after="0" w:line="245" w:lineRule="auto"/>
        <w:rPr>
          <w:sz w:val="20"/>
          <w:szCs w:val="20"/>
          <w:color w:val="auto"/>
        </w:rPr>
      </w:pPr>
      <w:r>
        <w:rPr>
          <w:rFonts w:ascii="Arial" w:cs="Arial" w:eastAsia="Arial" w:hAnsi="Arial"/>
          <w:sz w:val="18"/>
          <w:szCs w:val="18"/>
          <w:color w:val="auto"/>
        </w:rPr>
        <w:t>Except as specified above, any portion of an equity award not vested will generally be forfeited unless alternate arrangements are made at the discretion of the Compensation Committee.</w:t>
      </w:r>
    </w:p>
    <w:p>
      <w:pPr>
        <w:spacing w:after="0" w:line="200" w:lineRule="exact"/>
        <w:rPr>
          <w:sz w:val="20"/>
          <w:szCs w:val="20"/>
          <w:color w:val="auto"/>
        </w:rPr>
      </w:pPr>
    </w:p>
    <w:p>
      <w:pPr>
        <w:spacing w:after="0" w:line="3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724"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38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9"/>
          <w:szCs w:val="19"/>
          <w:b w:val="1"/>
          <w:bCs w:val="1"/>
          <w:u w:val="single" w:color="auto"/>
          <w:color w:val="auto"/>
        </w:rPr>
        <w:t>Pay Versus Performance</w:t>
      </w:r>
    </w:p>
    <w:p>
      <w:pPr>
        <w:spacing w:after="0" w:line="119" w:lineRule="exact"/>
        <w:rPr>
          <w:sz w:val="20"/>
          <w:szCs w:val="20"/>
          <w:color w:val="auto"/>
        </w:rPr>
      </w:pPr>
    </w:p>
    <w:p>
      <w:pPr>
        <w:ind w:left="1220" w:right="699"/>
        <w:spacing w:after="0" w:line="251" w:lineRule="auto"/>
        <w:rPr>
          <w:sz w:val="20"/>
          <w:szCs w:val="20"/>
          <w:color w:val="auto"/>
        </w:rPr>
      </w:pPr>
      <w:r>
        <w:rPr>
          <w:rFonts w:ascii="Arial" w:cs="Arial" w:eastAsia="Arial" w:hAnsi="Arial"/>
          <w:sz w:val="18"/>
          <w:szCs w:val="18"/>
          <w:color w:val="auto"/>
        </w:rPr>
        <w:t>As required by Item 402(v) of Regulation S-K, the following table discloses the relationship between the financial performance of the Company and (i) the summary compensation actually paid to the Company’s Principal Executive Officer (“PEO”), and (ii) the average compensation actually paid to non-PEO Named Executive Officers. For further information about how we align executive compensation with the Company’s performance, see the Summary Compensation Table</w:t>
      </w:r>
    </w:p>
    <w:p>
      <w:pPr>
        <w:spacing w:after="0" w:line="323"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8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Average</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Summary</w:t>
            </w:r>
          </w:p>
        </w:tc>
        <w:tc>
          <w:tcPr>
            <w:tcW w:w="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restart"/>
          </w:tcPr>
          <w:p>
            <w:pPr>
              <w:jc w:val="center"/>
              <w:ind w:right="12"/>
              <w:spacing w:after="0"/>
              <w:rPr>
                <w:sz w:val="20"/>
                <w:szCs w:val="20"/>
                <w:color w:val="auto"/>
              </w:rPr>
            </w:pPr>
            <w:r>
              <w:rPr>
                <w:rFonts w:ascii="Arial" w:cs="Arial" w:eastAsia="Arial" w:hAnsi="Arial"/>
                <w:sz w:val="18"/>
                <w:szCs w:val="18"/>
                <w:b w:val="1"/>
                <w:bCs w:val="1"/>
                <w:color w:val="auto"/>
                <w:w w:val="97"/>
              </w:rPr>
              <w:t>Summary</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Compensation</w:t>
            </w:r>
          </w:p>
        </w:tc>
        <w:tc>
          <w:tcPr>
            <w:tcW w:w="80" w:type="dxa"/>
            <w:vAlign w:val="bottom"/>
          </w:tcPr>
          <w:p>
            <w:pPr>
              <w:spacing w:after="0"/>
              <w:rPr>
                <w:sz w:val="14"/>
                <w:szCs w:val="14"/>
                <w:color w:val="auto"/>
              </w:rPr>
            </w:pPr>
          </w:p>
        </w:tc>
        <w:tc>
          <w:tcPr>
            <w:tcW w:w="13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Compensation</w:t>
            </w:r>
          </w:p>
        </w:tc>
        <w:tc>
          <w:tcPr>
            <w:tcW w:w="140" w:type="dxa"/>
            <w:vAlign w:val="bottom"/>
          </w:tcPr>
          <w:p>
            <w:pPr>
              <w:spacing w:after="0"/>
              <w:rPr>
                <w:sz w:val="14"/>
                <w:szCs w:val="14"/>
                <w:color w:val="auto"/>
              </w:rPr>
            </w:pPr>
          </w:p>
        </w:tc>
        <w:tc>
          <w:tcPr>
            <w:tcW w:w="104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2"/>
              </w:rPr>
              <w:t>Total</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5"/>
              </w:rPr>
              <w:t>Table Total for</w:t>
            </w:r>
          </w:p>
        </w:tc>
        <w:tc>
          <w:tcPr>
            <w:tcW w:w="80" w:type="dxa"/>
            <w:vAlign w:val="bottom"/>
          </w:tcPr>
          <w:p>
            <w:pPr>
              <w:spacing w:after="0"/>
              <w:rPr>
                <w:sz w:val="14"/>
                <w:szCs w:val="14"/>
                <w:color w:val="auto"/>
              </w:rPr>
            </w:pPr>
          </w:p>
        </w:tc>
        <w:tc>
          <w:tcPr>
            <w:tcW w:w="13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Actually Paid to</w:t>
            </w: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0" w:type="dxa"/>
            <w:vAlign w:val="bottom"/>
          </w:tcPr>
          <w:p>
            <w:pPr>
              <w:spacing w:after="0"/>
              <w:rPr>
                <w:sz w:val="16"/>
                <w:szCs w:val="16"/>
                <w:color w:val="auto"/>
              </w:rPr>
            </w:pPr>
          </w:p>
        </w:tc>
        <w:tc>
          <w:tcPr>
            <w:tcW w:w="6560" w:type="dxa"/>
            <w:vAlign w:val="bottom"/>
            <w:gridSpan w:val="10"/>
          </w:tcPr>
          <w:p>
            <w:pPr>
              <w:spacing w:after="0" w:line="185" w:lineRule="exact"/>
              <w:rPr>
                <w:sz w:val="20"/>
                <w:szCs w:val="20"/>
                <w:color w:val="auto"/>
              </w:rPr>
            </w:pPr>
            <w:r>
              <w:rPr>
                <w:rFonts w:ascii="Arial" w:cs="Arial" w:eastAsia="Arial" w:hAnsi="Arial"/>
                <w:sz w:val="18"/>
                <w:szCs w:val="18"/>
                <w:b w:val="1"/>
                <w:bCs w:val="1"/>
                <w:color w:val="auto"/>
                <w:w w:val="98"/>
              </w:rPr>
              <w:t>Compensation Compensation Non-PEO Named Non-PEO Named Shareholder</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122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95"/>
              </w:rPr>
              <w:t>Table Total for</w:t>
            </w:r>
          </w:p>
        </w:tc>
        <w:tc>
          <w:tcPr>
            <w:tcW w:w="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Actually Paid</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Executive</w:t>
            </w:r>
          </w:p>
        </w:tc>
        <w:tc>
          <w:tcPr>
            <w:tcW w:w="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Executive</w:t>
            </w:r>
          </w:p>
        </w:tc>
        <w:tc>
          <w:tcPr>
            <w:tcW w:w="118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96"/>
              </w:rPr>
              <w:t>Return (Initial</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PEO</w:t>
            </w:r>
          </w:p>
        </w:tc>
        <w:tc>
          <w:tcPr>
            <w:tcW w:w="80" w:type="dxa"/>
            <w:vAlign w:val="bottom"/>
            <w:vMerge w:val="continue"/>
          </w:tcPr>
          <w:p>
            <w:pPr>
              <w:spacing w:after="0"/>
              <w:rPr>
                <w:sz w:val="18"/>
                <w:szCs w:val="18"/>
                <w:color w:val="auto"/>
              </w:rPr>
            </w:pPr>
          </w:p>
        </w:tc>
        <w:tc>
          <w:tcPr>
            <w:tcW w:w="1180" w:type="dxa"/>
            <w:vAlign w:val="bottom"/>
          </w:tcPr>
          <w:p>
            <w:pPr>
              <w:jc w:val="center"/>
              <w:spacing w:after="0" w:line="212" w:lineRule="exact"/>
              <w:rPr>
                <w:sz w:val="20"/>
                <w:szCs w:val="20"/>
                <w:color w:val="auto"/>
              </w:rPr>
            </w:pPr>
            <w:r>
              <w:rPr>
                <w:rFonts w:ascii="Arial" w:cs="Arial" w:eastAsia="Arial" w:hAnsi="Arial"/>
                <w:sz w:val="24"/>
                <w:szCs w:val="24"/>
                <w:b w:val="1"/>
                <w:bCs w:val="1"/>
                <w:color w:val="auto"/>
                <w:vertAlign w:val="subscript"/>
              </w:rPr>
              <w:t>to PEO</w:t>
            </w:r>
            <w:r>
              <w:rPr>
                <w:rFonts w:ascii="Arial" w:cs="Arial" w:eastAsia="Arial" w:hAnsi="Arial"/>
                <w:sz w:val="10"/>
                <w:szCs w:val="10"/>
                <w:b w:val="1"/>
                <w:bCs w:val="1"/>
                <w:color w:val="auto"/>
              </w:rPr>
              <w:t>(1),(2)</w:t>
            </w:r>
          </w:p>
        </w:tc>
        <w:tc>
          <w:tcPr>
            <w:tcW w:w="100" w:type="dxa"/>
            <w:vAlign w:val="bottom"/>
            <w:vMerge w:val="continue"/>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Officers</w:t>
            </w:r>
          </w:p>
        </w:tc>
        <w:tc>
          <w:tcPr>
            <w:tcW w:w="80" w:type="dxa"/>
            <w:vAlign w:val="bottom"/>
            <w:vMerge w:val="continue"/>
          </w:tcPr>
          <w:p>
            <w:pPr>
              <w:spacing w:after="0"/>
              <w:rPr>
                <w:sz w:val="18"/>
                <w:szCs w:val="18"/>
                <w:color w:val="auto"/>
              </w:rPr>
            </w:pPr>
          </w:p>
        </w:tc>
        <w:tc>
          <w:tcPr>
            <w:tcW w:w="1380" w:type="dxa"/>
            <w:vAlign w:val="bottom"/>
          </w:tcPr>
          <w:p>
            <w:pPr>
              <w:jc w:val="center"/>
              <w:spacing w:after="0" w:line="211" w:lineRule="exact"/>
              <w:rPr>
                <w:sz w:val="20"/>
                <w:szCs w:val="20"/>
                <w:color w:val="auto"/>
              </w:rPr>
            </w:pPr>
            <w:r>
              <w:rPr>
                <w:rFonts w:ascii="Arial" w:cs="Arial" w:eastAsia="Arial" w:hAnsi="Arial"/>
                <w:sz w:val="18"/>
                <w:szCs w:val="18"/>
                <w:b w:val="1"/>
                <w:bCs w:val="1"/>
                <w:color w:val="auto"/>
                <w:w w:val="90"/>
              </w:rPr>
              <w:t>Officers</w:t>
            </w:r>
            <w:r>
              <w:rPr>
                <w:rFonts w:ascii="Arial" w:cs="Arial" w:eastAsia="Arial" w:hAnsi="Arial"/>
                <w:sz w:val="22"/>
                <w:szCs w:val="22"/>
                <w:b w:val="1"/>
                <w:bCs w:val="1"/>
                <w:color w:val="auto"/>
                <w:w w:val="90"/>
                <w:vertAlign w:val="superscript"/>
              </w:rPr>
              <w:t>(2),(3)</w:t>
            </w:r>
          </w:p>
        </w:tc>
        <w:tc>
          <w:tcPr>
            <w:tcW w:w="2300" w:type="dxa"/>
            <w:vAlign w:val="bottom"/>
            <w:gridSpan w:val="4"/>
          </w:tcPr>
          <w:p>
            <w:pPr>
              <w:jc w:val="right"/>
              <w:spacing w:after="0" w:line="211"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100)</w:t>
            </w:r>
            <w:r>
              <w:rPr>
                <w:rFonts w:ascii="Arial" w:cs="Arial" w:eastAsia="Arial" w:hAnsi="Arial"/>
                <w:sz w:val="22"/>
                <w:szCs w:val="22"/>
                <w:b w:val="1"/>
                <w:bCs w:val="1"/>
                <w:color w:val="auto"/>
                <w:vertAlign w:val="superscript"/>
              </w:rPr>
              <w:t>(4)</w:t>
            </w:r>
            <w:r>
              <w:rPr>
                <w:rFonts w:ascii="Arial" w:cs="Arial" w:eastAsia="Arial" w:hAnsi="Arial"/>
                <w:sz w:val="18"/>
                <w:szCs w:val="18"/>
                <w:b w:val="1"/>
                <w:bCs w:val="1"/>
                <w:color w:val="auto"/>
              </w:rPr>
              <w:t xml:space="preserve"> ​Net Income ​</w:t>
            </w:r>
          </w:p>
        </w:tc>
        <w:tc>
          <w:tcPr>
            <w:tcW w:w="0" w:type="dxa"/>
            <w:vAlign w:val="bottom"/>
          </w:tcPr>
          <w:p>
            <w:pPr>
              <w:spacing w:after="0"/>
              <w:rPr>
                <w:sz w:val="1"/>
                <w:szCs w:val="1"/>
                <w:color w:val="auto"/>
              </w:rPr>
            </w:pPr>
          </w:p>
        </w:tc>
      </w:tr>
      <w:tr>
        <w:trPr>
          <w:trHeight w:val="20"/>
        </w:trPr>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0" w:type="dxa"/>
            <w:vAlign w:val="bottom"/>
            <w:tcBorders>
              <w:right w:val="single" w:sz="8" w:color="CCEEFF"/>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4"/>
              </w:rPr>
              <w:t>2021</w:t>
            </w:r>
            <w:r>
              <w:rPr>
                <w:rFonts w:ascii="Arial" w:cs="Arial" w:eastAsia="Arial" w:hAnsi="Arial"/>
                <w:sz w:val="18"/>
                <w:szCs w:val="18"/>
                <w:color w:val="auto"/>
                <w:w w:val="94"/>
              </w:rPr>
              <w:t>​</w:t>
            </w:r>
          </w:p>
        </w:tc>
        <w:tc>
          <w:tcPr>
            <w:tcW w:w="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CCEEFF"/>
            </w:tcBorders>
            <w:shd w:val="clear" w:color="auto" w:fill="CCEEFF"/>
          </w:tcPr>
          <w:p>
            <w:pPr>
              <w:jc w:val="center"/>
              <w:ind w:right="12"/>
              <w:spacing w:after="0" w:line="192" w:lineRule="exact"/>
              <w:rPr>
                <w:sz w:val="20"/>
                <w:szCs w:val="20"/>
                <w:color w:val="auto"/>
              </w:rPr>
            </w:pPr>
            <w:r>
              <w:rPr>
                <w:rFonts w:ascii="Arial" w:cs="Arial" w:eastAsia="Arial" w:hAnsi="Arial"/>
                <w:sz w:val="18"/>
                <w:szCs w:val="18"/>
                <w:color w:val="auto"/>
              </w:rPr>
              <w:t>​$2,161,673</w:t>
            </w:r>
          </w:p>
        </w:tc>
        <w:tc>
          <w:tcPr>
            <w:tcW w:w="80" w:type="dxa"/>
            <w:vAlign w:val="bottom"/>
            <w:tcBorders>
              <w:lef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center"/>
              <w:ind w:right="2"/>
              <w:spacing w:after="0" w:line="192" w:lineRule="exact"/>
              <w:rPr>
                <w:sz w:val="20"/>
                <w:szCs w:val="20"/>
                <w:color w:val="auto"/>
              </w:rPr>
            </w:pPr>
            <w:r>
              <w:rPr>
                <w:rFonts w:ascii="Arial" w:cs="Arial" w:eastAsia="Arial" w:hAnsi="Arial"/>
                <w:sz w:val="18"/>
                <w:szCs w:val="18"/>
                <w:color w:val="auto"/>
                <w:w w:val="99"/>
              </w:rPr>
              <w:t>​$1,783,989</w:t>
            </w:r>
          </w:p>
        </w:tc>
        <w:tc>
          <w:tcPr>
            <w:tcW w:w="100" w:type="dxa"/>
            <w:vAlign w:val="bottom"/>
            <w:tcBorders>
              <w:lef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center"/>
              <w:ind w:right="12"/>
              <w:spacing w:after="0" w:line="192" w:lineRule="exact"/>
              <w:rPr>
                <w:sz w:val="20"/>
                <w:szCs w:val="20"/>
                <w:color w:val="auto"/>
              </w:rPr>
            </w:pPr>
            <w:r>
              <w:rPr>
                <w:rFonts w:ascii="Arial" w:cs="Arial" w:eastAsia="Arial" w:hAnsi="Arial"/>
                <w:sz w:val="18"/>
                <w:szCs w:val="18"/>
                <w:color w:val="auto"/>
                <w:w w:val="99"/>
              </w:rPr>
              <w:t>​$ 867,411</w:t>
            </w:r>
          </w:p>
        </w:tc>
        <w:tc>
          <w:tcPr>
            <w:tcW w:w="80" w:type="dxa"/>
            <w:vAlign w:val="bottom"/>
            <w:tcBorders>
              <w:lef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center"/>
              <w:ind w:right="12"/>
              <w:spacing w:after="0" w:line="192" w:lineRule="exact"/>
              <w:rPr>
                <w:sz w:val="20"/>
                <w:szCs w:val="20"/>
                <w:color w:val="auto"/>
              </w:rPr>
            </w:pPr>
            <w:r>
              <w:rPr>
                <w:rFonts w:ascii="Arial" w:cs="Arial" w:eastAsia="Arial" w:hAnsi="Arial"/>
                <w:sz w:val="18"/>
                <w:szCs w:val="18"/>
                <w:color w:val="auto"/>
                <w:w w:val="99"/>
              </w:rPr>
              <w:t>​$ 762,472</w:t>
            </w:r>
          </w:p>
        </w:tc>
        <w:tc>
          <w:tcPr>
            <w:tcW w:w="140" w:type="dxa"/>
            <w:vAlign w:val="bottom"/>
            <w:tcBorders>
              <w:left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center"/>
              <w:ind w:right="32"/>
              <w:spacing w:after="0" w:line="192" w:lineRule="exact"/>
              <w:rPr>
                <w:sz w:val="20"/>
                <w:szCs w:val="20"/>
                <w:color w:val="auto"/>
              </w:rPr>
            </w:pPr>
            <w:r>
              <w:rPr>
                <w:rFonts w:ascii="Arial" w:cs="Arial" w:eastAsia="Arial" w:hAnsi="Arial"/>
                <w:sz w:val="18"/>
                <w:szCs w:val="18"/>
                <w:color w:val="auto"/>
                <w:w w:val="99"/>
              </w:rPr>
              <w:t>$ (12.89)</w:t>
            </w:r>
          </w:p>
        </w:tc>
        <w:tc>
          <w:tcPr>
            <w:tcW w:w="10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​$ 11,811,581​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r>
              <w:rPr>
                <w:rFonts w:ascii="Arial" w:cs="Arial" w:eastAsia="Arial" w:hAnsi="Arial"/>
                <w:sz w:val="18"/>
                <w:szCs w:val="18"/>
                <w:b w:val="1"/>
                <w:bCs w:val="1"/>
                <w:color w:val="auto"/>
                <w:w w:val="94"/>
              </w:rPr>
              <w:t>2022</w:t>
            </w:r>
            <w:r>
              <w:rPr>
                <w:rFonts w:ascii="Arial" w:cs="Arial" w:eastAsia="Arial" w:hAnsi="Arial"/>
                <w:sz w:val="18"/>
                <w:szCs w:val="18"/>
                <w:color w:val="auto"/>
                <w:w w:val="94"/>
              </w:rPr>
              <w:t>​</w:t>
            </w:r>
          </w:p>
        </w:tc>
        <w:tc>
          <w:tcPr>
            <w:tcW w:w="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center"/>
              <w:ind w:right="12"/>
              <w:spacing w:after="0"/>
              <w:rPr>
                <w:sz w:val="20"/>
                <w:szCs w:val="20"/>
                <w:color w:val="auto"/>
              </w:rPr>
            </w:pPr>
            <w:r>
              <w:rPr>
                <w:rFonts w:ascii="Arial" w:cs="Arial" w:eastAsia="Arial" w:hAnsi="Arial"/>
                <w:sz w:val="18"/>
                <w:szCs w:val="18"/>
                <w:color w:val="auto"/>
              </w:rPr>
              <w:t>​$2,671,439</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right="2"/>
              <w:spacing w:after="0"/>
              <w:rPr>
                <w:sz w:val="20"/>
                <w:szCs w:val="20"/>
                <w:color w:val="auto"/>
              </w:rPr>
            </w:pPr>
            <w:r>
              <w:rPr>
                <w:rFonts w:ascii="Arial" w:cs="Arial" w:eastAsia="Arial" w:hAnsi="Arial"/>
                <w:sz w:val="18"/>
                <w:szCs w:val="18"/>
                <w:color w:val="auto"/>
                <w:w w:val="99"/>
              </w:rPr>
              <w:t>​$1,982,879</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right="12"/>
              <w:spacing w:after="0"/>
              <w:rPr>
                <w:sz w:val="20"/>
                <w:szCs w:val="20"/>
                <w:color w:val="auto"/>
              </w:rPr>
            </w:pPr>
            <w:r>
              <w:rPr>
                <w:rFonts w:ascii="Arial" w:cs="Arial" w:eastAsia="Arial" w:hAnsi="Arial"/>
                <w:sz w:val="18"/>
                <w:szCs w:val="18"/>
                <w:color w:val="auto"/>
                <w:w w:val="99"/>
              </w:rPr>
              <w:t>​$ 825,190</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right="12"/>
              <w:spacing w:after="0"/>
              <w:rPr>
                <w:sz w:val="20"/>
                <w:szCs w:val="20"/>
                <w:color w:val="auto"/>
              </w:rPr>
            </w:pPr>
            <w:r>
              <w:rPr>
                <w:rFonts w:ascii="Arial" w:cs="Arial" w:eastAsia="Arial" w:hAnsi="Arial"/>
                <w:sz w:val="18"/>
                <w:szCs w:val="18"/>
                <w:color w:val="auto"/>
                <w:w w:val="99"/>
              </w:rPr>
              <w:t>​$ 638,930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right="32"/>
              <w:spacing w:after="0"/>
              <w:rPr>
                <w:sz w:val="20"/>
                <w:szCs w:val="20"/>
                <w:color w:val="auto"/>
              </w:rPr>
            </w:pPr>
            <w:r>
              <w:rPr>
                <w:rFonts w:ascii="Arial" w:cs="Arial" w:eastAsia="Arial" w:hAnsi="Arial"/>
                <w:sz w:val="18"/>
                <w:szCs w:val="18"/>
                <w:color w:val="auto"/>
                <w:w w:val="99"/>
              </w:rPr>
              <w:t>$ (26.55)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8"/>
              </w:rPr>
              <w:t>​$(53,418,000​)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-284480</wp:posOffset>
            </wp:positionV>
            <wp:extent cx="165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-284480</wp:posOffset>
            </wp:positionV>
            <wp:extent cx="165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3535680</wp:posOffset>
            </wp:positionH>
            <wp:positionV relativeFrom="paragraph">
              <wp:posOffset>-284480</wp:posOffset>
            </wp:positionV>
            <wp:extent cx="165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-284480</wp:posOffset>
            </wp:positionV>
            <wp:extent cx="165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-284480</wp:posOffset>
            </wp:positionV>
            <wp:extent cx="165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-284480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1580" w:hanging="359"/>
        <w:spacing w:after="0" w:line="194" w:lineRule="auto"/>
        <w:tabs>
          <w:tab w:leader="none" w:pos="1580" w:val="left"/>
        </w:tabs>
        <w:numPr>
          <w:ilvl w:val="0"/>
          <w:numId w:val="48"/>
        </w:numPr>
        <w:rPr>
          <w:rFonts w:ascii="Arial" w:cs="Arial" w:eastAsia="Arial" w:hAnsi="Arial"/>
          <w:sz w:val="26"/>
          <w:szCs w:val="26"/>
          <w:color w:val="auto"/>
          <w:vertAlign w:val="superscript"/>
        </w:rPr>
      </w:pPr>
      <w:r>
        <w:rPr>
          <w:rFonts w:ascii="Arial" w:cs="Arial" w:eastAsia="Arial" w:hAnsi="Arial"/>
          <w:sz w:val="18"/>
          <w:szCs w:val="18"/>
          <w:color w:val="auto"/>
        </w:rPr>
        <w:t>William B. Shepro was the PEO for each of 2022 and 2021.</w:t>
      </w:r>
    </w:p>
    <w:p>
      <w:pPr>
        <w:spacing w:after="0" w:line="62" w:lineRule="exact"/>
        <w:rPr>
          <w:rFonts w:ascii="Arial" w:cs="Arial" w:eastAsia="Arial" w:hAnsi="Arial"/>
          <w:sz w:val="26"/>
          <w:szCs w:val="26"/>
          <w:color w:val="auto"/>
          <w:vertAlign w:val="superscript"/>
        </w:rPr>
      </w:pPr>
    </w:p>
    <w:p>
      <w:pPr>
        <w:ind w:left="1580" w:right="659" w:hanging="359"/>
        <w:spacing w:after="0"/>
        <w:tabs>
          <w:tab w:leader="none" w:pos="1580" w:val="left"/>
        </w:tabs>
        <w:numPr>
          <w:ilvl w:val="0"/>
          <w:numId w:val="48"/>
        </w:numPr>
        <w:rPr>
          <w:rFonts w:ascii="Arial" w:cs="Arial" w:eastAsia="Arial" w:hAnsi="Arial"/>
          <w:sz w:val="26"/>
          <w:szCs w:val="26"/>
          <w:color w:val="auto"/>
          <w:vertAlign w:val="superscript"/>
        </w:rPr>
      </w:pPr>
      <w:r>
        <w:rPr>
          <w:rFonts w:ascii="Arial" w:cs="Arial" w:eastAsia="Arial" w:hAnsi="Arial"/>
          <w:sz w:val="18"/>
          <w:szCs w:val="18"/>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Summary Compensation Table total compensation adjusted to include the fair market value of equity awards as of December 31 of the applicable year or, if earlier, the vesting date (rather than the grant date).</w:t>
      </w:r>
    </w:p>
    <w:p>
      <w:pPr>
        <w:spacing w:after="0" w:line="194" w:lineRule="exact"/>
        <w:rPr>
          <w:rFonts w:ascii="Arial" w:cs="Arial" w:eastAsia="Arial" w:hAnsi="Arial"/>
          <w:sz w:val="26"/>
          <w:szCs w:val="26"/>
          <w:color w:val="auto"/>
          <w:vertAlign w:val="superscript"/>
        </w:rPr>
      </w:pPr>
    </w:p>
    <w:p>
      <w:pPr>
        <w:jc w:val="both"/>
        <w:ind w:left="1580" w:right="499" w:hanging="359"/>
        <w:spacing w:after="0" w:line="220" w:lineRule="auto"/>
        <w:tabs>
          <w:tab w:leader="none" w:pos="1580" w:val="left"/>
        </w:tabs>
        <w:numPr>
          <w:ilvl w:val="0"/>
          <w:numId w:val="48"/>
        </w:numPr>
        <w:rPr>
          <w:rFonts w:ascii="Arial" w:cs="Arial" w:eastAsia="Arial" w:hAnsi="Arial"/>
          <w:sz w:val="26"/>
          <w:szCs w:val="26"/>
          <w:color w:val="auto"/>
          <w:vertAlign w:val="superscript"/>
        </w:rPr>
      </w:pPr>
      <w:r>
        <w:rPr>
          <w:rFonts w:ascii="Arial" w:cs="Arial" w:eastAsia="Arial" w:hAnsi="Arial"/>
          <w:sz w:val="18"/>
          <w:szCs w:val="18"/>
          <w:color w:val="auto"/>
        </w:rPr>
        <w:t>The non-PEO named executive officers for 2022 were Michelle D. Esterman and Gregory J. Ritts, and the non-PEO named executive officers for 2021 were Michelle D. Esterman, Marcello Mastioni and Gregory J. Ritts.</w:t>
      </w:r>
    </w:p>
    <w:p>
      <w:pPr>
        <w:spacing w:after="0" w:line="34" w:lineRule="exact"/>
        <w:rPr>
          <w:rFonts w:ascii="Arial" w:cs="Arial" w:eastAsia="Arial" w:hAnsi="Arial"/>
          <w:sz w:val="26"/>
          <w:szCs w:val="26"/>
          <w:color w:val="auto"/>
          <w:vertAlign w:val="superscript"/>
        </w:rPr>
      </w:pPr>
    </w:p>
    <w:p>
      <w:pPr>
        <w:ind w:left="1580" w:right="559" w:hanging="359"/>
        <w:spacing w:after="0" w:line="220" w:lineRule="auto"/>
        <w:tabs>
          <w:tab w:leader="none" w:pos="1580" w:val="left"/>
        </w:tabs>
        <w:numPr>
          <w:ilvl w:val="0"/>
          <w:numId w:val="48"/>
        </w:numPr>
        <w:rPr>
          <w:rFonts w:ascii="Arial" w:cs="Arial" w:eastAsia="Arial" w:hAnsi="Arial"/>
          <w:sz w:val="26"/>
          <w:szCs w:val="26"/>
          <w:color w:val="auto"/>
          <w:vertAlign w:val="superscript"/>
        </w:rPr>
      </w:pPr>
      <w:r>
        <w:rPr>
          <w:rFonts w:ascii="Arial" w:cs="Arial" w:eastAsia="Arial" w:hAnsi="Arial"/>
          <w:sz w:val="18"/>
          <w:szCs w:val="18"/>
          <w:color w:val="auto"/>
        </w:rPr>
        <w:t>Total Shareholder Return (“TSR”) is calculated based on a fixed $100 investment as of December 31, 2020, with the return on such investment measured as of market close on the last trading day of the year being reported.</w:t>
      </w:r>
    </w:p>
    <w:p>
      <w:pPr>
        <w:spacing w:after="0" w:line="127" w:lineRule="exact"/>
        <w:rPr>
          <w:sz w:val="20"/>
          <w:szCs w:val="20"/>
          <w:color w:val="auto"/>
        </w:rPr>
      </w:pPr>
    </w:p>
    <w:p>
      <w:pPr>
        <w:ind w:left="1220" w:right="539"/>
        <w:spacing w:after="0" w:line="256" w:lineRule="auto"/>
        <w:rPr>
          <w:sz w:val="20"/>
          <w:szCs w:val="20"/>
          <w:color w:val="auto"/>
        </w:rPr>
      </w:pPr>
      <w:r>
        <w:rPr>
          <w:rFonts w:ascii="Arial" w:cs="Arial" w:eastAsia="Arial" w:hAnsi="Arial"/>
          <w:sz w:val="18"/>
          <w:szCs w:val="18"/>
          <w:color w:val="auto"/>
        </w:rPr>
        <w:t>The following table outlines the adjustments made to the compensation earned by our PEO and non- PEO Named Executive Officers, as presented in the Summary Compensation Table, to derive the Compensation Actually Paid to our PEO and non-PEO Named Executive Officers.</w:t>
      </w:r>
    </w:p>
    <w:p>
      <w:pPr>
        <w:spacing w:after="0" w:line="341" w:lineRule="exact"/>
        <w:rPr>
          <w:sz w:val="20"/>
          <w:szCs w:val="20"/>
          <w:color w:val="auto"/>
        </w:rPr>
      </w:pPr>
    </w:p>
    <w:tbl>
      <w:tblPr>
        <w:tblLayout w:type="fixed"/>
        <w:tblInd w:w="1220" w:type="dxa"/>
        <w:tblCellMar>
          <w:top w:w="0" w:type="dxa"/>
          <w:left w:w="0" w:type="dxa"/>
          <w:bottom w:w="0" w:type="dxa"/>
          <w:right w:w="0" w:type="dxa"/>
        </w:tblCellMar>
      </w:tblPr>
      <w:tr>
        <w:trPr>
          <w:trHeight w:val="217"/>
        </w:trPr>
        <w:tc>
          <w:tcPr>
            <w:tcW w:w="1540" w:type="dxa"/>
            <w:vAlign w:val="bottom"/>
          </w:tcPr>
          <w:p>
            <w:pPr>
              <w:spacing w:after="0"/>
              <w:rPr>
                <w:sz w:val="20"/>
                <w:szCs w:val="20"/>
                <w:color w:val="auto"/>
              </w:rPr>
            </w:pPr>
            <w:r>
              <w:rPr>
                <w:rFonts w:ascii="Arial" w:cs="Arial" w:eastAsia="Arial" w:hAnsi="Arial"/>
                <w:sz w:val="18"/>
                <w:szCs w:val="18"/>
                <w:b w:val="1"/>
                <w:bCs w:val="1"/>
                <w:color w:val="auto"/>
              </w:rPr>
              <w:t>​</w:t>
            </w:r>
          </w:p>
        </w:tc>
        <w:tc>
          <w:tcPr>
            <w:tcW w:w="4960" w:type="dxa"/>
            <w:vAlign w:val="bottom"/>
          </w:tcPr>
          <w:p>
            <w:pPr>
              <w:ind w:left="320"/>
              <w:spacing w:after="0"/>
              <w:rPr>
                <w:sz w:val="20"/>
                <w:szCs w:val="20"/>
                <w:color w:val="auto"/>
              </w:rPr>
            </w:pPr>
            <w:r>
              <w:rPr>
                <w:rFonts w:ascii="Arial" w:cs="Arial" w:eastAsia="Arial" w:hAnsi="Arial"/>
                <w:sz w:val="18"/>
                <w:szCs w:val="18"/>
                <w:b w:val="1"/>
                <w:bCs w:val="1"/>
                <w:color w:val="auto"/>
              </w:rPr>
              <w:t>Item and Value Added (Deducted)</w:t>
            </w:r>
          </w:p>
        </w:tc>
        <w:tc>
          <w:tcPr>
            <w:tcW w:w="18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22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   ​</w:t>
            </w:r>
          </w:p>
        </w:tc>
        <w:tc>
          <w:tcPr>
            <w:tcW w:w="0" w:type="dxa"/>
            <w:vAlign w:val="bottom"/>
          </w:tcPr>
          <w:p>
            <w:pPr>
              <w:spacing w:after="0"/>
              <w:rPr>
                <w:sz w:val="1"/>
                <w:szCs w:val="1"/>
                <w:color w:val="auto"/>
              </w:rPr>
            </w:pPr>
          </w:p>
        </w:tc>
      </w:tr>
      <w:tr>
        <w:trPr>
          <w:trHeight w:val="192"/>
        </w:trPr>
        <w:tc>
          <w:tcPr>
            <w:tcW w:w="15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​For PEO:</w:t>
            </w:r>
          </w:p>
        </w:tc>
        <w:tc>
          <w:tcPr>
            <w:tcW w:w="49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gridSpan w:val="3"/>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 ​</w:t>
            </w: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gridSpan w:val="3"/>
            <w:shd w:val="clear" w:color="auto" w:fill="CCEEFF"/>
          </w:tcPr>
          <w:p>
            <w:pPr>
              <w:jc w:val="right"/>
              <w:spacing w:after="0" w:line="192" w:lineRule="exact"/>
              <w:rPr>
                <w:sz w:val="20"/>
                <w:szCs w:val="20"/>
                <w:color w:val="auto"/>
              </w:rPr>
            </w:pPr>
            <w:r>
              <w:rPr>
                <w:rFonts w:ascii="Arial" w:cs="Arial" w:eastAsia="Arial" w:hAnsi="Arial"/>
                <w:sz w:val="18"/>
                <w:szCs w:val="18"/>
                <w:b w:val="1"/>
                <w:bCs w:val="1"/>
                <w:color w:val="auto"/>
              </w:rPr>
              <w:t>​ ​</w:t>
            </w: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9"/>
        </w:trPr>
        <w:tc>
          <w:tcPr>
            <w:tcW w:w="6500" w:type="dxa"/>
            <w:vAlign w:val="bottom"/>
            <w:gridSpan w:val="2"/>
          </w:tcPr>
          <w:p>
            <w:pPr>
              <w:spacing w:after="0" w:line="199" w:lineRule="exact"/>
              <w:rPr>
                <w:sz w:val="20"/>
                <w:szCs w:val="20"/>
                <w:color w:val="auto"/>
              </w:rPr>
            </w:pPr>
            <w:r>
              <w:rPr>
                <w:rFonts w:ascii="Arial" w:cs="Arial" w:eastAsia="Arial" w:hAnsi="Arial"/>
                <w:sz w:val="18"/>
                <w:szCs w:val="18"/>
                <w:color w:val="auto"/>
              </w:rPr>
              <w:t>​Summary Compensation Table Total</w:t>
            </w:r>
          </w:p>
        </w:tc>
        <w:tc>
          <w:tcPr>
            <w:tcW w:w="180" w:type="dxa"/>
            <w:vAlign w:val="bottom"/>
            <w:gridSpan w:val="3"/>
          </w:tcPr>
          <w:p>
            <w:pPr>
              <w:ind w:left="20"/>
              <w:spacing w:after="0" w:line="199"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700" w:type="dxa"/>
            <w:vAlign w:val="bottom"/>
            <w:gridSpan w:val="5"/>
          </w:tcPr>
          <w:p>
            <w:pPr>
              <w:jc w:val="right"/>
              <w:spacing w:after="0" w:line="199" w:lineRule="exact"/>
              <w:rPr>
                <w:sz w:val="20"/>
                <w:szCs w:val="20"/>
                <w:color w:val="auto"/>
              </w:rPr>
            </w:pPr>
            <w:r>
              <w:rPr>
                <w:rFonts w:ascii="Arial" w:cs="Arial" w:eastAsia="Arial" w:hAnsi="Arial"/>
                <w:sz w:val="18"/>
                <w:szCs w:val="18"/>
                <w:color w:val="auto"/>
                <w:w w:val="98"/>
              </w:rPr>
              <w:t>2,671,439</w:t>
            </w:r>
            <w:r>
              <w:rPr>
                <w:rFonts w:ascii="Arial" w:cs="Arial" w:eastAsia="Arial" w:hAnsi="Arial"/>
                <w:sz w:val="18"/>
                <w:szCs w:val="18"/>
                <w:b w:val="1"/>
                <w:bCs w:val="1"/>
                <w:color w:val="auto"/>
                <w:w w:val="98"/>
              </w:rPr>
              <w:t>​</w:t>
            </w:r>
            <w:r>
              <w:rPr>
                <w:rFonts w:ascii="Arial" w:cs="Arial" w:eastAsia="Arial" w:hAnsi="Arial"/>
                <w:sz w:val="18"/>
                <w:szCs w:val="18"/>
                <w:color w:val="auto"/>
                <w:w w:val="98"/>
              </w:rPr>
              <w:t>$2,161,673​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 Summary Compensation Table “Stock Awards” column value</w:t>
            </w:r>
          </w:p>
        </w:tc>
        <w:tc>
          <w:tcPr>
            <w:tcW w:w="1880" w:type="dxa"/>
            <w:vAlign w:val="bottom"/>
            <w:gridSpan w:val="8"/>
            <w:shd w:val="clear" w:color="auto" w:fill="CCEEFF"/>
          </w:tcPr>
          <w:p>
            <w:pPr>
              <w:ind w:left="20"/>
              <w:spacing w:after="0" w:line="199" w:lineRule="exact"/>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auto"/>
                <w:w w:val="94"/>
              </w:rPr>
              <w:t>$(1,414,117</w:t>
            </w:r>
            <w:r>
              <w:rPr>
                <w:rFonts w:ascii="Arial" w:cs="Arial" w:eastAsia="Arial" w:hAnsi="Arial"/>
                <w:sz w:val="18"/>
                <w:szCs w:val="18"/>
                <w:b w:val="1"/>
                <w:bCs w:val="1"/>
                <w:color w:val="auto"/>
                <w:w w:val="94"/>
              </w:rPr>
              <w:t>​</w:t>
            </w:r>
            <w:r>
              <w:rPr>
                <w:rFonts w:ascii="Arial" w:cs="Arial" w:eastAsia="Arial" w:hAnsi="Arial"/>
                <w:sz w:val="18"/>
                <w:szCs w:val="18"/>
                <w:color w:val="auto"/>
                <w:w w:val="94"/>
              </w:rPr>
              <w:t>)$ (465,961​)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00" w:type="dxa"/>
            <w:vAlign w:val="bottom"/>
            <w:gridSpan w:val="2"/>
          </w:tcPr>
          <w:p>
            <w:pPr>
              <w:spacing w:after="0" w:line="195" w:lineRule="exact"/>
              <w:rPr>
                <w:sz w:val="20"/>
                <w:szCs w:val="20"/>
                <w:color w:val="auto"/>
              </w:rPr>
            </w:pPr>
            <w:r>
              <w:rPr>
                <w:rFonts w:ascii="Arial" w:cs="Arial" w:eastAsia="Arial" w:hAnsi="Arial"/>
                <w:sz w:val="18"/>
                <w:szCs w:val="18"/>
                <w:color w:val="auto"/>
              </w:rPr>
              <w:t>+ year-end fair value of outstanding and unvested equity awards granted in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20"/>
                <w:szCs w:val="20"/>
                <w:color w:val="auto"/>
              </w:rPr>
            </w:pPr>
            <w:r>
              <w:rPr>
                <w:rFonts w:ascii="Arial" w:cs="Arial" w:eastAsia="Arial" w:hAnsi="Arial"/>
                <w:sz w:val="18"/>
                <w:szCs w:val="18"/>
                <w:color w:val="auto"/>
              </w:rPr>
              <w:t>​the fiscal year</w:t>
            </w:r>
          </w:p>
        </w:tc>
        <w:tc>
          <w:tcPr>
            <w:tcW w:w="4960" w:type="dxa"/>
            <w:vAlign w:val="bottom"/>
          </w:tcPr>
          <w:p>
            <w:pPr>
              <w:spacing w:after="0"/>
              <w:rPr>
                <w:sz w:val="19"/>
                <w:szCs w:val="19"/>
                <w:color w:val="auto"/>
              </w:rPr>
            </w:pPr>
          </w:p>
        </w:tc>
        <w:tc>
          <w:tcPr>
            <w:tcW w:w="18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0" w:type="dxa"/>
            <w:vAlign w:val="bottom"/>
            <w:gridSpan w:val="4"/>
          </w:tcPr>
          <w:p>
            <w:pPr>
              <w:spacing w:after="0"/>
              <w:rPr>
                <w:sz w:val="20"/>
                <w:szCs w:val="20"/>
                <w:color w:val="auto"/>
              </w:rPr>
            </w:pPr>
            <w:r>
              <w:rPr>
                <w:rFonts w:ascii="Arial" w:cs="Arial" w:eastAsia="Arial" w:hAnsi="Arial"/>
                <w:sz w:val="18"/>
                <w:szCs w:val="18"/>
                <w:color w:val="auto"/>
              </w:rPr>
              <w:t>1,284,961</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552,002​</w:t>
            </w:r>
          </w:p>
        </w:tc>
        <w:tc>
          <w:tcPr>
            <w:tcW w:w="0" w:type="dxa"/>
            <w:vAlign w:val="bottom"/>
          </w:tcPr>
          <w:p>
            <w:pPr>
              <w:spacing w:after="0"/>
              <w:rPr>
                <w:sz w:val="1"/>
                <w:szCs w:val="1"/>
                <w:color w:val="auto"/>
              </w:rPr>
            </w:pPr>
          </w:p>
        </w:tc>
      </w:tr>
      <w:tr>
        <w:trPr>
          <w:trHeight w:val="195"/>
        </w:trPr>
        <w:tc>
          <w:tcPr>
            <w:tcW w:w="65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 change in fair value of outstanding and unvested equity awards granted</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​in prior years</w:t>
            </w:r>
          </w:p>
        </w:tc>
        <w:tc>
          <w:tcPr>
            <w:tcW w:w="4960" w:type="dxa"/>
            <w:vAlign w:val="bottom"/>
            <w:shd w:val="clear" w:color="auto" w:fill="CCEEFF"/>
          </w:tcPr>
          <w:p>
            <w:pPr>
              <w:spacing w:after="0"/>
              <w:rPr>
                <w:sz w:val="19"/>
                <w:szCs w:val="19"/>
                <w:color w:val="auto"/>
              </w:rPr>
            </w:pPr>
          </w:p>
        </w:tc>
        <w:tc>
          <w:tcPr>
            <w:tcW w:w="1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9"/>
              </w:rPr>
              <w:t>(198,831</w:t>
            </w:r>
            <w:r>
              <w:rPr>
                <w:rFonts w:ascii="Arial" w:cs="Arial" w:eastAsia="Arial" w:hAnsi="Arial"/>
                <w:sz w:val="18"/>
                <w:szCs w:val="18"/>
                <w:b w:val="1"/>
                <w:bCs w:val="1"/>
                <w:color w:val="auto"/>
                <w:w w:val="99"/>
              </w:rPr>
              <w:t>​</w:t>
            </w:r>
            <w:r>
              <w:rPr>
                <w:rFonts w:ascii="Arial" w:cs="Arial" w:eastAsia="Arial" w:hAnsi="Arial"/>
                <w:sz w:val="18"/>
                <w:szCs w:val="18"/>
                <w:color w:val="auto"/>
                <w:w w:val="99"/>
              </w:rPr>
              <w:t>)$ (278,816​)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500" w:type="dxa"/>
            <w:vAlign w:val="bottom"/>
            <w:gridSpan w:val="2"/>
          </w:tcPr>
          <w:p>
            <w:pPr>
              <w:spacing w:after="0" w:line="199" w:lineRule="exact"/>
              <w:rPr>
                <w:sz w:val="20"/>
                <w:szCs w:val="20"/>
                <w:color w:val="auto"/>
              </w:rPr>
            </w:pPr>
            <w:r>
              <w:rPr>
                <w:rFonts w:ascii="Arial" w:cs="Arial" w:eastAsia="Arial" w:hAnsi="Arial"/>
                <w:sz w:val="18"/>
                <w:szCs w:val="18"/>
                <w:color w:val="auto"/>
              </w:rPr>
              <w:t>​+ vest date fair value of equity awards granted in the covered year</w:t>
            </w:r>
          </w:p>
        </w:tc>
        <w:tc>
          <w:tcPr>
            <w:tcW w:w="180" w:type="dxa"/>
            <w:vAlign w:val="bottom"/>
            <w:gridSpan w:val="3"/>
          </w:tcPr>
          <w:p>
            <w:pPr>
              <w:ind w:left="20"/>
              <w:spacing w:after="0" w:line="199"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000" w:type="dxa"/>
            <w:vAlign w:val="bottom"/>
            <w:gridSpan w:val="4"/>
          </w:tcPr>
          <w:p>
            <w:pPr>
              <w:jc w:val="right"/>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12"/>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r>
              <w:rPr>
                <w:rFonts w:ascii="Arial" w:cs="Arial" w:eastAsia="Arial" w:hAnsi="Arial"/>
                <w:sz w:val="18"/>
                <w:szCs w:val="18"/>
                <w:color w:val="auto"/>
              </w:rPr>
              <w:t>+/</w:t>
            </w:r>
            <w:r>
              <w:rPr>
                <w:rFonts w:ascii="Arial" w:cs="Arial" w:eastAsia="Arial" w:hAnsi="Arial"/>
                <w:sz w:val="18"/>
                <w:szCs w:val="18"/>
                <w:color w:val="auto"/>
                <w:shd w:val="clear" w:color="auto" w:fill="CCEEFF"/>
              </w:rPr>
              <w:t>- change in fair value of prior-year equity awards vested in the fiscal year</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shd w:val="clear" w:color="auto" w:fill="CCEEFF"/>
              </w:rPr>
              <w:t>​</w:t>
            </w:r>
            <w:r>
              <w:rPr>
                <w:rFonts w:ascii="Arial" w:cs="Arial" w:eastAsia="Arial" w:hAnsi="Arial"/>
                <w:sz w:val="18"/>
                <w:szCs w:val="18"/>
                <w:color w:val="auto"/>
                <w:w w:val="99"/>
                <w:shd w:val="clear" w:color="auto" w:fill="CCEEFF"/>
              </w:rPr>
              <w:t>$</w:t>
            </w:r>
          </w:p>
        </w:tc>
        <w:tc>
          <w:tcPr>
            <w:tcW w:w="1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17,305</w:t>
            </w:r>
            <w:r>
              <w:rPr>
                <w:rFonts w:ascii="Arial" w:cs="Arial" w:eastAsia="Arial" w:hAnsi="Arial"/>
                <w:sz w:val="18"/>
                <w:szCs w:val="18"/>
                <w:b w:val="1"/>
                <w:bCs w:val="1"/>
                <w:color w:val="auto"/>
                <w:shd w:val="clear" w:color="auto" w:fill="CCEEFF"/>
              </w:rPr>
              <w:t>​</w:t>
            </w:r>
            <w:r>
              <w:rPr>
                <w:rFonts w:ascii="Arial" w:cs="Arial" w:eastAsia="Arial" w:hAnsi="Arial"/>
                <w:sz w:val="18"/>
                <w:szCs w:val="18"/>
                <w:color w:val="auto"/>
                <w:shd w:val="clear" w:color="auto" w:fill="CCEEFF"/>
              </w:rPr>
              <w:t>$ (184,909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500" w:type="dxa"/>
            <w:vAlign w:val="bottom"/>
            <w:tcBorders>
              <w:top w:val="single" w:sz="8" w:color="CCEEFF"/>
            </w:tcBorders>
            <w:gridSpan w:val="2"/>
          </w:tcPr>
          <w:p>
            <w:pPr>
              <w:spacing w:after="0" w:line="178" w:lineRule="exact"/>
              <w:rPr>
                <w:sz w:val="20"/>
                <w:szCs w:val="20"/>
                <w:color w:val="auto"/>
              </w:rPr>
            </w:pPr>
            <w:r>
              <w:rPr>
                <w:rFonts w:ascii="Arial" w:cs="Arial" w:eastAsia="Arial" w:hAnsi="Arial"/>
                <w:sz w:val="18"/>
                <w:szCs w:val="18"/>
                <w:color w:val="auto"/>
              </w:rPr>
              <w:t>Compensation Actually Paid</w:t>
            </w:r>
          </w:p>
        </w:tc>
        <w:tc>
          <w:tcPr>
            <w:tcW w:w="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w w:val="94"/>
              </w:rPr>
              <w:t>1,982,789</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line="178"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1,783,989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line="7" w:lineRule="exact"/>
              <w:rPr>
                <w:sz w:val="20"/>
                <w:szCs w:val="20"/>
                <w:color w:val="auto"/>
              </w:rPr>
            </w:pPr>
            <w:r>
              <w:rPr>
                <w:rFonts w:ascii="Arial" w:cs="Arial" w:eastAsia="Arial" w:hAnsi="Arial"/>
                <w:sz w:val="1"/>
                <w:szCs w:val="1"/>
                <w:color w:val="auto"/>
              </w:rPr>
              <w:t>​</w:t>
            </w:r>
          </w:p>
        </w:tc>
        <w:tc>
          <w:tcPr>
            <w:tcW w:w="4960" w:type="dxa"/>
            <w:vAlign w:val="bottom"/>
          </w:tcPr>
          <w:p>
            <w:pPr>
              <w:spacing w:after="0"/>
              <w:rPr>
                <w:sz w:val="2"/>
                <w:szCs w:val="2"/>
                <w:color w:val="auto"/>
              </w:rPr>
            </w:pPr>
          </w:p>
        </w:tc>
        <w:tc>
          <w:tcPr>
            <w:tcW w:w="180" w:type="dxa"/>
            <w:vAlign w:val="bottom"/>
            <w:gridSpan w:val="3"/>
          </w:tcPr>
          <w:p>
            <w:pPr>
              <w:ind w:left="20"/>
              <w:spacing w:after="0" w:line="7" w:lineRule="exact"/>
              <w:rPr>
                <w:sz w:val="20"/>
                <w:szCs w:val="20"/>
                <w:color w:val="auto"/>
              </w:rPr>
            </w:pPr>
            <w:r>
              <w:rPr>
                <w:rFonts w:ascii="Arial" w:cs="Arial" w:eastAsia="Arial" w:hAnsi="Arial"/>
                <w:sz w:val="1"/>
                <w:szCs w:val="1"/>
                <w:b w:val="1"/>
                <w:bCs w:val="1"/>
                <w:color w:val="auto"/>
              </w:rPr>
              <w:t>​</w:t>
            </w:r>
          </w:p>
        </w:tc>
        <w:tc>
          <w:tcPr>
            <w:tcW w:w="780" w:type="dxa"/>
            <w:vAlign w:val="bottom"/>
          </w:tcPr>
          <w:p>
            <w:pPr>
              <w:spacing w:after="0"/>
              <w:rPr>
                <w:sz w:val="2"/>
                <w:szCs w:val="2"/>
                <w:color w:val="auto"/>
              </w:rPr>
            </w:pPr>
          </w:p>
        </w:tc>
        <w:tc>
          <w:tcPr>
            <w:tcW w:w="220" w:type="dxa"/>
            <w:vAlign w:val="bottom"/>
            <w:gridSpan w:val="3"/>
          </w:tcPr>
          <w:p>
            <w:pPr>
              <w:jc w:val="right"/>
              <w:ind w:right="72"/>
              <w:spacing w:after="0" w:line="7" w:lineRule="exact"/>
              <w:rPr>
                <w:sz w:val="20"/>
                <w:szCs w:val="20"/>
                <w:color w:val="auto"/>
              </w:rPr>
            </w:pPr>
            <w:r>
              <w:rPr>
                <w:rFonts w:ascii="Arial" w:cs="Arial" w:eastAsia="Arial" w:hAnsi="Arial"/>
                <w:sz w:val="1"/>
                <w:szCs w:val="1"/>
                <w:b w:val="1"/>
                <w:bCs w:val="1"/>
                <w:color w:val="auto"/>
              </w:rPr>
              <w:t>​</w:t>
            </w:r>
          </w:p>
        </w:tc>
        <w:tc>
          <w:tcPr>
            <w:tcW w:w="700" w:type="dxa"/>
            <w:vAlign w:val="bottom"/>
          </w:tcPr>
          <w:p>
            <w:pPr>
              <w:spacing w:after="0"/>
              <w:rPr>
                <w:sz w:val="2"/>
                <w:szCs w:val="2"/>
                <w:color w:val="auto"/>
              </w:rPr>
            </w:pPr>
          </w:p>
        </w:tc>
        <w:tc>
          <w:tcPr>
            <w:tcW w:w="60" w:type="dxa"/>
            <w:vAlign w:val="bottom"/>
          </w:tcPr>
          <w:p>
            <w:pPr>
              <w:jc w:val="right"/>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-175895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-175895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252095</wp:posOffset>
            </wp:positionV>
            <wp:extent cx="668972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324" w:lineRule="exact"/>
        <w:rPr>
          <w:sz w:val="20"/>
          <w:szCs w:val="20"/>
          <w:color w:val="auto"/>
        </w:rPr>
      </w:pPr>
    </w:p>
    <w:tbl>
      <w:tblPr>
        <w:tblLayout w:type="fixed"/>
        <w:tblInd w:w="1220" w:type="dxa"/>
        <w:tblCellMar>
          <w:top w:w="0" w:type="dxa"/>
          <w:left w:w="0" w:type="dxa"/>
          <w:bottom w:w="0" w:type="dxa"/>
          <w:right w:w="0" w:type="dxa"/>
        </w:tblCellMar>
      </w:tblPr>
      <w:tr>
        <w:trPr>
          <w:trHeight w:val="145"/>
        </w:trPr>
        <w:tc>
          <w:tcPr>
            <w:tcW w:w="8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760" w:type="dxa"/>
            <w:vAlign w:val="bottom"/>
            <w:gridSpan w:val="10"/>
            <w:vMerge w:val="restart"/>
          </w:tcPr>
          <w:p>
            <w:pPr>
              <w:jc w:val="right"/>
              <w:ind w:right="240"/>
              <w:spacing w:after="0"/>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  </w:t>
            </w:r>
            <w:r>
              <w:rPr>
                <w:rFonts w:ascii="Arial" w:cs="Arial" w:eastAsia="Arial" w:hAnsi="Arial"/>
                <w:sz w:val="31"/>
                <w:szCs w:val="31"/>
                <w:b w:val="1"/>
                <w:bCs w:val="1"/>
                <w:color w:val="314F60"/>
                <w:vertAlign w:val="superscript"/>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4720" w:type="dxa"/>
            <w:vAlign w:val="bottom"/>
            <w:tcBorders>
              <w:right w:val="single" w:sz="8" w:color="75FF00"/>
            </w:tcBorders>
          </w:tcPr>
          <w:p>
            <w:pPr>
              <w:spacing w:after="0"/>
              <w:rPr>
                <w:sz w:val="18"/>
                <w:szCs w:val="18"/>
                <w:color w:val="auto"/>
              </w:rPr>
            </w:pPr>
          </w:p>
        </w:tc>
        <w:tc>
          <w:tcPr>
            <w:tcW w:w="2760" w:type="dxa"/>
            <w:vAlign w:val="bottom"/>
            <w:gridSpan w:val="10"/>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720" w:type="dxa"/>
            <w:vAlign w:val="bottom"/>
            <w:tcBorders>
              <w:right w:val="single" w:sz="8" w:color="75FF00"/>
            </w:tcBorders>
          </w:tcPr>
          <w:p>
            <w:pPr>
              <w:spacing w:after="0" w:line="20" w:lineRule="exact"/>
              <w:rPr>
                <w:sz w:val="1"/>
                <w:szCs w:val="1"/>
                <w:color w:val="auto"/>
              </w:rPr>
            </w:pPr>
          </w:p>
        </w:tc>
        <w:tc>
          <w:tcPr>
            <w:tcW w:w="940" w:type="dxa"/>
            <w:vAlign w:val="bottom"/>
            <w:shd w:val="clear" w:color="auto" w:fill="75FF00"/>
          </w:tcPr>
          <w:p>
            <w:pPr>
              <w:spacing w:after="0" w:line="20" w:lineRule="exact"/>
              <w:rPr>
                <w:sz w:val="1"/>
                <w:szCs w:val="1"/>
                <w:color w:val="auto"/>
              </w:rPr>
            </w:pPr>
          </w:p>
        </w:tc>
        <w:tc>
          <w:tcPr>
            <w:tcW w:w="20" w:type="dxa"/>
            <w:vAlign w:val="bottom"/>
            <w:shd w:val="clear" w:color="auto" w:fill="75FF00"/>
          </w:tcPr>
          <w:p>
            <w:pPr>
              <w:spacing w:after="0" w:line="20" w:lineRule="exact"/>
              <w:rPr>
                <w:sz w:val="1"/>
                <w:szCs w:val="1"/>
                <w:color w:val="auto"/>
              </w:rPr>
            </w:pPr>
          </w:p>
        </w:tc>
        <w:tc>
          <w:tcPr>
            <w:tcW w:w="80" w:type="dxa"/>
            <w:vAlign w:val="bottom"/>
            <w:shd w:val="clear" w:color="auto" w:fill="75FF00"/>
          </w:tcPr>
          <w:p>
            <w:pPr>
              <w:spacing w:after="0" w:line="20" w:lineRule="exact"/>
              <w:rPr>
                <w:sz w:val="1"/>
                <w:szCs w:val="1"/>
                <w:color w:val="auto"/>
              </w:rPr>
            </w:pPr>
          </w:p>
        </w:tc>
        <w:tc>
          <w:tcPr>
            <w:tcW w:w="180" w:type="dxa"/>
            <w:vAlign w:val="bottom"/>
            <w:shd w:val="clear" w:color="auto" w:fill="75FF00"/>
          </w:tcPr>
          <w:p>
            <w:pPr>
              <w:spacing w:after="0" w:line="20" w:lineRule="exact"/>
              <w:rPr>
                <w:sz w:val="1"/>
                <w:szCs w:val="1"/>
                <w:color w:val="auto"/>
              </w:rPr>
            </w:pPr>
          </w:p>
        </w:tc>
        <w:tc>
          <w:tcPr>
            <w:tcW w:w="620" w:type="dxa"/>
            <w:vAlign w:val="bottom"/>
            <w:shd w:val="clear" w:color="auto" w:fill="75FF00"/>
          </w:tcPr>
          <w:p>
            <w:pPr>
              <w:spacing w:after="0" w:line="20" w:lineRule="exact"/>
              <w:rPr>
                <w:sz w:val="1"/>
                <w:szCs w:val="1"/>
                <w:color w:val="auto"/>
              </w:rPr>
            </w:pPr>
          </w:p>
        </w:tc>
        <w:tc>
          <w:tcPr>
            <w:tcW w:w="60" w:type="dxa"/>
            <w:vAlign w:val="bottom"/>
            <w:shd w:val="clear" w:color="auto" w:fill="75FF00"/>
          </w:tcPr>
          <w:p>
            <w:pPr>
              <w:spacing w:after="0" w:line="20" w:lineRule="exact"/>
              <w:rPr>
                <w:sz w:val="1"/>
                <w:szCs w:val="1"/>
                <w:color w:val="auto"/>
              </w:rPr>
            </w:pPr>
          </w:p>
        </w:tc>
        <w:tc>
          <w:tcPr>
            <w:tcW w:w="60" w:type="dxa"/>
            <w:vAlign w:val="bottom"/>
            <w:shd w:val="clear" w:color="auto" w:fill="75FF00"/>
          </w:tcPr>
          <w:p>
            <w:pPr>
              <w:spacing w:after="0" w:line="20" w:lineRule="exact"/>
              <w:rPr>
                <w:sz w:val="1"/>
                <w:szCs w:val="1"/>
                <w:color w:val="auto"/>
              </w:rPr>
            </w:pPr>
          </w:p>
        </w:tc>
        <w:tc>
          <w:tcPr>
            <w:tcW w:w="180" w:type="dxa"/>
            <w:vAlign w:val="bottom"/>
            <w:shd w:val="clear" w:color="auto" w:fill="75FF00"/>
          </w:tcPr>
          <w:p>
            <w:pPr>
              <w:spacing w:after="0" w:line="20" w:lineRule="exact"/>
              <w:rPr>
                <w:sz w:val="1"/>
                <w:szCs w:val="1"/>
                <w:color w:val="auto"/>
              </w:rPr>
            </w:pPr>
          </w:p>
        </w:tc>
        <w:tc>
          <w:tcPr>
            <w:tcW w:w="340" w:type="dxa"/>
            <w:vAlign w:val="bottom"/>
            <w:shd w:val="clear" w:color="auto" w:fill="75FF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40" w:type="dxa"/>
            <w:vAlign w:val="bottom"/>
          </w:tcPr>
          <w:p>
            <w:pPr>
              <w:spacing w:after="0"/>
              <w:rPr>
                <w:sz w:val="20"/>
                <w:szCs w:val="20"/>
                <w:color w:val="auto"/>
              </w:rPr>
            </w:pPr>
            <w:r>
              <w:rPr>
                <w:rFonts w:ascii="Arial" w:cs="Arial" w:eastAsia="Arial" w:hAnsi="Arial"/>
                <w:sz w:val="18"/>
                <w:szCs w:val="18"/>
                <w:b w:val="1"/>
                <w:bCs w:val="1"/>
                <w:color w:val="auto"/>
              </w:rPr>
              <w:t>​</w:t>
            </w:r>
          </w:p>
        </w:tc>
        <w:tc>
          <w:tcPr>
            <w:tcW w:w="4720" w:type="dxa"/>
            <w:vAlign w:val="bottom"/>
          </w:tcPr>
          <w:p>
            <w:pPr>
              <w:ind w:left="1020"/>
              <w:spacing w:after="0"/>
              <w:rPr>
                <w:sz w:val="20"/>
                <w:szCs w:val="20"/>
                <w:color w:val="auto"/>
              </w:rPr>
            </w:pPr>
            <w:r>
              <w:rPr>
                <w:rFonts w:ascii="Arial" w:cs="Arial" w:eastAsia="Arial" w:hAnsi="Arial"/>
                <w:sz w:val="18"/>
                <w:szCs w:val="18"/>
                <w:b w:val="1"/>
                <w:bCs w:val="1"/>
                <w:color w:val="auto"/>
              </w:rPr>
              <w:t>Item and Value Added (Deducted)</w:t>
            </w:r>
          </w:p>
        </w:tc>
        <w:tc>
          <w:tcPr>
            <w:tcW w:w="940" w:type="dxa"/>
            <w:vAlign w:val="bottom"/>
          </w:tcPr>
          <w:p>
            <w:pPr>
              <w:spacing w:after="0"/>
              <w:rPr>
                <w:sz w:val="24"/>
                <w:szCs w:val="24"/>
                <w:color w:val="auto"/>
              </w:rPr>
            </w:pPr>
          </w:p>
        </w:tc>
        <w:tc>
          <w:tcPr>
            <w:tcW w:w="28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2022</w:t>
            </w:r>
          </w:p>
        </w:tc>
        <w:tc>
          <w:tcPr>
            <w:tcW w:w="60" w:type="dxa"/>
            <w:vAlign w:val="bottom"/>
          </w:tcPr>
          <w:p>
            <w:pPr>
              <w:spacing w:after="0"/>
              <w:rPr>
                <w:sz w:val="24"/>
                <w:szCs w:val="24"/>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5"/>
          </w:tcPr>
          <w:p>
            <w:pPr>
              <w:jc w:val="right"/>
              <w:spacing w:after="0"/>
              <w:rPr>
                <w:sz w:val="20"/>
                <w:szCs w:val="20"/>
                <w:color w:val="auto"/>
              </w:rPr>
            </w:pPr>
            <w:r>
              <w:rPr>
                <w:rFonts w:ascii="Arial" w:cs="Arial" w:eastAsia="Arial" w:hAnsi="Arial"/>
                <w:sz w:val="18"/>
                <w:szCs w:val="18"/>
                <w:b w:val="1"/>
                <w:bCs w:val="1"/>
                <w:color w:val="auto"/>
              </w:rPr>
              <w:t>2021   ​</w:t>
            </w:r>
          </w:p>
        </w:tc>
        <w:tc>
          <w:tcPr>
            <w:tcW w:w="0" w:type="dxa"/>
            <w:vAlign w:val="bottom"/>
          </w:tcPr>
          <w:p>
            <w:pPr>
              <w:spacing w:after="0"/>
              <w:rPr>
                <w:sz w:val="1"/>
                <w:szCs w:val="1"/>
                <w:color w:val="auto"/>
              </w:rPr>
            </w:pPr>
          </w:p>
        </w:tc>
      </w:tr>
      <w:tr>
        <w:trPr>
          <w:trHeight w:val="20"/>
        </w:trPr>
        <w:tc>
          <w:tcPr>
            <w:tcW w:w="6500" w:type="dxa"/>
            <w:vAlign w:val="bottom"/>
            <w:gridSpan w:val="3"/>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00" w:type="dxa"/>
            <w:vAlign w:val="bottom"/>
            <w:gridSpan w:val="3"/>
          </w:tcPr>
          <w:p>
            <w:pPr>
              <w:spacing w:after="0" w:line="192" w:lineRule="exact"/>
              <w:rPr>
                <w:sz w:val="20"/>
                <w:szCs w:val="20"/>
                <w:color w:val="auto"/>
              </w:rPr>
            </w:pPr>
            <w:r>
              <w:rPr>
                <w:rFonts w:ascii="Arial" w:cs="Arial" w:eastAsia="Arial" w:hAnsi="Arial"/>
                <w:sz w:val="18"/>
                <w:szCs w:val="18"/>
                <w:b w:val="1"/>
                <w:bCs w:val="1"/>
                <w:color w:val="auto"/>
              </w:rPr>
              <w:t>For​ Non-PEO Named Executive Officers (Average):</w:t>
            </w:r>
          </w:p>
        </w:tc>
        <w:tc>
          <w:tcPr>
            <w:tcW w:w="280" w:type="dxa"/>
            <w:vAlign w:val="bottom"/>
            <w:gridSpan w:val="3"/>
          </w:tcPr>
          <w:p>
            <w:pPr>
              <w:ind w:left="20"/>
              <w:spacing w:after="0" w:line="192" w:lineRule="exact"/>
              <w:rPr>
                <w:sz w:val="20"/>
                <w:szCs w:val="20"/>
                <w:color w:val="auto"/>
              </w:rPr>
            </w:pPr>
            <w:r>
              <w:rPr>
                <w:rFonts w:ascii="Arial" w:cs="Arial" w:eastAsia="Arial" w:hAnsi="Arial"/>
                <w:sz w:val="18"/>
                <w:szCs w:val="18"/>
                <w:b w:val="1"/>
                <w:bCs w:val="1"/>
                <w:color w:val="auto"/>
              </w:rPr>
              <w:t>​​ ​</w:t>
            </w:r>
          </w:p>
        </w:tc>
        <w:tc>
          <w:tcPr>
            <w:tcW w:w="68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ind w:left="20"/>
              <w:spacing w:after="0" w:line="192" w:lineRule="exact"/>
              <w:rPr>
                <w:sz w:val="20"/>
                <w:szCs w:val="20"/>
                <w:color w:val="auto"/>
              </w:rPr>
            </w:pPr>
            <w:r>
              <w:rPr>
                <w:rFonts w:ascii="Arial" w:cs="Arial" w:eastAsia="Arial" w:hAnsi="Arial"/>
                <w:sz w:val="18"/>
                <w:szCs w:val="18"/>
                <w:b w:val="1"/>
                <w:bCs w:val="1"/>
                <w:color w:val="auto"/>
              </w:rPr>
              <w:t>​​ ​</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gridSpan w:val="3"/>
          </w:tcPr>
          <w:p>
            <w:pPr>
              <w:jc w:val="right"/>
              <w:spacing w:after="0" w:line="19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9"/>
        </w:trPr>
        <w:tc>
          <w:tcPr>
            <w:tcW w:w="840" w:type="dxa"/>
            <w:vAlign w:val="bottom"/>
          </w:tcPr>
          <w:p>
            <w:pPr>
              <w:spacing w:after="0" w:line="199" w:lineRule="exact"/>
              <w:rPr>
                <w:sz w:val="20"/>
                <w:szCs w:val="20"/>
                <w:color w:val="auto"/>
              </w:rPr>
            </w:pPr>
            <w:r>
              <w:rPr>
                <w:rFonts w:ascii="Arial" w:cs="Arial" w:eastAsia="Arial" w:hAnsi="Arial"/>
                <w:sz w:val="18"/>
                <w:szCs w:val="18"/>
                <w:color w:val="auto"/>
              </w:rPr>
              <w:t>Summary​</w:t>
            </w:r>
          </w:p>
        </w:tc>
        <w:tc>
          <w:tcPr>
            <w:tcW w:w="5660" w:type="dxa"/>
            <w:vAlign w:val="bottom"/>
            <w:gridSpan w:val="2"/>
          </w:tcPr>
          <w:p>
            <w:pPr>
              <w:ind w:left="40"/>
              <w:spacing w:after="0" w:line="199" w:lineRule="exact"/>
              <w:rPr>
                <w:sz w:val="20"/>
                <w:szCs w:val="20"/>
                <w:color w:val="auto"/>
              </w:rPr>
            </w:pPr>
            <w:r>
              <w:rPr>
                <w:rFonts w:ascii="Arial" w:cs="Arial" w:eastAsia="Arial" w:hAnsi="Arial"/>
                <w:sz w:val="18"/>
                <w:szCs w:val="18"/>
                <w:color w:val="auto"/>
              </w:rPr>
              <w:t>Compensation Table Total</w:t>
            </w:r>
          </w:p>
        </w:tc>
        <w:tc>
          <w:tcPr>
            <w:tcW w:w="960" w:type="dxa"/>
            <w:vAlign w:val="bottom"/>
            <w:gridSpan w:val="5"/>
          </w:tcPr>
          <w:p>
            <w:pPr>
              <w:ind w:left="20"/>
              <w:spacing w:after="0" w:line="199" w:lineRule="exact"/>
              <w:rPr>
                <w:sz w:val="20"/>
                <w:szCs w:val="20"/>
                <w:color w:val="auto"/>
              </w:rPr>
            </w:pPr>
            <w:r>
              <w:rPr>
                <w:rFonts w:ascii="Arial" w:cs="Arial" w:eastAsia="Arial" w:hAnsi="Arial"/>
                <w:sz w:val="18"/>
                <w:szCs w:val="18"/>
                <w:color w:val="auto"/>
              </w:rPr>
              <w:t>​​$ 825,190</w:t>
            </w:r>
          </w:p>
        </w:tc>
        <w:tc>
          <w:tcPr>
            <w:tcW w:w="960" w:type="dxa"/>
            <w:vAlign w:val="bottom"/>
            <w:gridSpan w:val="7"/>
          </w:tcPr>
          <w:p>
            <w:pPr>
              <w:jc w:val="right"/>
              <w:spacing w:after="0" w:line="199" w:lineRule="exact"/>
              <w:rPr>
                <w:sz w:val="20"/>
                <w:szCs w:val="20"/>
                <w:color w:val="auto"/>
              </w:rPr>
            </w:pPr>
            <w:r>
              <w:rPr>
                <w:rFonts w:ascii="Arial" w:cs="Arial" w:eastAsia="Arial" w:hAnsi="Arial"/>
                <w:sz w:val="18"/>
                <w:szCs w:val="18"/>
                <w:color w:val="auto"/>
              </w:rPr>
              <w:t xml:space="preserve">​​$ 867,411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2"/>
        </w:trPr>
        <w:tc>
          <w:tcPr>
            <w:tcW w:w="6500" w:type="dxa"/>
            <w:vAlign w:val="bottom"/>
            <w:gridSpan w:val="3"/>
          </w:tcPr>
          <w:p>
            <w:pPr>
              <w:spacing w:after="0" w:line="182" w:lineRule="exact"/>
              <w:rPr>
                <w:sz w:val="20"/>
                <w:szCs w:val="20"/>
                <w:color w:val="auto"/>
              </w:rPr>
            </w:pPr>
            <w:r>
              <w:rPr>
                <w:rFonts w:ascii="Arial" w:cs="Arial" w:eastAsia="Arial" w:hAnsi="Arial"/>
                <w:sz w:val="18"/>
                <w:szCs w:val="18"/>
                <w:color w:val="auto"/>
              </w:rPr>
              <w:t>-​ Summary Compensation Table “Stock Awards” column value</w:t>
            </w:r>
          </w:p>
        </w:tc>
        <w:tc>
          <w:tcPr>
            <w:tcW w:w="96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​​$(324,945)</w:t>
            </w:r>
          </w:p>
        </w:tc>
        <w:tc>
          <w:tcPr>
            <w:tcW w:w="960" w:type="dxa"/>
            <w:vAlign w:val="bottom"/>
            <w:gridSpan w:val="7"/>
          </w:tcPr>
          <w:p>
            <w:pPr>
              <w:jc w:val="right"/>
              <w:spacing w:after="0" w:line="182" w:lineRule="exact"/>
              <w:rPr>
                <w:sz w:val="20"/>
                <w:szCs w:val="20"/>
                <w:color w:val="auto"/>
              </w:rPr>
            </w:pPr>
            <w:r>
              <w:rPr>
                <w:rFonts w:ascii="Arial" w:cs="Arial" w:eastAsia="Arial" w:hAnsi="Arial"/>
                <w:sz w:val="18"/>
                <w:szCs w:val="18"/>
                <w:color w:val="auto"/>
              </w:rPr>
              <w:t>​​$(164,044)</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6500" w:type="dxa"/>
            <w:vAlign w:val="bottom"/>
            <w:gridSpan w:val="3"/>
          </w:tcPr>
          <w:p>
            <w:pPr>
              <w:spacing w:after="0"/>
              <w:rPr>
                <w:sz w:val="20"/>
                <w:szCs w:val="20"/>
                <w:color w:val="auto"/>
              </w:rPr>
            </w:pPr>
            <w:r>
              <w:rPr>
                <w:rFonts w:ascii="Arial" w:cs="Arial" w:eastAsia="Arial" w:hAnsi="Arial"/>
                <w:sz w:val="18"/>
                <w:szCs w:val="18"/>
                <w:color w:val="auto"/>
              </w:rPr>
              <w:t>+ year-end fair value of outstanding and unvested equity awards granted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00" w:type="dxa"/>
            <w:vAlign w:val="bottom"/>
            <w:gridSpan w:val="3"/>
          </w:tcPr>
          <w:p>
            <w:pPr>
              <w:spacing w:after="0"/>
              <w:rPr>
                <w:sz w:val="20"/>
                <w:szCs w:val="20"/>
                <w:color w:val="auto"/>
              </w:rPr>
            </w:pPr>
            <w:r>
              <w:rPr>
                <w:rFonts w:ascii="Arial" w:cs="Arial" w:eastAsia="Arial" w:hAnsi="Arial"/>
                <w:sz w:val="18"/>
                <w:szCs w:val="18"/>
                <w:color w:val="auto"/>
              </w:rPr>
              <w:t>​the fiscal year</w:t>
            </w:r>
          </w:p>
        </w:tc>
        <w:tc>
          <w:tcPr>
            <w:tcW w:w="960" w:type="dxa"/>
            <w:vAlign w:val="bottom"/>
            <w:gridSpan w:val="5"/>
          </w:tcPr>
          <w:p>
            <w:pPr>
              <w:ind w:left="20"/>
              <w:spacing w:after="0"/>
              <w:rPr>
                <w:sz w:val="20"/>
                <w:szCs w:val="20"/>
                <w:color w:val="auto"/>
              </w:rPr>
            </w:pPr>
            <w:r>
              <w:rPr>
                <w:rFonts w:ascii="Arial" w:cs="Arial" w:eastAsia="Arial" w:hAnsi="Arial"/>
                <w:sz w:val="18"/>
                <w:szCs w:val="18"/>
                <w:color w:val="auto"/>
              </w:rPr>
              <w:t>​​$ 298,033</w:t>
            </w:r>
          </w:p>
        </w:tc>
        <w:tc>
          <w:tcPr>
            <w:tcW w:w="960" w:type="dxa"/>
            <w:vAlign w:val="bottom"/>
            <w:gridSpan w:val="7"/>
          </w:tcPr>
          <w:p>
            <w:pPr>
              <w:jc w:val="right"/>
              <w:spacing w:after="0"/>
              <w:rPr>
                <w:sz w:val="20"/>
                <w:szCs w:val="20"/>
                <w:color w:val="auto"/>
              </w:rPr>
            </w:pPr>
            <w:r>
              <w:rPr>
                <w:rFonts w:ascii="Arial" w:cs="Arial" w:eastAsia="Arial" w:hAnsi="Arial"/>
                <w:sz w:val="18"/>
                <w:szCs w:val="18"/>
                <w:color w:val="auto"/>
              </w:rPr>
              <w:t xml:space="preserve">​​$ 156,575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6500" w:type="dxa"/>
            <w:vAlign w:val="bottom"/>
            <w:gridSpan w:val="3"/>
          </w:tcPr>
          <w:p>
            <w:pPr>
              <w:spacing w:after="0"/>
              <w:rPr>
                <w:sz w:val="20"/>
                <w:szCs w:val="20"/>
                <w:color w:val="auto"/>
              </w:rPr>
            </w:pPr>
            <w:r>
              <w:rPr>
                <w:rFonts w:ascii="Arial" w:cs="Arial" w:eastAsia="Arial" w:hAnsi="Arial"/>
                <w:sz w:val="18"/>
                <w:szCs w:val="18"/>
                <w:color w:val="auto"/>
              </w:rPr>
              <w:t>+/- change in fair value of outstanding and unvested equity awards granted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gridSpan w:val="3"/>
          </w:tcPr>
          <w:p>
            <w:pPr>
              <w:spacing w:after="0"/>
              <w:rPr>
                <w:sz w:val="20"/>
                <w:szCs w:val="20"/>
                <w:color w:val="auto"/>
              </w:rPr>
            </w:pPr>
            <w:r>
              <w:rPr>
                <w:rFonts w:ascii="Arial" w:cs="Arial" w:eastAsia="Arial" w:hAnsi="Arial"/>
                <w:sz w:val="18"/>
                <w:szCs w:val="18"/>
                <w:color w:val="auto"/>
              </w:rPr>
              <w:t>in​ prior years</w:t>
            </w:r>
          </w:p>
        </w:tc>
        <w:tc>
          <w:tcPr>
            <w:tcW w:w="2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(80,955)</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(57,478)</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9"/>
        </w:trPr>
        <w:tc>
          <w:tcPr>
            <w:tcW w:w="6500" w:type="dxa"/>
            <w:vAlign w:val="bottom"/>
            <w:gridSpan w:val="3"/>
          </w:tcPr>
          <w:p>
            <w:pPr>
              <w:spacing w:after="0" w:line="199" w:lineRule="exact"/>
              <w:rPr>
                <w:sz w:val="20"/>
                <w:szCs w:val="20"/>
                <w:color w:val="auto"/>
              </w:rPr>
            </w:pPr>
            <w:r>
              <w:rPr>
                <w:rFonts w:ascii="Arial" w:cs="Arial" w:eastAsia="Arial" w:hAnsi="Arial"/>
                <w:sz w:val="18"/>
                <w:szCs w:val="18"/>
                <w:color w:val="auto"/>
              </w:rPr>
              <w:t>+​ vest date fair value of equity awards granted in the covered year</w:t>
            </w:r>
          </w:p>
        </w:tc>
        <w:tc>
          <w:tcPr>
            <w:tcW w:w="280" w:type="dxa"/>
            <w:vAlign w:val="bottom"/>
            <w:gridSpan w:val="3"/>
          </w:tcPr>
          <w:p>
            <w:pPr>
              <w:ind w:left="20"/>
              <w:spacing w:after="0" w:line="199" w:lineRule="exact"/>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w:t>
            </w:r>
          </w:p>
        </w:tc>
        <w:tc>
          <w:tcPr>
            <w:tcW w:w="720" w:type="dxa"/>
            <w:vAlign w:val="bottom"/>
            <w:gridSpan w:val="5"/>
          </w:tcPr>
          <w:p>
            <w:pPr>
              <w:jc w:val="right"/>
              <w:spacing w:after="0" w:line="199" w:lineRule="exact"/>
              <w:rPr>
                <w:sz w:val="20"/>
                <w:szCs w:val="20"/>
                <w:color w:val="auto"/>
              </w:rPr>
            </w:pPr>
            <w:r>
              <w:rPr>
                <w:rFonts w:ascii="Arial" w:cs="Arial" w:eastAsia="Arial" w:hAnsi="Arial"/>
                <w:sz w:val="18"/>
                <w:szCs w:val="18"/>
                <w:color w:val="auto"/>
              </w:rPr>
              <w:t xml:space="preserve">30,779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6520" w:type="dxa"/>
            <w:vAlign w:val="bottom"/>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r>
              <w:rPr>
                <w:rFonts w:ascii="Arial" w:cs="Arial" w:eastAsia="Arial" w:hAnsi="Arial"/>
                <w:sz w:val="18"/>
                <w:szCs w:val="18"/>
                <w:color w:val="auto"/>
              </w:rPr>
              <w:t>+/</w:t>
            </w:r>
            <w:r>
              <w:rPr>
                <w:rFonts w:ascii="Arial" w:cs="Arial" w:eastAsia="Arial" w:hAnsi="Arial"/>
                <w:sz w:val="18"/>
                <w:szCs w:val="18"/>
                <w:color w:val="auto"/>
                <w:shd w:val="clear" w:color="auto" w:fill="CCEEFF"/>
              </w:rPr>
              <w:t>- change in fair value of prior-year equity awards vested in the fiscal year</w:t>
            </w:r>
          </w:p>
        </w:tc>
        <w:tc>
          <w:tcPr>
            <w:tcW w:w="260" w:type="dxa"/>
            <w:vAlign w:val="bottom"/>
            <w:gridSpan w:val="2"/>
          </w:tcPr>
          <w:p>
            <w:pPr>
              <w:spacing w:after="0"/>
              <w:rPr>
                <w:sz w:val="20"/>
                <w:szCs w:val="20"/>
                <w:color w:val="auto"/>
              </w:rPr>
            </w:pPr>
            <w:r>
              <w:rPr>
                <w:rFonts w:ascii="Arial" w:cs="Arial" w:eastAsia="Arial" w:hAnsi="Arial"/>
                <w:sz w:val="18"/>
                <w:szCs w:val="18"/>
                <w:color w:val="auto"/>
                <w:shd w:val="clear" w:color="auto" w:fill="CCEEFF"/>
              </w:rPr>
              <w:t>​​$</w:t>
            </w:r>
          </w:p>
        </w:tc>
        <w:tc>
          <w:tcPr>
            <w:tcW w:w="620" w:type="dxa"/>
            <w:vAlign w:val="bottom"/>
          </w:tcPr>
          <w:p>
            <w:pPr>
              <w:jc w:val="right"/>
              <w:spacing w:after="0"/>
              <w:rPr>
                <w:sz w:val="20"/>
                <w:szCs w:val="20"/>
                <w:color w:val="auto"/>
              </w:rPr>
            </w:pPr>
            <w:r>
              <w:rPr>
                <w:rFonts w:ascii="Arial" w:cs="Arial" w:eastAsia="Arial" w:hAnsi="Arial"/>
                <w:sz w:val="18"/>
                <w:szCs w:val="18"/>
                <w:color w:val="auto"/>
                <w:shd w:val="clear" w:color="auto" w:fill="CCEEFF"/>
              </w:rPr>
              <w:t>1,532</w:t>
            </w:r>
          </w:p>
        </w:tc>
        <w:tc>
          <w:tcPr>
            <w:tcW w:w="60" w:type="dxa"/>
            <w:vAlign w:val="bottom"/>
          </w:tcPr>
          <w:p>
            <w:pPr>
              <w:spacing w:after="0"/>
              <w:rPr>
                <w:sz w:val="18"/>
                <w:szCs w:val="18"/>
                <w:color w:val="auto"/>
              </w:rPr>
            </w:pPr>
          </w:p>
        </w:tc>
        <w:tc>
          <w:tcPr>
            <w:tcW w:w="960" w:type="dxa"/>
            <w:vAlign w:val="bottom"/>
            <w:gridSpan w:val="7"/>
          </w:tcPr>
          <w:p>
            <w:pPr>
              <w:jc w:val="right"/>
              <w:spacing w:after="0"/>
              <w:rPr>
                <w:sz w:val="20"/>
                <w:szCs w:val="20"/>
                <w:color w:val="auto"/>
              </w:rPr>
            </w:pPr>
            <w:r>
              <w:rPr>
                <w:rFonts w:ascii="Arial" w:cs="Arial" w:eastAsia="Arial" w:hAnsi="Arial"/>
                <w:sz w:val="18"/>
                <w:szCs w:val="18"/>
                <w:color w:val="auto"/>
                <w:shd w:val="clear" w:color="auto" w:fill="CCEEFF"/>
              </w:rPr>
              <w:t>​​$ (70,771)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9"/>
        </w:trPr>
        <w:tc>
          <w:tcPr>
            <w:tcW w:w="6500" w:type="dxa"/>
            <w:vAlign w:val="bottom"/>
            <w:tcBorders>
              <w:top w:val="single" w:sz="8" w:color="CCEEFF"/>
            </w:tcBorders>
            <w:gridSpan w:val="3"/>
          </w:tcPr>
          <w:p>
            <w:pPr>
              <w:spacing w:after="0" w:line="178" w:lineRule="exact"/>
              <w:rPr>
                <w:sz w:val="20"/>
                <w:szCs w:val="20"/>
                <w:color w:val="auto"/>
              </w:rPr>
            </w:pPr>
            <w:r>
              <w:rPr>
                <w:rFonts w:ascii="Arial" w:cs="Arial" w:eastAsia="Arial" w:hAnsi="Arial"/>
                <w:sz w:val="18"/>
                <w:szCs w:val="18"/>
                <w:color w:val="auto"/>
              </w:rPr>
              <w:t>Compensation Actually Paid</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gridSpan w:val="2"/>
          </w:tcPr>
          <w:p>
            <w:pPr>
              <w:jc w:val="right"/>
              <w:spacing w:after="0" w:line="178" w:lineRule="exact"/>
              <w:rPr>
                <w:sz w:val="20"/>
                <w:szCs w:val="20"/>
                <w:color w:val="auto"/>
              </w:rPr>
            </w:pPr>
            <w:r>
              <w:rPr>
                <w:rFonts w:ascii="Arial" w:cs="Arial" w:eastAsia="Arial" w:hAnsi="Arial"/>
                <w:sz w:val="18"/>
                <w:szCs w:val="18"/>
                <w:color w:val="auto"/>
                <w:w w:val="97"/>
              </w:rPr>
              <w:t>$ 638,930</w:t>
            </w: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gridSpan w:val="3"/>
          </w:tcPr>
          <w:p>
            <w:pPr>
              <w:jc w:val="right"/>
              <w:spacing w:after="0" w:line="178" w:lineRule="exact"/>
              <w:rPr>
                <w:sz w:val="20"/>
                <w:szCs w:val="20"/>
                <w:color w:val="auto"/>
              </w:rPr>
            </w:pPr>
            <w:r>
              <w:rPr>
                <w:rFonts w:ascii="Arial" w:cs="Arial" w:eastAsia="Arial" w:hAnsi="Arial"/>
                <w:sz w:val="18"/>
                <w:szCs w:val="18"/>
                <w:color w:val="auto"/>
                <w:w w:val="97"/>
              </w:rPr>
              <w:t>$ 762,472</w:t>
            </w:r>
          </w:p>
        </w:tc>
        <w:tc>
          <w:tcPr>
            <w:tcW w:w="20" w:type="dxa"/>
            <w:vAlign w:val="bottom"/>
            <w:tcBorders>
              <w:top w:val="single" w:sz="8" w:color="auto"/>
            </w:tcBorders>
          </w:tcPr>
          <w:p>
            <w:pPr>
              <w:spacing w:after="0"/>
              <w:rPr>
                <w:sz w:val="15"/>
                <w:szCs w:val="15"/>
                <w:color w:val="auto"/>
              </w:rPr>
            </w:pPr>
          </w:p>
        </w:tc>
        <w:tc>
          <w:tcPr>
            <w:tcW w:w="80" w:type="dxa"/>
            <w:vAlign w:val="bottom"/>
            <w:gridSpan w:val="2"/>
            <w:vMerge w:val="restart"/>
          </w:tcPr>
          <w:p>
            <w:pPr>
              <w:jc w:val="right"/>
              <w:spacing w:after="0" w:line="19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
        </w:trPr>
        <w:tc>
          <w:tcPr>
            <w:tcW w:w="840" w:type="dxa"/>
            <w:vAlign w:val="bottom"/>
          </w:tcPr>
          <w:p>
            <w:pPr>
              <w:spacing w:after="0" w:line="7" w:lineRule="exact"/>
              <w:rPr>
                <w:sz w:val="20"/>
                <w:szCs w:val="20"/>
                <w:color w:val="auto"/>
              </w:rPr>
            </w:pPr>
            <w:r>
              <w:rPr>
                <w:rFonts w:ascii="Arial" w:cs="Arial" w:eastAsia="Arial" w:hAnsi="Arial"/>
                <w:sz w:val="1"/>
                <w:szCs w:val="1"/>
                <w:color w:val="auto"/>
              </w:rPr>
              <w:t>​</w:t>
            </w:r>
          </w:p>
        </w:tc>
        <w:tc>
          <w:tcPr>
            <w:tcW w:w="4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gridSpan w:val="3"/>
          </w:tcPr>
          <w:p>
            <w:pPr>
              <w:ind w:left="20"/>
              <w:spacing w:after="0" w:line="7" w:lineRule="exact"/>
              <w:rPr>
                <w:sz w:val="20"/>
                <w:szCs w:val="20"/>
                <w:color w:val="auto"/>
              </w:rPr>
            </w:pPr>
            <w:r>
              <w:rPr>
                <w:rFonts w:ascii="Arial" w:cs="Arial" w:eastAsia="Arial" w:hAnsi="Arial"/>
                <w:sz w:val="1"/>
                <w:szCs w:val="1"/>
                <w:color w:val="auto"/>
              </w:rPr>
              <w:t>​​</w:t>
            </w: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ind w:left="20"/>
              <w:spacing w:after="0" w:line="7" w:lineRule="exact"/>
              <w:rPr>
                <w:sz w:val="20"/>
                <w:szCs w:val="20"/>
                <w:color w:val="auto"/>
              </w:rPr>
            </w:pPr>
            <w:r>
              <w:rPr>
                <w:rFonts w:ascii="Arial" w:cs="Arial" w:eastAsia="Arial" w:hAnsi="Arial"/>
                <w:sz w:val="1"/>
                <w:szCs w:val="1"/>
                <w:color w:val="auto"/>
              </w:rPr>
              <w:t>​​</w:t>
            </w: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-1360805</wp:posOffset>
            </wp:positionV>
            <wp:extent cx="5311140" cy="134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11140" cy="13462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-1100455</wp:posOffset>
            </wp:positionV>
            <wp:extent cx="5311140" cy="1263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11140" cy="12636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-705485</wp:posOffset>
            </wp:positionV>
            <wp:extent cx="5311140" cy="269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11140" cy="26924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-175895</wp:posOffset>
            </wp:positionV>
            <wp:extent cx="254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41" w:lineRule="exact"/>
        <w:rPr>
          <w:sz w:val="20"/>
          <w:szCs w:val="20"/>
          <w:color w:val="auto"/>
        </w:rPr>
      </w:pPr>
    </w:p>
    <w:p>
      <w:pPr>
        <w:jc w:val="both"/>
        <w:ind w:left="1220" w:right="939"/>
        <w:spacing w:after="0" w:line="252" w:lineRule="auto"/>
        <w:rPr>
          <w:sz w:val="20"/>
          <w:szCs w:val="20"/>
          <w:color w:val="auto"/>
        </w:rPr>
      </w:pPr>
      <w:r>
        <w:rPr>
          <w:rFonts w:ascii="Arial" w:cs="Arial" w:eastAsia="Arial" w:hAnsi="Arial"/>
          <w:sz w:val="18"/>
          <w:szCs w:val="18"/>
          <w:color w:val="auto"/>
        </w:rPr>
        <w:t>The following graphs denote the relationships between net income and TSR with actual compensation paid to the PEO and the average compensation actually paid to Non-PEO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83820</wp:posOffset>
            </wp:positionV>
            <wp:extent cx="2655570" cy="3361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55570"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20" w:right="539"/>
        <w:spacing w:after="0" w:line="241" w:lineRule="auto"/>
        <w:rPr>
          <w:sz w:val="20"/>
          <w:szCs w:val="20"/>
          <w:color w:val="auto"/>
        </w:rPr>
      </w:pPr>
      <w:r>
        <w:rPr>
          <w:rFonts w:ascii="Arial" w:cs="Arial" w:eastAsia="Arial" w:hAnsi="Arial"/>
          <w:sz w:val="18"/>
          <w:szCs w:val="18"/>
          <w:color w:val="auto"/>
        </w:rPr>
        <w:t>The TSR from December 31, 2020, to December 31, 2021, was negative $12.89, and for the period from December 31, 2020, to December 30, 2022, was negative $26.55. Net income of Altisource was approximately $11.8 million in 2021, with a net loss of approximately</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$53.4 million in 2022.</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Named Executive Officer Compensation</w:t>
      </w:r>
    </w:p>
    <w:p>
      <w:pPr>
        <w:spacing w:after="0" w:line="137" w:lineRule="exact"/>
        <w:rPr>
          <w:sz w:val="20"/>
          <w:szCs w:val="20"/>
          <w:color w:val="auto"/>
        </w:rPr>
      </w:pPr>
    </w:p>
    <w:p>
      <w:pPr>
        <w:ind w:left="1220" w:right="519"/>
        <w:spacing w:after="0"/>
        <w:rPr>
          <w:sz w:val="20"/>
          <w:szCs w:val="20"/>
          <w:color w:val="auto"/>
        </w:rPr>
      </w:pPr>
      <w:r>
        <w:rPr>
          <w:rFonts w:ascii="Arial" w:cs="Arial" w:eastAsia="Arial" w:hAnsi="Arial"/>
          <w:sz w:val="18"/>
          <w:szCs w:val="18"/>
          <w:color w:val="auto"/>
        </w:rPr>
        <w:t>The actual compensation paid to the PEO increased from 2021 to 2022 by approximately $200,000, from approximately $1.78 million in 2021 to approximately $1.98 million in 2022. This compensation increase was mainly due to the reinstatement of a 2021 temporary reduction in the PEO’s salary, which was made in response to the financial condition of the Company. The temporary reduction in the PEO’s salary during 2021 reduced the PEO’s 2021 actual compensation by approximately $253,000. The 2022 increase in PEO actual compensation over 2021 was attributable mainly to the aforementioned salary reinstatement, an increase of approximately $19,000 in incentive compensation and increases of approximately $32,000 pursuant to 2022 Luxembourg wage indexation, with such increases offset by reductions of approximately $105,000 in All Other Compensation (as shown in the Summary Compensation Table).</w:t>
      </w:r>
    </w:p>
    <w:p>
      <w:pPr>
        <w:spacing w:after="0" w:line="200" w:lineRule="exact"/>
        <w:rPr>
          <w:sz w:val="20"/>
          <w:szCs w:val="20"/>
          <w:color w:val="auto"/>
        </w:rPr>
      </w:pPr>
    </w:p>
    <w:p>
      <w:pPr>
        <w:spacing w:after="0" w:line="35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67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12" w:lineRule="exact"/>
        <w:rPr>
          <w:sz w:val="20"/>
          <w:szCs w:val="20"/>
          <w:color w:val="auto"/>
        </w:rPr>
      </w:pPr>
    </w:p>
    <w:p>
      <w:pPr>
        <w:ind w:left="1220" w:right="519"/>
        <w:spacing w:after="0" w:line="249" w:lineRule="auto"/>
        <w:rPr>
          <w:sz w:val="20"/>
          <w:szCs w:val="20"/>
          <w:color w:val="auto"/>
        </w:rPr>
      </w:pPr>
      <w:r>
        <w:rPr>
          <w:rFonts w:ascii="Arial" w:cs="Arial" w:eastAsia="Arial" w:hAnsi="Arial"/>
          <w:sz w:val="18"/>
          <w:szCs w:val="18"/>
          <w:color w:val="auto"/>
        </w:rPr>
        <w:t>The average actual compensation paid to the non-PEO Named Executive Officers decreased from 2021 to 2022 by approximately $ 124,000, from approximately $762,000 in 2021 to approximately $639,000 in 2022. This average compensation decrease was mainly due to a reduction of approximately $50,000 from the elimination of one Named Executive Officer position and a reduction of approximately $108,000 of incentive compensation, with such reductions offset by increases of approximately $24,000 attributable to the reinstatement of a 2021 temporary salary reduction and approximately $9,000 pursuant to 2022 Luxembourg wage indexation.</w:t>
      </w:r>
    </w:p>
    <w:p>
      <w:pPr>
        <w:spacing w:after="0" w:line="323" w:lineRule="exact"/>
        <w:rPr>
          <w:sz w:val="20"/>
          <w:szCs w:val="20"/>
          <w:color w:val="auto"/>
        </w:rPr>
      </w:pPr>
    </w:p>
    <w:p>
      <w:pPr>
        <w:ind w:left="1220" w:right="939"/>
        <w:spacing w:after="0" w:line="274" w:lineRule="auto"/>
        <w:rPr>
          <w:sz w:val="20"/>
          <w:szCs w:val="20"/>
          <w:color w:val="auto"/>
        </w:rPr>
      </w:pPr>
      <w:r>
        <w:rPr>
          <w:rFonts w:ascii="Arial" w:cs="Arial" w:eastAsia="Arial" w:hAnsi="Arial"/>
          <w:sz w:val="18"/>
          <w:szCs w:val="18"/>
          <w:color w:val="auto"/>
        </w:rPr>
        <w:t>The following graph denotes the components of actual compensation paid to the Named Executive Officers in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97155</wp:posOffset>
            </wp:positionV>
            <wp:extent cx="4773295" cy="15881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73295"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20" w:right="519"/>
        <w:spacing w:after="0" w:line="250" w:lineRule="auto"/>
        <w:rPr>
          <w:sz w:val="20"/>
          <w:szCs w:val="20"/>
          <w:color w:val="auto"/>
        </w:rPr>
      </w:pPr>
      <w:r>
        <w:rPr>
          <w:rFonts w:ascii="Arial" w:cs="Arial" w:eastAsia="Arial" w:hAnsi="Arial"/>
          <w:sz w:val="18"/>
          <w:szCs w:val="18"/>
          <w:color w:val="auto"/>
        </w:rPr>
        <w:t>The decline in All Other Compensation for non-PEO Named Executive Officer average compensation from 2021 to 2022 is mainly attributable to the elimination of one Named Executive Officer position. Adjusting for the elimination of the one Named Executive Officer position would have reduced the 2021 non-PEO Named Executive Officer average annual All Other compensation from approximately $249,000 to approximately $43,000. The 2022 non-PEO Named Executive Officer average annual All Other compensation is approximately $46,000.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1220" w:right="799"/>
        <w:spacing w:after="0" w:line="274" w:lineRule="auto"/>
        <w:rPr>
          <w:sz w:val="20"/>
          <w:szCs w:val="20"/>
          <w:color w:val="auto"/>
        </w:rPr>
      </w:pPr>
      <w:r>
        <w:rPr>
          <w:rFonts w:ascii="Arial" w:cs="Arial" w:eastAsia="Arial" w:hAnsi="Arial"/>
          <w:sz w:val="21"/>
          <w:szCs w:val="21"/>
          <w:b w:val="1"/>
          <w:bCs w:val="1"/>
          <w:color w:val="auto"/>
        </w:rPr>
        <w:t>Proposal Two: Approve and Ratify the Audit Committee’s Appointment of the Independent Registered Certified Public Accounting Firm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51098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17" w:lineRule="exact"/>
        <w:rPr>
          <w:sz w:val="20"/>
          <w:szCs w:val="20"/>
          <w:color w:val="auto"/>
        </w:rPr>
      </w:pPr>
    </w:p>
    <w:p>
      <w:pPr>
        <w:ind w:left="1220" w:right="519"/>
        <w:spacing w:after="0" w:line="249" w:lineRule="auto"/>
        <w:rPr>
          <w:sz w:val="20"/>
          <w:szCs w:val="20"/>
          <w:color w:val="auto"/>
        </w:rPr>
      </w:pPr>
      <w:r>
        <w:rPr>
          <w:rFonts w:ascii="Arial" w:cs="Arial" w:eastAsia="Arial" w:hAnsi="Arial"/>
          <w:sz w:val="18"/>
          <w:szCs w:val="18"/>
          <w:color w:val="auto"/>
        </w:rPr>
        <w:t>As previously disclosed on our Current Report on Form 8-K (“the Form 8-K”), Mayer Hoffman McCann P.C. (“MHM”), the Company’s previous registered public accounting firm, informed the Company of its decision to resign from this role effective the earlier of (i) the date the Company engaged a new independent registered public accounting firm or (ii) the filing of the Company’s Quarterly Report on Form 10-Q for the fiscal quarter ended September 30, 2022. MHM stated that its resignation was due to MHM’s intent to no longer provide audits of clients’ internal control over financial reporting (“ICFR”). As a public company with revenue in excess of $100 million, Altisource was required to have an audit of its ICFR.</w:t>
      </w:r>
    </w:p>
    <w:p>
      <w:pPr>
        <w:spacing w:after="0" w:line="122" w:lineRule="exact"/>
        <w:rPr>
          <w:sz w:val="20"/>
          <w:szCs w:val="20"/>
          <w:color w:val="auto"/>
        </w:rPr>
      </w:pPr>
    </w:p>
    <w:p>
      <w:pPr>
        <w:jc w:val="both"/>
        <w:ind w:left="1220" w:right="499"/>
        <w:spacing w:after="0" w:line="259" w:lineRule="auto"/>
        <w:rPr>
          <w:sz w:val="20"/>
          <w:szCs w:val="20"/>
          <w:color w:val="auto"/>
        </w:rPr>
      </w:pPr>
      <w:r>
        <w:rPr>
          <w:rFonts w:ascii="Arial" w:cs="Arial" w:eastAsia="Arial" w:hAnsi="Arial"/>
          <w:sz w:val="18"/>
          <w:szCs w:val="18"/>
          <w:color w:val="auto"/>
        </w:rPr>
        <w:t>MHM’s reports on the financial statements for the fiscal years ended December 31, 2020 and December 31, 2021, did not contain an adverse opinion or a disclaimer of opinion, and were not qualified or modified as to uncertainty, audit scope or auditing principles.</w:t>
      </w:r>
    </w:p>
    <w:p>
      <w:pPr>
        <w:spacing w:after="0" w:line="98" w:lineRule="exact"/>
        <w:rPr>
          <w:sz w:val="20"/>
          <w:szCs w:val="20"/>
          <w:color w:val="auto"/>
        </w:rPr>
      </w:pPr>
    </w:p>
    <w:p>
      <w:pPr>
        <w:ind w:left="1220" w:right="679"/>
        <w:spacing w:after="0" w:line="250" w:lineRule="auto"/>
        <w:rPr>
          <w:sz w:val="20"/>
          <w:szCs w:val="20"/>
          <w:color w:val="auto"/>
        </w:rPr>
      </w:pPr>
      <w:r>
        <w:rPr>
          <w:rFonts w:ascii="Arial" w:cs="Arial" w:eastAsia="Arial" w:hAnsi="Arial"/>
          <w:sz w:val="18"/>
          <w:szCs w:val="18"/>
          <w:color w:val="auto"/>
        </w:rPr>
        <w:t>Further, during the Company’s fiscal years ended December 31, 2020 and December 31, 2021, and the subsequent interim period through May 27, 2022, there were (i) no disagreements with MHM on any matter of accounting principles or practices, financial statement disclosure, or auditing scope or procedure, which disagreements, if not resolved to the satisfaction of MHM, would have caused it to make a reference to the subject matter of the disagreements in connection with its report, and (ii) no reportable events, as defined in Item 304(a)(1)(v) of Regulation S-K.</w:t>
      </w:r>
    </w:p>
    <w:p>
      <w:pPr>
        <w:spacing w:after="0" w:line="334" w:lineRule="exact"/>
        <w:rPr>
          <w:sz w:val="20"/>
          <w:szCs w:val="20"/>
          <w:color w:val="auto"/>
        </w:rPr>
      </w:pPr>
    </w:p>
    <w:p>
      <w:pPr>
        <w:ind w:left="1220" w:right="679"/>
        <w:spacing w:after="0" w:line="266" w:lineRule="auto"/>
        <w:rPr>
          <w:sz w:val="20"/>
          <w:szCs w:val="20"/>
          <w:color w:val="auto"/>
        </w:rPr>
      </w:pPr>
      <w:r>
        <w:rPr>
          <w:rFonts w:ascii="Arial" w:cs="Arial" w:eastAsia="Arial" w:hAnsi="Arial"/>
          <w:sz w:val="18"/>
          <w:szCs w:val="18"/>
          <w:color w:val="auto"/>
        </w:rPr>
        <w:t>MHM provided the Company with a letter addressed to the Securities and Exchange Commission stating that it agreed with the statements contained in the Form 8-K insofar as they relate to MHM.</w:t>
      </w:r>
    </w:p>
    <w:p>
      <w:pPr>
        <w:spacing w:after="0" w:line="322" w:lineRule="exact"/>
        <w:rPr>
          <w:sz w:val="20"/>
          <w:szCs w:val="20"/>
          <w:color w:val="auto"/>
        </w:rPr>
      </w:pPr>
    </w:p>
    <w:p>
      <w:pPr>
        <w:ind w:left="1220" w:right="519"/>
        <w:spacing w:after="0" w:line="250" w:lineRule="auto"/>
        <w:rPr>
          <w:sz w:val="20"/>
          <w:szCs w:val="20"/>
          <w:color w:val="auto"/>
        </w:rPr>
      </w:pPr>
      <w:r>
        <w:rPr>
          <w:rFonts w:ascii="Arial" w:cs="Arial" w:eastAsia="Arial" w:hAnsi="Arial"/>
          <w:sz w:val="18"/>
          <w:szCs w:val="18"/>
          <w:color w:val="auto"/>
        </w:rPr>
        <w:t>As also disclosed on Form 8-K, Management and the Audit Committee of our Board of Directors completed a competitive process to engage a new independent auditor for the year ended December 31, 2022. As a result of the process and following careful deliberation, on August 22, 2022, the Company engaged RSM US LLP (“RSM”) as the Company’s independent registered public accounting firm for the year ended December 31, 2022, at which time MHM’s resignation as the Company’s independent registered public accounting firm became effective.</w:t>
      </w:r>
    </w:p>
    <w:p>
      <w:pPr>
        <w:spacing w:after="0" w:line="321" w:lineRule="exact"/>
        <w:rPr>
          <w:sz w:val="20"/>
          <w:szCs w:val="20"/>
          <w:color w:val="auto"/>
        </w:rPr>
      </w:pPr>
    </w:p>
    <w:p>
      <w:pPr>
        <w:ind w:left="1220" w:right="599"/>
        <w:spacing w:after="0" w:line="247" w:lineRule="auto"/>
        <w:rPr>
          <w:sz w:val="20"/>
          <w:szCs w:val="20"/>
          <w:color w:val="auto"/>
        </w:rPr>
      </w:pPr>
      <w:r>
        <w:rPr>
          <w:rFonts w:ascii="Arial" w:cs="Arial" w:eastAsia="Arial" w:hAnsi="Arial"/>
          <w:sz w:val="18"/>
          <w:szCs w:val="18"/>
          <w:color w:val="auto"/>
        </w:rPr>
        <w:t>During the years ended December 31, 2020 and December 31, 2021, and through August 22, 2022, neither the Company nor anyone on its behalf consulted with RSM with respect to either (i) the application of accounting principles to a specified transaction, either completed or proposed, or the type of audit opinion that might be rendered on the Company’s consolidated financial statements, and no written report or oral advice was provided by RSM to the Company that RSM concluded was an important factor considered by the Company in reaching a decision as to the accounting, auditing or financial reporting issue, or (ii) any matter that was either the subject of a disagreement (as defined in</w:t>
      </w:r>
    </w:p>
    <w:p>
      <w:pPr>
        <w:spacing w:after="0" w:line="6" w:lineRule="exact"/>
        <w:rPr>
          <w:sz w:val="20"/>
          <w:szCs w:val="20"/>
          <w:color w:val="auto"/>
        </w:rPr>
      </w:pPr>
    </w:p>
    <w:p>
      <w:pPr>
        <w:ind w:left="1220" w:right="559"/>
        <w:spacing w:after="0" w:line="255" w:lineRule="auto"/>
        <w:rPr>
          <w:sz w:val="20"/>
          <w:szCs w:val="20"/>
          <w:color w:val="auto"/>
        </w:rPr>
      </w:pPr>
      <w:r>
        <w:rPr>
          <w:rFonts w:ascii="Arial" w:cs="Arial" w:eastAsia="Arial" w:hAnsi="Arial"/>
          <w:sz w:val="18"/>
          <w:szCs w:val="18"/>
          <w:color w:val="auto"/>
        </w:rPr>
        <w:t>Item 304(a)(1)(iv) of Regulation S-K and the related instructions to that Item) or a reportable event (as described in Item 304(a)(1)(v) of Regulation S-K).</w:t>
      </w:r>
    </w:p>
    <w:p>
      <w:pPr>
        <w:spacing w:after="0" w:line="283" w:lineRule="exact"/>
        <w:rPr>
          <w:sz w:val="20"/>
          <w:szCs w:val="20"/>
          <w:color w:val="auto"/>
        </w:rPr>
      </w:pPr>
    </w:p>
    <w:p>
      <w:pPr>
        <w:jc w:val="center"/>
        <w:ind w:left="1920" w:right="40"/>
        <w:spacing w:after="0" w:line="252" w:lineRule="auto"/>
        <w:rPr>
          <w:sz w:val="20"/>
          <w:szCs w:val="20"/>
          <w:color w:val="auto"/>
        </w:rPr>
      </w:pPr>
      <w:r>
        <w:rPr>
          <w:rFonts w:ascii="Arial" w:cs="Arial" w:eastAsia="Arial" w:hAnsi="Arial"/>
          <w:sz w:val="18"/>
          <w:szCs w:val="18"/>
          <w:b w:val="1"/>
          <w:bCs w:val="1"/>
          <w:color w:val="auto"/>
        </w:rPr>
        <w:t>OUR BOARD OF DIRECTORS UNANIMOUSLY RECOMMENDS THAT YOU VOTE “FOR” THE APPROVAL AND RATIFICATION OF THE AUDIT COMMITTEE’S APPOINTMENT OF RSM US LLP AS</w:t>
      </w:r>
    </w:p>
    <w:p>
      <w:pPr>
        <w:spacing w:after="0" w:line="1"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INDEPENDENT REGISTERED CERTIFIED PUBLIC ACCOUNTING FIRM FOR THE YEAR</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ENDED</w:t>
      </w:r>
    </w:p>
    <w:p>
      <w:pPr>
        <w:spacing w:after="0" w:line="5"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5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THREE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-215900</wp:posOffset>
            </wp:positionV>
            <wp:extent cx="1101090" cy="142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01090" cy="142875"/>
                    </a:xfrm>
                    <a:prstGeom prst="rect">
                      <a:avLst/>
                    </a:prstGeom>
                    <a:noFill/>
                  </pic:spPr>
                </pic:pic>
              </a:graphicData>
            </a:graphic>
          </wp:anchor>
        </w:drawing>
      </w:r>
    </w:p>
    <w:p>
      <w:pPr>
        <w:spacing w:after="0" w:line="101" w:lineRule="exact"/>
        <w:rPr>
          <w:sz w:val="20"/>
          <w:szCs w:val="20"/>
          <w:color w:val="auto"/>
        </w:rPr>
      </w:pPr>
    </w:p>
    <w:p>
      <w:pPr>
        <w:ind w:left="1220" w:right="839"/>
        <w:spacing w:after="0" w:line="286" w:lineRule="auto"/>
        <w:rPr>
          <w:sz w:val="20"/>
          <w:szCs w:val="20"/>
          <w:color w:val="auto"/>
        </w:rPr>
      </w:pPr>
      <w:r>
        <w:rPr>
          <w:rFonts w:ascii="Arial" w:cs="Arial" w:eastAsia="Arial" w:hAnsi="Arial"/>
          <w:sz w:val="21"/>
          <w:szCs w:val="21"/>
          <w:b w:val="1"/>
          <w:bCs w:val="1"/>
          <w:color w:val="auto"/>
        </w:rPr>
        <w:t>Proposal Three: Appointment of the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51098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17" w:lineRule="exact"/>
        <w:rPr>
          <w:sz w:val="20"/>
          <w:szCs w:val="20"/>
          <w:color w:val="auto"/>
        </w:rPr>
      </w:pPr>
    </w:p>
    <w:p>
      <w:pPr>
        <w:ind w:left="1220" w:right="519"/>
        <w:spacing w:after="0" w:line="252" w:lineRule="auto"/>
        <w:rPr>
          <w:sz w:val="20"/>
          <w:szCs w:val="20"/>
          <w:color w:val="auto"/>
        </w:rPr>
      </w:pPr>
      <w:r>
        <w:rPr>
          <w:rFonts w:ascii="Arial" w:cs="Arial" w:eastAsia="Arial" w:hAnsi="Arial"/>
          <w:sz w:val="18"/>
          <w:szCs w:val="18"/>
          <w:color w:val="auto"/>
        </w:rPr>
        <w:t xml:space="preserve">The Audit Committee of our Board of Directors has approved the appointment of RSM US LLP (“RSM”) as our independent registered certified public accounting firm for the year ending December 31, 2023 and until the Company’s 2024 annual meeting of shareholders, and the appointment of Atwell S.à r.l. (“Atwell”) as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statutory accounts as required by Luxembourg law for the same period.</w:t>
      </w:r>
    </w:p>
    <w:p>
      <w:pPr>
        <w:spacing w:after="0" w:line="104" w:lineRule="exact"/>
        <w:rPr>
          <w:sz w:val="20"/>
          <w:szCs w:val="20"/>
          <w:color w:val="auto"/>
        </w:rPr>
      </w:pPr>
    </w:p>
    <w:p>
      <w:pPr>
        <w:ind w:left="1220" w:right="1279"/>
        <w:spacing w:after="0" w:line="274" w:lineRule="auto"/>
        <w:rPr>
          <w:sz w:val="20"/>
          <w:szCs w:val="20"/>
          <w:color w:val="auto"/>
        </w:rPr>
      </w:pPr>
      <w:r>
        <w:rPr>
          <w:rFonts w:ascii="Arial" w:cs="Arial" w:eastAsia="Arial" w:hAnsi="Arial"/>
          <w:sz w:val="18"/>
          <w:szCs w:val="18"/>
          <w:color w:val="auto"/>
        </w:rPr>
        <w:t>The Audit Committee further recommended that such appointments be submitted for approval by our shareholders at our Annual Meeting.</w:t>
      </w:r>
    </w:p>
    <w:p>
      <w:pPr>
        <w:spacing w:after="0" w:line="96" w:lineRule="exact"/>
        <w:rPr>
          <w:sz w:val="20"/>
          <w:szCs w:val="20"/>
          <w:color w:val="auto"/>
        </w:rPr>
      </w:pPr>
    </w:p>
    <w:p>
      <w:pPr>
        <w:ind w:left="1220" w:right="739"/>
        <w:spacing w:after="0" w:line="259" w:lineRule="auto"/>
        <w:rPr>
          <w:sz w:val="20"/>
          <w:szCs w:val="20"/>
          <w:color w:val="auto"/>
        </w:rPr>
      </w:pPr>
      <w:r>
        <w:rPr>
          <w:rFonts w:ascii="Arial" w:cs="Arial" w:eastAsia="Arial" w:hAnsi="Arial"/>
          <w:sz w:val="18"/>
          <w:szCs w:val="18"/>
          <w:color w:val="auto"/>
        </w:rPr>
        <w:t>Representatives of RSM and Atwell will be offered the opportunity to be present at the Annual Meeting and to make any statements they deem appropriate. At this time, we don’t expect representatives of such firms to attend or join the Annual Meeting.</w:t>
      </w:r>
    </w:p>
    <w:p>
      <w:pPr>
        <w:spacing w:after="0" w:line="175" w:lineRule="exact"/>
        <w:rPr>
          <w:sz w:val="20"/>
          <w:szCs w:val="20"/>
          <w:color w:val="auto"/>
        </w:rPr>
      </w:pPr>
    </w:p>
    <w:p>
      <w:pPr>
        <w:jc w:val="center"/>
        <w:ind w:left="1840" w:right="260"/>
        <w:spacing w:after="0" w:line="250"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RSM US LLP AS OUR INDEPENDENT REGISTERED CERTIFIED PUBLIC ACCOUNTING FIRM FOR THE YEAR ENDING DECEMBER 31, 2023 AND UNTIL THE COMPANY’S</w:t>
      </w:r>
    </w:p>
    <w:p>
      <w:pPr>
        <w:spacing w:after="0" w:line="3"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2024 ANNUAL MEETING OF SHAREHOLDERS AND ATWELL S.À R.L. AS OUR CERTIFIED</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AUDITOR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579"/>
        <w:spacing w:after="0" w:line="248" w:lineRule="auto"/>
        <w:rPr>
          <w:sz w:val="20"/>
          <w:szCs w:val="20"/>
          <w:color w:val="auto"/>
        </w:rPr>
      </w:pPr>
      <w:r>
        <w:rPr>
          <w:rFonts w:ascii="Arial" w:cs="Arial" w:eastAsia="Arial" w:hAnsi="Arial"/>
          <w:sz w:val="18"/>
          <w:szCs w:val="18"/>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325" w:lineRule="exact"/>
        <w:rPr>
          <w:sz w:val="20"/>
          <w:szCs w:val="20"/>
          <w:color w:val="auto"/>
        </w:rPr>
      </w:pPr>
    </w:p>
    <w:p>
      <w:pPr>
        <w:ind w:left="1220" w:right="539"/>
        <w:spacing w:after="0" w:line="249" w:lineRule="auto"/>
        <w:rPr>
          <w:sz w:val="20"/>
          <w:szCs w:val="20"/>
          <w:color w:val="auto"/>
        </w:rPr>
      </w:pPr>
      <w:r>
        <w:rPr>
          <w:rFonts w:ascii="Arial" w:cs="Arial" w:eastAsia="Arial" w:hAnsi="Arial"/>
          <w:sz w:val="18"/>
          <w:szCs w:val="18"/>
          <w:color w:val="auto"/>
        </w:rPr>
        <w:t xml:space="preserve">In connection with these responsibilities, the Audit Committee met with management and the independent registered certified public accounting firm to review and discuss the December 31, 2022 audited consolidated financial statements. The Audit Committee has discussed with the independent registered certified public accounting firm the matters required to be discussed by the PCAOB Auditing Standard No. 1301, </w:t>
      </w:r>
      <w:r>
        <w:rPr>
          <w:rFonts w:ascii="Arial" w:cs="Arial" w:eastAsia="Arial" w:hAnsi="Arial"/>
          <w:sz w:val="18"/>
          <w:szCs w:val="18"/>
          <w:i w:val="1"/>
          <w:iCs w:val="1"/>
          <w:color w:val="auto"/>
        </w:rPr>
        <w:t>Communications with</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Committees</w:t>
      </w:r>
      <w:r>
        <w:rPr>
          <w:rFonts w:ascii="Arial" w:cs="Arial" w:eastAsia="Arial" w:hAnsi="Arial"/>
          <w:sz w:val="18"/>
          <w:szCs w:val="18"/>
          <w:color w:val="auto"/>
        </w:rPr>
        <w:t>. The Audit Committee has also received written disclosures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independent registered certified public accounting firm, as required by the applicable requirements of the PCAOB, and discussed with the independent registered certified public accounting firm that firm’s independence.</w:t>
      </w:r>
    </w:p>
    <w:p>
      <w:pPr>
        <w:spacing w:after="0" w:line="333" w:lineRule="exact"/>
        <w:rPr>
          <w:sz w:val="20"/>
          <w:szCs w:val="20"/>
          <w:color w:val="auto"/>
        </w:rPr>
      </w:pPr>
    </w:p>
    <w:p>
      <w:pPr>
        <w:ind w:left="1220" w:right="559"/>
        <w:spacing w:after="0" w:line="252" w:lineRule="auto"/>
        <w:rPr>
          <w:sz w:val="20"/>
          <w:szCs w:val="20"/>
          <w:color w:val="auto"/>
        </w:rPr>
      </w:pPr>
      <w:r>
        <w:rPr>
          <w:rFonts w:ascii="Arial" w:cs="Arial" w:eastAsia="Arial" w:hAnsi="Arial"/>
          <w:sz w:val="18"/>
          <w:szCs w:val="18"/>
          <w:color w:val="auto"/>
        </w:rPr>
        <w:t>Based upon the Audit Committee’s discussions with management and the independent registered public certified accounting firm referred to above, and the Audit Committee’s review of the representations of management, the Audit Committee recommended that the Board of Directors include the December 31, 2022 audited consolidated financial statements in Altisource’s Annual Report on Form 10-K for the year ended December 31, 2022.</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Audit Committee: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Roland Müller-Ineichen, Chair</w:t>
      </w:r>
    </w:p>
    <w:p>
      <w:pPr>
        <w:spacing w:after="0" w:line="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Mary C. Hickok, Director</w:t>
      </w:r>
    </w:p>
    <w:p>
      <w:pPr>
        <w:spacing w:after="0" w:line="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Joseph L. Morettini, Director</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April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jc w:val="both"/>
        <w:ind w:left="1220" w:right="519"/>
        <w:spacing w:after="0" w:line="245" w:lineRule="auto"/>
        <w:rPr>
          <w:sz w:val="20"/>
          <w:szCs w:val="20"/>
          <w:color w:val="auto"/>
        </w:rPr>
      </w:pPr>
      <w:r>
        <w:rPr>
          <w:rFonts w:ascii="Arial" w:cs="Arial" w:eastAsia="Arial" w:hAnsi="Arial"/>
          <w:sz w:val="18"/>
          <w:szCs w:val="18"/>
          <w:color w:val="auto"/>
        </w:rPr>
        <w:t>The following table shows the aggregate fees billed to Altisource for professional services by Mayer Hoffman McCann P.C. (“MHM”) and Atwell in fiscal years 2021 and 2022 and RSM US LLP in 2022:</w:t>
      </w:r>
    </w:p>
    <w:p>
      <w:pPr>
        <w:spacing w:after="0" w:line="343" w:lineRule="exact"/>
        <w:rPr>
          <w:sz w:val="20"/>
          <w:szCs w:val="20"/>
          <w:color w:val="auto"/>
        </w:rPr>
      </w:pPr>
    </w:p>
    <w:tbl>
      <w:tblPr>
        <w:tblLayout w:type="fixed"/>
        <w:tblInd w:w="1920" w:type="dxa"/>
        <w:tblCellMar>
          <w:top w:w="0" w:type="dxa"/>
          <w:left w:w="0" w:type="dxa"/>
          <w:bottom w:w="0" w:type="dxa"/>
          <w:right w:w="0" w:type="dxa"/>
        </w:tblCellMar>
      </w:tblPr>
      <w:tr>
        <w:trPr>
          <w:trHeight w:val="217"/>
        </w:trPr>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900" w:type="dxa"/>
            <w:vAlign w:val="bottom"/>
          </w:tcPr>
          <w:p>
            <w:pPr>
              <w:ind w:left="1360"/>
              <w:spacing w:after="0"/>
              <w:rPr>
                <w:sz w:val="20"/>
                <w:szCs w:val="20"/>
                <w:color w:val="auto"/>
              </w:rPr>
            </w:pPr>
            <w:r>
              <w:rPr>
                <w:rFonts w:ascii="Arial" w:cs="Arial" w:eastAsia="Arial" w:hAnsi="Arial"/>
                <w:sz w:val="18"/>
                <w:szCs w:val="18"/>
                <w:b w:val="1"/>
                <w:bCs w:val="1"/>
                <w:color w:val="auto"/>
              </w:rPr>
              <w:t>Category</w:t>
            </w: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 ​   2021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2022   ​</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Audit​</w:t>
            </w:r>
          </w:p>
        </w:tc>
        <w:tc>
          <w:tcPr>
            <w:tcW w:w="3900" w:type="dxa"/>
            <w:vAlign w:val="bottom"/>
            <w:shd w:val="clear" w:color="auto" w:fill="CCEEFF"/>
          </w:tcPr>
          <w:p>
            <w:pPr>
              <w:ind w:left="80"/>
              <w:spacing w:after="0" w:line="192" w:lineRule="exact"/>
              <w:rPr>
                <w:sz w:val="20"/>
                <w:szCs w:val="20"/>
                <w:color w:val="auto"/>
              </w:rPr>
            </w:pPr>
            <w:r>
              <w:rPr>
                <w:rFonts w:ascii="Arial" w:cs="Arial" w:eastAsia="Arial" w:hAnsi="Arial"/>
                <w:sz w:val="18"/>
                <w:szCs w:val="18"/>
                <w:color w:val="auto"/>
              </w:rPr>
              <w:t>Fees</w:t>
            </w:r>
          </w:p>
        </w:tc>
        <w:tc>
          <w:tcPr>
            <w:tcW w:w="220" w:type="dxa"/>
            <w:vAlign w:val="bottom"/>
            <w:vMerge w:val="continue"/>
            <w:shd w:val="clear" w:color="auto" w:fill="CCEEFF"/>
          </w:tcPr>
          <w:p>
            <w:pPr>
              <w:spacing w:after="0"/>
              <w:rPr>
                <w:sz w:val="16"/>
                <w:szCs w:val="16"/>
                <w:color w:val="auto"/>
              </w:rPr>
            </w:pPr>
          </w:p>
        </w:tc>
        <w:tc>
          <w:tcPr>
            <w:tcW w:w="960" w:type="dxa"/>
            <w:vAlign w:val="bottom"/>
            <w:tcBorders>
              <w:left w:val="single" w:sz="8" w:color="CCEEFF"/>
              <w:right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color w:val="auto"/>
                <w:w w:val="99"/>
              </w:rPr>
              <w:t>​$1,807,142​​</w:t>
            </w:r>
          </w:p>
        </w:tc>
        <w:tc>
          <w:tcPr>
            <w:tcW w:w="120" w:type="dxa"/>
            <w:vAlign w:val="bottom"/>
            <w:vMerge w:val="continue"/>
            <w:shd w:val="clear" w:color="auto" w:fill="CCEEFF"/>
          </w:tcPr>
          <w:p>
            <w:pPr>
              <w:spacing w:after="0"/>
              <w:rPr>
                <w:sz w:val="16"/>
                <w:szCs w:val="16"/>
                <w:color w:val="auto"/>
              </w:rPr>
            </w:pPr>
          </w:p>
        </w:tc>
        <w:tc>
          <w:tcPr>
            <w:tcW w:w="1000" w:type="dxa"/>
            <w:vAlign w:val="bottom"/>
            <w:gridSpan w:val="3"/>
            <w:shd w:val="clear" w:color="auto" w:fill="CCEEFF"/>
          </w:tcPr>
          <w:p>
            <w:pPr>
              <w:ind w:left="40"/>
              <w:spacing w:after="0" w:line="192" w:lineRule="exact"/>
              <w:rPr>
                <w:sz w:val="20"/>
                <w:szCs w:val="20"/>
                <w:color w:val="auto"/>
              </w:rPr>
            </w:pPr>
            <w:r>
              <w:rPr>
                <w:rFonts w:ascii="Arial" w:cs="Arial" w:eastAsia="Arial" w:hAnsi="Arial"/>
                <w:sz w:val="18"/>
                <w:szCs w:val="18"/>
                <w:color w:val="auto"/>
              </w:rPr>
              <w:t>​​$1,453,874​</w:t>
            </w:r>
          </w:p>
        </w:tc>
        <w:tc>
          <w:tcPr>
            <w:tcW w:w="140" w:type="dxa"/>
            <w:vAlign w:val="bottom"/>
            <w:vMerge w:val="restart"/>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40" w:type="dxa"/>
            <w:vAlign w:val="bottom"/>
            <w:gridSpan w:val="2"/>
          </w:tcPr>
          <w:p>
            <w:pPr>
              <w:spacing w:after="0" w:line="199" w:lineRule="exact"/>
              <w:rPr>
                <w:sz w:val="20"/>
                <w:szCs w:val="20"/>
                <w:color w:val="auto"/>
              </w:rPr>
            </w:pPr>
            <w:r>
              <w:rPr>
                <w:rFonts w:ascii="Arial" w:cs="Arial" w:eastAsia="Arial" w:hAnsi="Arial"/>
                <w:sz w:val="18"/>
                <w:szCs w:val="18"/>
                <w:color w:val="auto"/>
              </w:rPr>
              <w:t>Audit​</w:t>
            </w:r>
          </w:p>
        </w:tc>
        <w:tc>
          <w:tcPr>
            <w:tcW w:w="3900" w:type="dxa"/>
            <w:vAlign w:val="bottom"/>
          </w:tcPr>
          <w:p>
            <w:pPr>
              <w:ind w:left="20"/>
              <w:spacing w:after="0" w:line="199" w:lineRule="exact"/>
              <w:rPr>
                <w:sz w:val="20"/>
                <w:szCs w:val="20"/>
                <w:color w:val="auto"/>
              </w:rPr>
            </w:pPr>
            <w:r>
              <w:rPr>
                <w:rFonts w:ascii="Arial" w:cs="Arial" w:eastAsia="Arial" w:hAnsi="Arial"/>
                <w:sz w:val="18"/>
                <w:szCs w:val="18"/>
                <w:color w:val="auto"/>
              </w:rPr>
              <w:t>-Related Fees</w:t>
            </w:r>
          </w:p>
        </w:tc>
        <w:tc>
          <w:tcPr>
            <w:tcW w:w="1180" w:type="dxa"/>
            <w:vAlign w:val="bottom"/>
            <w:gridSpan w:val="2"/>
          </w:tcPr>
          <w:p>
            <w:pPr>
              <w:ind w:left="60"/>
              <w:spacing w:after="0" w:line="199" w:lineRule="exact"/>
              <w:rPr>
                <w:sz w:val="20"/>
                <w:szCs w:val="20"/>
                <w:color w:val="auto"/>
              </w:rPr>
            </w:pPr>
            <w:r>
              <w:rPr>
                <w:rFonts w:ascii="Arial" w:cs="Arial" w:eastAsia="Arial" w:hAnsi="Arial"/>
                <w:sz w:val="18"/>
                <w:szCs w:val="18"/>
                <w:color w:val="auto"/>
              </w:rPr>
              <w:t>​ ​​ ​</w:t>
            </w:r>
          </w:p>
        </w:tc>
        <w:tc>
          <w:tcPr>
            <w:tcW w:w="1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40"/>
              <w:spacing w:after="0" w:line="199" w:lineRule="exact"/>
              <w:rPr>
                <w:sz w:val="20"/>
                <w:szCs w:val="20"/>
                <w:color w:val="auto"/>
              </w:rPr>
            </w:pPr>
            <w:r>
              <w:rPr>
                <w:rFonts w:ascii="Arial" w:cs="Arial" w:eastAsia="Arial" w:hAnsi="Arial"/>
                <w:sz w:val="18"/>
                <w:szCs w:val="18"/>
                <w:color w:val="auto"/>
              </w:rPr>
              <w:t>​​ ​</w:t>
            </w:r>
          </w:p>
        </w:tc>
        <w:tc>
          <w:tcPr>
            <w:tcW w:w="7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Tax​</w:t>
            </w:r>
          </w:p>
        </w:tc>
        <w:tc>
          <w:tcPr>
            <w:tcW w:w="400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Fees</w:t>
            </w:r>
          </w:p>
        </w:tc>
        <w:tc>
          <w:tcPr>
            <w:tcW w:w="1180" w:type="dxa"/>
            <w:vAlign w:val="bottom"/>
            <w:tcBorders>
              <w:right w:val="single" w:sz="8" w:color="CCEEFF"/>
            </w:tcBorders>
            <w:gridSpan w:val="2"/>
            <w:shd w:val="clear" w:color="auto" w:fill="CCEEFF"/>
          </w:tcPr>
          <w:p>
            <w:pPr>
              <w:ind w:left="60"/>
              <w:spacing w:after="0" w:line="199" w:lineRule="exact"/>
              <w:rPr>
                <w:sz w:val="20"/>
                <w:szCs w:val="20"/>
                <w:color w:val="auto"/>
              </w:rPr>
            </w:pPr>
            <w:r>
              <w:rPr>
                <w:rFonts w:ascii="Arial" w:cs="Arial" w:eastAsia="Arial" w:hAnsi="Arial"/>
                <w:sz w:val="18"/>
                <w:szCs w:val="18"/>
                <w:color w:val="auto"/>
              </w:rPr>
              <w:t>​ ​​ ​</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40"/>
              <w:spacing w:after="0" w:line="199" w:lineRule="exact"/>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spacing w:after="0"/>
              <w:rPr>
                <w:sz w:val="17"/>
                <w:szCs w:val="17"/>
                <w:color w:val="auto"/>
              </w:rPr>
            </w:pPr>
          </w:p>
        </w:tc>
        <w:tc>
          <w:tcPr>
            <w:tcW w:w="140" w:type="dxa"/>
            <w:vAlign w:val="bottom"/>
          </w:tcPr>
          <w:p>
            <w:pPr>
              <w:jc w:val="right"/>
              <w:ind w:right="22"/>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gridSpan w:val="3"/>
          </w:tcPr>
          <w:p>
            <w:pPr>
              <w:spacing w:after="0"/>
              <w:rPr>
                <w:sz w:val="20"/>
                <w:szCs w:val="20"/>
                <w:color w:val="auto"/>
              </w:rPr>
            </w:pPr>
            <w:r>
              <w:rPr>
                <w:rFonts w:ascii="Arial" w:cs="Arial" w:eastAsia="Arial" w:hAnsi="Arial"/>
                <w:sz w:val="18"/>
                <w:szCs w:val="18"/>
                <w:color w:val="auto"/>
              </w:rPr>
              <w:t>​All Other Fees</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420" w:type="dxa"/>
            <w:vAlign w:val="bottom"/>
            <w:gridSpan w:val="3"/>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151,935</w:t>
            </w:r>
          </w:p>
        </w:tc>
        <w:tc>
          <w:tcPr>
            <w:tcW w:w="1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line="120" w:lineRule="exact"/>
              <w:rPr>
                <w:sz w:val="20"/>
                <w:szCs w:val="20"/>
                <w:color w:val="auto"/>
              </w:rPr>
            </w:pPr>
            <w:r>
              <w:rPr>
                <w:rFonts w:ascii="Arial" w:cs="Arial" w:eastAsia="Arial" w:hAnsi="Arial"/>
                <w:sz w:val="11"/>
                <w:szCs w:val="11"/>
                <w:color w:val="auto"/>
                <w:w w:val="88"/>
              </w:rPr>
              <w:t>(1)</w:t>
            </w:r>
          </w:p>
        </w:tc>
        <w:tc>
          <w:tcPr>
            <w:tcW w:w="0" w:type="dxa"/>
            <w:vAlign w:val="bottom"/>
          </w:tcPr>
          <w:p>
            <w:pPr>
              <w:spacing w:after="0" w:line="20" w:lineRule="exact"/>
              <w:rPr>
                <w:sz w:val="1"/>
                <w:szCs w:val="1"/>
                <w:color w:val="auto"/>
              </w:rPr>
            </w:pPr>
          </w:p>
        </w:tc>
      </w:tr>
      <w:tr>
        <w:trPr>
          <w:trHeight w:val="99"/>
        </w:trPr>
        <w:tc>
          <w:tcPr>
            <w:tcW w:w="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shd w:val="clear" w:color="auto" w:fill="CCEEFF"/>
          </w:tcPr>
          <w:p>
            <w:pPr>
              <w:spacing w:after="0"/>
              <w:rPr>
                <w:sz w:val="8"/>
                <w:szCs w:val="8"/>
                <w:color w:val="auto"/>
              </w:rPr>
            </w:pPr>
          </w:p>
        </w:tc>
        <w:tc>
          <w:tcPr>
            <w:tcW w:w="11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 ​ ​$1,807,142</w:t>
            </w:r>
          </w:p>
        </w:tc>
        <w:tc>
          <w:tcPr>
            <w:tcW w:w="11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 ​​$1,605,809</w:t>
            </w:r>
          </w:p>
        </w:tc>
        <w:tc>
          <w:tcPr>
            <w:tcW w:w="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40" w:type="dxa"/>
            <w:vAlign w:val="bottom"/>
            <w:gridSpan w:val="2"/>
            <w:vMerge w:val="continue"/>
            <w:shd w:val="clear" w:color="auto" w:fill="CCEEFF"/>
          </w:tcPr>
          <w:p>
            <w:pPr>
              <w:spacing w:after="0"/>
              <w:rPr>
                <w:sz w:val="10"/>
                <w:szCs w:val="10"/>
                <w:color w:val="auto"/>
              </w:rPr>
            </w:pPr>
          </w:p>
        </w:tc>
        <w:tc>
          <w:tcPr>
            <w:tcW w:w="3900" w:type="dxa"/>
            <w:vAlign w:val="bottom"/>
            <w:shd w:val="clear" w:color="auto" w:fill="CCEEFF"/>
          </w:tcPr>
          <w:p>
            <w:pPr>
              <w:spacing w:after="0"/>
              <w:rPr>
                <w:sz w:val="10"/>
                <w:szCs w:val="10"/>
                <w:color w:val="auto"/>
              </w:rPr>
            </w:pPr>
          </w:p>
        </w:tc>
        <w:tc>
          <w:tcPr>
            <w:tcW w:w="1180" w:type="dxa"/>
            <w:vAlign w:val="bottom"/>
            <w:tcBorders>
              <w:right w:val="single" w:sz="8" w:color="CCEEFF"/>
            </w:tcBorders>
            <w:gridSpan w:val="2"/>
            <w:vMerge w:val="continue"/>
            <w:shd w:val="clear" w:color="auto" w:fill="CCEEFF"/>
          </w:tcPr>
          <w:p>
            <w:pPr>
              <w:spacing w:after="0"/>
              <w:rPr>
                <w:sz w:val="10"/>
                <w:szCs w:val="10"/>
                <w:color w:val="auto"/>
              </w:rPr>
            </w:pPr>
          </w:p>
        </w:tc>
        <w:tc>
          <w:tcPr>
            <w:tcW w:w="1120" w:type="dxa"/>
            <w:vAlign w:val="bottom"/>
            <w:gridSpan w:val="4"/>
            <w:vMerge w:val="continue"/>
            <w:shd w:val="clear" w:color="auto" w:fill="CCEEFF"/>
          </w:tcPr>
          <w:p>
            <w:pPr>
              <w:spacing w:after="0"/>
              <w:rPr>
                <w:sz w:val="10"/>
                <w:szCs w:val="10"/>
                <w:color w:val="auto"/>
              </w:rPr>
            </w:pPr>
          </w:p>
        </w:tc>
        <w:tc>
          <w:tcPr>
            <w:tcW w:w="140" w:type="dxa"/>
            <w:vAlign w:val="bottom"/>
          </w:tcPr>
          <w:p>
            <w:pPr>
              <w:jc w:val="right"/>
              <w:ind w:right="22"/>
              <w:spacing w:after="0" w:line="11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-150495</wp:posOffset>
            </wp:positionV>
            <wp:extent cx="36391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39185"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-671830</wp:posOffset>
            </wp:positionV>
            <wp:extent cx="1346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4620" cy="825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-671830</wp:posOffset>
            </wp:positionV>
            <wp:extent cx="1346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4620" cy="8255"/>
                    </a:xfrm>
                    <a:prstGeom prst="rect">
                      <a:avLst/>
                    </a:prstGeom>
                    <a:noFill/>
                  </pic:spPr>
                </pic:pic>
              </a:graphicData>
            </a:graphic>
          </wp:anchor>
        </w:drawing>
        <w:drawing>
          <wp:anchor simplePos="0" relativeHeight="251657728" behindDoc="1" locked="0" layoutInCell="0" allowOverlap="1">
            <wp:simplePos x="0" y="0"/>
            <wp:positionH relativeFrom="column">
              <wp:posOffset>1224915</wp:posOffset>
            </wp:positionH>
            <wp:positionV relativeFrom="paragraph">
              <wp:posOffset>126365</wp:posOffset>
            </wp:positionV>
            <wp:extent cx="12103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281" w:lineRule="exact"/>
        <w:rPr>
          <w:sz w:val="20"/>
          <w:szCs w:val="20"/>
          <w:color w:val="auto"/>
        </w:rPr>
      </w:pPr>
    </w:p>
    <w:p>
      <w:pPr>
        <w:ind w:left="2280" w:right="559" w:hanging="353"/>
        <w:spacing w:after="0" w:line="226" w:lineRule="auto"/>
        <w:tabs>
          <w:tab w:leader="none" w:pos="2280" w:val="left"/>
        </w:tabs>
        <w:numPr>
          <w:ilvl w:val="0"/>
          <w:numId w:val="49"/>
        </w:numPr>
        <w:rPr>
          <w:rFonts w:ascii="Arial" w:cs="Arial" w:eastAsia="Arial" w:hAnsi="Arial"/>
          <w:sz w:val="26"/>
          <w:szCs w:val="26"/>
          <w:color w:val="auto"/>
          <w:vertAlign w:val="superscript"/>
        </w:rPr>
      </w:pPr>
      <w:r>
        <w:rPr>
          <w:rFonts w:ascii="Arial" w:cs="Arial" w:eastAsia="Arial" w:hAnsi="Arial"/>
          <w:sz w:val="18"/>
          <w:szCs w:val="18"/>
          <w:color w:val="auto"/>
        </w:rPr>
        <w:t>Represents $471,240 billed by MHM ($429,555 for audit fees and $41,685 for other fees); $183,747 billed by Atwell (for audit fees); and $950,822 billed by RSM ($840,572 for audit fees and $110,250 for other fees); fees billed by MHM and Atwell include statutory audits required for regulatory compliance purposes.</w:t>
      </w:r>
    </w:p>
    <w:p>
      <w:pPr>
        <w:spacing w:after="0" w:line="100" w:lineRule="exact"/>
        <w:rPr>
          <w:sz w:val="20"/>
          <w:szCs w:val="20"/>
          <w:color w:val="auto"/>
        </w:rPr>
      </w:pPr>
    </w:p>
    <w:p>
      <w:pPr>
        <w:ind w:left="1220" w:right="519"/>
        <w:spacing w:after="0"/>
        <w:rPr>
          <w:sz w:val="20"/>
          <w:szCs w:val="20"/>
          <w:color w:val="auto"/>
        </w:rPr>
      </w:pPr>
      <w:r>
        <w:rPr>
          <w:rFonts w:ascii="Arial" w:cs="Arial" w:eastAsia="Arial" w:hAnsi="Arial"/>
          <w:sz w:val="18"/>
          <w:szCs w:val="18"/>
          <w:color w:val="auto"/>
        </w:rPr>
        <w:t>This category includes the aggregate fees and expenses billed for professional services rendered for the audits of Altisource’s consolidated financial statements for fiscal years 2021 and 2022, for the reviews of the financial statements included in Altisource’s quarterly reports on Form 10-Q during fiscal years 2021 and 2022 and reviews of registration statements and issuances of consents, comfort letters and services that are normally provided by the independent registered certified public accounting firm and affiliates in connection with statutory and regulatory filings or engagements for the relevant fiscal year.</w:t>
      </w:r>
    </w:p>
    <w:p>
      <w:pPr>
        <w:spacing w:after="0" w:line="17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Audit-Related Fees</w:t>
      </w:r>
    </w:p>
    <w:p>
      <w:pPr>
        <w:spacing w:after="0" w:line="132" w:lineRule="exact"/>
        <w:rPr>
          <w:sz w:val="20"/>
          <w:szCs w:val="20"/>
          <w:color w:val="auto"/>
        </w:rPr>
      </w:pPr>
    </w:p>
    <w:p>
      <w:pPr>
        <w:ind w:left="1220" w:right="619"/>
        <w:spacing w:after="0" w:line="239" w:lineRule="auto"/>
        <w:rPr>
          <w:sz w:val="20"/>
          <w:szCs w:val="20"/>
          <w:color w:val="auto"/>
        </w:rPr>
      </w:pPr>
      <w:r>
        <w:rPr>
          <w:rFonts w:ascii="Arial" w:cs="Arial" w:eastAsia="Arial" w:hAnsi="Arial"/>
          <w:sz w:val="18"/>
          <w:szCs w:val="18"/>
          <w:color w:val="auto"/>
        </w:rPr>
        <w:t>This category includes the aggregate fees billed by the independent registered certified public accounting firm for fiscal years 2021 and 2022 for audit- 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8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Tax Fees</w:t>
      </w:r>
    </w:p>
    <w:p>
      <w:pPr>
        <w:spacing w:after="0" w:line="119" w:lineRule="exact"/>
        <w:rPr>
          <w:sz w:val="20"/>
          <w:szCs w:val="20"/>
          <w:color w:val="auto"/>
        </w:rPr>
      </w:pPr>
    </w:p>
    <w:p>
      <w:pPr>
        <w:ind w:left="1220" w:right="519"/>
        <w:spacing w:after="0" w:line="252" w:lineRule="auto"/>
        <w:rPr>
          <w:sz w:val="20"/>
          <w:szCs w:val="20"/>
          <w:color w:val="auto"/>
        </w:rPr>
      </w:pPr>
      <w:r>
        <w:rPr>
          <w:rFonts w:ascii="Arial" w:cs="Arial" w:eastAsia="Arial" w:hAnsi="Arial"/>
          <w:sz w:val="18"/>
          <w:szCs w:val="18"/>
          <w:color w:val="auto"/>
        </w:rPr>
        <w:t>This category includes the aggregate fees billed for fiscal years 2021 and 2022 for professional services rendered by the independent registered certified public accounting firm for tax compliance, tax planning and tax advice.</w:t>
      </w:r>
    </w:p>
    <w:p>
      <w:pPr>
        <w:spacing w:after="0" w:line="16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Other Fees</w:t>
      </w:r>
    </w:p>
    <w:p>
      <w:pPr>
        <w:spacing w:after="0" w:line="119" w:lineRule="exact"/>
        <w:rPr>
          <w:sz w:val="20"/>
          <w:szCs w:val="20"/>
          <w:color w:val="auto"/>
        </w:rPr>
      </w:pPr>
    </w:p>
    <w:p>
      <w:pPr>
        <w:jc w:val="both"/>
        <w:ind w:left="1220" w:right="559"/>
        <w:spacing w:after="0" w:line="252" w:lineRule="auto"/>
        <w:rPr>
          <w:sz w:val="20"/>
          <w:szCs w:val="20"/>
          <w:color w:val="auto"/>
        </w:rPr>
      </w:pPr>
      <w:r>
        <w:rPr>
          <w:rFonts w:ascii="Arial" w:cs="Arial" w:eastAsia="Arial" w:hAnsi="Arial"/>
          <w:sz w:val="18"/>
          <w:szCs w:val="18"/>
          <w:color w:val="auto"/>
        </w:rPr>
        <w:t>This category includes the aggregate fees billed for fiscal years 2021 and 2022 for products and services provided by the independent registered certified public accounting firm that are not reported above under “Audit Fees,” “Audit-Related Fees” or “Tax Fees.”</w:t>
      </w:r>
    </w:p>
    <w:p>
      <w:pPr>
        <w:spacing w:after="0" w:line="102" w:lineRule="exact"/>
        <w:rPr>
          <w:sz w:val="20"/>
          <w:szCs w:val="20"/>
          <w:color w:val="auto"/>
        </w:rPr>
      </w:pPr>
    </w:p>
    <w:p>
      <w:pPr>
        <w:ind w:left="1220" w:right="559"/>
        <w:spacing w:after="0" w:line="244" w:lineRule="auto"/>
        <w:rPr>
          <w:sz w:val="20"/>
          <w:szCs w:val="20"/>
          <w:color w:val="auto"/>
        </w:rPr>
      </w:pPr>
      <w:r>
        <w:rPr>
          <w:rFonts w:ascii="Arial" w:cs="Arial" w:eastAsia="Arial" w:hAnsi="Arial"/>
          <w:sz w:val="18"/>
          <w:szCs w:val="18"/>
          <w:color w:val="auto"/>
        </w:rPr>
        <w:t>The Audit Committee considered the compatibility of the non -audit-related services provided by, and fees paid to, MHM in fiscal years 2021 and 2022, as applicable, and to RSM in fiscal year 2022, and determined that such services and fees were compatible with the independence of each auditor.</w:t>
      </w:r>
    </w:p>
    <w:p>
      <w:pPr>
        <w:spacing w:after="0" w:line="111" w:lineRule="exact"/>
        <w:rPr>
          <w:sz w:val="20"/>
          <w:szCs w:val="20"/>
          <w:color w:val="auto"/>
        </w:rPr>
      </w:pPr>
    </w:p>
    <w:p>
      <w:pPr>
        <w:ind w:left="1220" w:right="619"/>
        <w:spacing w:after="0"/>
        <w:rPr>
          <w:sz w:val="20"/>
          <w:szCs w:val="20"/>
          <w:color w:val="auto"/>
        </w:rPr>
      </w:pPr>
      <w:r>
        <w:rPr>
          <w:rFonts w:ascii="Arial" w:cs="Arial" w:eastAsia="Arial" w:hAnsi="Arial"/>
          <w:sz w:val="18"/>
          <w:szCs w:val="18"/>
          <w:color w:val="auto"/>
        </w:rPr>
        <w:t>The Audit Committee is required to pre -approve the audit and non-audit services performed by the independent registered certified public accounting firm in order to assure that the provision of such services does not impair the independent registered certified public accounting firm’s independence. In fiscal years 2021 and 2022, all services associated with the independent registered certified public accounting firms were pre-approved by the Audit Committee or by the Audit Committee Chair pursuant to authority delegated to him as described below.</w:t>
      </w:r>
    </w:p>
    <w:p>
      <w:pPr>
        <w:spacing w:after="0" w:line="320" w:lineRule="exact"/>
        <w:rPr>
          <w:sz w:val="20"/>
          <w:szCs w:val="20"/>
          <w:color w:val="auto"/>
        </w:rPr>
      </w:pPr>
    </w:p>
    <w:p>
      <w:pPr>
        <w:ind w:left="1220" w:right="759"/>
        <w:spacing w:after="0" w:line="258" w:lineRule="auto"/>
        <w:rPr>
          <w:sz w:val="20"/>
          <w:szCs w:val="20"/>
          <w:color w:val="auto"/>
        </w:rPr>
      </w:pPr>
      <w:r>
        <w:rPr>
          <w:rFonts w:ascii="Arial" w:cs="Arial" w:eastAsia="Arial" w:hAnsi="Arial"/>
          <w:sz w:val="18"/>
          <w:szCs w:val="18"/>
          <w:color w:val="auto"/>
        </w:rPr>
        <w:t>Substantially all of MHM personnel, who work under the control of MHM shareholders, are sourced from wholly-owned subsidiaries of CBIZ, Inc.</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Audit Committee Pre-Approval Policy</w:t>
      </w:r>
    </w:p>
    <w:p>
      <w:pPr>
        <w:spacing w:after="0" w:line="119" w:lineRule="exact"/>
        <w:rPr>
          <w:sz w:val="20"/>
          <w:szCs w:val="20"/>
          <w:color w:val="auto"/>
        </w:rPr>
      </w:pPr>
    </w:p>
    <w:p>
      <w:pPr>
        <w:ind w:left="1220" w:right="759"/>
        <w:spacing w:after="0" w:line="252" w:lineRule="auto"/>
        <w:rPr>
          <w:sz w:val="20"/>
          <w:szCs w:val="20"/>
          <w:color w:val="auto"/>
        </w:rPr>
      </w:pPr>
      <w:r>
        <w:rPr>
          <w:rFonts w:ascii="Arial" w:cs="Arial" w:eastAsia="Arial" w:hAnsi="Arial"/>
          <w:sz w:val="18"/>
          <w:szCs w:val="18"/>
          <w:color w:val="auto"/>
        </w:rPr>
        <w:t>The Audit Committee has pre-approved certain audit services, audit-related services and non-audit services to be performed by the independent auditors in its Pre-Approval Policy. Except for the services pre-approved</w:t>
      </w:r>
    </w:p>
    <w:p>
      <w:pPr>
        <w:spacing w:after="0" w:line="34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975"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69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EXTERNAL AUDITOR FEES</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-215900</wp:posOffset>
            </wp:positionV>
            <wp:extent cx="1478915" cy="142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78915" cy="142875"/>
                    </a:xfrm>
                    <a:prstGeom prst="rect">
                      <a:avLst/>
                    </a:prstGeom>
                    <a:noFill/>
                  </pic:spPr>
                </pic:pic>
              </a:graphicData>
            </a:graphic>
          </wp:anchor>
        </w:drawing>
      </w:r>
    </w:p>
    <w:p>
      <w:pPr>
        <w:spacing w:after="0" w:line="112" w:lineRule="exact"/>
        <w:rPr>
          <w:sz w:val="20"/>
          <w:szCs w:val="20"/>
          <w:color w:val="auto"/>
        </w:rPr>
      </w:pPr>
    </w:p>
    <w:p>
      <w:pPr>
        <w:ind w:left="1220" w:right="499"/>
        <w:spacing w:after="0" w:line="250" w:lineRule="auto"/>
        <w:rPr>
          <w:sz w:val="20"/>
          <w:szCs w:val="20"/>
          <w:color w:val="auto"/>
        </w:rPr>
      </w:pPr>
      <w:r>
        <w:rPr>
          <w:rFonts w:ascii="Arial" w:cs="Arial" w:eastAsia="Arial" w:hAnsi="Arial"/>
          <w:sz w:val="18"/>
          <w:szCs w:val="18"/>
          <w:color w:val="auto"/>
        </w:rPr>
        <w:t>pursuant to this policy, all permissible audit services, audit- related services, tax services and non-audit services must be separately pre-approved by the Audit Committee or any member of the Audit Committee to whom such authority is delegated. The Audit Committee has delegated authority to the Audit Committee Chair to pre-approve all such services, except services related to the independent auditor’s annual audit of the Company, which is subject to the specific pre-approval of the Audit Committee. The Audit Committee Chair reports any pre-approval decisions to the Audit Committee for their ratification.</w:t>
      </w:r>
    </w:p>
    <w:p>
      <w:pPr>
        <w:spacing w:after="0" w:line="105" w:lineRule="exact"/>
        <w:rPr>
          <w:sz w:val="20"/>
          <w:szCs w:val="20"/>
          <w:color w:val="auto"/>
        </w:rPr>
      </w:pPr>
    </w:p>
    <w:p>
      <w:pPr>
        <w:ind w:left="1220" w:right="759"/>
        <w:spacing w:after="0" w:line="274" w:lineRule="auto"/>
        <w:rPr>
          <w:sz w:val="20"/>
          <w:szCs w:val="20"/>
          <w:color w:val="auto"/>
        </w:rPr>
      </w:pPr>
      <w:r>
        <w:rPr>
          <w:rFonts w:ascii="Arial" w:cs="Arial" w:eastAsia="Arial" w:hAnsi="Arial"/>
          <w:sz w:val="18"/>
          <w:szCs w:val="18"/>
          <w:color w:val="auto"/>
        </w:rPr>
        <w:t>The Audit Committee does not delegate to management its responsibilities to pre-approve services performed by the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62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FOUR</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4829810</wp:posOffset>
            </wp:positionH>
            <wp:positionV relativeFrom="paragraph">
              <wp:posOffset>-215900</wp:posOffset>
            </wp:positionV>
            <wp:extent cx="1050290" cy="142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50290" cy="142875"/>
                    </a:xfrm>
                    <a:prstGeom prst="rect">
                      <a:avLst/>
                    </a:prstGeom>
                    <a:noFill/>
                  </pic:spPr>
                </pic:pic>
              </a:graphicData>
            </a:graphic>
          </wp:anchor>
        </w:drawing>
      </w:r>
    </w:p>
    <w:p>
      <w:pPr>
        <w:spacing w:after="0" w:line="101" w:lineRule="exact"/>
        <w:rPr>
          <w:sz w:val="20"/>
          <w:szCs w:val="20"/>
          <w:color w:val="auto"/>
        </w:rPr>
      </w:pPr>
    </w:p>
    <w:p>
      <w:pPr>
        <w:ind w:left="1220" w:right="1059"/>
        <w:spacing w:after="0" w:line="286" w:lineRule="auto"/>
        <w:rPr>
          <w:sz w:val="20"/>
          <w:szCs w:val="20"/>
          <w:color w:val="auto"/>
        </w:rPr>
      </w:pPr>
      <w:r>
        <w:rPr>
          <w:rFonts w:ascii="Arial" w:cs="Arial" w:eastAsia="Arial" w:hAnsi="Arial"/>
          <w:sz w:val="21"/>
          <w:szCs w:val="21"/>
          <w:b w:val="1"/>
          <w:bCs w:val="1"/>
          <w:color w:val="auto"/>
        </w:rPr>
        <w:t xml:space="preserve">Proposal Four: Appointment of the Supervisory Auditor </w:t>
      </w:r>
      <w:r>
        <w:rPr>
          <w:rFonts w:ascii="Arial" w:cs="Arial" w:eastAsia="Arial" w:hAnsi="Arial"/>
          <w:sz w:val="21"/>
          <w:szCs w:val="21"/>
          <w:b w:val="1"/>
          <w:bCs w:val="1"/>
          <w:i w:val="1"/>
          <w:iCs w:val="1"/>
          <w:color w:val="auto"/>
        </w:rPr>
        <w:t>(Commissaire aux</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Comptes)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51098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17" w:lineRule="exact"/>
        <w:rPr>
          <w:sz w:val="20"/>
          <w:szCs w:val="20"/>
          <w:color w:val="auto"/>
        </w:rPr>
      </w:pPr>
    </w:p>
    <w:p>
      <w:pPr>
        <w:ind w:left="1220" w:right="639"/>
        <w:spacing w:after="0" w:line="256" w:lineRule="auto"/>
        <w:rPr>
          <w:sz w:val="20"/>
          <w:szCs w:val="20"/>
          <w:color w:val="auto"/>
        </w:rPr>
      </w:pPr>
      <w:r>
        <w:rPr>
          <w:rFonts w:ascii="Arial" w:cs="Arial" w:eastAsia="Arial" w:hAnsi="Arial"/>
          <w:sz w:val="18"/>
          <w:szCs w:val="18"/>
          <w:color w:val="auto"/>
        </w:rPr>
        <w:t>Under the Luxembourg Law of 10 August 1915 on commercial companies, as amended (the “Luxembourg Company Law”), we are required to submit both consolidated and unconsolidated annual accounts for Altisource Portfolio Solutions S.A. for approval by our shareholders.</w:t>
      </w:r>
    </w:p>
    <w:p>
      <w:pPr>
        <w:spacing w:after="0" w:line="317" w:lineRule="exact"/>
        <w:rPr>
          <w:sz w:val="20"/>
          <w:szCs w:val="20"/>
          <w:color w:val="auto"/>
        </w:rPr>
      </w:pPr>
    </w:p>
    <w:p>
      <w:pPr>
        <w:ind w:left="1220" w:right="599"/>
        <w:spacing w:after="0" w:line="249" w:lineRule="auto"/>
        <w:rPr>
          <w:sz w:val="20"/>
          <w:szCs w:val="20"/>
          <w:color w:val="auto"/>
        </w:rPr>
      </w:pPr>
      <w:r>
        <w:rPr>
          <w:rFonts w:ascii="Arial" w:cs="Arial" w:eastAsia="Arial" w:hAnsi="Arial"/>
          <w:sz w:val="18"/>
          <w:szCs w:val="18"/>
          <w:color w:val="auto"/>
        </w:rPr>
        <w:t>Further, we are required to appoint a supervisory auditor to report on Altisource Portfolio Solutions S.A.’s unconsolidated annual accounts prepared in accordance with Luxembourg GAAP (the “Luxembourg Annual Accounts”). The supervisory auditor does not audit the Company’s Luxembourg Annual Accounts, but provides an annual report confirming that the Company’s unconsolidated accounts agree with the accounting records and documents of the Company. The supervisory auditor may be a member of the Company’s management (who is not a member of the Board of Directors) or a third party, and may be appointed for a renewable term of up to six (6) years.</w:t>
      </w:r>
    </w:p>
    <w:p>
      <w:pPr>
        <w:spacing w:after="0" w:line="122" w:lineRule="exact"/>
        <w:rPr>
          <w:sz w:val="20"/>
          <w:szCs w:val="20"/>
          <w:color w:val="auto"/>
        </w:rPr>
      </w:pPr>
    </w:p>
    <w:p>
      <w:pPr>
        <w:ind w:left="1220" w:right="559"/>
        <w:spacing w:after="0" w:line="251" w:lineRule="auto"/>
        <w:rPr>
          <w:sz w:val="20"/>
          <w:szCs w:val="20"/>
          <w:color w:val="auto"/>
        </w:rPr>
      </w:pPr>
      <w:r>
        <w:rPr>
          <w:rFonts w:ascii="Arial" w:cs="Arial" w:eastAsia="Arial" w:hAnsi="Arial"/>
          <w:sz w:val="18"/>
          <w:szCs w:val="18"/>
          <w:color w:val="auto"/>
        </w:rPr>
        <w:t>Based on the foregoing, our Board of Directors has recommended the appointment of Michelle D. Esterman, Chief Financial Officer of the Company, to be our supervisory auditor for the Luxembourg Annual Accounts until the Company’s 2029 annual meeting of shareholders or until her successor is duly elected and qualified. The Board of Directors has further recommended that such appointment be submitted for approval by our shareholders at the Annual Meeting.</w:t>
      </w:r>
    </w:p>
    <w:p>
      <w:pPr>
        <w:spacing w:after="0" w:line="334" w:lineRule="exact"/>
        <w:rPr>
          <w:sz w:val="20"/>
          <w:szCs w:val="20"/>
          <w:color w:val="auto"/>
        </w:rPr>
      </w:pPr>
    </w:p>
    <w:p>
      <w:pPr>
        <w:ind w:left="1220" w:right="1059"/>
        <w:spacing w:after="0" w:line="274" w:lineRule="auto"/>
        <w:rPr>
          <w:sz w:val="20"/>
          <w:szCs w:val="20"/>
          <w:color w:val="auto"/>
        </w:rPr>
      </w:pPr>
      <w:r>
        <w:rPr>
          <w:rFonts w:ascii="Arial" w:cs="Arial" w:eastAsia="Arial" w:hAnsi="Arial"/>
          <w:sz w:val="18"/>
          <w:szCs w:val="18"/>
          <w:color w:val="auto"/>
        </w:rPr>
        <w:t>Ms. Esterman will be present at the Annual Meeting and will be available to respond to questions from shareholders.</w:t>
      </w:r>
    </w:p>
    <w:p>
      <w:pPr>
        <w:spacing w:after="0" w:line="161" w:lineRule="exact"/>
        <w:rPr>
          <w:sz w:val="20"/>
          <w:szCs w:val="20"/>
          <w:color w:val="auto"/>
        </w:rPr>
      </w:pPr>
    </w:p>
    <w:p>
      <w:pPr>
        <w:jc w:val="center"/>
        <w:ind w:left="1800" w:right="440"/>
        <w:spacing w:after="0" w:line="271" w:lineRule="auto"/>
        <w:rPr>
          <w:sz w:val="20"/>
          <w:szCs w:val="20"/>
          <w:color w:val="auto"/>
        </w:rPr>
      </w:pPr>
      <w:r>
        <w:rPr>
          <w:rFonts w:ascii="Arial" w:cs="Arial" w:eastAsia="Arial" w:hAnsi="Arial"/>
          <w:sz w:val="17"/>
          <w:szCs w:val="17"/>
          <w:b w:val="1"/>
          <w:bCs w:val="1"/>
          <w:color w:val="auto"/>
        </w:rPr>
        <w:t xml:space="preserve">OUR BOARD OF DIRECTORS UNANIMOUSLY RECOMMENDS THAT YOU VOTE “FOR” THE APPOINTMENT OF MICHELLE D. ESTERMAN, CHIEF FINANCIAL OFFICER OF THE COMPANY, TO BE OUR SUPERVISORY AUDITOR </w:t>
      </w:r>
      <w:r>
        <w:rPr>
          <w:rFonts w:ascii="Arial" w:cs="Arial" w:eastAsia="Arial" w:hAnsi="Arial"/>
          <w:sz w:val="17"/>
          <w:szCs w:val="17"/>
          <w:b w:val="1"/>
          <w:bCs w:val="1"/>
          <w:i w:val="1"/>
          <w:iCs w:val="1"/>
          <w:color w:val="auto"/>
        </w:rPr>
        <w:t>(COMMISSAIRE AUX COMPTES)</w:t>
      </w:r>
      <w:r>
        <w:rPr>
          <w:rFonts w:ascii="Arial" w:cs="Arial" w:eastAsia="Arial" w:hAnsi="Arial"/>
          <w:sz w:val="17"/>
          <w:szCs w:val="17"/>
          <w:b w:val="1"/>
          <w:bCs w:val="1"/>
          <w:color w:val="auto"/>
        </w:rPr>
        <w:t xml:space="preserve"> TO REPORT ON THE LUXEMBOURG ANNUAL ACCOUNTS FOR THE YEAR ENDING DECEMBER 31, 2023 AND UNTIL THE COMPANY’S 2029 ANNUAL MEETING OF SHAREHOLDERS OR UNTIL HER SUCCESSOR IS DULY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72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FIVE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-215900</wp:posOffset>
            </wp:positionV>
            <wp:extent cx="982980" cy="142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82980" cy="142875"/>
                    </a:xfrm>
                    <a:prstGeom prst="rect">
                      <a:avLst/>
                    </a:prstGeom>
                    <a:noFill/>
                  </pic:spPr>
                </pic:pic>
              </a:graphicData>
            </a:graphic>
          </wp:anchor>
        </w:drawing>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Proposal Five: Approval of the Company’s Luxembourg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ind w:left="1220" w:right="1159"/>
        <w:spacing w:after="0" w:line="259" w:lineRule="auto"/>
        <w:rPr>
          <w:sz w:val="20"/>
          <w:szCs w:val="20"/>
          <w:color w:val="auto"/>
        </w:rPr>
      </w:pPr>
      <w:r>
        <w:rPr>
          <w:rFonts w:ascii="Arial" w:cs="Arial" w:eastAsia="Arial" w:hAnsi="Arial"/>
          <w:sz w:val="18"/>
          <w:szCs w:val="18"/>
          <w:color w:val="auto"/>
        </w:rPr>
        <w:t>Pursuant to Luxembourg law, the Luxembourg Annual Accounts and the Consolidated Accounts (the “Luxembourg Statutory Accounts”) must be submitted each year to shareholders for approval at the Annual Meeting.</w:t>
      </w:r>
    </w:p>
    <w:p>
      <w:pPr>
        <w:spacing w:after="0" w:line="111" w:lineRule="exact"/>
        <w:rPr>
          <w:sz w:val="20"/>
          <w:szCs w:val="20"/>
          <w:color w:val="auto"/>
        </w:rPr>
      </w:pPr>
    </w:p>
    <w:p>
      <w:pPr>
        <w:ind w:left="1220" w:right="499"/>
        <w:spacing w:after="0" w:line="248" w:lineRule="auto"/>
        <w:rPr>
          <w:sz w:val="20"/>
          <w:szCs w:val="20"/>
          <w:color w:val="auto"/>
        </w:rPr>
      </w:pPr>
      <w:r>
        <w:rPr>
          <w:rFonts w:ascii="Arial" w:cs="Arial" w:eastAsia="Arial" w:hAnsi="Arial"/>
          <w:sz w:val="18"/>
          <w:szCs w:val="18"/>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2022 reflect total assets of $1,133.4 million and a loss for the year then ended of $11.0 million.</w:t>
      </w:r>
    </w:p>
    <w:p>
      <w:pPr>
        <w:spacing w:after="0" w:line="325" w:lineRule="exact"/>
        <w:rPr>
          <w:sz w:val="20"/>
          <w:szCs w:val="20"/>
          <w:color w:val="auto"/>
        </w:rPr>
      </w:pPr>
    </w:p>
    <w:p>
      <w:pPr>
        <w:ind w:left="1220" w:right="539"/>
        <w:spacing w:after="0" w:line="251" w:lineRule="auto"/>
        <w:rPr>
          <w:sz w:val="20"/>
          <w:szCs w:val="20"/>
          <w:color w:val="auto"/>
        </w:rPr>
      </w:pPr>
      <w:r>
        <w:rPr>
          <w:rFonts w:ascii="Arial" w:cs="Arial" w:eastAsia="Arial" w:hAnsi="Arial"/>
          <w:sz w:val="18"/>
          <w:szCs w:val="18"/>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2022, the Consolidated Accounts reflect total deficit of $118.2 million and net loss for the year then ended of $54.5 million.</w:t>
      </w:r>
    </w:p>
    <w:p>
      <w:pPr>
        <w:spacing w:after="0" w:line="117" w:lineRule="exact"/>
        <w:rPr>
          <w:sz w:val="20"/>
          <w:szCs w:val="20"/>
          <w:color w:val="auto"/>
        </w:rPr>
      </w:pPr>
    </w:p>
    <w:p>
      <w:pPr>
        <w:ind w:left="1220" w:right="539"/>
        <w:spacing w:after="0" w:line="255" w:lineRule="auto"/>
        <w:rPr>
          <w:sz w:val="20"/>
          <w:szCs w:val="20"/>
          <w:color w:val="auto"/>
        </w:rPr>
      </w:pPr>
      <w:r>
        <w:rPr>
          <w:rFonts w:ascii="Arial" w:cs="Arial" w:eastAsia="Arial" w:hAnsi="Arial"/>
          <w:sz w:val="18"/>
          <w:szCs w:val="18"/>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13" w:lineRule="exact"/>
        <w:rPr>
          <w:sz w:val="20"/>
          <w:szCs w:val="20"/>
          <w:color w:val="auto"/>
        </w:rPr>
      </w:pPr>
    </w:p>
    <w:p>
      <w:pPr>
        <w:ind w:left="1220" w:right="579"/>
        <w:spacing w:after="0" w:line="255" w:lineRule="auto"/>
        <w:rPr>
          <w:sz w:val="20"/>
          <w:szCs w:val="20"/>
          <w:color w:val="auto"/>
        </w:rPr>
      </w:pPr>
      <w:r>
        <w:rPr>
          <w:rFonts w:ascii="Arial" w:cs="Arial" w:eastAsia="Arial" w:hAnsi="Arial"/>
          <w:sz w:val="18"/>
          <w:szCs w:val="18"/>
          <w:color w:val="auto"/>
        </w:rPr>
        <w:t>Altisource’s Luxembourg Statutory Accounts will be available to shareholders at Altisource’s registered office, during business hours, by appointment, subject to location limitations, if any, that may be imposed by the Luxembourg government, from May 2, 2023 until the conclusion of the Annual Meeting.</w:t>
      </w:r>
    </w:p>
    <w:p>
      <w:pPr>
        <w:spacing w:after="0" w:line="17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OUR BOARD OF DIRECTORS UNANIMOUSLY RECOMMENDS THAT YOU VOTE “FOR”</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APPROVAL OF THE LUXEMBOURG STATUTORY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82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SIX</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4956175</wp:posOffset>
            </wp:positionH>
            <wp:positionV relativeFrom="paragraph">
              <wp:posOffset>-215900</wp:posOffset>
            </wp:positionV>
            <wp:extent cx="924560" cy="142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24560" cy="142875"/>
                    </a:xfrm>
                    <a:prstGeom prst="rect">
                      <a:avLst/>
                    </a:prstGeom>
                    <a:noFill/>
                  </pic:spPr>
                </pic:pic>
              </a:graphicData>
            </a:graphic>
          </wp:anchor>
        </w:drawing>
      </w:r>
    </w:p>
    <w:p>
      <w:pPr>
        <w:spacing w:after="0" w:line="101" w:lineRule="exact"/>
        <w:rPr>
          <w:sz w:val="20"/>
          <w:szCs w:val="20"/>
          <w:color w:val="auto"/>
        </w:rPr>
      </w:pPr>
    </w:p>
    <w:p>
      <w:pPr>
        <w:ind w:left="1220" w:right="1079"/>
        <w:spacing w:after="0" w:line="268" w:lineRule="auto"/>
        <w:rPr>
          <w:sz w:val="20"/>
          <w:szCs w:val="20"/>
          <w:color w:val="auto"/>
        </w:rPr>
      </w:pPr>
      <w:r>
        <w:rPr>
          <w:rFonts w:ascii="Arial" w:cs="Arial" w:eastAsia="Arial" w:hAnsi="Arial"/>
          <w:sz w:val="21"/>
          <w:szCs w:val="21"/>
          <w:b w:val="1"/>
          <w:bCs w:val="1"/>
          <w:color w:val="auto"/>
        </w:rPr>
        <w:t>Proposal Six: Receipt and Approval of the Directors’ Report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-7620</wp:posOffset>
            </wp:positionV>
            <wp:extent cx="51098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22" w:lineRule="exact"/>
        <w:rPr>
          <w:sz w:val="20"/>
          <w:szCs w:val="20"/>
          <w:color w:val="auto"/>
        </w:rPr>
      </w:pPr>
    </w:p>
    <w:p>
      <w:pPr>
        <w:ind w:left="1220" w:right="559"/>
        <w:spacing w:after="0" w:line="252" w:lineRule="auto"/>
        <w:rPr>
          <w:sz w:val="20"/>
          <w:szCs w:val="20"/>
          <w:color w:val="auto"/>
        </w:rPr>
      </w:pPr>
      <w:r>
        <w:rPr>
          <w:rFonts w:ascii="Arial" w:cs="Arial" w:eastAsia="Arial" w:hAnsi="Arial"/>
          <w:sz w:val="18"/>
          <w:szCs w:val="18"/>
          <w:color w:val="auto"/>
        </w:rPr>
        <w:t>Under Luxembourg law, the Board of Directors is required to prepare an annual Directors’ report for the Luxembourg Statutory Accounts (the “Directors’ Report”). The Directors’ Report presents the Luxembourg Statutory Accounts for the relevant fiscal year, provides an explanation as to the results and certain other required Company matters and proposes the allocation of such results to the shareholders.</w:t>
      </w:r>
    </w:p>
    <w:p>
      <w:pPr>
        <w:spacing w:after="0" w:line="118" w:lineRule="exact"/>
        <w:rPr>
          <w:sz w:val="20"/>
          <w:szCs w:val="20"/>
          <w:color w:val="auto"/>
        </w:rPr>
      </w:pPr>
    </w:p>
    <w:p>
      <w:pPr>
        <w:ind w:left="1220" w:right="579"/>
        <w:spacing w:after="0" w:line="259" w:lineRule="auto"/>
        <w:rPr>
          <w:sz w:val="20"/>
          <w:szCs w:val="20"/>
          <w:color w:val="auto"/>
        </w:rPr>
      </w:pPr>
      <w:r>
        <w:rPr>
          <w:rFonts w:ascii="Arial" w:cs="Arial" w:eastAsia="Arial" w:hAnsi="Arial"/>
          <w:sz w:val="18"/>
          <w:szCs w:val="18"/>
          <w:color w:val="auto"/>
        </w:rPr>
        <w:t xml:space="preserve">Luxembourg law also requires the Company’s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to provide an annual report confirming that the Company’s Luxembourg Annual Accounts agree with the accounting records and documents of the Company.</w:t>
      </w:r>
    </w:p>
    <w:p>
      <w:pPr>
        <w:spacing w:after="0" w:line="111" w:lineRule="exact"/>
        <w:rPr>
          <w:sz w:val="20"/>
          <w:szCs w:val="20"/>
          <w:color w:val="auto"/>
        </w:rPr>
      </w:pPr>
    </w:p>
    <w:p>
      <w:pPr>
        <w:ind w:left="1220" w:right="619"/>
        <w:spacing w:after="0" w:line="250" w:lineRule="auto"/>
        <w:rPr>
          <w:sz w:val="20"/>
          <w:szCs w:val="20"/>
          <w:color w:val="auto"/>
        </w:rPr>
      </w:pPr>
      <w:r>
        <w:rPr>
          <w:rFonts w:ascii="Arial" w:cs="Arial" w:eastAsia="Arial" w:hAnsi="Arial"/>
          <w:sz w:val="18"/>
          <w:szCs w:val="18"/>
          <w:color w:val="auto"/>
        </w:rPr>
        <w:t>The Directors’ Report for the year ended December 31, 2022 and the report of the supervisory auditor for the Luxembourg Annual Accounts for the same period will be available to shareholders at Altisource’s registered office, during business hours, by appointment, subject to location limitations, if any, that may be imposed by the Luxembourg government, from May 2, 2023 until the conclusion of the Annual Meeting. Following shareholder approval of the Luxembourg Statutory Accounts, these reports will be filed with the Luxembourg trade registry as public documents.</w:t>
      </w:r>
    </w:p>
    <w:p>
      <w:pPr>
        <w:spacing w:after="0" w:line="398"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THAT YOU VOTE “FOR” THE RECEIPT AND APPROVAL OF THE DIRECTORS’ REPORT FOR</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THE</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LUXEMBOURG STATUTORY ACCOUNTS FOR THE YEAR ENDED DECEMBER 31, 2022 AND</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THE RECEIPT</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 xml:space="preserve">OF THE REPORT OF THE SUPERVISORY AUDITOR </w:t>
      </w:r>
      <w:r>
        <w:rPr>
          <w:rFonts w:ascii="Arial" w:cs="Arial" w:eastAsia="Arial" w:hAnsi="Arial"/>
          <w:sz w:val="18"/>
          <w:szCs w:val="18"/>
          <w:b w:val="1"/>
          <w:bCs w:val="1"/>
          <w:i w:val="1"/>
          <w:iCs w:val="1"/>
          <w:color w:val="auto"/>
        </w:rPr>
        <w:t>(COMMISSAIRE AUX COMPTES)</w:t>
      </w:r>
      <w:r>
        <w:rPr>
          <w:rFonts w:ascii="Arial" w:cs="Arial" w:eastAsia="Arial" w:hAnsi="Arial"/>
          <w:sz w:val="18"/>
          <w:szCs w:val="18"/>
          <w:b w:val="1"/>
          <w:bCs w:val="1"/>
          <w:color w:val="auto"/>
        </w:rPr>
        <w:t xml:space="preserve"> FOR THE</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LUXEMBOURG</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ANNUAL ACCOUNTS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5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SEVEN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-215900</wp:posOffset>
            </wp:positionV>
            <wp:extent cx="1101090" cy="142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01090" cy="142875"/>
                    </a:xfrm>
                    <a:prstGeom prst="rect">
                      <a:avLst/>
                    </a:prstGeom>
                    <a:noFill/>
                  </pic:spPr>
                </pic:pic>
              </a:graphicData>
            </a:graphic>
          </wp:anchor>
        </w:drawing>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Proposal Seven: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ind w:left="1220" w:right="599"/>
        <w:spacing w:after="0" w:line="259" w:lineRule="auto"/>
        <w:rPr>
          <w:sz w:val="20"/>
          <w:szCs w:val="20"/>
          <w:color w:val="auto"/>
        </w:rPr>
      </w:pPr>
      <w:r>
        <w:rPr>
          <w:rFonts w:ascii="Arial" w:cs="Arial" w:eastAsia="Arial" w:hAnsi="Arial"/>
          <w:sz w:val="18"/>
          <w:szCs w:val="18"/>
          <w:color w:val="auto"/>
        </w:rPr>
        <w:t>Each year, the shareholders of Altisource are required to approve the allocation of the results of the unconsolidated Altisource Portfolio Solutions S.A. entity, as determined by the Luxembourg Annual Accounts.</w:t>
      </w:r>
    </w:p>
    <w:p>
      <w:pPr>
        <w:spacing w:after="0" w:line="111" w:lineRule="exact"/>
        <w:rPr>
          <w:sz w:val="20"/>
          <w:szCs w:val="20"/>
          <w:color w:val="auto"/>
        </w:rPr>
      </w:pPr>
    </w:p>
    <w:p>
      <w:pPr>
        <w:ind w:left="1220" w:right="559"/>
        <w:spacing w:after="0" w:line="251" w:lineRule="auto"/>
        <w:rPr>
          <w:sz w:val="20"/>
          <w:szCs w:val="20"/>
          <w:color w:val="auto"/>
        </w:rPr>
      </w:pPr>
      <w:r>
        <w:rPr>
          <w:rFonts w:ascii="Arial" w:cs="Arial" w:eastAsia="Arial" w:hAnsi="Arial"/>
          <w:sz w:val="18"/>
          <w:szCs w:val="18"/>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2022, no such allocation is required.</w:t>
      </w:r>
    </w:p>
    <w:p>
      <w:pPr>
        <w:spacing w:after="0" w:line="104" w:lineRule="exact"/>
        <w:rPr>
          <w:sz w:val="20"/>
          <w:szCs w:val="20"/>
          <w:color w:val="auto"/>
        </w:rPr>
      </w:pPr>
    </w:p>
    <w:p>
      <w:pPr>
        <w:ind w:left="1220" w:right="559"/>
        <w:spacing w:after="0" w:line="252" w:lineRule="auto"/>
        <w:rPr>
          <w:sz w:val="20"/>
          <w:szCs w:val="20"/>
          <w:color w:val="auto"/>
        </w:rPr>
      </w:pPr>
      <w:r>
        <w:rPr>
          <w:rFonts w:ascii="Arial" w:cs="Arial" w:eastAsia="Arial" w:hAnsi="Arial"/>
          <w:sz w:val="18"/>
          <w:szCs w:val="18"/>
          <w:color w:val="auto"/>
        </w:rPr>
        <w:t>As of December 31, 2021, the Luxembourg Annual Accounts for Altisource reflect total assets of $1,133.4 million and a loss for the year then ended of $11.0 million. As noted in Proposal Five, profits earned by subsidiaries of Altisource are not included in the calculation of net profits for Altisource’s Luxembourg Annual Accounts unless such profits have been distributed to Altisource Portfolio Solutions S.A.</w:t>
      </w:r>
    </w:p>
    <w:p>
      <w:pPr>
        <w:spacing w:after="0" w:line="118" w:lineRule="exact"/>
        <w:rPr>
          <w:sz w:val="20"/>
          <w:szCs w:val="20"/>
          <w:color w:val="auto"/>
        </w:rPr>
      </w:pPr>
    </w:p>
    <w:p>
      <w:pPr>
        <w:ind w:left="1220" w:right="1299"/>
        <w:spacing w:after="0" w:line="274" w:lineRule="auto"/>
        <w:rPr>
          <w:sz w:val="20"/>
          <w:szCs w:val="20"/>
          <w:color w:val="auto"/>
        </w:rPr>
      </w:pPr>
      <w:r>
        <w:rPr>
          <w:rFonts w:ascii="Arial" w:cs="Arial" w:eastAsia="Arial" w:hAnsi="Arial"/>
          <w:sz w:val="18"/>
          <w:szCs w:val="18"/>
          <w:color w:val="auto"/>
        </w:rPr>
        <w:t>The Board of Directors proposes to allocate the loss of $11.0 million reflected in the Luxembourg Annual Accounts to reduce profit brought forward.</w:t>
      </w:r>
    </w:p>
    <w:p>
      <w:pPr>
        <w:spacing w:after="0" w:line="161"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THAT YOU VOTE “FOR” THE ALLOCATION OF THE RESULTS IN THE LUXEMBOURG</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ANNUAL ACCOUNTS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58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EIGHT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Proposal Eight: Discharge of the Directors and the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ind w:left="1220" w:right="539"/>
        <w:spacing w:after="0" w:line="248" w:lineRule="auto"/>
        <w:rPr>
          <w:sz w:val="20"/>
          <w:szCs w:val="20"/>
          <w:color w:val="auto"/>
        </w:rPr>
      </w:pPr>
      <w:r>
        <w:rPr>
          <w:rFonts w:ascii="Arial" w:cs="Arial" w:eastAsia="Arial" w:hAnsi="Arial"/>
          <w:sz w:val="18"/>
          <w:szCs w:val="18"/>
          <w:color w:val="auto"/>
        </w:rPr>
        <w:t xml:space="preserve">Pursuant to Luxembourg law, after the approval of the Luxembourg Statutory Accounts (as discussed in Proposal Five above), shareholders must vote on whether to discharge Altisource’s Directors for the performance of their mandate for the year ended December 31, 2022 and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2022, Altisource believes no such instances have occurred.</w:t>
      </w:r>
    </w:p>
    <w:p>
      <w:pPr>
        <w:spacing w:after="0" w:line="200" w:lineRule="exact"/>
        <w:rPr>
          <w:sz w:val="20"/>
          <w:szCs w:val="20"/>
          <w:color w:val="auto"/>
        </w:rPr>
      </w:pPr>
    </w:p>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THAT YOU VOTE “FOR” THE DISCHARGE OF EACH OF THE DIRECTORS OF ALTISOURCE</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PORTFOLIO</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SOLUTIONS S.A. FOR THE PERFORMANCE OF THEIR MANDATE FOR THE YEAR ENDED</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DECEMBER 31, 2022</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7"/>
          <w:szCs w:val="17"/>
          <w:b w:val="1"/>
          <w:bCs w:val="1"/>
          <w:color w:val="auto"/>
        </w:rPr>
        <w:t xml:space="preserve">AND THE DISCHARGE OF THE SUPERVISORY AUDITOR </w:t>
      </w:r>
      <w:r>
        <w:rPr>
          <w:rFonts w:ascii="Arial" w:cs="Arial" w:eastAsia="Arial" w:hAnsi="Arial"/>
          <w:sz w:val="17"/>
          <w:szCs w:val="17"/>
          <w:b w:val="1"/>
          <w:bCs w:val="1"/>
          <w:i w:val="1"/>
          <w:iCs w:val="1"/>
          <w:color w:val="auto"/>
        </w:rPr>
        <w:t>(COMMISSAIRE AUX COMPTES)</w:t>
      </w:r>
      <w:r>
        <w:rPr>
          <w:rFonts w:ascii="Arial" w:cs="Arial" w:eastAsia="Arial" w:hAnsi="Arial"/>
          <w:sz w:val="17"/>
          <w:szCs w:val="17"/>
          <w:b w:val="1"/>
          <w:bCs w:val="1"/>
          <w:color w:val="auto"/>
        </w:rPr>
        <w:t xml:space="preserve"> FOR</w:t>
      </w:r>
    </w:p>
    <w:p>
      <w:pPr>
        <w:spacing w:after="0" w:line="16"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THE</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PERFORMANCE OF HER MANDATE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7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NINE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4880610</wp:posOffset>
            </wp:positionH>
            <wp:positionV relativeFrom="paragraph">
              <wp:posOffset>-215900</wp:posOffset>
            </wp:positionV>
            <wp:extent cx="1000125" cy="142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00125" cy="142875"/>
                    </a:xfrm>
                    <a:prstGeom prst="rect">
                      <a:avLst/>
                    </a:prstGeom>
                    <a:noFill/>
                  </pic:spPr>
                </pic:pic>
              </a:graphicData>
            </a:graphic>
          </wp:anchor>
        </w:drawing>
      </w:r>
    </w:p>
    <w:p>
      <w:pPr>
        <w:spacing w:after="0" w:line="101" w:lineRule="exact"/>
        <w:rPr>
          <w:sz w:val="20"/>
          <w:szCs w:val="20"/>
          <w:color w:val="auto"/>
        </w:rPr>
      </w:pPr>
    </w:p>
    <w:p>
      <w:pPr>
        <w:ind w:left="1220" w:right="539"/>
        <w:spacing w:after="0" w:line="286" w:lineRule="auto"/>
        <w:rPr>
          <w:sz w:val="20"/>
          <w:szCs w:val="20"/>
          <w:color w:val="auto"/>
        </w:rPr>
      </w:pPr>
      <w:r>
        <w:rPr>
          <w:rFonts w:ascii="Arial" w:cs="Arial" w:eastAsia="Arial" w:hAnsi="Arial"/>
          <w:sz w:val="21"/>
          <w:szCs w:val="21"/>
          <w:b w:val="1"/>
          <w:bCs w:val="1"/>
          <w:color w:val="auto"/>
        </w:rPr>
        <w:t>Proposal Nine: Approve the Renewal and Amendment of our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51098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17" w:lineRule="exact"/>
        <w:rPr>
          <w:sz w:val="20"/>
          <w:szCs w:val="20"/>
          <w:color w:val="auto"/>
        </w:rPr>
      </w:pPr>
    </w:p>
    <w:p>
      <w:pPr>
        <w:ind w:left="1220" w:right="579"/>
        <w:spacing w:after="0" w:line="247" w:lineRule="auto"/>
        <w:rPr>
          <w:sz w:val="20"/>
          <w:szCs w:val="20"/>
          <w:color w:val="auto"/>
        </w:rPr>
      </w:pPr>
      <w:r>
        <w:rPr>
          <w:rFonts w:ascii="Arial" w:cs="Arial" w:eastAsia="Arial" w:hAnsi="Arial"/>
          <w:sz w:val="18"/>
          <w:szCs w:val="18"/>
          <w:color w:val="auto"/>
        </w:rPr>
        <w:t>At our 2018 annual meeting of shareholders, our shareholders approved renewing our share repurchase program authorizing the repurchase of up to twenty-five percent (25%) of the outstanding shares of the Company’s common stock as of the close of business on the date of shareholder approval (the “Share Repurchase Program”). Under that program, shares are eligible for repurchase at a minimum price of one dollar ($1.00) per share and a maximum price of five hundred ($500.00) per share, with the maximum price to be adjusted for any stock splits and reverse stock splits. As of March 24, 2023, [                               ] shares of common stock remain available for repurchase under our Share Repurchase Program, with the last share repurchase under the program occurring in 2019 (other than forfeited employee shares to pay taxes on exercised equity awards, as applicable). The Board of Directors has approved renewing and amending our Share Repurchase Program such that the Board of Directors is empowered to continue to purchase outstanding shares of the Company’s stock within the following limits.</w:t>
      </w:r>
    </w:p>
    <w:p>
      <w:pPr>
        <w:spacing w:after="0" w:line="3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Share Repurchase Program will continue to be subject to the terms of our senior</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secured term loan and Luxembourg law and provides for the equal treatment of</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shareholders. The term of authorization for repurchases will be five (5) years from the date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of the Annual Meeting. The maximum number of shares authorized to be repurchased will be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fifteen percent (15%) of shares outstanding as of the close of business on the date of the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Annual Meeting. Shares will be eligible for repurchase at a minimum price of one dollar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($1.00) per share and a maximum price of twenty-five dollars ($25.00) per share, with the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maximum price to be adjusted for any stock splits and reverse stock splits. The purchase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volumes will be subject to daily volume restrictions per SEC regulations and contractual</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limitations, if any. The Company’s current senior secured term loan does not permit the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repurchase of shares by the Company, except for certain limited repurchases of executive 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employee shares as provided under the Term Loan Amendment. The Board of Directors shall</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be empowered to authorize the Managing Executive Officer </w:t>
      </w:r>
      <w:r>
        <w:rPr>
          <w:rFonts w:ascii="Arial" w:cs="Arial" w:eastAsia="Arial" w:hAnsi="Arial"/>
          <w:sz w:val="18"/>
          <w:szCs w:val="18"/>
          <w:i w:val="1"/>
          <w:iCs w:val="1"/>
          <w:color w:val="auto"/>
        </w:rPr>
        <w:t>(administrateur délégué)</w:t>
      </w:r>
      <w:r>
        <w:rPr>
          <w:rFonts w:ascii="Arial" w:cs="Arial" w:eastAsia="Arial" w:hAnsi="Arial"/>
          <w:sz w:val="18"/>
          <w:szCs w:val="18"/>
          <w:color w:val="auto"/>
        </w:rPr>
        <w:t xml:space="preserve"> of the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Company, with power of substitution, to decide, within the limits of the authorization set out</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above, the timing and conditions of the share repurchases under the Share Repurchase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Program. The authority granted under the Share Repurchase Program shall apply to all</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classes of shares authorized pursuant to our Articles of Incorporation.</w:t>
      </w:r>
    </w:p>
    <w:p>
      <w:pPr>
        <w:spacing w:after="0" w:line="134" w:lineRule="exact"/>
        <w:rPr>
          <w:sz w:val="20"/>
          <w:szCs w:val="20"/>
          <w:color w:val="auto"/>
        </w:rPr>
      </w:pPr>
    </w:p>
    <w:p>
      <w:pPr>
        <w:ind w:left="1220" w:right="679"/>
        <w:spacing w:after="0" w:line="255" w:lineRule="auto"/>
        <w:rPr>
          <w:sz w:val="20"/>
          <w:szCs w:val="20"/>
          <w:color w:val="auto"/>
        </w:rPr>
      </w:pPr>
      <w:r>
        <w:rPr>
          <w:rFonts w:ascii="Arial" w:cs="Arial" w:eastAsia="Arial" w:hAnsi="Arial"/>
          <w:sz w:val="18"/>
          <w:szCs w:val="18"/>
          <w:color w:val="auto"/>
        </w:rPr>
        <w:t>The Board of Directors believes the Share Repurchase Program could provide flexibility for Altisource to be opportunistic in repurchasing shares. Additionally, the Board of Directors believes the Share Repurchase Program will assist in offsetting shareholder dilution resulting from periodic grants of equity incentive awards.</w:t>
      </w:r>
    </w:p>
    <w:p>
      <w:pPr>
        <w:spacing w:after="0" w:line="177" w:lineRule="exact"/>
        <w:rPr>
          <w:sz w:val="20"/>
          <w:szCs w:val="20"/>
          <w:color w:val="auto"/>
        </w:rPr>
      </w:pPr>
    </w:p>
    <w:p>
      <w:pPr>
        <w:jc w:val="center"/>
        <w:ind w:left="1860" w:right="120"/>
        <w:spacing w:after="0" w:line="268" w:lineRule="auto"/>
        <w:rPr>
          <w:sz w:val="20"/>
          <w:szCs w:val="20"/>
          <w:color w:val="auto"/>
        </w:rPr>
      </w:pPr>
      <w:r>
        <w:rPr>
          <w:rFonts w:ascii="Arial" w:cs="Arial" w:eastAsia="Arial" w:hAnsi="Arial"/>
          <w:sz w:val="17"/>
          <w:szCs w:val="17"/>
          <w:b w:val="1"/>
          <w:bCs w:val="1"/>
          <w:color w:val="auto"/>
        </w:rPr>
        <w:t>OUR BOARD OF DIRECTORS UNANIMOUSLY RECOMMENDS THAT YOU VOTE “FOR” THE APPROVAL OF THE RENEWAL AND AMENDMENT OF OUR SHARE REPURCHASE PROGRAM SUCH THAT ALTISOURCE IS AUTHORIZED, FOR A PERIOD OF FIVE YEARS FROM THE DATE OF THE ANNUAL MEETING, TO REPURCHASE UP TO FIFTEEN PERCENT (15%) OF THE OUTSTANDING SHARES OF ITS COMMON STOCK (AS OF THE CLOSE OF BUSINESS ON THE DATE OF THE ANNUAL MEETING) AT A MINIMUM PRICE OF ONE DOLLAR ($1.00) PER SHARE AND A MAXIMUM PRICE OF TWENTY-FIVE DOLLARS ($25.00) PER SHARE, WITH THE MAXIMUM PRICE TO BE ADJUSTED FOR ANY STOCK SPLITS AND REVERSE STOCK SPLITS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7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TEN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-215900</wp:posOffset>
            </wp:positionV>
            <wp:extent cx="966470" cy="142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66470" cy="142875"/>
                    </a:xfrm>
                    <a:prstGeom prst="rect">
                      <a:avLst/>
                    </a:prstGeom>
                    <a:noFill/>
                  </pic:spPr>
                </pic:pic>
              </a:graphicData>
            </a:graphic>
          </wp:anchor>
        </w:drawing>
      </w:r>
    </w:p>
    <w:p>
      <w:pPr>
        <w:spacing w:after="0" w:line="101" w:lineRule="exact"/>
        <w:rPr>
          <w:sz w:val="20"/>
          <w:szCs w:val="20"/>
          <w:color w:val="auto"/>
        </w:rPr>
      </w:pPr>
    </w:p>
    <w:p>
      <w:pPr>
        <w:ind w:left="1220" w:right="759"/>
        <w:spacing w:after="0" w:line="268" w:lineRule="auto"/>
        <w:rPr>
          <w:sz w:val="20"/>
          <w:szCs w:val="20"/>
          <w:color w:val="auto"/>
        </w:rPr>
      </w:pPr>
      <w:r>
        <w:rPr>
          <w:rFonts w:ascii="Arial" w:cs="Arial" w:eastAsia="Arial" w:hAnsi="Arial"/>
          <w:sz w:val="21"/>
          <w:szCs w:val="21"/>
          <w:b w:val="1"/>
          <w:bCs w:val="1"/>
          <w:color w:val="auto"/>
        </w:rPr>
        <w:t>Proposal Ten: Advisory Acknowledgment of the Sale by the Company of 4,550,000 Shares of Common Stock held as Treasury Shares on February 14, 2023 in a Public Offering of Shares at a Price of Five Dollars ($5.00)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-7620</wp:posOffset>
            </wp:positionV>
            <wp:extent cx="51098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22" w:lineRule="exact"/>
        <w:rPr>
          <w:sz w:val="20"/>
          <w:szCs w:val="20"/>
          <w:color w:val="auto"/>
        </w:rPr>
      </w:pPr>
    </w:p>
    <w:p>
      <w:pPr>
        <w:ind w:left="1220" w:right="559"/>
        <w:spacing w:after="0" w:line="255" w:lineRule="auto"/>
        <w:rPr>
          <w:sz w:val="20"/>
          <w:szCs w:val="20"/>
          <w:color w:val="auto"/>
        </w:rPr>
      </w:pPr>
      <w:r>
        <w:rPr>
          <w:rFonts w:ascii="Arial" w:cs="Arial" w:eastAsia="Arial" w:hAnsi="Arial"/>
          <w:sz w:val="18"/>
          <w:szCs w:val="18"/>
          <w:color w:val="auto"/>
        </w:rPr>
        <w:t>On February 14, 2023, we closed on an underwritten public offering to sell 4,550,000 shares of our common stock, at a price of five dollars ($5.00) per share, generating net proceeds of approximately $21.2 million, after deducting the underwriting discounts and commissions and other offering expenses.</w:t>
      </w:r>
    </w:p>
    <w:p>
      <w:pPr>
        <w:spacing w:after="0" w:line="177" w:lineRule="exact"/>
        <w:rPr>
          <w:sz w:val="20"/>
          <w:szCs w:val="20"/>
          <w:color w:val="auto"/>
        </w:rPr>
      </w:pPr>
    </w:p>
    <w:p>
      <w:pPr>
        <w:jc w:val="center"/>
        <w:ind w:left="1860" w:right="400"/>
        <w:spacing w:after="0" w:line="264" w:lineRule="auto"/>
        <w:rPr>
          <w:sz w:val="20"/>
          <w:szCs w:val="20"/>
          <w:color w:val="auto"/>
        </w:rPr>
      </w:pPr>
      <w:r>
        <w:rPr>
          <w:rFonts w:ascii="Arial" w:cs="Arial" w:eastAsia="Arial" w:hAnsi="Arial"/>
          <w:sz w:val="18"/>
          <w:szCs w:val="18"/>
          <w:b w:val="1"/>
          <w:bCs w:val="1"/>
          <w:color w:val="auto"/>
        </w:rPr>
        <w:t>OUR BOARD OF DIRECTORS UNANIMOUSLY RECOMMENDS THAT YOU VOTE “FOR” THE PROPOSAL TO ACKNOWLEDGE ON AN ADVISORY (NON-BINDING)</w:t>
      </w:r>
    </w:p>
    <w:p>
      <w:pPr>
        <w:spacing w:after="0" w:line="198" w:lineRule="exact"/>
        <w:rPr>
          <w:sz w:val="20"/>
          <w:szCs w:val="20"/>
          <w:color w:val="auto"/>
        </w:rPr>
      </w:pPr>
    </w:p>
    <w:p>
      <w:pPr>
        <w:jc w:val="center"/>
        <w:ind w:left="1860" w:right="80"/>
        <w:spacing w:after="0" w:line="245" w:lineRule="auto"/>
        <w:rPr>
          <w:sz w:val="20"/>
          <w:szCs w:val="20"/>
          <w:color w:val="auto"/>
        </w:rPr>
      </w:pPr>
      <w:r>
        <w:rPr>
          <w:rFonts w:ascii="Arial" w:cs="Arial" w:eastAsia="Arial" w:hAnsi="Arial"/>
          <w:sz w:val="18"/>
          <w:szCs w:val="18"/>
          <w:b w:val="1"/>
          <w:bCs w:val="1"/>
          <w:color w:val="auto"/>
        </w:rPr>
        <w:t>BASIS, THE SALE BY THE COMPANY OF 4,550,000 SHARES OF COMMON STOCK HELD AS TREASURY SHARES ON FEBRUARY 14, 2023 IN A PUBLIC OFFERING OF SHARES AT A PRICE OF</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FIVE DOLLARS ($5.00)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4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ELEVEN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-215900</wp:posOffset>
            </wp:positionV>
            <wp:extent cx="1159510" cy="142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59510" cy="142875"/>
                    </a:xfrm>
                    <a:prstGeom prst="rect">
                      <a:avLst/>
                    </a:prstGeom>
                    <a:noFill/>
                  </pic:spPr>
                </pic:pic>
              </a:graphicData>
            </a:graphic>
          </wp:anchor>
        </w:drawing>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Proposal Eleven: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ind w:left="1220" w:right="779"/>
        <w:spacing w:after="0" w:line="274" w:lineRule="auto"/>
        <w:rPr>
          <w:sz w:val="20"/>
          <w:szCs w:val="20"/>
          <w:color w:val="auto"/>
        </w:rPr>
      </w:pPr>
      <w:r>
        <w:rPr>
          <w:rFonts w:ascii="Arial" w:cs="Arial" w:eastAsia="Arial" w:hAnsi="Arial"/>
          <w:sz w:val="18"/>
          <w:szCs w:val="18"/>
          <w:color w:val="auto"/>
        </w:rPr>
        <w:t>At our 2017 annual meeting of shareholders, our shareholders voted in favor of an annual frequency for advisory votes with respect to our executive compensation.</w:t>
      </w:r>
    </w:p>
    <w:p>
      <w:pPr>
        <w:spacing w:after="0" w:line="96" w:lineRule="exact"/>
        <w:rPr>
          <w:sz w:val="20"/>
          <w:szCs w:val="20"/>
          <w:color w:val="auto"/>
        </w:rPr>
      </w:pPr>
    </w:p>
    <w:p>
      <w:pPr>
        <w:ind w:left="1220" w:right="599"/>
        <w:spacing w:after="0" w:line="255" w:lineRule="auto"/>
        <w:rPr>
          <w:sz w:val="20"/>
          <w:szCs w:val="20"/>
          <w:color w:val="auto"/>
        </w:rPr>
      </w:pPr>
      <w:r>
        <w:rPr>
          <w:rFonts w:ascii="Arial" w:cs="Arial" w:eastAsia="Arial" w:hAnsi="Arial"/>
          <w:sz w:val="18"/>
          <w:szCs w:val="18"/>
          <w:color w:val="auto"/>
        </w:rPr>
        <w:t>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w:t>
      </w:r>
    </w:p>
    <w:p>
      <w:pPr>
        <w:spacing w:after="0" w:line="100" w:lineRule="exact"/>
        <w:rPr>
          <w:sz w:val="20"/>
          <w:szCs w:val="20"/>
          <w:color w:val="auto"/>
        </w:rPr>
      </w:pPr>
    </w:p>
    <w:p>
      <w:pPr>
        <w:ind w:left="1220" w:right="559"/>
        <w:spacing w:after="0" w:line="251" w:lineRule="auto"/>
        <w:rPr>
          <w:sz w:val="20"/>
          <w:szCs w:val="20"/>
          <w:color w:val="auto"/>
        </w:rPr>
      </w:pPr>
      <w:r>
        <w:rPr>
          <w:rFonts w:ascii="Arial" w:cs="Arial" w:eastAsia="Arial" w:hAnsi="Arial"/>
          <w:sz w:val="18"/>
          <w:szCs w:val="18"/>
          <w:color w:val="auto"/>
        </w:rPr>
        <w:t>Our executive compensation program is designed to attract, incent and retain our Named Executive Officers, who are critical to our success. Pursuant to these programs, the Company seeks to reward the Named Executive Officers for achieving strategic business goals designed to deliver long-term shareholder value. Shareholders should read the Executive Compensation section of this proxy statement, which discusses our compensation programs and the 2022 compensation for our named executive officers.</w:t>
      </w:r>
    </w:p>
    <w:p>
      <w:pPr>
        <w:spacing w:after="0" w:line="117" w:lineRule="exact"/>
        <w:rPr>
          <w:sz w:val="20"/>
          <w:szCs w:val="20"/>
          <w:color w:val="auto"/>
        </w:rPr>
      </w:pPr>
    </w:p>
    <w:p>
      <w:pPr>
        <w:ind w:left="1220" w:right="939"/>
        <w:spacing w:after="0" w:line="274"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96" w:lineRule="exact"/>
        <w:rPr>
          <w:sz w:val="20"/>
          <w:szCs w:val="20"/>
          <w:color w:val="auto"/>
        </w:rPr>
      </w:pPr>
    </w:p>
    <w:p>
      <w:pPr>
        <w:jc w:val="both"/>
        <w:ind w:left="1220" w:right="919"/>
        <w:spacing w:after="0" w:line="259" w:lineRule="auto"/>
        <w:rPr>
          <w:sz w:val="20"/>
          <w:szCs w:val="20"/>
          <w:color w:val="auto"/>
        </w:rPr>
      </w:pPr>
      <w:r>
        <w:rPr>
          <w:rFonts w:ascii="Arial" w:cs="Arial" w:eastAsia="Arial" w:hAnsi="Arial"/>
          <w:sz w:val="18"/>
          <w:szCs w:val="18"/>
          <w:color w:val="auto"/>
        </w:rPr>
        <w:t>You may vote for or against the approval of the compensation of the Company’s Named Executive Officers as disclosed in the Summary Compensation Table and accompanying compensation tables and related information contained in this proxy statement.</w:t>
      </w:r>
    </w:p>
    <w:p>
      <w:pPr>
        <w:spacing w:after="0" w:line="17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THAT YOU VOTE “FOR” THE PROPOSAL TO APPROVE, ON AN ADVISORY (NON-BINDING)</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BASIS,</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COMPENSATION OF THE NAMED EXECUTIVE OFFICERS, AS DISCLOSED IN THE</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COMPANY’S</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PROXY STATEMENT FOR THE 2023 ANNUAL MEETING OF SHAREHOLDERS PURSUANT TO</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THE</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COMPENSATION DISCLOSURE RULES OF THE SEC, INCLUDING THE SUMMARY</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COMPENSATION</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TABLE AND ACCOMPANYING COMPENSATION TABLES AND RELATED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42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TWELVE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-215900</wp:posOffset>
            </wp:positionV>
            <wp:extent cx="1168400" cy="142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68400" cy="142875"/>
                    </a:xfrm>
                    <a:prstGeom prst="rect">
                      <a:avLst/>
                    </a:prstGeom>
                    <a:noFill/>
                  </pic:spPr>
                </pic:pic>
              </a:graphicData>
            </a:graphic>
          </wp:anchor>
        </w:drawing>
      </w:r>
    </w:p>
    <w:p>
      <w:pPr>
        <w:spacing w:after="0" w:line="101" w:lineRule="exact"/>
        <w:rPr>
          <w:sz w:val="20"/>
          <w:szCs w:val="20"/>
          <w:color w:val="auto"/>
        </w:rPr>
      </w:pPr>
    </w:p>
    <w:p>
      <w:pPr>
        <w:ind w:left="1220" w:right="1839"/>
        <w:spacing w:after="0" w:line="286" w:lineRule="auto"/>
        <w:rPr>
          <w:sz w:val="20"/>
          <w:szCs w:val="20"/>
          <w:color w:val="auto"/>
        </w:rPr>
      </w:pPr>
      <w:r>
        <w:rPr>
          <w:rFonts w:ascii="Arial" w:cs="Arial" w:eastAsia="Arial" w:hAnsi="Arial"/>
          <w:sz w:val="21"/>
          <w:szCs w:val="21"/>
          <w:b w:val="1"/>
          <w:bCs w:val="1"/>
          <w:color w:val="auto"/>
        </w:rPr>
        <w:t>Proposal Twelve: Advisory Vote on the Frequency of the Executive Compensation Shareholder Advisory Vote (“Say-on-Frequency”)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51098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17" w:lineRule="exact"/>
        <w:rPr>
          <w:sz w:val="20"/>
          <w:szCs w:val="20"/>
          <w:color w:val="auto"/>
        </w:rPr>
      </w:pPr>
    </w:p>
    <w:p>
      <w:pPr>
        <w:ind w:left="1220" w:right="659"/>
        <w:spacing w:after="0" w:line="255" w:lineRule="auto"/>
        <w:rPr>
          <w:sz w:val="20"/>
          <w:szCs w:val="20"/>
          <w:color w:val="auto"/>
        </w:rPr>
      </w:pPr>
      <w:r>
        <w:rPr>
          <w:rFonts w:ascii="Arial" w:cs="Arial" w:eastAsia="Arial" w:hAnsi="Arial"/>
          <w:sz w:val="18"/>
          <w:szCs w:val="18"/>
          <w:color w:val="auto"/>
        </w:rPr>
        <w:t>As required by Section 14A of the Securities Exchange Act, the Company is presenting this proposal which gives you, as a shareholder, the opportunity to inform the Company as to how often you wish the Company to include a Say-On-Pay proposal, similar to Proposal Eleven, in this proxy statement.</w:t>
      </w:r>
    </w:p>
    <w:p>
      <w:pPr>
        <w:spacing w:after="0" w:line="100" w:lineRule="exact"/>
        <w:rPr>
          <w:sz w:val="20"/>
          <w:szCs w:val="20"/>
          <w:color w:val="auto"/>
        </w:rPr>
      </w:pPr>
    </w:p>
    <w:p>
      <w:pPr>
        <w:jc w:val="both"/>
        <w:ind w:left="1220" w:right="839"/>
        <w:spacing w:after="0" w:line="259" w:lineRule="auto"/>
        <w:rPr>
          <w:sz w:val="20"/>
          <w:szCs w:val="20"/>
          <w:color w:val="auto"/>
        </w:rPr>
      </w:pPr>
      <w:r>
        <w:rPr>
          <w:rFonts w:ascii="Arial" w:cs="Arial" w:eastAsia="Arial" w:hAnsi="Arial"/>
          <w:sz w:val="18"/>
          <w:szCs w:val="18"/>
          <w:color w:val="auto"/>
        </w:rPr>
        <w:t>You may vote to include an advisory vote on the compensation of the Company’s Named Executive Officers pursuant to Section 14A of the Securities Exchange Act every one (1), two (2) or three (3) years or you may abstain.</w:t>
      </w:r>
    </w:p>
    <w:p>
      <w:pPr>
        <w:spacing w:after="0" w:line="111" w:lineRule="exact"/>
        <w:rPr>
          <w:sz w:val="20"/>
          <w:szCs w:val="20"/>
          <w:color w:val="auto"/>
        </w:rPr>
      </w:pPr>
    </w:p>
    <w:p>
      <w:pPr>
        <w:ind w:left="1220" w:right="939"/>
        <w:spacing w:after="0" w:line="274"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96" w:lineRule="exact"/>
        <w:rPr>
          <w:sz w:val="20"/>
          <w:szCs w:val="20"/>
          <w:color w:val="auto"/>
        </w:rPr>
      </w:pPr>
    </w:p>
    <w:p>
      <w:pPr>
        <w:ind w:left="1220" w:right="859"/>
        <w:spacing w:after="0" w:line="274" w:lineRule="auto"/>
        <w:rPr>
          <w:sz w:val="20"/>
          <w:szCs w:val="20"/>
          <w:color w:val="auto"/>
        </w:rPr>
      </w:pPr>
      <w:r>
        <w:rPr>
          <w:rFonts w:ascii="Arial" w:cs="Arial" w:eastAsia="Arial" w:hAnsi="Arial"/>
          <w:sz w:val="18"/>
          <w:szCs w:val="18"/>
          <w:color w:val="auto"/>
        </w:rPr>
        <w:t>Signed proxies returned without specific voting directions will be voted for a frequency of one (1) year.</w:t>
      </w:r>
    </w:p>
    <w:p>
      <w:pPr>
        <w:spacing w:after="0" w:line="161"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OUR BOARD OF DIRECTORS UNANIMOUSLY RECOMMENDS THAT YOU VOTE, ON AN</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ADVISORY</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(NON-BINDING) BASIS, FOR THE OPTION OF “ONE (1) YEAR” AS THE FREQUENCY WITH</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WHICH</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SHAREHOLDERS ARE PROVIDED AN ADVISORY VOTE ON THE COMPENSATION OF NAMED</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519"/>
        <w:spacing w:after="0" w:line="249" w:lineRule="auto"/>
        <w:rPr>
          <w:sz w:val="20"/>
          <w:szCs w:val="20"/>
          <w:color w:val="auto"/>
        </w:rPr>
      </w:pPr>
      <w:r>
        <w:rPr>
          <w:rFonts w:ascii="Arial" w:cs="Arial" w:eastAsia="Arial" w:hAnsi="Arial"/>
          <w:sz w:val="18"/>
          <w:szCs w:val="18"/>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Any situation that potentially qualifies as a conflict of interest is to be disclosed to the Chief Legal and Compliance Officer to assess the nature and extent of any concern as well as the appropriate next steps. The Chief Legal and Compliance Officer will notify the Chairman of the Board of Directors or the Audit Committee Chair, as appropriate, if any such situation requires Board of Directors or Audit Committee review.</w:t>
      </w:r>
    </w:p>
    <w:p>
      <w:pPr>
        <w:spacing w:after="0" w:line="320" w:lineRule="exact"/>
        <w:rPr>
          <w:sz w:val="20"/>
          <w:szCs w:val="20"/>
          <w:color w:val="auto"/>
        </w:rPr>
      </w:pPr>
    </w:p>
    <w:p>
      <w:pPr>
        <w:jc w:val="both"/>
        <w:ind w:left="1220" w:right="579"/>
        <w:spacing w:after="0" w:line="259" w:lineRule="auto"/>
        <w:rPr>
          <w:sz w:val="20"/>
          <w:szCs w:val="20"/>
          <w:color w:val="auto"/>
        </w:rPr>
      </w:pPr>
      <w:r>
        <w:rPr>
          <w:rFonts w:ascii="Arial" w:cs="Arial" w:eastAsia="Arial" w:hAnsi="Arial"/>
          <w:sz w:val="18"/>
          <w:szCs w:val="18"/>
          <w:color w:val="auto"/>
        </w:rPr>
        <w:t>The Audit Committee of the Board of Directors has adopted written policies and procedures to govern the review and approval of transactions involving Altisource and a Related Person (as defined by SEC Regulation S-K).</w:t>
      </w:r>
    </w:p>
    <w:p>
      <w:pPr>
        <w:spacing w:after="0" w:line="111" w:lineRule="exact"/>
        <w:rPr>
          <w:sz w:val="20"/>
          <w:szCs w:val="20"/>
          <w:color w:val="auto"/>
        </w:rPr>
      </w:pPr>
    </w:p>
    <w:p>
      <w:pPr>
        <w:jc w:val="both"/>
        <w:ind w:left="1220" w:right="579"/>
        <w:spacing w:after="0" w:line="259" w:lineRule="auto"/>
        <w:rPr>
          <w:sz w:val="20"/>
          <w:szCs w:val="20"/>
          <w:color w:val="auto"/>
        </w:rPr>
      </w:pPr>
      <w:r>
        <w:rPr>
          <w:rFonts w:ascii="Arial" w:cs="Arial" w:eastAsia="Arial" w:hAnsi="Arial"/>
          <w:sz w:val="18"/>
          <w:szCs w:val="18"/>
          <w:color w:val="auto"/>
        </w:rPr>
        <w:t>We received certain services from Aldridge Pite, LLP (“Aldridge Pite”); John G. Aldridge, Jr., the founder and managing partner of Aldridge Pite, was appointed to our Board of Directors on May 17, 2022.</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ALDRIDGE | PITE, LLP</w:t>
      </w:r>
    </w:p>
    <w:p>
      <w:pPr>
        <w:spacing w:after="0" w:line="119" w:lineRule="exact"/>
        <w:rPr>
          <w:sz w:val="20"/>
          <w:szCs w:val="20"/>
          <w:color w:val="auto"/>
        </w:rPr>
      </w:pPr>
    </w:p>
    <w:p>
      <w:pPr>
        <w:jc w:val="both"/>
        <w:ind w:left="1220" w:right="859"/>
        <w:spacing w:after="0" w:line="259" w:lineRule="auto"/>
        <w:rPr>
          <w:sz w:val="20"/>
          <w:szCs w:val="20"/>
          <w:color w:val="auto"/>
        </w:rPr>
      </w:pPr>
      <w:r>
        <w:rPr>
          <w:rFonts w:ascii="Arial" w:cs="Arial" w:eastAsia="Arial" w:hAnsi="Arial"/>
          <w:sz w:val="18"/>
          <w:szCs w:val="18"/>
          <w:color w:val="auto"/>
        </w:rPr>
        <w:t>Aldridge Pite has received $121,061 and $61,227 from the Company for the years ended December 31, 2022 and December 31, 2021, respectively. Services provided by Aldridge Pite during such period included eviction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559"/>
        <w:spacing w:after="0" w:line="248" w:lineRule="auto"/>
        <w:rPr>
          <w:sz w:val="20"/>
          <w:szCs w:val="20"/>
          <w:color w:val="auto"/>
        </w:rPr>
      </w:pPr>
      <w:r>
        <w:rPr>
          <w:rFonts w:ascii="Arial" w:cs="Arial" w:eastAsia="Arial" w:hAnsi="Arial"/>
          <w:sz w:val="18"/>
          <w:szCs w:val="18"/>
          <w:color w:val="auto"/>
        </w:rPr>
        <w:t>Pursuant to SEC rules, any proposal that a shareholder desires to have included in our proxy materials relating to our 2024 annual meeting of shareholders must be received at our registered office no later than December 5, 2023. In addition to any shareholders’ rights under the Luxembourg Company Law and the Company’s Articles of Incorporation, for any proposal that is not submitted for inclusion in the proxy statement for the 2024 annual meeting of shareholders, but is instead sought to be presented directly at the 2024 annual meeting of shareholders, SEC rules permit the persons appointed as proxies to vote shares represented by valid proxies in their discretion if we: (i) receive the proposal no later than February 18, 2024 and advise shareholders in the 2024 proxy statement about the nature of the matter and how the persons appointed as proxies intend to vote on such matter; or (ii) receive notice of the proposal after February 18, 2024.</w:t>
      </w:r>
    </w:p>
    <w:p>
      <w:pPr>
        <w:spacing w:after="0" w:line="323" w:lineRule="exact"/>
        <w:rPr>
          <w:sz w:val="20"/>
          <w:szCs w:val="20"/>
          <w:color w:val="auto"/>
        </w:rPr>
      </w:pPr>
    </w:p>
    <w:p>
      <w:pPr>
        <w:ind w:left="1220" w:right="599"/>
        <w:spacing w:after="0" w:line="255" w:lineRule="auto"/>
        <w:rPr>
          <w:sz w:val="20"/>
          <w:szCs w:val="20"/>
          <w:color w:val="auto"/>
        </w:rPr>
      </w:pPr>
      <w:r>
        <w:rPr>
          <w:rFonts w:ascii="Arial" w:cs="Arial" w:eastAsia="Arial" w:hAnsi="Arial"/>
          <w:sz w:val="18"/>
          <w:szCs w:val="18"/>
          <w:color w:val="auto"/>
        </w:rPr>
        <w:t>Notice of intent to present a proposal at the 2024 annual meeting of shareholders should be directed to our Corporate Secretary at Altisource Portfolio Solutions S.A., 33, Boulevard Prince Henri, L-1724 Luxembourg City, Grand Duchy of Luxembourg. Any shareholder proposal must be sent by certified mail, return-receipt requested.</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579"/>
        <w:spacing w:after="0" w:line="249"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2022 will be made available to shareholders upon filing. The annual report once filed can be found on our website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2022, that we are required to file with the SEC under the Exchange Act. Such requests should be directed to Investor Relations, Altisource Portfolio Solutions S.A., 33, Boulevard Prince Henri, L-1724 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519"/>
        <w:spacing w:after="0" w:line="251"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2022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321" w:lineRule="exact"/>
        <w:rPr>
          <w:sz w:val="20"/>
          <w:szCs w:val="20"/>
          <w:color w:val="auto"/>
        </w:rPr>
      </w:pPr>
    </w:p>
    <w:p>
      <w:pPr>
        <w:ind w:left="1220" w:right="539"/>
        <w:spacing w:after="0" w:line="251" w:lineRule="auto"/>
        <w:rPr>
          <w:sz w:val="20"/>
          <w:szCs w:val="20"/>
          <w:color w:val="auto"/>
        </w:rPr>
      </w:pPr>
      <w:r>
        <w:rPr>
          <w:rFonts w:ascii="Arial" w:cs="Arial" w:eastAsia="Arial" w:hAnsi="Arial"/>
          <w:sz w:val="18"/>
          <w:szCs w:val="18"/>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Twelve, inclusive. Should any matter not described above be properly presented at either meeting, the persons appointed as proxies will vote according to their discretion.</w:t>
      </w:r>
    </w:p>
    <w:p>
      <w:pPr>
        <w:spacing w:after="0" w:line="117" w:lineRule="exact"/>
        <w:rPr>
          <w:sz w:val="20"/>
          <w:szCs w:val="20"/>
          <w:color w:val="auto"/>
        </w:rPr>
      </w:pPr>
    </w:p>
    <w:p>
      <w:pPr>
        <w:ind w:left="1220" w:right="559"/>
        <w:spacing w:after="0" w:line="254" w:lineRule="auto"/>
        <w:rPr>
          <w:sz w:val="20"/>
          <w:szCs w:val="20"/>
          <w:color w:val="auto"/>
        </w:rPr>
      </w:pPr>
      <w:r>
        <w:rPr>
          <w:rFonts w:ascii="Arial" w:cs="Arial" w:eastAsia="Arial" w:hAnsi="Arial"/>
          <w:sz w:val="18"/>
          <w:szCs w:val="18"/>
          <w:color w:val="auto"/>
        </w:rPr>
        <w:t>If you are the beneficial owner, but not the record holder of shares of our common stock and have requested a copy of this proxy statement, your bank or broker may only deliver one</w:t>
      </w:r>
    </w:p>
    <w:p>
      <w:pPr>
        <w:spacing w:after="0" w:line="1" w:lineRule="exact"/>
        <w:rPr>
          <w:sz w:val="20"/>
          <w:szCs w:val="20"/>
          <w:color w:val="auto"/>
        </w:rPr>
      </w:pPr>
    </w:p>
    <w:p>
      <w:pPr>
        <w:ind w:left="1220" w:right="839" w:firstLine="1"/>
        <w:spacing w:after="0" w:line="245" w:lineRule="auto"/>
        <w:tabs>
          <w:tab w:leader="none" w:pos="1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copy of this proxy statement and our 2022 annual report to multiple shareholders who share an address unless the bank or broker has received contrary instructions from one</w:t>
      </w:r>
    </w:p>
    <w:p>
      <w:pPr>
        <w:ind w:left="1220" w:right="599" w:firstLine="1"/>
        <w:spacing w:after="0" w:line="246" w:lineRule="auto"/>
        <w:tabs>
          <w:tab w:leader="none" w:pos="1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or more of the shareholders. Shareholders at an address to which a single copy of this proxy statement and our 2022 annual report was sent may request a separate copy by contacting the Office of the Corporate Secretary by mail at Altisource Portfolio Solutions S.A., 33, Boulevard Prince Henri, L-1724 Luxembourg City, Grand Duchy of Luxembourg, or by email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26" w:lineRule="exact"/>
        <w:rPr>
          <w:sz w:val="20"/>
          <w:szCs w:val="20"/>
          <w:color w:val="auto"/>
        </w:rPr>
      </w:pPr>
    </w:p>
    <w:p>
      <w:pPr>
        <w:ind w:left="1220" w:right="559"/>
        <w:spacing w:after="0" w:line="248" w:lineRule="auto"/>
        <w:rPr>
          <w:sz w:val="20"/>
          <w:szCs w:val="20"/>
          <w:color w:val="auto"/>
        </w:rPr>
      </w:pPr>
      <w:r>
        <w:rPr>
          <w:rFonts w:ascii="Arial" w:cs="Arial" w:eastAsia="Arial" w:hAnsi="Arial"/>
          <w:sz w:val="18"/>
          <w:szCs w:val="18"/>
          <w:color w:val="auto"/>
        </w:rPr>
        <w:t xml:space="preserve">This proxy statement and our 2022 annual report will be available on our website under Investor Relations-Financial Information at </w:t>
      </w:r>
      <w:r>
        <w:rPr>
          <w:rFonts w:ascii="Arial" w:cs="Arial" w:eastAsia="Arial" w:hAnsi="Arial"/>
          <w:sz w:val="18"/>
          <w:szCs w:val="18"/>
          <w:u w:val="single" w:color="auto"/>
          <w:color w:val="auto"/>
        </w:rPr>
        <w:t>https://ir.altisource.com/financial-information</w:t>
      </w:r>
      <w:r>
        <w:rPr>
          <w:rFonts w:ascii="Arial" w:cs="Arial" w:eastAsia="Arial" w:hAnsi="Arial"/>
          <w:sz w:val="18"/>
          <w:szCs w:val="18"/>
          <w:color w:val="auto"/>
        </w:rPr>
        <w:t xml:space="preserve"> In addition, this proxy statement and our 2022 annual report will be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193675</wp:posOffset>
            </wp:positionV>
            <wp:extent cx="6689725" cy="84086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89725" cy="8408670"/>
                    </a:xfrm>
                    <a:prstGeom prst="rect">
                      <a:avLst/>
                    </a:prstGeom>
                    <a:noFill/>
                  </pic:spPr>
                </pic:pic>
              </a:graphicData>
            </a:graphic>
          </wp:anchor>
        </w:drawing>
      </w:r>
    </w:p>
    <w:p>
      <w:pPr>
        <w:sectPr>
          <w:pgSz w:w="11900" w:h="16838" w:orient="portrait"/>
          <w:cols w:equalWidth="0" w:num="1">
            <w:col w:w="9759"/>
          </w:cols>
          <w:pgMar w:left="700" w:top="100"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wp:posOffset>
            </wp:positionV>
            <wp:extent cx="6689725" cy="8408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89725" cy="8408035"/>
                    </a:xfrm>
                    <a:prstGeom prst="rect">
                      <a:avLst/>
                    </a:prstGeom>
                    <a:noFill/>
                  </pic:spPr>
                </pic:pic>
              </a:graphicData>
            </a:graphic>
          </wp:anchor>
        </w:drawing>
      </w:r>
    </w:p>
    <w:sectPr>
      <w:pgSz w:w="11900" w:h="16838" w:orient="portrait"/>
      <w:cols w:equalWidth="0" w:num="1">
        <w:col w:w="9759"/>
      </w:cols>
      <w:pgMar w:left="700" w:top="1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lowerRoman"/>
      <w:start w:val="1"/>
    </w:lvl>
  </w:abstractNum>
  <w:abstractNum w:abstractNumId="22">
    <w:nsid w:val="77465F01"/>
    <w:multiLevelType w:val="hybridMultilevel"/>
    <w:lvl w:ilvl="0">
      <w:lvlJc w:val="left"/>
      <w:lvlText w:val="(%1)"/>
      <w:numFmt w:val="lowerRoman"/>
      <w:start w:val="4"/>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lowerRoman"/>
      <w:start w:val="5"/>
    </w:lvl>
  </w:abstractNum>
  <w:abstractNum w:abstractNumId="25">
    <w:nsid w:val="2463B9EA"/>
    <w:multiLevelType w:val="hybridMultilevel"/>
    <w:lvl w:ilvl="0">
      <w:lvlJc w:val="left"/>
      <w:lvlText w:val="(%1)"/>
      <w:numFmt w:val="lowerRoman"/>
      <w:start w:val="8"/>
    </w:lvl>
  </w:abstractNum>
  <w:abstractNum w:abstractNumId="26">
    <w:nsid w:val="5E884ADC"/>
    <w:multiLevelType w:val="hybridMultilevel"/>
    <w:lvl w:ilvl="0">
      <w:lvlJc w:val="left"/>
      <w:lvlText w:val="(%1)"/>
      <w:numFmt w:val="decimal"/>
      <w:start w:val="4"/>
    </w:lvl>
  </w:abstractNum>
  <w:abstractNum w:abstractNumId="27">
    <w:nsid w:val="51EAD36B"/>
    <w:multiLevelType w:val="hybridMultilevel"/>
    <w:lvl w:ilvl="0">
      <w:lvlJc w:val="left"/>
      <w:lvlText w:val="(%1)"/>
      <w:numFmt w:val="decimal"/>
    </w:lvl>
    <w:lvl w:ilvl="1">
      <w:lvlJc w:val="left"/>
      <w:lvlText w:val="•"/>
      <w:numFmt w:val="bullet"/>
      <w:start w:val="1"/>
    </w:lvl>
  </w:abstractNum>
  <w:abstractNum w:abstractNumId="28">
    <w:nsid w:val="2D517796"/>
    <w:multiLevelType w:val="hybridMultilevel"/>
    <w:lvl w:ilvl="0">
      <w:lvlJc w:val="left"/>
      <w:lvlText w:val="(%1)"/>
      <w:numFmt w:val="lowerRoman"/>
      <w:start w:val="2"/>
    </w:lvl>
  </w:abstractNum>
  <w:abstractNum w:abstractNumId="29">
    <w:nsid w:val="580BD78F"/>
    <w:multiLevelType w:val="hybridMultilevel"/>
    <w:lvl w:ilvl="0">
      <w:lvlJc w:val="left"/>
      <w:lvlText w:val="(%1)"/>
      <w:numFmt w:val="decimal"/>
      <w:start w:val="1"/>
    </w:lvl>
    <w:lvl w:ilvl="1">
      <w:lvlJc w:val="left"/>
      <w:lvlText w:val="(%2)"/>
      <w:numFmt w:val="decimal"/>
      <w:start w:val="4"/>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3"/>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9"/>
    </w:lvl>
  </w:abstractNum>
  <w:abstractNum w:abstractNumId="39">
    <w:nsid w:val="7A6D8D3C"/>
    <w:multiLevelType w:val="hybridMultilevel"/>
    <w:lvl w:ilvl="0">
      <w:lvlJc w:val="left"/>
      <w:lvlText w:val="%1)"/>
      <w:numFmt w:val="decimal"/>
      <w:start w:val="1"/>
    </w:lvl>
    <w:lvl w:ilvl="1">
      <w:lvlJc w:val="left"/>
      <w:lvlText w:val="%2."/>
      <w:numFmt w:val="lowerLetter"/>
      <w:start w:val="1"/>
    </w:lvl>
  </w:abstractNum>
  <w:abstractNum w:abstractNumId="40">
    <w:nsid w:val="4B588F54"/>
    <w:multiLevelType w:val="hybridMultilevel"/>
    <w:lvl w:ilvl="0">
      <w:lvlJc w:val="left"/>
      <w:lvlText w:val="%1)"/>
      <w:numFmt w:val="decimal"/>
      <w:start w:val="2"/>
    </w:lvl>
  </w:abstractNum>
  <w:abstractNum w:abstractNumId="41">
    <w:nsid w:val="542289EC"/>
    <w:multiLevelType w:val="hybridMultilevel"/>
    <w:lvl w:ilvl="0">
      <w:lvlJc w:val="left"/>
      <w:lvlText w:val="(%1)"/>
      <w:numFmt w:val="decimal"/>
      <w:start w:val="1"/>
    </w:lvl>
    <w:lvl w:ilvl="1">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decimal"/>
      <w:start w:val="9"/>
    </w:lvl>
  </w:abstractNum>
  <w:abstractNum w:abstractNumId="44">
    <w:nsid w:val="7644A45C"/>
    <w:multiLevelType w:val="hybridMultilevel"/>
    <w:lvl w:ilvl="0">
      <w:lvlJc w:val="left"/>
      <w:lvlText w:val="(%1)"/>
      <w:numFmt w:val="decimal"/>
      <w:start w:val="21"/>
    </w:lvl>
  </w:abstractNum>
  <w:abstractNum w:abstractNumId="45">
    <w:nsid w:val="32FFF902"/>
    <w:multiLevelType w:val="hybridMultilevel"/>
    <w:lvl w:ilvl="0">
      <w:lvlJc w:val="left"/>
      <w:lvlText w:val="(%1)"/>
      <w:numFmt w:val="decimal"/>
      <w:start w:val="2"/>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2023-03-23T14:33:05Z</dcterms:created>
  <dcterms:modified xsi:type="dcterms:W3CDTF">2023-03-23T14:33:05Z</dcterms:modified>
</cp:coreProperties>
</file>