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3980"/>
          </w:cols>
          <w:pgMar w:left="240" w:top="122" w:right="279" w:bottom="1440" w:gutter="0" w:footer="0" w:header="0"/>
          <w:type w:val="continuous"/>
        </w:sectPr>
      </w:pPr>
    </w:p>
    <w:p>
      <w:pPr>
        <w:spacing w:after="0" w:line="12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2, rue Jean Bertholet</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L-1233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w:t>
      </w:r>
    </w:p>
    <w:p>
      <w:pPr>
        <w:spacing w:after="0" w:line="103"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w:t>
      </w:r>
      <w:r>
        <w:rPr>
          <w:rFonts w:ascii="MS PGothic" w:cs="MS PGothic" w:eastAsia="MS PGothic" w:hAnsi="MS PGothic"/>
          <w:sz w:val="18"/>
          <w:szCs w:val="18"/>
          <w:color w:val="auto"/>
        </w:rPr>
        <w:t>☑</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122" w:right="279" w:bottom="1440" w:gutter="0" w:footer="0" w:header="0"/>
          <w:type w:val="continuous"/>
        </w:sectPr>
      </w:pP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40"/>
          </w:cols>
          <w:pgMar w:left="240" w:top="122" w:right="279" w:bottom="1440" w:gutter="0" w:footer="0" w:header="0"/>
          <w:type w:val="continuous"/>
        </w:sectPr>
      </w:pPr>
    </w:p>
    <w:p>
      <w:pPr>
        <w:ind w:right="228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June 30, 2010, there were 25,231,359 outstanding shares of the registrant’s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gridSpan w:val="10"/>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PART I — Financial Information</w:t>
              </w:r>
            </w:hyperlink>
          </w:p>
        </w:tc>
        <w:tc>
          <w:tcPr>
            <w:tcW w:w="6600" w:type="dxa"/>
            <w:vAlign w:val="bottom"/>
            <w:gridSpan w:val="28"/>
            <w:vMerge w:val="restart"/>
          </w:tcPr>
          <w:p>
            <w:pPr>
              <w:spacing w:after="0"/>
              <w:rPr>
                <w:sz w:val="16"/>
                <w:szCs w:val="16"/>
                <w:color w:val="auto"/>
              </w:rPr>
            </w:pPr>
          </w:p>
        </w:tc>
        <w:tc>
          <w:tcPr>
            <w:tcW w:w="232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2400" w:type="dxa"/>
            <w:vAlign w:val="bottom"/>
            <w:tcBorders>
              <w:bottom w:val="single" w:sz="8" w:color="0000EE"/>
            </w:tcBorders>
            <w:gridSpan w:val="10"/>
            <w:vMerge w:val="continue"/>
          </w:tcPr>
          <w:p>
            <w:pPr>
              <w:spacing w:after="0"/>
              <w:rPr>
                <w:sz w:val="13"/>
                <w:szCs w:val="13"/>
                <w:color w:val="auto"/>
              </w:rPr>
            </w:pPr>
          </w:p>
        </w:tc>
        <w:tc>
          <w:tcPr>
            <w:tcW w:w="6600" w:type="dxa"/>
            <w:vAlign w:val="bottom"/>
            <w:gridSpan w:val="28"/>
            <w:vMerge w:val="continue"/>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Interim Condensed Consolidated Financial Statements</w:t>
              </w:r>
            </w:hyperlink>
          </w:p>
        </w:tc>
        <w:tc>
          <w:tcPr>
            <w:tcW w:w="4360" w:type="dxa"/>
            <w:vAlign w:val="bottom"/>
            <w:gridSpan w:val="7"/>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440" w:type="dxa"/>
            <w:vAlign w:val="bottom"/>
            <w:gridSpan w:val="1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4720" w:type="dxa"/>
            <w:vAlign w:val="bottom"/>
            <w:gridSpan w:val="11"/>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Equity</w:t>
              </w:r>
            </w:hyperlink>
          </w:p>
        </w:tc>
        <w:tc>
          <w:tcPr>
            <w:tcW w:w="51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4660" w:type="dxa"/>
            <w:vAlign w:val="bottom"/>
            <w:gridSpan w:val="1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80" w:type="dxa"/>
            <w:vAlign w:val="bottom"/>
            <w:gridSpan w:val="3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5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 1 — Organization and Basis of Presentation</w:t>
              </w:r>
            </w:hyperlink>
          </w:p>
        </w:tc>
        <w:tc>
          <w:tcPr>
            <w:tcW w:w="220" w:type="dxa"/>
            <w:vAlign w:val="bottom"/>
            <w:tcBorders>
              <w:top w:val="single" w:sz="8" w:color="0000EE"/>
            </w:tcBorders>
            <w:gridSpan w:val="3"/>
          </w:tcPr>
          <w:p>
            <w:pPr>
              <w:spacing w:after="0"/>
              <w:rPr>
                <w:sz w:val="17"/>
                <w:szCs w:val="17"/>
                <w:color w:val="auto"/>
              </w:rPr>
            </w:pPr>
          </w:p>
        </w:tc>
        <w:tc>
          <w:tcPr>
            <w:tcW w:w="460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 2 — Transactions with Related Parties</w:t>
              </w:r>
            </w:hyperlink>
          </w:p>
        </w:tc>
        <w:tc>
          <w:tcPr>
            <w:tcW w:w="5220" w:type="dxa"/>
            <w:vAlign w:val="bottom"/>
            <w:gridSpan w:val="1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 3 — Acquisition of MPA</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Note 4 — Accounts Receivable, Net</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Note 5 — Prepaid Expenses and Other Current Assets</w:t>
              </w:r>
            </w:hyperlink>
          </w:p>
        </w:tc>
        <w:tc>
          <w:tcPr>
            <w:tcW w:w="4480" w:type="dxa"/>
            <w:vAlign w:val="bottom"/>
            <w:gridSpan w:val="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Note 6 — Premises and Equipment, net</w:t>
              </w:r>
            </w:hyperlink>
          </w:p>
        </w:tc>
        <w:tc>
          <w:tcPr>
            <w:tcW w:w="5520" w:type="dxa"/>
            <w:vAlign w:val="bottom"/>
            <w:gridSpan w:val="1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Note 7 — Goodwill and Intangible, net</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Note 8 — Accounts Payable, Accrued Expenses and Other Current Liabilities</w:t>
              </w:r>
            </w:hyperlink>
          </w:p>
        </w:tc>
        <w:tc>
          <w:tcPr>
            <w:tcW w:w="278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Note 9 — Equity Based Compensation</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Note 10 — Cost of Revenue</w:t>
              </w:r>
            </w:hyperlink>
          </w:p>
        </w:tc>
        <w:tc>
          <w:tcPr>
            <w:tcW w:w="5560" w:type="dxa"/>
            <w:vAlign w:val="bottom"/>
            <w:gridSpan w:val="1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Note 11 — Selling, General and Administrative Expenses</w:t>
              </w:r>
            </w:hyperlink>
          </w:p>
        </w:tc>
        <w:tc>
          <w:tcPr>
            <w:tcW w:w="422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Note 12 — Other Income (Expense), Net Cost of Revenue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Note 13 — Income Taxes</w:t>
              </w:r>
            </w:hyperlink>
          </w:p>
        </w:tc>
        <w:tc>
          <w:tcPr>
            <w:tcW w:w="418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Note 14 — Earnings Per Share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Note 15 — Segment Reporting</w:t>
              </w:r>
            </w:hyperlink>
          </w:p>
        </w:tc>
        <w:tc>
          <w:tcPr>
            <w:tcW w:w="6140" w:type="dxa"/>
            <w:vAlign w:val="bottom"/>
            <w:gridSpan w:val="21"/>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Note 16 — Commitments and Contingencies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960" w:type="dxa"/>
            <w:vAlign w:val="bottom"/>
            <w:tcBorders>
              <w:bottom w:val="single" w:sz="8" w:color="0000EE"/>
            </w:tcBorders>
            <w:gridSpan w:val="3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 Management’s Discussion and Analysis of Financial Condition and Results of Operations</w:t>
              </w:r>
            </w:hyperlink>
          </w:p>
        </w:tc>
        <w:tc>
          <w:tcPr>
            <w:tcW w:w="18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380" w:type="dxa"/>
            <w:vAlign w:val="bottom"/>
            <w:gridSpan w:val="35"/>
          </w:tcPr>
          <w:p>
            <w:pPr>
              <w:spacing w:after="0"/>
              <w:rPr>
                <w:sz w:val="20"/>
                <w:szCs w:val="20"/>
                <w:color w:val="auto"/>
              </w:rPr>
            </w:pPr>
            <w:r>
              <w:rPr>
                <w:rFonts w:ascii="Arial" w:cs="Arial" w:eastAsia="Arial" w:hAnsi="Arial"/>
                <w:sz w:val="18"/>
                <w:szCs w:val="18"/>
                <w:color w:val="auto"/>
              </w:rPr>
              <w:t>(see Table of Contents at front of section)</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8780" w:type="dxa"/>
            <w:vAlign w:val="bottom"/>
            <w:gridSpan w:val="3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 Quantitative and Qualitative Disclosures about Market Risk</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Item 4 Controls and Procedures</w:t>
              </w:r>
            </w:hyperlink>
          </w:p>
        </w:tc>
        <w:tc>
          <w:tcPr>
            <w:tcW w:w="2520" w:type="dxa"/>
            <w:vAlign w:val="bottom"/>
            <w:tcBorders>
              <w:top w:val="single" w:sz="8" w:color="0000EE"/>
            </w:tcBorders>
            <w:gridSpan w:val="22"/>
          </w:tcPr>
          <w:p>
            <w:pPr>
              <w:spacing w:after="0"/>
              <w:rPr>
                <w:sz w:val="24"/>
                <w:szCs w:val="24"/>
                <w:color w:val="auto"/>
              </w:rPr>
            </w:pPr>
          </w:p>
        </w:tc>
        <w:tc>
          <w:tcPr>
            <w:tcW w:w="398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22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PART II — Other Information</w:t>
              </w:r>
            </w:hyperlink>
          </w:p>
        </w:tc>
        <w:tc>
          <w:tcPr>
            <w:tcW w:w="6800" w:type="dxa"/>
            <w:vAlign w:val="bottom"/>
            <w:gridSpan w:val="29"/>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 Legal Proceedings</w:t>
              </w:r>
            </w:hyperlink>
          </w:p>
        </w:tc>
        <w:tc>
          <w:tcPr>
            <w:tcW w:w="6940" w:type="dxa"/>
            <w:vAlign w:val="bottom"/>
            <w:gridSpan w:val="30"/>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1A Risk Factors</w:t>
              </w:r>
            </w:hyperlink>
          </w:p>
        </w:tc>
        <w:tc>
          <w:tcPr>
            <w:tcW w:w="7240" w:type="dxa"/>
            <w:vAlign w:val="bottom"/>
            <w:gridSpan w:val="3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780" w:type="dxa"/>
            <w:vAlign w:val="bottom"/>
            <w:gridSpan w:val="3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 Unregistered Sales of Equity Securities and Use of Proceeds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840" w:type="dxa"/>
            <w:vAlign w:val="bottom"/>
            <w:tcBorders>
              <w:top w:val="single" w:sz="8" w:color="0000EE"/>
            </w:tcBorders>
            <w:gridSpan w:val="3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 Defaults Upon Senior Securities</w:t>
              </w:r>
            </w:hyperlink>
          </w:p>
        </w:tc>
        <w:tc>
          <w:tcPr>
            <w:tcW w:w="394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820" w:type="dxa"/>
            <w:vAlign w:val="bottom"/>
            <w:tcBorders>
              <w:top w:val="single" w:sz="8" w:color="0000EE"/>
            </w:tcBorders>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 (Removed and Reserved)</w:t>
              </w:r>
            </w:hyperlink>
          </w:p>
        </w:tc>
        <w:tc>
          <w:tcPr>
            <w:tcW w:w="5960" w:type="dxa"/>
            <w:vAlign w:val="bottom"/>
            <w:gridSpan w:val="20"/>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5 Other Information</w:t>
              </w:r>
            </w:hyperlink>
          </w:p>
        </w:tc>
        <w:tc>
          <w:tcPr>
            <w:tcW w:w="500" w:type="dxa"/>
            <w:vAlign w:val="bottom"/>
            <w:tcBorders>
              <w:top w:val="single" w:sz="8" w:color="0000EE"/>
            </w:tcBorders>
            <w:gridSpan w:val="6"/>
          </w:tcPr>
          <w:p>
            <w:pPr>
              <w:spacing w:after="0"/>
              <w:rPr>
                <w:sz w:val="24"/>
                <w:szCs w:val="24"/>
                <w:color w:val="auto"/>
              </w:rPr>
            </w:pPr>
          </w:p>
        </w:tc>
        <w:tc>
          <w:tcPr>
            <w:tcW w:w="6460" w:type="dxa"/>
            <w:vAlign w:val="bottom"/>
            <w:gridSpan w:val="2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780" w:type="dxa"/>
            <w:vAlign w:val="bottom"/>
            <w:gridSpan w:val="3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80" w:type="dxa"/>
            <w:vAlign w:val="bottom"/>
            <w:gridSpan w:val="3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0" w:type="dxa"/>
            <w:vAlign w:val="bottom"/>
            <w:gridSpan w:val="3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20,840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37,549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74,680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18,159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174,473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3180"/>
              <w:spacing w:after="0"/>
              <w:rPr>
                <w:sz w:val="20"/>
                <w:szCs w:val="20"/>
                <w:color w:val="auto"/>
              </w:rPr>
            </w:pPr>
            <w:r>
              <w:rPr>
                <w:rFonts w:ascii="Arial" w:cs="Arial" w:eastAsia="Arial" w:hAnsi="Arial"/>
                <w:sz w:val="18"/>
                <w:szCs w:val="18"/>
                <w:color w:val="auto"/>
              </w:rPr>
              <w:t>LIABILITIES AND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23,701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 Current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30,667</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Capital Lease Obligations — Non-current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3,965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($1.00 par value; 100,000 shares authorized; 25,231 shares issued and outstanding in 2010; 24,145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in 2009)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25,231</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34,318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75,602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Altisource Equity</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135,151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136,625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86,348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174,473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jc w:val="center"/>
              <w:ind w:left="2510"/>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0" w:type="dxa"/>
            <w:vAlign w:val="bottom"/>
            <w:gridSpan w:val="2"/>
          </w:tcPr>
          <w:p>
            <w:pPr>
              <w:jc w:val="right"/>
              <w:ind w:right="2850"/>
              <w:spacing w:after="0"/>
              <w:rPr>
                <w:sz w:val="20"/>
                <w:szCs w:val="20"/>
                <w:color w:val="auto"/>
              </w:rPr>
            </w:pPr>
            <w:r>
              <w:rPr>
                <w:rFonts w:ascii="Arial" w:cs="Arial" w:eastAsia="Arial" w:hAnsi="Arial"/>
                <w:sz w:val="18"/>
                <w:szCs w:val="18"/>
                <w:color w:val="auto"/>
              </w:rPr>
              <w:t>- 3 -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right"/>
              <w:ind w:right="110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60" w:type="dxa"/>
            <w:vAlign w:val="bottom"/>
            <w:gridSpan w:val="6"/>
          </w:tcPr>
          <w:p>
            <w:pPr>
              <w:jc w:val="right"/>
              <w:ind w:right="6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color w:val="auto"/>
                <w:w w:val="85"/>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2009</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71,348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49,803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132,321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44,064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30,349</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83,102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58,352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27,284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19,454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12,787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25,172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14,497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10,781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14,537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10,009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24,015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722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17,644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7,015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24,737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11,454</w:t>
            </w: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11,454</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25,226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24,050</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24,960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26,247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24,050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25,965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24,050</w:t>
            </w: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35,784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22,464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color w:val="auto"/>
              </w:rPr>
              <w:t>Additional</w:t>
            </w:r>
          </w:p>
        </w:tc>
        <w:tc>
          <w:tcPr>
            <w:tcW w:w="1360" w:type="dxa"/>
            <w:vAlign w:val="bottom"/>
            <w:gridSpan w:val="3"/>
          </w:tcPr>
          <w:p>
            <w:pPr>
              <w:spacing w:after="0"/>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500" w:type="dxa"/>
            <w:vAlign w:val="bottom"/>
          </w:tcPr>
          <w:p>
            <w:pPr>
              <w:spacing w:after="0"/>
              <w:rPr>
                <w:sz w:val="14"/>
                <w:szCs w:val="14"/>
                <w:color w:val="auto"/>
              </w:rPr>
            </w:pPr>
          </w:p>
        </w:tc>
        <w:tc>
          <w:tcPr>
            <w:tcW w:w="1720" w:type="dxa"/>
            <w:vAlign w:val="bottom"/>
            <w:gridSpan w:val="4"/>
          </w:tcPr>
          <w:p>
            <w:pPr>
              <w:jc w:val="right"/>
              <w:ind w:right="330"/>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Retained Earnings</w:t>
            </w:r>
          </w:p>
        </w:tc>
        <w:tc>
          <w:tcPr>
            <w:tcW w:w="1520" w:type="dxa"/>
            <w:vAlign w:val="bottom"/>
            <w:gridSpan w:val="4"/>
          </w:tcPr>
          <w:p>
            <w:pPr>
              <w:ind w:left="220"/>
              <w:spacing w:after="0"/>
              <w:rPr>
                <w:sz w:val="20"/>
                <w:szCs w:val="20"/>
                <w:color w:val="auto"/>
              </w:rPr>
            </w:pPr>
            <w:r>
              <w:rPr>
                <w:rFonts w:ascii="Arial" w:cs="Arial" w:eastAsia="Arial" w:hAnsi="Arial"/>
                <w:sz w:val="14"/>
                <w:szCs w:val="14"/>
                <w:color w:val="auto"/>
              </w:rPr>
              <w:t>Paid-in Capital</w:t>
            </w:r>
          </w:p>
        </w:tc>
        <w:tc>
          <w:tcPr>
            <w:tcW w:w="14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color w:val="auto"/>
                <w:w w:val="97"/>
              </w:rPr>
              <w:t>Comprehensive Income</w:t>
            </w:r>
          </w:p>
        </w:tc>
      </w:tr>
      <w:tr>
        <w:trPr>
          <w:trHeight w:val="20"/>
        </w:trPr>
        <w:tc>
          <w:tcPr>
            <w:tcW w:w="2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$ 24,145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50,538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86,348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22,653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24,737</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24,737</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 The Mortgage</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Partnership of America,</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L.L.C.</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22,941</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27,168</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Contributions from Non-</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00" w:type="dxa"/>
            <w:vAlign w:val="bottom"/>
          </w:tcPr>
          <w:p>
            <w:pPr>
              <w:ind w:left="220"/>
              <w:spacing w:after="0"/>
              <w:rPr>
                <w:sz w:val="20"/>
                <w:szCs w:val="20"/>
                <w:color w:val="auto"/>
              </w:rPr>
            </w:pPr>
            <w:r>
              <w:rPr>
                <w:rFonts w:ascii="Arial" w:cs="Arial" w:eastAsia="Arial" w:hAnsi="Arial"/>
                <w:sz w:val="18"/>
                <w:szCs w:val="18"/>
                <w:color w:val="auto"/>
              </w:rPr>
              <w:t>controlling Interest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Holders</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controlling Interest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(3,896)</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Balance, June 30, 2010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$ 25,231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75,602</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136,625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Six Months Ended</w:t>
      </w:r>
    </w:p>
    <w:p>
      <w:pPr>
        <w:jc w:val="center"/>
        <w:ind w:left="916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24,737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(3,488)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Net Cash Flow from Operating Activities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24,342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13,101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Additions to Premises and Equipment,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(25,462)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Change in Restricted Cash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(31,051)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Payments of Line of Credit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 Exercises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Net Distribution to Parent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Financing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(9,616)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in Connection with Acquisition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Increase in Common Stock due to the Company’s Conversion to a Luxembourg Société Anonyme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Altisource Portfolio Solutions S.A. (which may be referred to as Altisource, the Company, we, us or our)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maximizes their returns.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see “Separation” below.</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February 2010, we acquired all of the outstanding membership interests of The Mortgage Partnership of America, L.L.C. (“MPA”). MPA was formed as a Delaware limited liability company to serve as the manager of Best Partners Mortgage Cooperative, Inc. (“BPMC”) doing business as Lenders One Mortgage Cooperative (“Lenders One”). Lenders One is a national alliance of independent mortgage bankers (“Members”) that provides its Members with education and training along with revenue enhancing, cost reducing and market share expanding opportunities (see Note 3).</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Products. In addition, we report our corporate related expenditures as a separate segment (see Note 15 for a description of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August 10, 2009 (the “Separation Date”), we became a stand-alone public company in connection with our separation from Ocwen Financial Corporation (“Ocwen”) (the “Separation”). Prior to the Separation, our businesses were wholly-owned subsidiaries of Ocwen. On the Separation Date, Ocwen distributed all of the Altisource common stock to Ocwen’s shareholders (the “Distribution”). Ocwen’s shareholders received one share of Altisource common stock for every three shares of Ocwen common stock held as of August 4, 2009 (the “Record Date”).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the Record Date was calculated first, and then we applied the distribution ratio of one share of Altisource common stock for every three shares of Ocwen common stock on an as converted basis to determine the number of shares each note holder received.</w:t>
      </w:r>
    </w:p>
    <w:p>
      <w:pPr>
        <w:spacing w:after="0" w:line="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historical financial statements include the assets and liabilities (accounted for at the historical values carried by Ocwen prior to the Separation), revenues and expenses directly attributable to our operations. Beginning August 10, 2009, after our assets and liabilities were formally contributed by Ocwen pursuant to the terms of a separation agreement, our financial statements have been presented on a consolidated basis for financial reporting purposes. Our condensed consolidated financial statements include the assets and liabilities, revenues and expenses directly attributable to our operations. All significant inter-company and inter-segment transactions and accounts have been eliminated upon consolidation. Certain amounts disclosed in prior period statements have been reclassified to conform to the current period presentation.</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periods prior to the Separation Date,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(See Note 2).</w:t>
      </w:r>
    </w:p>
    <w:p>
      <w:pPr>
        <w:spacing w:after="0" w:line="5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condensed consolidated financial statements for the three and six months ended June 30, 2009 also do not necessarily reflect what the Company’s condensed consolidated results of operations, financial position and cash flows would have been had the Company operated as an independent company during that period. For instance, as an independent public company, we incur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costs in excess of those allocated by Ocwen for maintaining a separate Board of Directors, obtaining a separate audit, relocating certain executive management and hiring additional personnel.</w:t>
      </w:r>
    </w:p>
    <w:p>
      <w:pPr>
        <w:spacing w:after="0" w:line="6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Prior to our acquisition, MPA and Lenders One entered into a management agreement that ends on December 31, 2025. MPA was formed to act on behalf of Lenders One and its Members principally to negotiate favorable terms on services. For providing these services MPA receives payment from Lenders One, and in some instances the vendors,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of Lenders One, represents a variable interest in a variable interest entity. MPA determined that they are the primary beneficiary of Lenders One as they have the power to direct the activities that most significantly impact Lenders One’s economic performance and the obligation to absorb losses or the right to receive benefits. As a result, Lenders One is presented in the accompanying condensed consolidated financial statements on a consolidated basis with the interests of the Members reflected as Non-controlling Interest on the Condensed Consolidated Balance Sheets. At June 30, 2010, Lenders One had total assets of $2.7 million and liabilities of $0.1 million.</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they do not include all of the information and notes required by GAAP for complete condensed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condensed consolidated financial statements should be read in conjunction with the consolidated financial statements and notes thereto contained in our Form 10-K filed with the SEC on March 17, 2010 which contains a summary of our significant accounting policies. Certain footnote detail is also omitted from the condensed consolidated financial statements unless there is a material change from the information included in the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reporting currency is the U.S. dollar. Other foreign currency assets 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Restricted Cash, Accounts Receivable, net and Accounts Payable and Accrued Expenses at June 30, 2010 and December 31, 2009, are carried at amounts that approximate their fair value due to the short-term nature of these amounts.</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addition, we entered into a put option arrangement with some of the predecessor owners of MPA in conjunction with the acquisition. The arrangement allows the holders to put a portion of the Altisource shares issued as consideration to Altisource at a predetermined price. Altisource calculated the fair value of this put option arrangement on the acquisition date at $1.3 million by utilizing a Black-Scholes option pricing model (see Note 3). The fair value calculation is deemed to be a Level 2 calculation under the guidelines set forth under FASB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fair value of the put at June 30, 2010 of $1.4 million was valued using the following assumptions: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8420" w:type="dxa"/>
            <w:vAlign w:val="bottom"/>
            <w:gridSpan w:val="3"/>
          </w:tcPr>
          <w:p>
            <w:pPr>
              <w:jc w:val="center"/>
              <w:ind w:right="2980"/>
              <w:spacing w:after="0"/>
              <w:rPr>
                <w:sz w:val="20"/>
                <w:szCs w:val="20"/>
                <w:color w:val="auto"/>
              </w:rPr>
            </w:pPr>
            <w:r>
              <w:rPr>
                <w:rFonts w:ascii="Arial" w:cs="Arial" w:eastAsia="Arial" w:hAnsi="Arial"/>
                <w:sz w:val="18"/>
                <w:szCs w:val="18"/>
                <w:b w:val="1"/>
                <w:bCs w:val="1"/>
                <w:color w:val="auto"/>
                <w:w w:val="99"/>
              </w:rPr>
              <w:t>ALTISOURCE PORTFOLIO SOLUTIONS S.A.</w:t>
            </w:r>
          </w:p>
        </w:tc>
      </w:tr>
      <w:tr>
        <w:trPr>
          <w:trHeight w:val="216"/>
        </w:trPr>
        <w:tc>
          <w:tcPr>
            <w:tcW w:w="3000" w:type="dxa"/>
            <w:vAlign w:val="bottom"/>
          </w:tcPr>
          <w:p>
            <w:pPr>
              <w:spacing w:after="0"/>
              <w:rPr>
                <w:sz w:val="18"/>
                <w:szCs w:val="18"/>
                <w:color w:val="auto"/>
              </w:rPr>
            </w:pPr>
          </w:p>
        </w:tc>
        <w:tc>
          <w:tcPr>
            <w:tcW w:w="8420" w:type="dxa"/>
            <w:vAlign w:val="bottom"/>
            <w:gridSpan w:val="3"/>
          </w:tcPr>
          <w:p>
            <w:pPr>
              <w:jc w:val="center"/>
              <w:ind w:right="2980"/>
              <w:spacing w:after="0"/>
              <w:rPr>
                <w:sz w:val="20"/>
                <w:szCs w:val="20"/>
                <w:color w:val="auto"/>
              </w:rPr>
            </w:pPr>
            <w:r>
              <w:rPr>
                <w:rFonts w:ascii="Arial" w:cs="Arial" w:eastAsia="Arial" w:hAnsi="Arial"/>
                <w:sz w:val="18"/>
                <w:szCs w:val="18"/>
                <w:color w:val="auto"/>
                <w:w w:val="89"/>
              </w:rPr>
              <w:t>Notes to Condensed Consolidated Financial Statements</w:t>
            </w:r>
          </w:p>
        </w:tc>
      </w:tr>
      <w:tr>
        <w:trPr>
          <w:trHeight w:val="230"/>
        </w:trPr>
        <w:tc>
          <w:tcPr>
            <w:tcW w:w="3000" w:type="dxa"/>
            <w:vAlign w:val="bottom"/>
          </w:tcPr>
          <w:p>
            <w:pPr>
              <w:spacing w:after="0"/>
              <w:rPr>
                <w:sz w:val="20"/>
                <w:szCs w:val="20"/>
                <w:color w:val="auto"/>
              </w:rPr>
            </w:pPr>
          </w:p>
        </w:tc>
        <w:tc>
          <w:tcPr>
            <w:tcW w:w="8420" w:type="dxa"/>
            <w:vAlign w:val="bottom"/>
            <w:gridSpan w:val="3"/>
          </w:tcPr>
          <w:p>
            <w:pPr>
              <w:jc w:val="center"/>
              <w:ind w:right="3000"/>
              <w:spacing w:after="0"/>
              <w:rPr>
                <w:sz w:val="20"/>
                <w:szCs w:val="20"/>
                <w:color w:val="auto"/>
              </w:rPr>
            </w:pPr>
            <w:r>
              <w:rPr>
                <w:rFonts w:ascii="Arial" w:cs="Arial" w:eastAsia="Arial" w:hAnsi="Arial"/>
                <w:sz w:val="18"/>
                <w:szCs w:val="18"/>
                <w:i w:val="1"/>
                <w:iCs w:val="1"/>
                <w:color w:val="auto"/>
                <w:w w:val="91"/>
              </w:rPr>
              <w:t>(continued)</w:t>
            </w:r>
          </w:p>
        </w:tc>
      </w:tr>
      <w:tr>
        <w:trPr>
          <w:trHeight w:val="365"/>
        </w:trPr>
        <w:tc>
          <w:tcPr>
            <w:tcW w:w="30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Assumptions</w:t>
            </w:r>
          </w:p>
        </w:tc>
        <w:tc>
          <w:tcPr>
            <w:tcW w:w="160" w:type="dxa"/>
            <w:vAlign w:val="bottom"/>
          </w:tcPr>
          <w:p>
            <w:pPr>
              <w:spacing w:after="0"/>
              <w:rPr>
                <w:sz w:val="24"/>
                <w:szCs w:val="24"/>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9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0.31% – 1.605%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940" w:type="dxa"/>
            <w:vAlign w:val="bottom"/>
          </w:tcPr>
          <w:p>
            <w:pPr>
              <w:spacing w:after="0"/>
              <w:rPr>
                <w:sz w:val="18"/>
                <w:szCs w:val="18"/>
                <w:color w:val="auto"/>
              </w:rPr>
            </w:pP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91"/>
              </w:rPr>
              <w:t>47% – 61%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9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69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69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Fair Value</w:t>
            </w:r>
          </w:p>
        </w:tc>
        <w:tc>
          <w:tcPr>
            <w:tcW w:w="8420" w:type="dxa"/>
            <w:vAlign w:val="bottom"/>
            <w:gridSpan w:val="3"/>
          </w:tcPr>
          <w:p>
            <w:pPr>
              <w:jc w:val="right"/>
              <w:ind w:right="160"/>
              <w:spacing w:after="0"/>
              <w:rPr>
                <w:sz w:val="20"/>
                <w:szCs w:val="20"/>
                <w:color w:val="auto"/>
              </w:rPr>
            </w:pPr>
            <w:r>
              <w:rPr>
                <w:rFonts w:ascii="Arial" w:cs="Arial" w:eastAsia="Arial" w:hAnsi="Arial"/>
                <w:sz w:val="18"/>
                <w:szCs w:val="18"/>
                <w:color w:val="auto"/>
              </w:rPr>
              <w:t>$    0.75 – $4.34</w:t>
            </w:r>
          </w:p>
        </w:tc>
      </w:tr>
    </w:tbl>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put option agreement is a written derivative valued similar to stock options and is included within “Other Non-current Liabilities” on the Condensed Consolidated Balance Sheet. The fair value of the put option agreements will be determined each quarter until such puts are either exercised or forfeited with any changes in value included as a component of “Other Income (Expense), net” in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Ocwen remains our largest customer. Following the Separation, Ocwen is contractually obligated to purchase certain Mortgage Services and Technology Products from us under service agreements. These agreements extend for eight years from the Separation Date subject to termination under certain provisions. Ocwen is not restricted from redeveloping these services. We have agreed with Ocwen to settle intercompany amounts on a weekly basis beginning in 2010.</w:t>
      </w:r>
    </w:p>
    <w:p>
      <w:pPr>
        <w:spacing w:after="0" w:line="3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consider certain services to be derived from Ocwen’s loan servicing portfolio rather than provided to Ocwen because such services are charged to the mortgagee and/or the investor and are not expenses to Ocwen. Ocwen, or services derived from Ocwen’s loan servicing portfolio, as a percentage of each of our segment revenues and as a percentage of consolidated revenues was as follows for the three and six months ended June 30: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900" w:type="dxa"/>
            <w:vAlign w:val="bottom"/>
            <w:gridSpan w:val="4"/>
          </w:tcPr>
          <w:p>
            <w:pPr>
              <w:jc w:val="center"/>
              <w:ind w:left="128"/>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color w:val="auto"/>
                <w:w w:val="95"/>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6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8"/>
              <w:spacing w:after="0"/>
              <w:rPr>
                <w:sz w:val="20"/>
                <w:szCs w:val="20"/>
                <w:color w:val="auto"/>
              </w:rPr>
            </w:pPr>
            <w:r>
              <w:rPr>
                <w:rFonts w:ascii="Arial" w:cs="Arial" w:eastAsia="Arial" w:hAnsi="Arial"/>
                <w:sz w:val="14"/>
                <w:szCs w:val="14"/>
                <w:color w:val="auto"/>
                <w:w w:val="89"/>
              </w:rPr>
              <w:t>June 30,</w:t>
            </w:r>
          </w:p>
        </w:tc>
        <w:tc>
          <w:tcPr>
            <w:tcW w:w="1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w w:val="89"/>
              </w:rPr>
              <w:t>2009</w:t>
            </w:r>
          </w:p>
        </w:tc>
        <w:tc>
          <w:tcPr>
            <w:tcW w:w="160" w:type="dxa"/>
            <w:vAlign w:val="bottom"/>
          </w:tcPr>
          <w:p>
            <w:pPr>
              <w:spacing w:after="0"/>
              <w:rPr>
                <w:sz w:val="12"/>
                <w:szCs w:val="12"/>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8"/>
              </w:rPr>
              <w:t>66%</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71%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8"/>
              </w:rPr>
              <w:t>67%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Technology Products</w:t>
            </w:r>
          </w:p>
        </w:tc>
        <w:tc>
          <w:tcPr>
            <w:tcW w:w="920" w:type="dxa"/>
            <w:vAlign w:val="bottom"/>
            <w:gridSpan w:val="2"/>
          </w:tcPr>
          <w:p>
            <w:pPr>
              <w:jc w:val="right"/>
              <w:ind w:right="508"/>
              <w:spacing w:after="0"/>
              <w:rPr>
                <w:sz w:val="20"/>
                <w:szCs w:val="20"/>
                <w:color w:val="auto"/>
              </w:rPr>
            </w:pPr>
            <w:r>
              <w:rPr>
                <w:rFonts w:ascii="Arial" w:cs="Arial" w:eastAsia="Arial" w:hAnsi="Arial"/>
                <w:sz w:val="18"/>
                <w:szCs w:val="18"/>
                <w:color w:val="auto"/>
                <w:w w:val="88"/>
              </w:rPr>
              <w:t>36%</w:t>
            </w:r>
          </w:p>
        </w:tc>
        <w:tc>
          <w:tcPr>
            <w:tcW w:w="48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44%</w:t>
            </w:r>
          </w:p>
        </w:tc>
        <w:tc>
          <w:tcPr>
            <w:tcW w:w="480" w:type="dxa"/>
            <w:vAlign w:val="bottom"/>
          </w:tcPr>
          <w:p>
            <w:pPr>
              <w:spacing w:after="0"/>
              <w:rPr>
                <w:sz w:val="18"/>
                <w:szCs w:val="18"/>
                <w:color w:val="auto"/>
              </w:rPr>
            </w:pPr>
          </w:p>
        </w:tc>
        <w:tc>
          <w:tcPr>
            <w:tcW w:w="920" w:type="dxa"/>
            <w:vAlign w:val="bottom"/>
            <w:gridSpan w:val="2"/>
          </w:tcPr>
          <w:p>
            <w:pPr>
              <w:jc w:val="right"/>
              <w:ind w:right="508"/>
              <w:spacing w:after="0"/>
              <w:rPr>
                <w:sz w:val="20"/>
                <w:szCs w:val="20"/>
                <w:color w:val="auto"/>
              </w:rPr>
            </w:pPr>
            <w:r>
              <w:rPr>
                <w:rFonts w:ascii="Arial" w:cs="Arial" w:eastAsia="Arial" w:hAnsi="Arial"/>
                <w:sz w:val="18"/>
                <w:szCs w:val="18"/>
                <w:color w:val="auto"/>
                <w:w w:val="88"/>
              </w:rPr>
              <w:t>37%</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7"/>
              </w:rPr>
              <w:t>&lt;1%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&lt;1%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7"/>
              </w:rPr>
              <w:t>&lt;1%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920" w:type="dxa"/>
            <w:vAlign w:val="bottom"/>
            <w:gridSpan w:val="2"/>
          </w:tcPr>
          <w:p>
            <w:pPr>
              <w:jc w:val="right"/>
              <w:ind w:right="508"/>
              <w:spacing w:after="0"/>
              <w:rPr>
                <w:sz w:val="20"/>
                <w:szCs w:val="20"/>
                <w:color w:val="auto"/>
              </w:rPr>
            </w:pPr>
            <w:r>
              <w:rPr>
                <w:rFonts w:ascii="Arial" w:cs="Arial" w:eastAsia="Arial" w:hAnsi="Arial"/>
                <w:sz w:val="18"/>
                <w:szCs w:val="18"/>
                <w:color w:val="auto"/>
                <w:w w:val="88"/>
              </w:rPr>
              <w:t>50%</w:t>
            </w:r>
          </w:p>
        </w:tc>
        <w:tc>
          <w:tcPr>
            <w:tcW w:w="480" w:type="dxa"/>
            <w:vAlign w:val="bottom"/>
          </w:tcPr>
          <w:p>
            <w:pPr>
              <w:spacing w:after="0"/>
              <w:rPr>
                <w:sz w:val="20"/>
                <w:szCs w:val="20"/>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45%</w:t>
            </w:r>
          </w:p>
        </w:tc>
        <w:tc>
          <w:tcPr>
            <w:tcW w:w="480" w:type="dxa"/>
            <w:vAlign w:val="bottom"/>
          </w:tcPr>
          <w:p>
            <w:pPr>
              <w:spacing w:after="0"/>
              <w:rPr>
                <w:sz w:val="20"/>
                <w:szCs w:val="20"/>
                <w:color w:val="auto"/>
              </w:rPr>
            </w:pPr>
          </w:p>
        </w:tc>
        <w:tc>
          <w:tcPr>
            <w:tcW w:w="920" w:type="dxa"/>
            <w:vAlign w:val="bottom"/>
            <w:gridSpan w:val="2"/>
          </w:tcPr>
          <w:p>
            <w:pPr>
              <w:jc w:val="right"/>
              <w:ind w:right="508"/>
              <w:spacing w:after="0"/>
              <w:rPr>
                <w:sz w:val="20"/>
                <w:szCs w:val="20"/>
                <w:color w:val="auto"/>
              </w:rPr>
            </w:pPr>
            <w:r>
              <w:rPr>
                <w:rFonts w:ascii="Arial" w:cs="Arial" w:eastAsia="Arial" w:hAnsi="Arial"/>
                <w:sz w:val="18"/>
                <w:szCs w:val="18"/>
                <w:color w:val="auto"/>
                <w:w w:val="88"/>
              </w:rPr>
              <w:t>49%</w:t>
            </w: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Corporate Costs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three and six months ended June 30, 2009,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Ocwen determined these allocations using proportional cost allocation methods including the use of relevant operating profit, fixed assets, sales and payroll measurements. Specifically, personnel and all associated costs, including compensation, benefits, occupancy and other costs, were allocated based on the estimated percentage of time spent by the individual in the various departments. External costs such as audit fees, legal fees, business insurance and other were allocated based on a combination of the sales, fixed assets and operating profits of the department whichever is most appropriate given the nature of the expense. Total corporate costs allocated to the Company, were $3.8 million for the six months ended June 30, 2009 ($1.8 million for the second quarter). The charges for these functions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included primarily in Selling, General and Administrative Expenses in the Condensed Consolidated Statements of Operations. However, these amounts may not be representative of the costs necessary for the Company to operate as a separate standalone company.</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prior to the Separation, Ocwen had allocated interest expense to us based upon our portion of assets to Ocwen’s total assets which is included in “Other Income (Expense) Net”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connection with the Separation, Altisource and Ocwen entered into a transition services agreement that provides to each other services in such areas as human resources, vendor management, corporate services, six sigma, quality assurance, quantitative analytics, treasury, accounting, risk management, legal, strategic planning, compliance and other areas where we, and Ocwen, may need transitional assistance and support following the Separation. For the six months ended June 30, 2010, Altisource billed Ocwen $0.8 million ($0.4 million for the second quarter), and Ocwen billed Altisource $0.6 million</w:t>
      </w:r>
    </w:p>
    <w:p>
      <w:pPr>
        <w:spacing w:after="0" w:line="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($0.3 million for the second quarter) for services provided under this agreement. These amounts are reflected as a component of Selling, General and Administrative expenses in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OF MPA</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February 2010, we acquired all of the outstanding membership interests of MPA pursuant to a Purchase and Sale Agreement. MPA serves as the manager of Lenders One, a national alliance of independent mortgage bankers. The alliance was established in 2000 and as of June 30, 2010 consisted of more than 170 members.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Consideration for the transaction consisted of cash, common stock and put option agreements: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Put Option Agreements at Fair Value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common stock consisted of 959,085 shares of Altisource’s common stock valued at $24.92 per share (based on the closing price of Altisource common stock on February 11, 2010), a portion of which (314,135 shares) will be held in escrow to secure MPA’s indemnification obligations under the Purchase and Sale Agreement. In addition, we entered into three put option agreements with certain of the sellers whereby each seller has the right, with respect to an aggregate of 0.5 million shares of our common stock, to put up to 25% of eligible shares each year for a total of four years at a price equal to $16.84 per share. The fair value of the put ($1.3 million) was valued at the date of acquisition using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Assumptions</w:t>
            </w:r>
          </w:p>
        </w:tc>
        <w:tc>
          <w:tcPr>
            <w:tcW w:w="16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1.914%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06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40% – 55%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6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6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Fair Value</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   0.74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$3.90</w:t>
            </w:r>
          </w:p>
        </w:tc>
      </w:tr>
      <w:tr>
        <w:trPr>
          <w:trHeight w:val="391"/>
        </w:trPr>
        <w:tc>
          <w:tcPr>
            <w:tcW w:w="3940" w:type="dxa"/>
            <w:vAlign w:val="bottom"/>
          </w:tcPr>
          <w:p>
            <w:pPr>
              <w:spacing w:after="0"/>
              <w:rPr>
                <w:sz w:val="24"/>
                <w:szCs w:val="24"/>
                <w:color w:val="auto"/>
              </w:rPr>
            </w:pPr>
          </w:p>
        </w:tc>
        <w:tc>
          <w:tcPr>
            <w:tcW w:w="6060" w:type="dxa"/>
            <w:vAlign w:val="bottom"/>
          </w:tcPr>
          <w:p>
            <w:pPr>
              <w:jc w:val="right"/>
              <w:ind w:right="405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94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04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ALTISOURCE PORTFOLIO SOLUTIONS S.A.</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jc w:val="center"/>
              <w:ind w:left="1270"/>
              <w:spacing w:after="0"/>
              <w:rPr>
                <w:sz w:val="20"/>
                <w:szCs w:val="20"/>
                <w:color w:val="auto"/>
              </w:rPr>
            </w:pPr>
            <w:r>
              <w:rPr>
                <w:rFonts w:ascii="Arial" w:cs="Arial" w:eastAsia="Arial" w:hAnsi="Arial"/>
                <w:sz w:val="18"/>
                <w:szCs w:val="18"/>
                <w:color w:val="auto"/>
                <w:w w:val="89"/>
              </w:rPr>
              <w:t>Notes to Condensed Consolidated Financial Statements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i w:val="1"/>
                <w:iCs w:val="1"/>
                <w:color w:val="auto"/>
                <w:w w:val="91"/>
              </w:rPr>
              <w:t>(continued)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The preliminary allocation of the purchase price is estimated as follows: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Premises and Equipment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second quarter of 2010, Altisource finalized its calculation of the Working Capital Adjustment within the 90 day period allocated by the purchase contract. The value was revised from $2.1 million to $0.8 million resulting in an offsetting decrease to Goodwill.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300" w:type="dxa"/>
            <w:vAlign w:val="bottom"/>
            <w:gridSpan w:val="3"/>
          </w:tcPr>
          <w:p>
            <w:pPr>
              <w:ind w:left="4340"/>
              <w:spacing w:after="0"/>
              <w:rPr>
                <w:sz w:val="20"/>
                <w:szCs w:val="20"/>
                <w:color w:val="auto"/>
              </w:rPr>
            </w:pPr>
            <w:r>
              <w:rPr>
                <w:rFonts w:ascii="Arial" w:cs="Arial" w:eastAsia="Arial" w:hAnsi="Arial"/>
                <w:sz w:val="14"/>
                <w:szCs w:val="14"/>
                <w:color w:val="auto"/>
              </w:rPr>
              <w:t>Estimated Life</w:t>
            </w:r>
          </w:p>
        </w:tc>
      </w:tr>
      <w:tr>
        <w:trPr>
          <w:trHeight w:val="167"/>
        </w:trPr>
        <w:tc>
          <w:tcPr>
            <w:tcW w:w="6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(in Years)</w:t>
            </w:r>
          </w:p>
        </w:tc>
        <w:tc>
          <w:tcPr>
            <w:tcW w:w="10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Management Agreement</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5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Non-compete</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Indefinite</w:t>
            </w:r>
          </w:p>
        </w:tc>
      </w:tr>
    </w:tbl>
    <w:p>
      <w:pPr>
        <w:spacing w:after="0" w:line="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goodwill arising from the acquisition, which was assigned to our Mortgage Services segment, consists of various components primarily including in-place workforce and anticipated revenue synergies given MPA’s market presence and future enhancements to our services including the development of origination services. All goodwill and intangible assets related to the acquisition of MPA are expected to be amortizable and deductible for income tax purposes.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entered into employee agreements with certain key employees of MPA who also received the majority of our shares issued in connection with the acquisition.</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and Net Income Attributable to Altisource from the date of acquisition through June 30, 2010, included in the Company’s Condensed Consolidated Statements of Operations,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420" w:type="dxa"/>
            <w:vAlign w:val="bottom"/>
            <w:gridSpan w:val="4"/>
          </w:tcPr>
          <w:p>
            <w:pPr>
              <w:ind w:left="320"/>
              <w:spacing w:after="0"/>
              <w:rPr>
                <w:sz w:val="20"/>
                <w:szCs w:val="20"/>
                <w:color w:val="auto"/>
              </w:rPr>
            </w:pPr>
            <w:r>
              <w:rPr>
                <w:rFonts w:ascii="Arial" w:cs="Arial" w:eastAsia="Arial" w:hAnsi="Arial"/>
                <w:sz w:val="14"/>
                <w:szCs w:val="14"/>
                <w:color w:val="auto"/>
                <w:w w:val="95"/>
              </w:rPr>
              <w:t>Six Months Ended</w:t>
            </w:r>
          </w:p>
        </w:tc>
      </w:tr>
      <w:tr>
        <w:trPr>
          <w:trHeight w:val="167"/>
        </w:trPr>
        <w:tc>
          <w:tcPr>
            <w:tcW w:w="78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color w:val="auto"/>
              </w:rPr>
              <w:t>June 30, 2010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June 30, 2010</w:t>
            </w:r>
          </w:p>
        </w:tc>
      </w:tr>
      <w:tr>
        <w:trPr>
          <w:trHeight w:val="195"/>
        </w:trPr>
        <w:tc>
          <w:tcPr>
            <w:tcW w:w="7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Revenue</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3,526</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5,828</w:t>
            </w:r>
          </w:p>
        </w:tc>
        <w:tc>
          <w:tcPr>
            <w:tcW w:w="20" w:type="dxa"/>
            <w:vAlign w:val="bottom"/>
          </w:tcPr>
          <w:p>
            <w:pPr>
              <w:spacing w:after="0"/>
              <w:rPr>
                <w:sz w:val="16"/>
                <w:szCs w:val="16"/>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bl>
    <w:p>
      <w:pPr>
        <w:spacing w:after="0" w:line="9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Acquisition transaction costs are included in Selling, General and Administrative and Expenses in the Condensed Consolidated Statements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the unaudited pro forma Revenue, Net Income Attributable to Altisource and Diluted Earnings Per Share as if the acquisition of MPA had occurred at the beginning of the period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5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6"/>
          </w:tcPr>
          <w:p>
            <w:pPr>
              <w:jc w:val="center"/>
              <w:ind w:right="720"/>
              <w:spacing w:after="0"/>
              <w:rPr>
                <w:sz w:val="20"/>
                <w:szCs w:val="20"/>
                <w:color w:val="auto"/>
              </w:rPr>
            </w:pPr>
            <w:r>
              <w:rPr>
                <w:rFonts w:ascii="Arial" w:cs="Arial" w:eastAsia="Arial" w:hAnsi="Arial"/>
                <w:sz w:val="14"/>
                <w:szCs w:val="14"/>
                <w:color w:val="auto"/>
                <w:w w:val="90"/>
              </w:rPr>
              <w:t>June 30, 2010</w:t>
            </w: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rPr>
              <w:t>As Reported</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$ 132,321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$ 133,965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22,653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5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580" w:type="dxa"/>
            <w:vAlign w:val="bottom"/>
          </w:tcPr>
          <w:p>
            <w:pPr>
              <w:spacing w:after="0"/>
              <w:rPr>
                <w:sz w:val="14"/>
                <w:szCs w:val="14"/>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June 30, 2009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6"/>
          </w:tcPr>
          <w:p>
            <w:pPr>
              <w:jc w:val="center"/>
              <w:ind w:right="720"/>
              <w:spacing w:after="0"/>
              <w:rPr>
                <w:sz w:val="20"/>
                <w:szCs w:val="20"/>
                <w:color w:val="auto"/>
              </w:rPr>
            </w:pPr>
            <w:r>
              <w:rPr>
                <w:rFonts w:ascii="Arial" w:cs="Arial" w:eastAsia="Arial" w:hAnsi="Arial"/>
                <w:sz w:val="14"/>
                <w:szCs w:val="14"/>
                <w:color w:val="auto"/>
                <w:w w:val="90"/>
              </w:rPr>
              <w:t>June 30, 2009</w:t>
            </w: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As Reported</w:t>
            </w:r>
          </w:p>
        </w:tc>
        <w:tc>
          <w:tcPr>
            <w:tcW w:w="6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0"/>
              </w:rPr>
              <w:t>Pro Forma</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rPr>
              <w:t>As Reported</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49,803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$ 55,681</w:t>
            </w: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92,422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$ 102,704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7,015</w:t>
            </w:r>
          </w:p>
        </w:tc>
        <w:tc>
          <w:tcPr>
            <w:tcW w:w="660" w:type="dxa"/>
            <w:vAlign w:val="bottom"/>
          </w:tcPr>
          <w:p>
            <w:pPr>
              <w:jc w:val="right"/>
              <w:spacing w:after="0"/>
              <w:rPr>
                <w:sz w:val="20"/>
                <w:szCs w:val="20"/>
                <w:color w:val="auto"/>
              </w:rPr>
            </w:pPr>
            <w:r>
              <w:rPr>
                <w:rFonts w:ascii="Arial" w:cs="Arial" w:eastAsia="Arial" w:hAnsi="Arial"/>
                <w:sz w:val="18"/>
                <w:szCs w:val="18"/>
                <w:color w:val="auto"/>
              </w:rPr>
              <w:t>6,610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11,454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NOTE 4 — ACCOUNTS RECEIVABLE, NET</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color w:val="auto"/>
              </w:rPr>
              <w:t>Accounts Receivable, net consists of the following:</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jc w:val="center"/>
              <w:ind w:right="460"/>
              <w:spacing w:after="0"/>
              <w:rPr>
                <w:sz w:val="20"/>
                <w:szCs w:val="20"/>
                <w:color w:val="auto"/>
              </w:rPr>
            </w:pPr>
            <w:r>
              <w:rPr>
                <w:rFonts w:ascii="Arial" w:cs="Arial" w:eastAsia="Arial" w:hAnsi="Arial"/>
                <w:sz w:val="14"/>
                <w:szCs w:val="14"/>
                <w:color w:val="auto"/>
                <w:w w:val="89"/>
              </w:rPr>
              <w:t>June 30,</w:t>
            </w:r>
          </w:p>
        </w:tc>
        <w:tc>
          <w:tcPr>
            <w:tcW w:w="2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color w:val="auto"/>
                <w:w w:val="96"/>
              </w:rPr>
              <w:t>2010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7"/>
              </w:rPr>
              <w:t>12,931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Unbilled Fees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w w:val="87"/>
              </w:rPr>
              <w:t>20,839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927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87"/>
              </w:rPr>
              <w:t>39,037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(1,488)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$ 37,549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at completion of the service.</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One of our customers in the Financial Services segment accounted for 10% and 20% of consolidated revenues in the six months ended June 30, 2010 and 2009, respectively. Another customer that contributes to both our Mortgage Services and Technology Products segments accounted for 11% of consolidated revenue in the six months ended June 30, 2010.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June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w w:val="98"/>
              </w:rPr>
              <w:t>Premises and Equipment, net which include amounts recorded under capital leases, consists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June 30,</w:t>
            </w:r>
          </w:p>
        </w:tc>
        <w:tc>
          <w:tcPr>
            <w:tcW w:w="3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27,119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9,048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3,160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41,407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(27,958)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13,449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Depreciation and amortization expense, inclusive of capital lease obligations, amounted to $3.2 million and $2.8 million for the six months ended June 30, 2010 and 2009 respectively ($1.7 million and $1.4 million for the second quarter of 2010 and 2009 respectively), and is included in Cost of Revenue for operating assets and in Selling, General and Administrative expense for non-operating assets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during the year ended June 30, 2010 and December 31, 2009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1640" w:type="dxa"/>
            <w:vAlign w:val="bottom"/>
            <w:gridSpan w:val="3"/>
          </w:tcPr>
          <w:p>
            <w:pPr>
              <w:spacing w:after="0"/>
              <w:rPr>
                <w:sz w:val="20"/>
                <w:szCs w:val="20"/>
                <w:color w:val="auto"/>
              </w:rPr>
            </w:pPr>
            <w:r>
              <w:rPr>
                <w:rFonts w:ascii="Arial" w:cs="Arial" w:eastAsia="Arial" w:hAnsi="Arial"/>
                <w:sz w:val="14"/>
                <w:szCs w:val="14"/>
                <w:color w:val="auto"/>
              </w:rPr>
              <w:t>Financial Services</w:t>
            </w:r>
          </w:p>
        </w:tc>
        <w:tc>
          <w:tcPr>
            <w:tcW w:w="1520" w:type="dxa"/>
            <w:vAlign w:val="bottom"/>
            <w:gridSpan w:val="3"/>
          </w:tcPr>
          <w:p>
            <w:pPr>
              <w:spacing w:after="0"/>
              <w:rPr>
                <w:sz w:val="20"/>
                <w:szCs w:val="20"/>
                <w:color w:val="auto"/>
              </w:rPr>
            </w:pPr>
            <w:r>
              <w:rPr>
                <w:rFonts w:ascii="Arial" w:cs="Arial" w:eastAsia="Arial" w:hAnsi="Arial"/>
                <w:sz w:val="14"/>
                <w:szCs w:val="14"/>
                <w:color w:val="auto"/>
              </w:rPr>
              <w:t>Technology Products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7,706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Acquisition of MPA</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8,835</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8,835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7,706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- 13 -</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Weighted Average</w:t>
            </w:r>
          </w:p>
        </w:tc>
        <w:tc>
          <w:tcPr>
            <w:tcW w:w="2180" w:type="dxa"/>
            <w:vAlign w:val="bottom"/>
            <w:gridSpan w:val="5"/>
          </w:tcPr>
          <w:p>
            <w:pPr>
              <w:ind w:left="260"/>
              <w:spacing w:after="0"/>
              <w:rPr>
                <w:sz w:val="20"/>
                <w:szCs w:val="20"/>
                <w:color w:val="auto"/>
              </w:rPr>
            </w:pPr>
            <w:r>
              <w:rPr>
                <w:rFonts w:ascii="Arial" w:cs="Arial" w:eastAsia="Arial" w:hAnsi="Arial"/>
                <w:sz w:val="14"/>
                <w:szCs w:val="14"/>
                <w:color w:val="auto"/>
              </w:rPr>
              <w:t>Gross Carrying 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ind w:left="120"/>
              <w:spacing w:after="0"/>
              <w:rPr>
                <w:sz w:val="20"/>
                <w:szCs w:val="20"/>
                <w:color w:val="auto"/>
              </w:rPr>
            </w:pPr>
            <w:r>
              <w:rPr>
                <w:rFonts w:ascii="Arial" w:cs="Arial" w:eastAsia="Arial" w:hAnsi="Arial"/>
                <w:sz w:val="14"/>
                <w:szCs w:val="14"/>
                <w:color w:val="auto"/>
              </w:rPr>
              <w:t>Accumulated Amortization</w:t>
            </w:r>
          </w:p>
        </w:tc>
        <w:tc>
          <w:tcPr>
            <w:tcW w:w="100" w:type="dxa"/>
            <w:vAlign w:val="bottom"/>
          </w:tcPr>
          <w:p>
            <w:pPr>
              <w:spacing w:after="0"/>
              <w:rPr>
                <w:sz w:val="14"/>
                <w:szCs w:val="14"/>
                <w:color w:val="auto"/>
              </w:rPr>
            </w:pPr>
          </w:p>
        </w:tc>
        <w:tc>
          <w:tcPr>
            <w:tcW w:w="1980" w:type="dxa"/>
            <w:vAlign w:val="bottom"/>
            <w:gridSpan w:val="6"/>
          </w:tcPr>
          <w:p>
            <w:pPr>
              <w:ind w:left="420"/>
              <w:spacing w:after="0"/>
              <w:rPr>
                <w:sz w:val="20"/>
                <w:szCs w:val="20"/>
                <w:color w:val="auto"/>
              </w:rPr>
            </w:pPr>
            <w:r>
              <w:rPr>
                <w:rFonts w:ascii="Arial" w:cs="Arial" w:eastAsia="Arial" w:hAnsi="Arial"/>
                <w:sz w:val="14"/>
                <w:szCs w:val="14"/>
                <w:color w:val="auto"/>
              </w:rPr>
              <w:t>Net Book Value</w:t>
            </w:r>
          </w:p>
        </w:tc>
      </w:tr>
      <w:tr>
        <w:trPr>
          <w:trHeight w:val="123"/>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gridSpan w:val="2"/>
          </w:tcPr>
          <w:p>
            <w:pPr>
              <w:jc w:val="center"/>
              <w:ind w:right="480"/>
              <w:spacing w:after="0" w:line="123" w:lineRule="exact"/>
              <w:rPr>
                <w:sz w:val="20"/>
                <w:szCs w:val="20"/>
                <w:color w:val="auto"/>
              </w:rPr>
            </w:pPr>
            <w:r>
              <w:rPr>
                <w:rFonts w:ascii="Arial" w:cs="Arial" w:eastAsia="Arial" w:hAnsi="Arial"/>
                <w:sz w:val="14"/>
                <w:szCs w:val="14"/>
                <w:color w:val="auto"/>
                <w:w w:val="96"/>
              </w:rPr>
              <w:t>Estimated Useful Life</w:t>
            </w:r>
          </w:p>
        </w:tc>
        <w:tc>
          <w:tcPr>
            <w:tcW w:w="112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June 30,</w:t>
            </w: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360"/>
              <w:spacing w:after="0" w:line="123" w:lineRule="exact"/>
              <w:rPr>
                <w:sz w:val="20"/>
                <w:szCs w:val="20"/>
                <w:color w:val="auto"/>
              </w:rPr>
            </w:pPr>
            <w:r>
              <w:rPr>
                <w:rFonts w:ascii="Arial" w:cs="Arial" w:eastAsia="Arial" w:hAnsi="Arial"/>
                <w:sz w:val="14"/>
                <w:szCs w:val="14"/>
                <w:color w:val="auto"/>
                <w:w w:val="89"/>
              </w:rPr>
              <w:t>June 30,</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June 30,</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(Years)</w:t>
            </w:r>
          </w:p>
        </w:tc>
        <w:tc>
          <w:tcPr>
            <w:tcW w:w="660" w:type="dxa"/>
            <w:vAlign w:val="bottom"/>
          </w:tcPr>
          <w:p>
            <w:pPr>
              <w:jc w:val="right"/>
              <w:ind w:right="117"/>
              <w:spacing w:after="0"/>
              <w:rPr>
                <w:sz w:val="20"/>
                <w:szCs w:val="20"/>
                <w:color w:val="auto"/>
              </w:rPr>
            </w:pPr>
            <w:r>
              <w:rPr>
                <w:rFonts w:ascii="Arial" w:cs="Arial" w:eastAsia="Arial" w:hAnsi="Arial"/>
                <w:sz w:val="14"/>
                <w:szCs w:val="14"/>
                <w:color w:val="auto"/>
              </w:rPr>
              <w:t>2010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color w:val="auto"/>
              </w:rPr>
              <w:t>2010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Definite-lived Intangible</w:t>
            </w:r>
          </w:p>
        </w:tc>
        <w:tc>
          <w:tcPr>
            <w:tcW w:w="36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$ 10,200</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1,932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8,268</w:t>
            </w:r>
          </w:p>
        </w:tc>
        <w:tc>
          <w:tcPr>
            <w:tcW w:w="2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Lists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32,366</w:t>
            </w: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Operating Agreement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34,028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Non-competes</w:t>
            </w:r>
          </w:p>
        </w:tc>
        <w:tc>
          <w:tcPr>
            <w:tcW w:w="2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$ 84,100</w:t>
            </w:r>
          </w:p>
        </w:tc>
        <w:tc>
          <w:tcPr>
            <w:tcW w:w="4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40,500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9,420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6,781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74,680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Amortization expense for definite lived intangible assets was $2.6 million and $1.3 million for the six months ended June 30, 2010 and 2009, respectively ($1.5 million and $0.7 million for the second quarter ended 2010 and 2009 respectively). Amortization expense is expected to be $5.4 million, $5.6 million, $5.3 million, $5.1 million and $4.8 million for the years 2010 through 2014.</w:t>
      </w:r>
    </w:p>
    <w:p>
      <w:pPr>
        <w:spacing w:after="0" w:line="177" w:lineRule="exact"/>
        <w:rPr>
          <w:sz w:val="20"/>
          <w:szCs w:val="20"/>
          <w:color w:val="auto"/>
        </w:rPr>
      </w:pPr>
    </w:p>
    <w:p>
      <w:pPr>
        <w:ind w:right="3440"/>
        <w:spacing w:after="0" w:line="407" w:lineRule="auto"/>
        <w:rPr>
          <w:sz w:val="20"/>
          <w:szCs w:val="20"/>
          <w:color w:val="auto"/>
        </w:rPr>
      </w:pPr>
      <w:r>
        <w:rPr>
          <w:rFonts w:ascii="Arial" w:cs="Arial" w:eastAsia="Arial" w:hAnsi="Arial"/>
          <w:sz w:val="18"/>
          <w:szCs w:val="18"/>
          <w:b w:val="1"/>
          <w:bCs w:val="1"/>
          <w:color w:val="auto"/>
        </w:rPr>
        <w:t xml:space="preserve">NOTE 8 — ACCOUNTS PAYABLE, ACCRUED EXPENSES AND OTHER CURRENT LIABILITIES </w:t>
      </w:r>
      <w:r>
        <w:rPr>
          <w:rFonts w:ascii="Arial" w:cs="Arial" w:eastAsia="Arial" w:hAnsi="Arial"/>
          <w:sz w:val="18"/>
          <w:szCs w:val="18"/>
          <w:color w:val="auto"/>
        </w:rPr>
        <w:t>Accounts Payable and Accrued Expenses consists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3,043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4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8,615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4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23,701</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consists of the following:</w:t>
            </w: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gridSpan w:val="2"/>
            <w:vMerge w:val="continue"/>
          </w:tcPr>
          <w:p>
            <w:pPr>
              <w:spacing w:after="0"/>
              <w:rPr>
                <w:sz w:val="24"/>
                <w:szCs w:val="24"/>
                <w:color w:val="auto"/>
              </w:rPr>
            </w:pPr>
          </w:p>
        </w:tc>
        <w:tc>
          <w:tcPr>
            <w:tcW w:w="4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Mortgage Charge-Off and Deficiency Collections</w:t>
            </w:r>
          </w:p>
        </w:tc>
        <w:tc>
          <w:tcPr>
            <w:tcW w:w="4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Revenue</w:t>
            </w:r>
          </w:p>
        </w:tc>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4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5,911</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0" w:type="dxa"/>
            <w:vAlign w:val="bottom"/>
            <w:vMerge w:val="restart"/>
          </w:tcPr>
          <w:p>
            <w:pPr>
              <w:jc w:val="right"/>
              <w:ind w:right="2590"/>
              <w:spacing w:after="0"/>
              <w:rPr>
                <w:sz w:val="20"/>
                <w:szCs w:val="20"/>
                <w:color w:val="auto"/>
              </w:rPr>
            </w:pPr>
            <w:r>
              <w:rPr>
                <w:rFonts w:ascii="Arial" w:cs="Arial" w:eastAsia="Arial" w:hAnsi="Arial"/>
                <w:sz w:val="18"/>
                <w:szCs w:val="18"/>
                <w:color w:val="auto"/>
              </w:rPr>
              <w:t>- 14 -</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for the closure of two facilities. The following table summarizes the activity, all recorded in our Financial Services segment, for the six months ended June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Lease Costs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Less: Long-Term Portion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We do not expect additional significant costs related to the closure of these facilities.</w:t>
            </w: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BASED COMPENSATION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stock-based awards as a form of compensation for certain employees and officers. We have issued stock-based awards in the form of stock options and restricted stock units. We recorded total stock compensation expense of $1.0 million for the six months ended June 30, 2010 ($0.7 million for the quarter). The compensation expense is included in Selling, General and Administrative Expenses in the accompany Condensed Consolidated Statements of Operations. During the second quarter of 2010, we issued 1,039 shares to each of our four Board of Directors and recorded a compensation charge of $0.2 million associated with the issuance.</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six months ended June 30, 2010, the Company granted 0.9 million stock options with an exercise prices ranging between $22.00 and $25.00 per share depending on the grant date. The vesting schedule for the options has a time-based component, in which 25% of the options vest in equal increments over four years, and a market-based component, in which up to 75% of the options could vest in equal increments over four years commencing upon the achievement of certain performance criteria related to our stock price and the annualized rate of return to investors. Two-thirds of the market-based options would begin to vest over three years if the stock price realizes a compounded annual gain of at least 20% over the exercise price, so long as the stock price is at least double the exercise price. The remaining third of the market-based options would begin to vest over three years if the stock price realizes a 25% gain, so long as the stock price is at least triple the exercise price.</w:t>
      </w:r>
    </w:p>
    <w:p>
      <w:pPr>
        <w:spacing w:after="0" w:line="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fair value of the time-based options was determined using the Black-Scholes options pricing model while a lattice (binomial) model was used to determine the fair value of the market-based options using the following assumptions as of the grant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60" w:type="dxa"/>
            <w:vAlign w:val="bottom"/>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Black-Scholes</w:t>
            </w:r>
          </w:p>
        </w:tc>
        <w:tc>
          <w:tcPr>
            <w:tcW w:w="680" w:type="dxa"/>
            <w:vAlign w:val="bottom"/>
          </w:tcPr>
          <w:p>
            <w:pPr>
              <w:spacing w:after="0"/>
              <w:rPr>
                <w:sz w:val="14"/>
                <w:szCs w:val="14"/>
                <w:color w:val="auto"/>
              </w:rPr>
            </w:pPr>
          </w:p>
        </w:tc>
        <w:tc>
          <w:tcPr>
            <w:tcW w:w="12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Binomial</w:t>
            </w:r>
          </w:p>
        </w:tc>
        <w:tc>
          <w:tcPr>
            <w:tcW w:w="16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1.61% — 1.90%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 — 3.66%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36% — 40%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 — 42%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Fair Value</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$ 6.80 — $8.35</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$7.35 and $10.04</w:t>
            </w:r>
          </w:p>
        </w:tc>
      </w:tr>
    </w:tbl>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2010, estimated unrecognized compensation costs related to share-based payments amounted to $7.9 million which we expect to recognize over a weighted-average remaining requisite service period of approximately 3.9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color w:val="auto"/>
                <w:w w:val="91"/>
              </w:rPr>
              <w:t>Weighted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Average</w:t>
            </w:r>
          </w:p>
        </w:tc>
        <w:tc>
          <w:tcPr>
            <w:tcW w:w="20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2"/>
              </w:rPr>
              <w:t>Weighted Average</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Exercise</w:t>
            </w:r>
          </w:p>
        </w:tc>
        <w:tc>
          <w:tcPr>
            <w:tcW w:w="32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Contractual Term</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Options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93"/>
              </w:rPr>
              <w:t>Price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(in years)</w:t>
            </w:r>
          </w:p>
        </w:tc>
        <w:tc>
          <w:tcPr>
            <w:tcW w:w="6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3,190,639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887,500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23.51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(58,333)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17.52</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3,895,672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12.88</w:t>
            </w:r>
          </w:p>
        </w:tc>
        <w:tc>
          <w:tcPr>
            <w:tcW w:w="2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2"/>
          </w:tcPr>
          <w:p>
            <w:pPr>
              <w:spacing w:after="0"/>
              <w:rPr>
                <w:sz w:val="20"/>
                <w:szCs w:val="20"/>
                <w:color w:val="auto"/>
              </w:rPr>
            </w:pPr>
            <w:r>
              <w:rPr>
                <w:rFonts w:ascii="Arial" w:cs="Arial" w:eastAsia="Arial" w:hAnsi="Arial"/>
                <w:sz w:val="18"/>
                <w:szCs w:val="18"/>
                <w:color w:val="auto"/>
              </w:rPr>
              <w:t>Exercisable at June 30, 2010</w:t>
            </w:r>
          </w:p>
        </w:tc>
        <w:tc>
          <w:tcPr>
            <w:tcW w:w="840" w:type="dxa"/>
            <w:vAlign w:val="bottom"/>
          </w:tcPr>
          <w:p>
            <w:pPr>
              <w:jc w:val="right"/>
              <w:spacing w:after="0"/>
              <w:rPr>
                <w:sz w:val="20"/>
                <w:szCs w:val="20"/>
                <w:color w:val="auto"/>
              </w:rPr>
            </w:pPr>
            <w:r>
              <w:rPr>
                <w:rFonts w:ascii="Arial" w:cs="Arial" w:eastAsia="Arial" w:hAnsi="Arial"/>
                <w:sz w:val="18"/>
                <w:szCs w:val="18"/>
                <w:color w:val="auto"/>
              </w:rPr>
              <w:t>1,199,745</w:t>
            </w:r>
          </w:p>
        </w:tc>
        <w:tc>
          <w:tcPr>
            <w:tcW w:w="3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9.82</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Restricted Shares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gridSpan w:val="4"/>
          </w:tcPr>
          <w:p>
            <w:pPr>
              <w:spacing w:after="0"/>
              <w:rPr>
                <w:sz w:val="20"/>
                <w:szCs w:val="20"/>
                <w:color w:val="auto"/>
              </w:rPr>
            </w:pPr>
            <w:r>
              <w:rPr>
                <w:rFonts w:ascii="Arial" w:cs="Arial" w:eastAsia="Arial" w:hAnsi="Arial"/>
                <w:sz w:val="18"/>
                <w:szCs w:val="18"/>
                <w:color w:val="auto"/>
              </w:rPr>
              <w:t>Activity with respect to restricted shares was as follows for the six months ended June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Restricted Shares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3"/>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Vested</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COST OF REVENUE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June 30, 2010 and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39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3"/>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15,691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12,803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29,690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13,321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9,959</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25,781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11,141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19,671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3,911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3,869</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44,064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30,349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83,102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- 16 -</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SELLING, GENERAL AND ADMINISTRATIVE EXPENSES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consumer behavior, internal audit and finance roles. This category also includes professional fees, depreciation and amortization on non-operating assets. The components of selling, general and administrative expenses were as follows for the periods ended June 30, 2010 and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Professional Services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2,529</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4,057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1,450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2,639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12,787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8,673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25,172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16,151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OTHER INCOME (EXPENSE), NET</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Through the date of Separation, Interest Expense included an interest charge from Ocwen which represented an allocation of Ocwen’s total interest expense calculated based on our assets in comparison to Ocwen’s total assets. This charge was $1.1 million for the six months ending June 30, 2009 ($0.5 million for the second quarter). Subsequent to the date of Separation, we are no longer subject to the interest charge from Ocwen.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periods prior to the Separation Date, we are included in Ocwen’s tax returns. Our responsibility with respect to these periods is governed by a tax sharing agreement. In accordance with this agreement, U.S. income taxes were allocated as if they had been calculated on a separate company basis except that benefits for any net operating losses will be provided to the extent such loss is utilized in the consolidated U.S. federal tax return. The provision for income taxes prior to the Separation Date has been determined on a pro-forma basis as if we had filed separate income taxes under our current structure for the periods presented.</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revised its estimated effective tax rate for the full year 2010 to 12.5% in the second quarter. The revised estimate was due to the receipt of a favorable ruling in June 2010 regarding the treatment of certain intangibles that exist for purposes of determining the Company’s taxable income. The ruling is retroactive to the Separation Date. As a result of the ruling the Company recognized a $3.4 million credit attributable to 2009 in the second quarter. The net impact of the 2009 credit and the current year provision was a credit of $0.7 million recognized for the six months ended June 30, 2010. Income tax provision on income before income tax differs from amounts that would be computed by applying the Luxembourg federal corporate income tax rate of 28.6% primarily because of the effect of enacted tax statutes in multiple jurisdictions, the treatment of intangibles for tax purposes and differing tax rates outside of Luxembourg. This ruling did not have a material impact on our deferred tax assets or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Basic earnings per share (“EPS”) is computed by dividing income available to common stockholders by the weighted average number of common shares outstanding for the period. Diluted EPS reflects the assumed conversion of all dilutive securities. On August 10, 2009, the Distribution by Ocwen was completed to the Ocwen stockholders of one share of Altisource common stock for every 3 shares of Ocwen common stock held as of August 4, 2009.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August 4, 2009 was calculated first, and then we applied the distribution ratio of one share of Altisource common stock for every three shares of Ocwen common stock on an as converted basis to determine the number of shares each note holder received. As a result on August 10, 2009, the Company had 24,050,340 shares of common stock outstanding, and this share amount is being utilized for the calculation of basic EPS for all periods presented prior to the date of the Distribution.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2010 and 2009 are calculated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gridSpan w:val="3"/>
          </w:tcPr>
          <w:p>
            <w:pPr>
              <w:jc w:val="center"/>
              <w:ind w:left="136"/>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color w:val="auto"/>
                <w:w w:val="92"/>
              </w:rPr>
              <w:t>June 30, 2010</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0"/>
              </w:rPr>
              <w:t>June 30, 2009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2"/>
              </w:rPr>
              <w:t>Weighted Ave.</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2"/>
              </w:rPr>
              <w:t>Weighted Ave.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Income</w:t>
            </w:r>
          </w:p>
        </w:tc>
        <w:tc>
          <w:tcPr>
            <w:tcW w:w="42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color w:val="auto"/>
                <w:w w:val="85"/>
              </w:rPr>
              <w:t>Shares</w:t>
            </w:r>
          </w:p>
        </w:tc>
        <w:tc>
          <w:tcPr>
            <w:tcW w:w="1320" w:type="dxa"/>
            <w:vAlign w:val="bottom"/>
            <w:gridSpan w:val="3"/>
          </w:tcPr>
          <w:p>
            <w:pPr>
              <w:jc w:val="right"/>
              <w:ind w:right="700"/>
              <w:spacing w:after="0"/>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w w:val="95"/>
              </w:rPr>
              <w:t>Income</w:t>
            </w:r>
          </w:p>
        </w:tc>
        <w:tc>
          <w:tcPr>
            <w:tcW w:w="6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16,347</w:t>
            </w:r>
          </w:p>
        </w:tc>
        <w:tc>
          <w:tcPr>
            <w:tcW w:w="19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25,226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24,050</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16,347</w:t>
            </w:r>
          </w:p>
        </w:tc>
        <w:tc>
          <w:tcPr>
            <w:tcW w:w="19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26,247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24,050</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color w:val="auto"/>
                <w:w w:val="95"/>
              </w:rPr>
              <w:t>Six Months Ended</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gridSpan w:val="3"/>
          </w:tcPr>
          <w:p>
            <w:pPr>
              <w:jc w:val="center"/>
              <w:ind w:left="156"/>
              <w:spacing w:after="0"/>
              <w:rPr>
                <w:sz w:val="20"/>
                <w:szCs w:val="20"/>
                <w:color w:val="auto"/>
              </w:rPr>
            </w:pPr>
            <w:r>
              <w:rPr>
                <w:rFonts w:ascii="Arial" w:cs="Arial" w:eastAsia="Arial" w:hAnsi="Arial"/>
                <w:sz w:val="14"/>
                <w:szCs w:val="14"/>
                <w:color w:val="auto"/>
                <w:w w:val="95"/>
              </w:rPr>
              <w:t>Six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color w:val="auto"/>
                <w:w w:val="87"/>
              </w:rPr>
              <w:t>June 30, 2010</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0"/>
              </w:rPr>
              <w:t>June 30, 2009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0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94"/>
              </w:rPr>
              <w:t>Weighted Ave.</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2"/>
              </w:rPr>
              <w:t>Weighted Ave.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4"/>
                <w:szCs w:val="14"/>
                <w:i w:val="1"/>
                <w:iCs w:val="1"/>
                <w:color w:val="auto"/>
              </w:rPr>
              <w:t>share amounts)</w:t>
            </w:r>
          </w:p>
        </w:tc>
        <w:tc>
          <w:tcPr>
            <w:tcW w:w="5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color w:val="auto"/>
              </w:rPr>
              <w:t>Income</w:t>
            </w:r>
          </w:p>
        </w:tc>
        <w:tc>
          <w:tcPr>
            <w:tcW w:w="42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color w:val="auto"/>
                <w:w w:val="85"/>
              </w:rPr>
              <w:t>Shares</w:t>
            </w:r>
          </w:p>
        </w:tc>
        <w:tc>
          <w:tcPr>
            <w:tcW w:w="1320" w:type="dxa"/>
            <w:vAlign w:val="bottom"/>
            <w:gridSpan w:val="3"/>
          </w:tcPr>
          <w:p>
            <w:pPr>
              <w:jc w:val="right"/>
              <w:ind w:right="720"/>
              <w:spacing w:after="0"/>
              <w:rPr>
                <w:sz w:val="20"/>
                <w:szCs w:val="20"/>
                <w:color w:val="auto"/>
              </w:rPr>
            </w:pPr>
            <w:r>
              <w:rPr>
                <w:rFonts w:ascii="Arial" w:cs="Arial" w:eastAsia="Arial" w:hAnsi="Arial"/>
                <w:sz w:val="14"/>
                <w:szCs w:val="14"/>
                <w:color w:val="auto"/>
                <w:w w:val="91"/>
              </w:rPr>
              <w:t>Per Share</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w w:val="95"/>
              </w:rPr>
              <w:t>Income</w:t>
            </w:r>
          </w:p>
        </w:tc>
        <w:tc>
          <w:tcPr>
            <w:tcW w:w="6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22,653</w:t>
            </w:r>
          </w:p>
        </w:tc>
        <w:tc>
          <w:tcPr>
            <w:tcW w:w="28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91</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22,653</w:t>
            </w:r>
          </w:p>
        </w:tc>
        <w:tc>
          <w:tcPr>
            <w:tcW w:w="28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25,965</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87</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 total of 0.2 million options that were anti-dilutive have been excluded from the computation of diluted EPS for the three and six months ended June 30, 2010. These options were anti-dilutive because their exercise price was greater than the average market price of our stock. Also excluded from the computation of diluted EPS in both 2010 periods are 0.7 million options granted for shares that are issuable upon the achievement of certain market and performance criteria related to our stock price and an annualized rate of return to investors that have not been met at this point.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REPORTING</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and to assess the allocation of our resources by our Chief Executive Officer.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segments are based upon our organizational structure which focuses primarily on the services offered.</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We classify our businesses into three reportable segments.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consists of mortgage portfolio management services that span the mortgage lifecycle.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principally consists of unsecured asset recovery and customer relationship management. </w:t>
      </w:r>
      <w:r>
        <w:rPr>
          <w:rFonts w:ascii="Arial" w:cs="Arial" w:eastAsia="Arial" w:hAnsi="Arial"/>
          <w:sz w:val="18"/>
          <w:szCs w:val="18"/>
          <w:i w:val="1"/>
          <w:iCs w:val="1"/>
          <w:color w:val="auto"/>
        </w:rPr>
        <w:t>Technology Products</w:t>
      </w:r>
      <w:r>
        <w:rPr>
          <w:rFonts w:ascii="Arial" w:cs="Arial" w:eastAsia="Arial" w:hAnsi="Arial"/>
          <w:sz w:val="18"/>
          <w:szCs w:val="18"/>
          <w:color w:val="auto"/>
        </w:rPr>
        <w:t xml:space="preserve"> consists of modular, comprehensive integrated technological solutions for loan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servicing, vendor management and invoice presentment. In addition, our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segment prior to the Separation Date includes eliminations of transactions between the reporting segments as well as expenditures recognized by us related to the Separation. Subsequent to the Separation Date, in addition to the previously mentioned items, this segment also includes costs recognized by us related to corporate support functions such as finance, legal, human resources and consumer behavior.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w w:val="91"/>
              </w:rPr>
              <w:t>Three Months Ended June 30, 2010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spacing w:after="0" w:line="123" w:lineRule="exact"/>
              <w:rPr>
                <w:sz w:val="20"/>
                <w:szCs w:val="20"/>
                <w:color w:val="auto"/>
              </w:rPr>
            </w:pPr>
            <w:r>
              <w:rPr>
                <w:rFonts w:ascii="Arial" w:cs="Arial" w:eastAsia="Arial" w:hAnsi="Arial"/>
                <w:sz w:val="14"/>
                <w:szCs w:val="14"/>
                <w:color w:val="auto"/>
              </w:rPr>
              <w:t>Corporate Items and</w:t>
            </w:r>
          </w:p>
        </w:tc>
        <w:tc>
          <w:tcPr>
            <w:tcW w:w="260" w:type="dxa"/>
            <w:vAlign w:val="bottom"/>
          </w:tcPr>
          <w:p>
            <w:pPr>
              <w:spacing w:after="0"/>
              <w:rPr>
                <w:sz w:val="10"/>
                <w:szCs w:val="10"/>
                <w:color w:val="auto"/>
              </w:rPr>
            </w:pPr>
          </w:p>
        </w:tc>
        <w:tc>
          <w:tcPr>
            <w:tcW w:w="740" w:type="dxa"/>
            <w:vAlign w:val="bottom"/>
            <w:gridSpan w:val="2"/>
          </w:tcPr>
          <w:p>
            <w:pPr>
              <w:spacing w:after="0" w:line="123" w:lineRule="exact"/>
              <w:rPr>
                <w:sz w:val="20"/>
                <w:szCs w:val="20"/>
                <w:color w:val="auto"/>
              </w:rPr>
            </w:pPr>
            <w:r>
              <w:rPr>
                <w:rFonts w:ascii="Arial" w:cs="Arial" w:eastAsia="Arial" w:hAnsi="Arial"/>
                <w:sz w:val="14"/>
                <w:szCs w:val="14"/>
                <w:color w:val="auto"/>
                <w:w w:val="85"/>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Financial Services</w:t>
            </w:r>
          </w:p>
        </w:tc>
        <w:tc>
          <w:tcPr>
            <w:tcW w:w="2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26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47,076</w:t>
            </w:r>
          </w:p>
        </w:tc>
        <w:tc>
          <w:tcPr>
            <w:tcW w:w="7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15,480</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18,557</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4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14,839</w:t>
            </w: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(917)</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(3,917)</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14,798</w:t>
            </w:r>
          </w:p>
        </w:tc>
        <w:tc>
          <w:tcPr>
            <w:tcW w:w="7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(930)</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Above:</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74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31,222</w:t>
            </w:r>
          </w:p>
        </w:tc>
        <w:tc>
          <w:tcPr>
            <w:tcW w:w="7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4,537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00"/>
              <w:spacing w:after="0"/>
              <w:rPr>
                <w:sz w:val="20"/>
                <w:szCs w:val="20"/>
                <w:color w:val="auto"/>
              </w:rPr>
            </w:pPr>
            <w:r>
              <w:rPr>
                <w:rFonts w:ascii="Arial" w:cs="Arial" w:eastAsia="Arial" w:hAnsi="Arial"/>
                <w:sz w:val="18"/>
                <w:szCs w:val="18"/>
                <w:color w:val="auto"/>
                <w:w w:val="90"/>
              </w:rPr>
              <w:t>Selling, General and Administrative Expenses</w:t>
            </w: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color w:val="auto"/>
                <w:w w:val="95"/>
              </w:rPr>
              <w:t>Six Months Ended June 30, 2010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gridSpan w:val="4"/>
          </w:tcPr>
          <w:p>
            <w:pPr>
              <w:ind w:left="80"/>
              <w:spacing w:after="0" w:line="123" w:lineRule="exact"/>
              <w:rPr>
                <w:sz w:val="20"/>
                <w:szCs w:val="20"/>
                <w:color w:val="auto"/>
              </w:rPr>
            </w:pPr>
            <w:r>
              <w:rPr>
                <w:rFonts w:ascii="Arial" w:cs="Arial" w:eastAsia="Arial" w:hAnsi="Arial"/>
                <w:sz w:val="14"/>
                <w:szCs w:val="14"/>
                <w:color w:val="auto"/>
              </w:rPr>
              <w:t>Corporate Items and</w:t>
            </w:r>
          </w:p>
        </w:tc>
        <w:tc>
          <w:tcPr>
            <w:tcW w:w="1000" w:type="dxa"/>
            <w:vAlign w:val="bottom"/>
            <w:gridSpan w:val="3"/>
          </w:tcPr>
          <w:p>
            <w:pPr>
              <w:ind w:left="240"/>
              <w:spacing w:after="0" w:line="123" w:lineRule="exact"/>
              <w:rPr>
                <w:sz w:val="20"/>
                <w:szCs w:val="20"/>
                <w:color w:val="auto"/>
              </w:rPr>
            </w:pPr>
            <w:r>
              <w:rPr>
                <w:rFonts w:ascii="Arial" w:cs="Arial" w:eastAsia="Arial" w:hAnsi="Arial"/>
                <w:sz w:val="14"/>
                <w:szCs w:val="14"/>
                <w:color w:val="auto"/>
                <w:w w:val="88"/>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gridSpan w:val="4"/>
          </w:tcPr>
          <w:p>
            <w:pPr>
              <w:ind w:left="400"/>
              <w:spacing w:after="0"/>
              <w:rPr>
                <w:sz w:val="20"/>
                <w:szCs w:val="20"/>
                <w:color w:val="auto"/>
              </w:rPr>
            </w:pPr>
            <w:r>
              <w:rPr>
                <w:rFonts w:ascii="Arial" w:cs="Arial" w:eastAsia="Arial" w:hAnsi="Arial"/>
                <w:sz w:val="14"/>
                <w:szCs w:val="14"/>
                <w:color w:val="auto"/>
              </w:rPr>
              <w:t>Mortgage Services</w:t>
            </w: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Financial Services</w:t>
            </w:r>
          </w:p>
        </w:tc>
        <w:tc>
          <w:tcPr>
            <w:tcW w:w="1880" w:type="dxa"/>
            <w:vAlign w:val="bottom"/>
            <w:gridSpan w:val="4"/>
          </w:tcPr>
          <w:p>
            <w:pPr>
              <w:ind w:left="220"/>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w w:val="95"/>
              </w:rPr>
              <w:t>Eliminations</w:t>
            </w:r>
            <w:r>
              <w:rPr>
                <w:rFonts w:ascii="Arial" w:cs="Arial" w:eastAsia="Arial" w:hAnsi="Arial"/>
                <w:sz w:val="12"/>
                <w:szCs w:val="12"/>
                <w:color w:val="auto"/>
                <w:w w:val="95"/>
              </w:rPr>
              <w:t>(1)</w:t>
            </w:r>
          </w:p>
        </w:tc>
        <w:tc>
          <w:tcPr>
            <w:tcW w:w="26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83,870</w:t>
            </w:r>
          </w:p>
        </w:tc>
        <w:tc>
          <w:tcPr>
            <w:tcW w:w="28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28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$ 132,321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(7,121)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32,367</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28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4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25,871</w:t>
            </w:r>
          </w:p>
        </w:tc>
        <w:tc>
          <w:tcPr>
            <w:tcW w:w="28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(1,884)</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4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(8,653)</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28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(1,913)</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Above:</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55,984</w:t>
            </w:r>
          </w:p>
        </w:tc>
        <w:tc>
          <w:tcPr>
            <w:tcW w:w="28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4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00"/>
              <w:spacing w:after="0"/>
              <w:rPr>
                <w:sz w:val="20"/>
                <w:szCs w:val="20"/>
                <w:color w:val="auto"/>
              </w:rPr>
            </w:pPr>
            <w:r>
              <w:rPr>
                <w:rFonts w:ascii="Arial" w:cs="Arial" w:eastAsia="Arial" w:hAnsi="Arial"/>
                <w:sz w:val="18"/>
                <w:szCs w:val="18"/>
                <w:color w:val="auto"/>
                <w:w w:val="90"/>
              </w:rPr>
              <w:t>Selling, General and Administrative Expenses</w:t>
            </w: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- 19 -</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color w:val="auto"/>
              </w:rPr>
              <w:t>Three Months Ended June 30, 2009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4"/>
          </w:tcPr>
          <w:p>
            <w:pPr>
              <w:ind w:left="100"/>
              <w:spacing w:after="0" w:line="123" w:lineRule="exact"/>
              <w:rPr>
                <w:sz w:val="20"/>
                <w:szCs w:val="20"/>
                <w:color w:val="auto"/>
              </w:rPr>
            </w:pPr>
            <w:r>
              <w:rPr>
                <w:rFonts w:ascii="Arial" w:cs="Arial" w:eastAsia="Arial" w:hAnsi="Arial"/>
                <w:sz w:val="14"/>
                <w:szCs w:val="14"/>
                <w:color w:val="auto"/>
              </w:rPr>
              <w:t>Corporate Items and</w:t>
            </w:r>
          </w:p>
        </w:tc>
        <w:tc>
          <w:tcPr>
            <w:tcW w:w="1000" w:type="dxa"/>
            <w:vAlign w:val="bottom"/>
            <w:gridSpan w:val="3"/>
          </w:tcPr>
          <w:p>
            <w:pPr>
              <w:ind w:left="240"/>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gridSpan w:val="4"/>
          </w:tcPr>
          <w:p>
            <w:pPr>
              <w:ind w:left="400"/>
              <w:spacing w:after="0"/>
              <w:rPr>
                <w:sz w:val="20"/>
                <w:szCs w:val="20"/>
                <w:color w:val="auto"/>
              </w:rPr>
            </w:pPr>
            <w:r>
              <w:rPr>
                <w:rFonts w:ascii="Arial" w:cs="Arial" w:eastAsia="Arial" w:hAnsi="Arial"/>
                <w:sz w:val="14"/>
                <w:szCs w:val="14"/>
                <w:color w:val="auto"/>
              </w:rPr>
              <w:t>Mortgage Services</w:t>
            </w:r>
          </w:p>
        </w:tc>
        <w:tc>
          <w:tcPr>
            <w:tcW w:w="1340" w:type="dxa"/>
            <w:vAlign w:val="bottom"/>
            <w:gridSpan w:val="4"/>
          </w:tcPr>
          <w:p>
            <w:pPr>
              <w:ind w:left="220"/>
              <w:spacing w:after="0"/>
              <w:rPr>
                <w:sz w:val="20"/>
                <w:szCs w:val="20"/>
                <w:color w:val="auto"/>
              </w:rPr>
            </w:pPr>
            <w:r>
              <w:rPr>
                <w:rFonts w:ascii="Arial" w:cs="Arial" w:eastAsia="Arial" w:hAnsi="Arial"/>
                <w:sz w:val="14"/>
                <w:szCs w:val="14"/>
                <w:color w:val="auto"/>
                <w:w w:val="96"/>
              </w:rPr>
              <w:t>Financial Services</w:t>
            </w:r>
          </w:p>
        </w:tc>
        <w:tc>
          <w:tcPr>
            <w:tcW w:w="2080" w:type="dxa"/>
            <w:vAlign w:val="bottom"/>
            <w:gridSpan w:val="4"/>
          </w:tcPr>
          <w:p>
            <w:pPr>
              <w:ind w:left="440"/>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2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24,020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16,469</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12,109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13,369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13,810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Selling, General and Administrative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3,748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8,684</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Above:</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17,080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00"/>
              <w:spacing w:after="0"/>
              <w:rPr>
                <w:sz w:val="20"/>
                <w:szCs w:val="20"/>
                <w:color w:val="auto"/>
              </w:rPr>
            </w:pPr>
            <w:r>
              <w:rPr>
                <w:rFonts w:ascii="Arial" w:cs="Arial" w:eastAsia="Arial" w:hAnsi="Arial"/>
                <w:sz w:val="18"/>
                <w:szCs w:val="18"/>
                <w:color w:val="auto"/>
                <w:w w:val="90"/>
              </w:rPr>
              <w:t>Selling, General and Administrative Expenses</w:t>
            </w: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92"/>
              </w:rPr>
              <w:t>Six Months Ended June 30, 2009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4"/>
          </w:tcPr>
          <w:p>
            <w:pPr>
              <w:ind w:left="100"/>
              <w:spacing w:after="0" w:line="123" w:lineRule="exact"/>
              <w:rPr>
                <w:sz w:val="20"/>
                <w:szCs w:val="20"/>
                <w:color w:val="auto"/>
              </w:rPr>
            </w:pPr>
            <w:r>
              <w:rPr>
                <w:rFonts w:ascii="Arial" w:cs="Arial" w:eastAsia="Arial" w:hAnsi="Arial"/>
                <w:sz w:val="14"/>
                <w:szCs w:val="14"/>
                <w:color w:val="auto"/>
              </w:rPr>
              <w:t>Corporate Items and</w:t>
            </w:r>
          </w:p>
        </w:tc>
        <w:tc>
          <w:tcPr>
            <w:tcW w:w="1000" w:type="dxa"/>
            <w:vAlign w:val="bottom"/>
            <w:gridSpan w:val="3"/>
          </w:tcPr>
          <w:p>
            <w:pPr>
              <w:ind w:left="240"/>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gridSpan w:val="4"/>
          </w:tcPr>
          <w:p>
            <w:pPr>
              <w:ind w:left="400"/>
              <w:spacing w:after="0"/>
              <w:rPr>
                <w:sz w:val="20"/>
                <w:szCs w:val="20"/>
                <w:color w:val="auto"/>
              </w:rPr>
            </w:pPr>
            <w:r>
              <w:rPr>
                <w:rFonts w:ascii="Arial" w:cs="Arial" w:eastAsia="Arial" w:hAnsi="Arial"/>
                <w:sz w:val="14"/>
                <w:szCs w:val="14"/>
                <w:color w:val="auto"/>
              </w:rPr>
              <w:t>Mortgage Services</w:t>
            </w:r>
          </w:p>
        </w:tc>
        <w:tc>
          <w:tcPr>
            <w:tcW w:w="1340" w:type="dxa"/>
            <w:vAlign w:val="bottom"/>
            <w:gridSpan w:val="4"/>
          </w:tcPr>
          <w:p>
            <w:pPr>
              <w:ind w:left="220"/>
              <w:spacing w:after="0"/>
              <w:rPr>
                <w:sz w:val="20"/>
                <w:szCs w:val="20"/>
                <w:color w:val="auto"/>
              </w:rPr>
            </w:pPr>
            <w:r>
              <w:rPr>
                <w:rFonts w:ascii="Arial" w:cs="Arial" w:eastAsia="Arial" w:hAnsi="Arial"/>
                <w:sz w:val="14"/>
                <w:szCs w:val="14"/>
                <w:color w:val="auto"/>
                <w:w w:val="96"/>
              </w:rPr>
              <w:t>Financial Services</w:t>
            </w:r>
          </w:p>
        </w:tc>
        <w:tc>
          <w:tcPr>
            <w:tcW w:w="2080" w:type="dxa"/>
            <w:vAlign w:val="bottom"/>
            <w:gridSpan w:val="4"/>
          </w:tcPr>
          <w:p>
            <w:pPr>
              <w:ind w:left="440"/>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2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41,720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33,787</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22,682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23,780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27,879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12,460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(5,767)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5,908</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Selling, General and Administrative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7,830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14,242</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Above:</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30,392</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10,757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00"/>
              <w:spacing w:after="0"/>
              <w:rPr>
                <w:sz w:val="20"/>
                <w:szCs w:val="20"/>
                <w:color w:val="auto"/>
              </w:rPr>
            </w:pPr>
            <w:r>
              <w:rPr>
                <w:rFonts w:ascii="Arial" w:cs="Arial" w:eastAsia="Arial" w:hAnsi="Arial"/>
                <w:sz w:val="18"/>
                <w:szCs w:val="18"/>
                <w:color w:val="auto"/>
                <w:w w:val="90"/>
              </w:rPr>
              <w:t>Selling, General and Administrative Expenses</w:t>
            </w: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140" w:lineRule="exact"/>
        <w:rPr>
          <w:rFonts w:ascii="Arial" w:cs="Arial" w:eastAsia="Arial" w:hAnsi="Arial"/>
          <w:sz w:val="15"/>
          <w:szCs w:val="15"/>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from time to time involved in legal actions arising in the ordinary course of business. In the opinion of management, after consultation with legal counsel, the outcome of such matters will not have a material impact on the Company’s financial condition, results of operations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 Agreement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Distribution was intended to be a tax-free transaction under Section 355 of the Internal Revenue Code (the “Code”). However, Ocwen recognized, and will pay tax on, substantially all of the gain it has in the assets that comprise Altisource as a result of the restructuring. To the extent Ocwen recognizes tax under Section 355 of the Code, Altisource has agreed to indemnify Ocwen. In addition, we have agreed to indemnify Ocwen should the expected tax treatments not be upheld upon review or audit to the extent related to our operating results. As of June 30, 2010, the Company does not believe it has a material obligation under this indemnity.</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help the reader understand the results of operations and financial condition of Altisource. MD&amp;A is provided as a supplement to, and should be read in conjunction with, our Condensed Consolidated Financial Statements and the accompanying notes and with our Annual Report on Form 10-K as filed with the Securities and Exchange Commission on March 17, 2010.</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This MD&amp;A contains forward-looking statements; please see page 42 for more information. Significant components of the MD&amp;A section include: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4"/>
            <w:vMerge w:val="restart"/>
          </w:tcPr>
          <w:p>
            <w:pPr>
              <w:spacing w:after="0"/>
              <w:rPr>
                <w:rFonts w:ascii="Arial" w:cs="Arial" w:eastAsia="Arial" w:hAnsi="Arial"/>
                <w:sz w:val="18"/>
                <w:szCs w:val="18"/>
                <w:i w:val="1"/>
                <w:iCs w:val="1"/>
                <w:color w:val="0000EE"/>
                <w:w w:val="92"/>
              </w:rPr>
            </w:pPr>
            <w:hyperlink w:anchor="page24">
              <w:r>
                <w:rPr>
                  <w:rFonts w:ascii="Arial" w:cs="Arial" w:eastAsia="Arial" w:hAnsi="Arial"/>
                  <w:sz w:val="18"/>
                  <w:szCs w:val="18"/>
                  <w:i w:val="1"/>
                  <w:iCs w:val="1"/>
                  <w:color w:val="0000EE"/>
                  <w:w w:val="92"/>
                </w:rPr>
                <w:t>SECTION 1</w:t>
              </w:r>
            </w:hyperlink>
          </w:p>
        </w:tc>
        <w:tc>
          <w:tcPr>
            <w:tcW w:w="920" w:type="dxa"/>
            <w:vAlign w:val="bottom"/>
            <w:gridSpan w:val="8"/>
            <w:vMerge w:val="restart"/>
          </w:tcPr>
          <w:p>
            <w:pPr>
              <w:ind w:left="20"/>
              <w:spacing w:after="0"/>
              <w:rPr>
                <w:rFonts w:ascii="Arial" w:cs="Arial" w:eastAsia="Arial" w:hAnsi="Arial"/>
                <w:sz w:val="18"/>
                <w:szCs w:val="18"/>
                <w:i w:val="1"/>
                <w:iCs w:val="1"/>
                <w:color w:val="0000EE"/>
                <w:w w:val="89"/>
              </w:rPr>
            </w:pPr>
            <w:hyperlink w:anchor="page24">
              <w:r>
                <w:rPr>
                  <w:rFonts w:ascii="Arial" w:cs="Arial" w:eastAsia="Arial" w:hAnsi="Arial"/>
                  <w:sz w:val="18"/>
                  <w:szCs w:val="18"/>
                  <w:i w:val="1"/>
                  <w:iCs w:val="1"/>
                  <w:color w:val="0000EE"/>
                  <w:w w:val="89"/>
                </w:rPr>
                <w:t>— Overview</w:t>
              </w:r>
            </w:hyperlink>
          </w:p>
        </w:tc>
        <w:tc>
          <w:tcPr>
            <w:tcW w:w="8800" w:type="dxa"/>
            <w:vAlign w:val="bottom"/>
            <w:gridSpan w:val="10"/>
            <w:vMerge w:val="restart"/>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900" w:type="dxa"/>
            <w:vAlign w:val="bottom"/>
            <w:tcBorders>
              <w:bottom w:val="single" w:sz="8" w:color="0000EE"/>
            </w:tcBorders>
            <w:gridSpan w:val="4"/>
            <w:vMerge w:val="continue"/>
          </w:tcPr>
          <w:p>
            <w:pPr>
              <w:spacing w:after="0"/>
              <w:rPr>
                <w:sz w:val="14"/>
                <w:szCs w:val="14"/>
                <w:color w:val="auto"/>
              </w:rPr>
            </w:pPr>
          </w:p>
        </w:tc>
        <w:tc>
          <w:tcPr>
            <w:tcW w:w="920" w:type="dxa"/>
            <w:vAlign w:val="bottom"/>
            <w:tcBorders>
              <w:bottom w:val="single" w:sz="8" w:color="0000EE"/>
            </w:tcBorders>
            <w:gridSpan w:val="8"/>
            <w:vMerge w:val="continue"/>
          </w:tcPr>
          <w:p>
            <w:pPr>
              <w:spacing w:after="0"/>
              <w:rPr>
                <w:sz w:val="14"/>
                <w:szCs w:val="14"/>
                <w:color w:val="auto"/>
              </w:rPr>
            </w:pPr>
          </w:p>
        </w:tc>
        <w:tc>
          <w:tcPr>
            <w:tcW w:w="8800" w:type="dxa"/>
            <w:vAlign w:val="bottom"/>
            <w:gridSpan w:val="10"/>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22"/>
        </w:trPr>
        <w:tc>
          <w:tcPr>
            <w:tcW w:w="10620" w:type="dxa"/>
            <w:vAlign w:val="bottom"/>
            <w:gridSpan w:val="22"/>
          </w:tcPr>
          <w:p>
            <w:pPr>
              <w:spacing w:after="0"/>
              <w:rPr>
                <w:sz w:val="20"/>
                <w:szCs w:val="20"/>
                <w:color w:val="auto"/>
              </w:rPr>
            </w:pPr>
            <w:r>
              <w:rPr>
                <w:rFonts w:ascii="Arial" w:cs="Arial" w:eastAsia="Arial" w:hAnsi="Arial"/>
                <w:sz w:val="18"/>
                <w:szCs w:val="18"/>
                <w:color w:val="auto"/>
                <w:w w:val="98"/>
              </w:rPr>
              <w:t>The overview section provides a summary of Altisource and our reportable business segments. We also include a discussion of factors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20" w:type="dxa"/>
            <w:vAlign w:val="bottom"/>
            <w:gridSpan w:val="22"/>
          </w:tcPr>
          <w:p>
            <w:pPr>
              <w:spacing w:after="0"/>
              <w:rPr>
                <w:sz w:val="20"/>
                <w:szCs w:val="20"/>
                <w:color w:val="auto"/>
              </w:rPr>
            </w:pPr>
            <w:r>
              <w:rPr>
                <w:rFonts w:ascii="Arial" w:cs="Arial" w:eastAsia="Arial" w:hAnsi="Arial"/>
                <w:sz w:val="18"/>
                <w:szCs w:val="18"/>
                <w:color w:val="auto"/>
                <w:w w:val="96"/>
              </w:rPr>
              <w:t>affecting our consolidated results of operations as well as items specific to each business group. In addition, we provide a brief description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20" w:type="dxa"/>
            <w:vAlign w:val="bottom"/>
            <w:gridSpan w:val="22"/>
          </w:tcPr>
          <w:p>
            <w:pPr>
              <w:spacing w:after="0"/>
              <w:rPr>
                <w:sz w:val="20"/>
                <w:szCs w:val="20"/>
                <w:color w:val="auto"/>
              </w:rPr>
            </w:pPr>
            <w:r>
              <w:rPr>
                <w:rFonts w:ascii="Arial" w:cs="Arial" w:eastAsia="Arial" w:hAnsi="Arial"/>
                <w:sz w:val="18"/>
                <w:szCs w:val="18"/>
                <w:color w:val="auto"/>
              </w:rPr>
              <w:t>of our basis of presentation for our financial results.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gridSpan w:val="4"/>
          </w:tcPr>
          <w:p>
            <w:pPr>
              <w:spacing w:after="0"/>
              <w:rPr>
                <w:rFonts w:ascii="Arial" w:cs="Arial" w:eastAsia="Arial" w:hAnsi="Arial"/>
                <w:sz w:val="18"/>
                <w:szCs w:val="18"/>
                <w:i w:val="1"/>
                <w:iCs w:val="1"/>
                <w:color w:val="0000EE"/>
                <w:w w:val="92"/>
              </w:rPr>
            </w:pPr>
            <w:hyperlink w:anchor="page25">
              <w:r>
                <w:rPr>
                  <w:rFonts w:ascii="Arial" w:cs="Arial" w:eastAsia="Arial" w:hAnsi="Arial"/>
                  <w:sz w:val="18"/>
                  <w:szCs w:val="18"/>
                  <w:i w:val="1"/>
                  <w:iCs w:val="1"/>
                  <w:color w:val="0000EE"/>
                  <w:w w:val="92"/>
                </w:rPr>
                <w:t>SECTION 2</w:t>
              </w:r>
            </w:hyperlink>
          </w:p>
        </w:tc>
        <w:tc>
          <w:tcPr>
            <w:tcW w:w="9720" w:type="dxa"/>
            <w:vAlign w:val="bottom"/>
            <w:gridSpan w:val="18"/>
          </w:tcPr>
          <w:p>
            <w:pPr>
              <w:ind w:left="20"/>
              <w:spacing w:after="0"/>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 Consolidated Results of Operations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20" w:type="dxa"/>
            <w:vAlign w:val="bottom"/>
            <w:gridSpan w:val="22"/>
          </w:tcPr>
          <w:p>
            <w:pPr>
              <w:spacing w:after="0"/>
              <w:rPr>
                <w:sz w:val="20"/>
                <w:szCs w:val="20"/>
                <w:color w:val="auto"/>
              </w:rPr>
            </w:pPr>
            <w:r>
              <w:rPr>
                <w:rFonts w:ascii="Arial" w:cs="Arial" w:eastAsia="Arial" w:hAnsi="Arial"/>
                <w:sz w:val="18"/>
                <w:szCs w:val="18"/>
                <w:color w:val="auto"/>
                <w:w w:val="99"/>
              </w:rPr>
              <w:t>The consolidated results of operations section provides an analysis of our results on a consolidated basis for the three and six months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20" w:type="dxa"/>
            <w:vAlign w:val="bottom"/>
            <w:gridSpan w:val="22"/>
          </w:tcPr>
          <w:p>
            <w:pPr>
              <w:spacing w:after="0"/>
              <w:rPr>
                <w:sz w:val="20"/>
                <w:szCs w:val="20"/>
                <w:color w:val="auto"/>
              </w:rPr>
            </w:pPr>
            <w:r>
              <w:rPr>
                <w:rFonts w:ascii="Arial" w:cs="Arial" w:eastAsia="Arial" w:hAnsi="Arial"/>
                <w:sz w:val="18"/>
                <w:szCs w:val="18"/>
                <w:color w:val="auto"/>
                <w:w w:val="97"/>
              </w:rPr>
              <w:t>ending June 30, 2010 and 2009. When helpful in explaining trends, we also discuss sequential results. Significant subsections within this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20" w:type="dxa"/>
            <w:vAlign w:val="bottom"/>
            <w:gridSpan w:val="22"/>
          </w:tcPr>
          <w:p>
            <w:pPr>
              <w:spacing w:after="0"/>
              <w:rPr>
                <w:sz w:val="20"/>
                <w:szCs w:val="20"/>
                <w:color w:val="auto"/>
              </w:rPr>
            </w:pPr>
            <w:r>
              <w:rPr>
                <w:rFonts w:ascii="Arial" w:cs="Arial" w:eastAsia="Arial" w:hAnsi="Arial"/>
                <w:sz w:val="18"/>
                <w:szCs w:val="18"/>
                <w:color w:val="auto"/>
              </w:rPr>
              <w:t>section are as follows: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4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Summary Consolidated Results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Revenue</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Cost of Revenue</w:t>
              </w:r>
            </w:hyperlink>
          </w:p>
        </w:tc>
        <w:tc>
          <w:tcPr>
            <w:tcW w:w="9200" w:type="dxa"/>
            <w:vAlign w:val="bottom"/>
            <w:gridSpan w:val="1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Selling, General and Administrative Expenses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EBITDA</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Income Taxes</w:t>
              </w:r>
            </w:hyperlink>
          </w:p>
        </w:tc>
        <w:tc>
          <w:tcPr>
            <w:tcW w:w="9400" w:type="dxa"/>
            <w:vAlign w:val="bottom"/>
            <w:gridSpan w:val="16"/>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1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29">
              <w:r>
                <w:rPr>
                  <w:rFonts w:ascii="Arial" w:cs="Arial" w:eastAsia="Arial" w:hAnsi="Arial"/>
                  <w:sz w:val="18"/>
                  <w:szCs w:val="18"/>
                  <w:i w:val="1"/>
                  <w:iCs w:val="1"/>
                  <w:color w:val="0000EE"/>
                  <w:w w:val="92"/>
                </w:rPr>
                <w:t>SECTION 3</w:t>
              </w:r>
            </w:hyperlink>
          </w:p>
        </w:tc>
        <w:tc>
          <w:tcPr>
            <w:tcW w:w="2440" w:type="dxa"/>
            <w:vAlign w:val="bottom"/>
            <w:tcBorders>
              <w:bottom w:val="single" w:sz="8" w:color="0000EE"/>
            </w:tcBorders>
            <w:gridSpan w:val="14"/>
          </w:tcPr>
          <w:p>
            <w:pPr>
              <w:ind w:left="20"/>
              <w:spacing w:after="0"/>
              <w:rPr>
                <w:rFonts w:ascii="Arial" w:cs="Arial" w:eastAsia="Arial" w:hAnsi="Arial"/>
                <w:sz w:val="18"/>
                <w:szCs w:val="18"/>
                <w:i w:val="1"/>
                <w:iCs w:val="1"/>
                <w:color w:val="0000EE"/>
                <w:w w:val="87"/>
              </w:rPr>
            </w:pPr>
            <w:hyperlink w:anchor="page29">
              <w:r>
                <w:rPr>
                  <w:rFonts w:ascii="Arial" w:cs="Arial" w:eastAsia="Arial" w:hAnsi="Arial"/>
                  <w:sz w:val="18"/>
                  <w:szCs w:val="18"/>
                  <w:i w:val="1"/>
                  <w:iCs w:val="1"/>
                  <w:color w:val="0000EE"/>
                  <w:w w:val="87"/>
                </w:rPr>
                <w:t>— Segment Results of Operations</w:t>
              </w:r>
            </w:hyperlink>
          </w:p>
        </w:tc>
        <w:tc>
          <w:tcPr>
            <w:tcW w:w="728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22"/>
        </w:trPr>
        <w:tc>
          <w:tcPr>
            <w:tcW w:w="10620" w:type="dxa"/>
            <w:vAlign w:val="bottom"/>
            <w:gridSpan w:val="22"/>
          </w:tcPr>
          <w:p>
            <w:pPr>
              <w:spacing w:after="0"/>
              <w:rPr>
                <w:sz w:val="20"/>
                <w:szCs w:val="20"/>
                <w:color w:val="auto"/>
              </w:rPr>
            </w:pPr>
            <w:r>
              <w:rPr>
                <w:rFonts w:ascii="Arial" w:cs="Arial" w:eastAsia="Arial" w:hAnsi="Arial"/>
                <w:sz w:val="18"/>
                <w:szCs w:val="18"/>
                <w:color w:val="auto"/>
                <w:w w:val="96"/>
              </w:rPr>
              <w:t>The segment results of operations section provides an analysis of our results on a reportable operating segment basis for the three and six</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20" w:type="dxa"/>
            <w:vAlign w:val="bottom"/>
            <w:gridSpan w:val="22"/>
          </w:tcPr>
          <w:p>
            <w:pPr>
              <w:spacing w:after="0"/>
              <w:rPr>
                <w:sz w:val="20"/>
                <w:szCs w:val="20"/>
                <w:color w:val="auto"/>
              </w:rPr>
            </w:pPr>
            <w:r>
              <w:rPr>
                <w:rFonts w:ascii="Arial" w:cs="Arial" w:eastAsia="Arial" w:hAnsi="Arial"/>
                <w:sz w:val="18"/>
                <w:szCs w:val="18"/>
                <w:color w:val="auto"/>
                <w:w w:val="97"/>
              </w:rPr>
              <w:t>months ending June 30, 2010 and 2009. We discuss known trends and uncertainties. When helpful in explaining trends, we also discuss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20" w:type="dxa"/>
            <w:vAlign w:val="bottom"/>
            <w:gridSpan w:val="22"/>
          </w:tcPr>
          <w:p>
            <w:pPr>
              <w:spacing w:after="0"/>
              <w:rPr>
                <w:sz w:val="20"/>
                <w:szCs w:val="20"/>
                <w:color w:val="auto"/>
              </w:rPr>
            </w:pPr>
            <w:r>
              <w:rPr>
                <w:rFonts w:ascii="Arial" w:cs="Arial" w:eastAsia="Arial" w:hAnsi="Arial"/>
                <w:sz w:val="18"/>
                <w:szCs w:val="18"/>
                <w:color w:val="auto"/>
              </w:rPr>
              <w:t>sequential results. Significant subsections within this section are as follows: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4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Mortgage Services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Financial Services</w:t>
              </w:r>
            </w:hyperlink>
          </w:p>
        </w:tc>
        <w:tc>
          <w:tcPr>
            <w:tcW w:w="20" w:type="dxa"/>
            <w:vAlign w:val="bottom"/>
            <w:tcBorders>
              <w:top w:val="single" w:sz="8" w:color="0000EE"/>
            </w:tcBorders>
          </w:tcPr>
          <w:p>
            <w:pPr>
              <w:spacing w:after="0"/>
              <w:rPr>
                <w:sz w:val="17"/>
                <w:szCs w:val="17"/>
                <w:color w:val="auto"/>
              </w:rPr>
            </w:pPr>
          </w:p>
        </w:tc>
        <w:tc>
          <w:tcPr>
            <w:tcW w:w="9060" w:type="dxa"/>
            <w:vAlign w:val="bottom"/>
            <w:gridSpan w:val="1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Technology Products</w:t>
              </w:r>
            </w:hyperlink>
          </w:p>
        </w:tc>
        <w:tc>
          <w:tcPr>
            <w:tcW w:w="8880" w:type="dxa"/>
            <w:vAlign w:val="bottom"/>
            <w:gridSpan w:val="11"/>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41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41">
              <w:r>
                <w:rPr>
                  <w:rFonts w:ascii="Arial" w:cs="Arial" w:eastAsia="Arial" w:hAnsi="Arial"/>
                  <w:sz w:val="18"/>
                  <w:szCs w:val="18"/>
                  <w:i w:val="1"/>
                  <w:iCs w:val="1"/>
                  <w:color w:val="0000EE"/>
                  <w:w w:val="92"/>
                </w:rPr>
                <w:t>SECTION 4</w:t>
              </w:r>
            </w:hyperlink>
          </w:p>
        </w:tc>
        <w:tc>
          <w:tcPr>
            <w:tcW w:w="2560" w:type="dxa"/>
            <w:vAlign w:val="bottom"/>
            <w:tcBorders>
              <w:bottom w:val="single" w:sz="8" w:color="0000EE"/>
            </w:tcBorders>
            <w:gridSpan w:val="15"/>
          </w:tcPr>
          <w:p>
            <w:pPr>
              <w:ind w:left="20"/>
              <w:spacing w:after="0"/>
              <w:rPr>
                <w:rFonts w:ascii="Arial" w:cs="Arial" w:eastAsia="Arial" w:hAnsi="Arial"/>
                <w:sz w:val="18"/>
                <w:szCs w:val="18"/>
                <w:i w:val="1"/>
                <w:iCs w:val="1"/>
                <w:color w:val="0000EE"/>
                <w:w w:val="91"/>
              </w:rPr>
            </w:pPr>
            <w:hyperlink w:anchor="page41">
              <w:r>
                <w:rPr>
                  <w:rFonts w:ascii="Arial" w:cs="Arial" w:eastAsia="Arial" w:hAnsi="Arial"/>
                  <w:sz w:val="18"/>
                  <w:szCs w:val="18"/>
                  <w:i w:val="1"/>
                  <w:iCs w:val="1"/>
                  <w:color w:val="0000EE"/>
                  <w:w w:val="91"/>
                </w:rPr>
                <w:t>— Liquidity and Capital Resources</w:t>
              </w:r>
            </w:hyperlink>
          </w:p>
        </w:tc>
        <w:tc>
          <w:tcPr>
            <w:tcW w:w="71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22"/>
        </w:trPr>
        <w:tc>
          <w:tcPr>
            <w:tcW w:w="10620" w:type="dxa"/>
            <w:vAlign w:val="bottom"/>
            <w:gridSpan w:val="22"/>
          </w:tcPr>
          <w:p>
            <w:pPr>
              <w:spacing w:after="0"/>
              <w:rPr>
                <w:sz w:val="20"/>
                <w:szCs w:val="20"/>
                <w:color w:val="auto"/>
              </w:rPr>
            </w:pPr>
            <w:r>
              <w:rPr>
                <w:rFonts w:ascii="Arial" w:cs="Arial" w:eastAsia="Arial" w:hAnsi="Arial"/>
                <w:sz w:val="18"/>
                <w:szCs w:val="18"/>
                <w:color w:val="auto"/>
                <w:w w:val="96"/>
              </w:rPr>
              <w:t>The liquidity and capital resources section provides discussion of our ability to generate adequate amounts of cash to meet our current and</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20" w:type="dxa"/>
            <w:vAlign w:val="bottom"/>
            <w:gridSpan w:val="22"/>
          </w:tcPr>
          <w:p>
            <w:pPr>
              <w:spacing w:after="0"/>
              <w:rPr>
                <w:sz w:val="20"/>
                <w:szCs w:val="20"/>
                <w:color w:val="auto"/>
              </w:rPr>
            </w:pPr>
            <w:r>
              <w:rPr>
                <w:rFonts w:ascii="Arial" w:cs="Arial" w:eastAsia="Arial" w:hAnsi="Arial"/>
                <w:sz w:val="18"/>
                <w:szCs w:val="18"/>
                <w:color w:val="auto"/>
              </w:rPr>
              <w:t>future needs. Significant subsections within this section are as follows: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Liquidity</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Cash Flows</w:t>
              </w:r>
            </w:hyperlink>
          </w:p>
        </w:tc>
        <w:tc>
          <w:tcPr>
            <w:tcW w:w="9560" w:type="dxa"/>
            <w:vAlign w:val="bottom"/>
            <w:gridSpan w:val="17"/>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Liquidity Requirements after June 30, 2010</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Capital Resources</w:t>
              </w:r>
            </w:hyperlink>
          </w:p>
        </w:tc>
        <w:tc>
          <w:tcPr>
            <w:tcW w:w="1820" w:type="dxa"/>
            <w:vAlign w:val="bottom"/>
            <w:tcBorders>
              <w:top w:val="single" w:sz="8" w:color="0000EE"/>
            </w:tcBorders>
            <w:gridSpan w:val="10"/>
          </w:tcPr>
          <w:p>
            <w:pPr>
              <w:spacing w:after="0"/>
              <w:rPr>
                <w:sz w:val="17"/>
                <w:szCs w:val="17"/>
                <w:color w:val="auto"/>
              </w:rPr>
            </w:pPr>
          </w:p>
        </w:tc>
        <w:tc>
          <w:tcPr>
            <w:tcW w:w="728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Commitments and Contingencies</w:t>
              </w:r>
            </w:hyperlink>
          </w:p>
        </w:tc>
        <w:tc>
          <w:tcPr>
            <w:tcW w:w="8000" w:type="dxa"/>
            <w:vAlign w:val="bottom"/>
            <w:gridSpan w:val="7"/>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1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43">
              <w:r>
                <w:rPr>
                  <w:rFonts w:ascii="Arial" w:cs="Arial" w:eastAsia="Arial" w:hAnsi="Arial"/>
                  <w:sz w:val="18"/>
                  <w:szCs w:val="18"/>
                  <w:i w:val="1"/>
                  <w:iCs w:val="1"/>
                  <w:color w:val="0000EE"/>
                  <w:w w:val="92"/>
                </w:rPr>
                <w:t>SECTION 5</w:t>
              </w:r>
            </w:hyperlink>
          </w:p>
        </w:tc>
        <w:tc>
          <w:tcPr>
            <w:tcW w:w="2280" w:type="dxa"/>
            <w:vAlign w:val="bottom"/>
            <w:tcBorders>
              <w:bottom w:val="single" w:sz="8" w:color="0000EE"/>
            </w:tcBorders>
            <w:gridSpan w:val="12"/>
          </w:tcPr>
          <w:p>
            <w:pPr>
              <w:ind w:left="20"/>
              <w:spacing w:after="0"/>
              <w:rPr>
                <w:rFonts w:ascii="Arial" w:cs="Arial" w:eastAsia="Arial" w:hAnsi="Arial"/>
                <w:sz w:val="18"/>
                <w:szCs w:val="18"/>
                <w:i w:val="1"/>
                <w:iCs w:val="1"/>
                <w:color w:val="0000EE"/>
                <w:w w:val="93"/>
              </w:rPr>
            </w:pPr>
            <w:hyperlink w:anchor="page43">
              <w:r>
                <w:rPr>
                  <w:rFonts w:ascii="Arial" w:cs="Arial" w:eastAsia="Arial" w:hAnsi="Arial"/>
                  <w:sz w:val="18"/>
                  <w:szCs w:val="18"/>
                  <w:i w:val="1"/>
                  <w:iCs w:val="1"/>
                  <w:color w:val="0000EE"/>
                  <w:w w:val="93"/>
                </w:rPr>
                <w:t>— Critical Accounting Policies</w:t>
              </w:r>
            </w:hyperlink>
          </w:p>
        </w:tc>
        <w:tc>
          <w:tcPr>
            <w:tcW w:w="744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12"/>
        </w:trPr>
        <w:tc>
          <w:tcPr>
            <w:tcW w:w="900" w:type="dxa"/>
            <w:vAlign w:val="bottom"/>
            <w:gridSpan w:val="4"/>
          </w:tcPr>
          <w:p>
            <w:pPr>
              <w:spacing w:after="0"/>
              <w:rPr>
                <w:rFonts w:ascii="Arial" w:cs="Arial" w:eastAsia="Arial" w:hAnsi="Arial"/>
                <w:sz w:val="18"/>
                <w:szCs w:val="18"/>
                <w:i w:val="1"/>
                <w:iCs w:val="1"/>
                <w:color w:val="0000EE"/>
                <w:w w:val="92"/>
              </w:rPr>
            </w:pPr>
            <w:hyperlink w:anchor="page43">
              <w:r>
                <w:rPr>
                  <w:rFonts w:ascii="Arial" w:cs="Arial" w:eastAsia="Arial" w:hAnsi="Arial"/>
                  <w:sz w:val="18"/>
                  <w:szCs w:val="18"/>
                  <w:i w:val="1"/>
                  <w:iCs w:val="1"/>
                  <w:color w:val="0000EE"/>
                  <w:w w:val="92"/>
                </w:rPr>
                <w:t>SECTION 6</w:t>
              </w:r>
            </w:hyperlink>
          </w:p>
        </w:tc>
        <w:tc>
          <w:tcPr>
            <w:tcW w:w="9720" w:type="dxa"/>
            <w:vAlign w:val="bottom"/>
            <w:gridSpan w:val="18"/>
          </w:tcPr>
          <w:p>
            <w:pPr>
              <w:ind w:left="20"/>
              <w:spacing w:after="0"/>
              <w:rPr>
                <w:rFonts w:ascii="Arial" w:cs="Arial" w:eastAsia="Arial" w:hAnsi="Arial"/>
                <w:sz w:val="18"/>
                <w:szCs w:val="18"/>
                <w:i w:val="1"/>
                <w:iCs w:val="1"/>
                <w:color w:val="0000EE"/>
              </w:rPr>
            </w:pPr>
            <w:hyperlink w:anchor="page43">
              <w:r>
                <w:rPr>
                  <w:rFonts w:ascii="Arial" w:cs="Arial" w:eastAsia="Arial" w:hAnsi="Arial"/>
                  <w:sz w:val="18"/>
                  <w:szCs w:val="18"/>
                  <w:i w:val="1"/>
                  <w:iCs w:val="1"/>
                  <w:color w:val="0000EE"/>
                </w:rPr>
                <w:t>— Other Matters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2140" w:type="dxa"/>
            <w:vAlign w:val="bottom"/>
            <w:gridSpan w:val="1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20" w:type="dxa"/>
            <w:vAlign w:val="bottom"/>
            <w:gridSpan w:val="22"/>
          </w:tcPr>
          <w:p>
            <w:pPr>
              <w:spacing w:after="0"/>
              <w:rPr>
                <w:sz w:val="20"/>
                <w:szCs w:val="20"/>
                <w:color w:val="auto"/>
              </w:rPr>
            </w:pPr>
            <w:r>
              <w:rPr>
                <w:rFonts w:ascii="Arial" w:cs="Arial" w:eastAsia="Arial" w:hAnsi="Arial"/>
                <w:sz w:val="18"/>
                <w:szCs w:val="18"/>
                <w:color w:val="auto"/>
                <w:w w:val="97"/>
              </w:rPr>
              <w:t>The other matters section provides a discussion of related party transactions and provisions of the various separation related agreements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20" w:type="dxa"/>
            <w:vAlign w:val="bottom"/>
            <w:gridSpan w:val="22"/>
          </w:tcPr>
          <w:p>
            <w:pPr>
              <w:spacing w:after="0"/>
              <w:rPr>
                <w:sz w:val="20"/>
                <w:szCs w:val="20"/>
                <w:color w:val="auto"/>
              </w:rPr>
            </w:pPr>
            <w:r>
              <w:rPr>
                <w:rFonts w:ascii="Arial" w:cs="Arial" w:eastAsia="Arial" w:hAnsi="Arial"/>
                <w:sz w:val="18"/>
                <w:szCs w:val="18"/>
                <w:color w:val="auto"/>
              </w:rPr>
              <w:t>with Ocwen.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43">
              <w:r>
                <w:rPr>
                  <w:rFonts w:ascii="Arial" w:cs="Arial" w:eastAsia="Arial" w:hAnsi="Arial"/>
                  <w:sz w:val="18"/>
                  <w:szCs w:val="18"/>
                  <w:i w:val="1"/>
                  <w:iCs w:val="1"/>
                  <w:color w:val="0000EE"/>
                  <w:w w:val="92"/>
                </w:rPr>
                <w:t>SECTION 7</w:t>
              </w:r>
            </w:hyperlink>
          </w:p>
        </w:tc>
        <w:tc>
          <w:tcPr>
            <w:tcW w:w="2320" w:type="dxa"/>
            <w:vAlign w:val="bottom"/>
            <w:tcBorders>
              <w:bottom w:val="single" w:sz="8" w:color="0000EE"/>
            </w:tcBorders>
            <w:gridSpan w:val="13"/>
          </w:tcPr>
          <w:p>
            <w:pPr>
              <w:ind w:left="20"/>
              <w:spacing w:after="0"/>
              <w:rPr>
                <w:rFonts w:ascii="Arial" w:cs="Arial" w:eastAsia="Arial" w:hAnsi="Arial"/>
                <w:sz w:val="18"/>
                <w:szCs w:val="18"/>
                <w:i w:val="1"/>
                <w:iCs w:val="1"/>
                <w:color w:val="0000EE"/>
                <w:w w:val="90"/>
              </w:rPr>
            </w:pPr>
            <w:hyperlink w:anchor="page43">
              <w:r>
                <w:rPr>
                  <w:rFonts w:ascii="Arial" w:cs="Arial" w:eastAsia="Arial" w:hAnsi="Arial"/>
                  <w:sz w:val="18"/>
                  <w:szCs w:val="18"/>
                  <w:i w:val="1"/>
                  <w:iCs w:val="1"/>
                  <w:color w:val="0000EE"/>
                  <w:w w:val="90"/>
                </w:rPr>
                <w:t>— Forward Looking Statements</w:t>
              </w:r>
            </w:hyperlink>
          </w:p>
        </w:tc>
        <w:tc>
          <w:tcPr>
            <w:tcW w:w="740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8"/>
          </w:tcPr>
          <w:p>
            <w:pPr>
              <w:ind w:left="4620"/>
              <w:spacing w:after="0"/>
              <w:rPr>
                <w:sz w:val="20"/>
                <w:szCs w:val="20"/>
                <w:color w:val="auto"/>
              </w:rPr>
            </w:pPr>
            <w:r>
              <w:rPr>
                <w:rFonts w:ascii="Arial" w:cs="Arial" w:eastAsia="Arial" w:hAnsi="Arial"/>
                <w:sz w:val="18"/>
                <w:szCs w:val="18"/>
                <w:color w:val="auto"/>
              </w:rPr>
              <w:t>- 22 -</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 OVERVIEW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Altisource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objective is to become a global knowledge process provider initially focused on the entire mortgage services lifecycle and credit to cash lifecycle management spaces. We intend to achieve this objective by executing on our strategies of penetrating existing customers, acquiring new customers, increasing quality and reducing costs and investing in new service offerings.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Separation</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On August 10, 2009, Altisource became a stand-alone public company in connection with our Separation from Ocwen. In connection with the Separation, Altisource and Ocwen entered into Agreements that address the allocation of assets and liabilities between them and that define their relationship after the Separation. Additional information may be found in Note 1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condensed consolidated financial statements present the historical results of operations, assets and liabilities attributable to the Altisource businesses. For periods prior to the Separation Date, these condensed consolidated financial statements include allocations of expenses from Ocwen for certain corporate functions. Total corporate costs allocated to the Company were $3.8 million for the six months ended June 30, 2009 ($1.8 million for the second quarter). The charges for these functions are included primarily in “Selling, general and administrative expenses” in the Condensed Consolidated Statements of Operations. In addition, Ocwen had allocated interest expense to us based upon our portion of assets to Ocwen’s total assets which is reflected as “Interest expense” in the Condensed Consolidated Statements of Operations. Other than transition services, there have been no allocations of Ocwen expenses charged to us since the Separation Date.</w:t>
      </w:r>
    </w:p>
    <w:p>
      <w:pPr>
        <w:spacing w:after="0" w:line="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February 2010, we acquired all of the outstanding membership interests of MPA. MPA was formed as a Delaware limited liability company with the purpose of managing BPMC which operates as Lenders One. Lenders One is a national alliance of independent mortgage bankers that provides its Members with education and training along with revenue enhancing, cost reducing and market share expanding opportunities. The results of operations of BPMC are consolidated under the variable interest model since the acquisition date.</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condensed consolidated financial statements also do not necessarily reflect what the Company’s consolidated results of operations, financial position and cash flows would have been had the Company operated as an independent company during the entirety of the periods presented. For instance, as an independent public company, Altisource incurs costs in excess of those previously allocated by Ocwen for maintaining a separate Board of Directors, obtaining a separate audit, relocating certain executive management and hiring additional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addition to the items noted within the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section presented above, the following additional item may impact the comparability of our results:</w:t>
      </w:r>
    </w:p>
    <w:p>
      <w:pPr>
        <w:spacing w:after="0" w:line="62"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During the quarter ended June 30, 2009 we recognized $1.9 million of one-time costs in anticipation of the Separation from Ocwen.</w:t>
      </w:r>
    </w:p>
    <w:p>
      <w:pPr>
        <w:spacing w:after="0" w:line="198" w:lineRule="exact"/>
        <w:rPr>
          <w:rFonts w:ascii="Arial" w:cs="Arial" w:eastAsia="Arial" w:hAnsi="Arial"/>
          <w:sz w:val="18"/>
          <w:szCs w:val="18"/>
          <w:b w:val="1"/>
          <w:b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 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periods indicated. The following table sets forth information regarding our results of operations for the periods ended June 30, 2010 and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color w:val="auto"/>
                <w:w w:val="92"/>
              </w:rPr>
              <w:t>Three Months Ended June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2"/>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58,910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46,085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110,566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87,698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22,868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3,718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7,423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19,671</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4,724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14,947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Cooperative Non-controlling</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3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71,348</w:t>
            </w:r>
          </w:p>
        </w:tc>
        <w:tc>
          <w:tcPr>
            <w:tcW w:w="2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49,803</w:t>
            </w:r>
          </w:p>
        </w:tc>
        <w:tc>
          <w:tcPr>
            <w:tcW w:w="4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21,545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132,321</w:t>
            </w:r>
          </w:p>
        </w:tc>
        <w:tc>
          <w:tcPr>
            <w:tcW w:w="8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92,422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39,899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32,923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26,631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6,292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63,431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53,628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3,718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7,423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19,671</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4,724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14,947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27,284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19,454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7,830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49,219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34,070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15,149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8"/>
        </w:trPr>
        <w:tc>
          <w:tcPr>
            <w:tcW w:w="240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12,787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8,673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4,114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25,172</w:t>
            </w: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16,151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9,021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14,497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10,781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24,047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17,919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24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(1,391)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1,359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and Non-controlling Interests</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14,537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4,528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24,015</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16,528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5"/>
              </w:rPr>
              <w:t>Income Tax Benefit (Provision)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(2,994)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6,101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(5,074)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5,796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17,644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10,629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24,737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13,283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418"/>
        </w:trPr>
        <w:tc>
          <w:tcPr>
            <w:tcW w:w="2400" w:type="dxa"/>
            <w:vAlign w:val="bottom"/>
            <w:gridSpan w:val="2"/>
          </w:tcPr>
          <w:p>
            <w:pPr>
              <w:spacing w:after="0"/>
              <w:rPr>
                <w:sz w:val="20"/>
                <w:szCs w:val="20"/>
                <w:color w:val="auto"/>
              </w:rPr>
            </w:pPr>
            <w:r>
              <w:rPr>
                <w:rFonts w:ascii="Arial" w:cs="Arial" w:eastAsia="Arial" w:hAnsi="Arial"/>
                <w:sz w:val="18"/>
                <w:szCs w:val="18"/>
                <w:color w:val="auto"/>
                <w:w w:val="94"/>
              </w:rPr>
              <w:t>Net Income Attributable to Non-</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(1,297)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(2,084)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Altisource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16,347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9,332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11,199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0.29</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0.48</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35,784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22,464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13,320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65,035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41,187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23,848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Administrative Expenses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3,786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(528)</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(1,097)</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for the periods ended June 30,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color w:val="auto"/>
                <w:w w:val="92"/>
              </w:rPr>
              <w:t>Three Months Ended June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2"/>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Service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35,412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20,302</w:t>
            </w:r>
          </w:p>
        </w:tc>
        <w:tc>
          <w:tcPr>
            <w:tcW w:w="680" w:type="dxa"/>
            <w:vAlign w:val="bottom"/>
          </w:tcPr>
          <w:p>
            <w:pPr>
              <w:jc w:val="right"/>
              <w:spacing w:after="0"/>
              <w:rPr>
                <w:sz w:val="20"/>
                <w:szCs w:val="20"/>
                <w:color w:val="auto"/>
              </w:rPr>
            </w:pPr>
            <w:r>
              <w:rPr>
                <w:rFonts w:ascii="Arial" w:cs="Arial" w:eastAsia="Arial" w:hAnsi="Arial"/>
                <w:sz w:val="18"/>
                <w:szCs w:val="18"/>
                <w:color w:val="auto"/>
              </w:rPr>
              <w:t>15,110</w:t>
            </w:r>
          </w:p>
        </w:tc>
        <w:tc>
          <w:tcPr>
            <w:tcW w:w="4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63,537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36,996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26,541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Reimbursable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10,367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3,718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6,649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18,249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400"/>
              <w:spacing w:after="0" w:line="201" w:lineRule="exact"/>
              <w:rPr>
                <w:sz w:val="20"/>
                <w:szCs w:val="20"/>
                <w:color w:val="auto"/>
              </w:rPr>
            </w:pPr>
            <w:r>
              <w:rPr>
                <w:rFonts w:ascii="Arial" w:cs="Arial" w:eastAsia="Arial" w:hAnsi="Arial"/>
                <w:sz w:val="18"/>
                <w:szCs w:val="18"/>
                <w:color w:val="auto"/>
              </w:rPr>
              <w:t>Cooperative Non-</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controlling Interest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1,297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2,084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 Services — Total</w:t>
            </w: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47,076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24,020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23,056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83,870</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41,720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42,150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 Revenue: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14,706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16,469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29,691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33,787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w w:val="95"/>
              </w:rPr>
              <w:t>Reimbursable Expenses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774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1,422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Services — Total</w:t>
            </w: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15,480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16,469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31,113</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33,787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2300" w:type="dxa"/>
            <w:vAlign w:val="bottom"/>
            <w:gridSpan w:val="2"/>
          </w:tcPr>
          <w:p>
            <w:pPr>
              <w:spacing w:after="0"/>
              <w:rPr>
                <w:sz w:val="20"/>
                <w:szCs w:val="20"/>
                <w:color w:val="auto"/>
              </w:rPr>
            </w:pPr>
            <w:r>
              <w:rPr>
                <w:rFonts w:ascii="Arial" w:cs="Arial" w:eastAsia="Arial" w:hAnsi="Arial"/>
                <w:sz w:val="18"/>
                <w:szCs w:val="18"/>
                <w:color w:val="auto"/>
              </w:rPr>
              <w:t>Technology Products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12,485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12,109</w:t>
            </w:r>
          </w:p>
        </w:tc>
        <w:tc>
          <w:tcPr>
            <w:tcW w:w="4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376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24,459</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1,777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(2,795)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(7,121)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(5,767)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71,348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49,803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21,545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132,321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92,422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39,899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Mortgage Services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31,222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17,080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14,142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55,984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30,392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25,592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Services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Technology Products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4,537</w:t>
            </w:r>
          </w:p>
        </w:tc>
        <w:tc>
          <w:tcPr>
            <w:tcW w:w="2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5,362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(825)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8,975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10,757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Service Revenue consists of amounts attributable to our fee for service businesses. Reimbursable Expenses consists of amounts that we incur on behalf of our customers in performing our fee based services, but we pass such costs directly on to our customers without any additional markup. Cooperative Non-controlling Interests is attributable to the Members.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recorded Total Revenue of $71. 3 million for the quarter ended June 30, 2010 reflecting a 43% increase over the same quarter in 2009 and a 17% increase over first quarter 2010. Total Revenue was $132.3 million for six months ended June 30, 2010 reflecting a 43% increase over the same period in 2009. The growth in Total Revenue for both periods is attributable to our Mortgage Services segment. Total Revenue for Mortgage Services segment doubled year to date as compared to the prior year principally as a result of its residential default and real estate services. Financial Services revenue declined $2.7 million year to date when compared to the prior year; however sequentially revenues were essentially flat to the first quarter due to increased placements from a customer we began servicing in 2009. Technology Products revenue increased year-over-year primarily as a result of growth in fees associated with our REALSuite of services.</w:t>
      </w:r>
    </w:p>
    <w:p>
      <w:pPr>
        <w:spacing w:after="0" w:line="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Service Revenue of $58.9 million for quarter ended June 30, 2010 reflects a 28% increase over the same quarter in 2009 and a 14% increase over first quarter 2010. Services Revenue was $110.6 million for six months ended June 30, 2010 reflecting a 26% increase over the same period in 2009.</w:t>
      </w:r>
    </w:p>
    <w:p>
      <w:pPr>
        <w:spacing w:after="0" w:line="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half of the year, particularly the first quarter, as borrowers may use tax refunds to pay debts. Mortgage Services revenue is impacted by REO sales which tend to be at their lowest level during winter months and highest during summer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expenses as well as depreciation and amortization of operating assets. The components of cost of revenue were as follows for the periods ended June 30, 2010 and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44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 and Benefits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15,691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12,803</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$29,690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25,877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13,321</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9,959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3,362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25,781</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19,557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6,224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11,141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3,718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14,947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Technology and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3,911</w:t>
            </w:r>
          </w:p>
        </w:tc>
        <w:tc>
          <w:tcPr>
            <w:tcW w:w="1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3,869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8,194</w:t>
            </w:r>
          </w:p>
        </w:tc>
        <w:tc>
          <w:tcPr>
            <w:tcW w:w="5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44,064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30,349</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13,715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58,352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Revenue / Total</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08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220"/>
              <w:spacing w:after="0"/>
              <w:rPr>
                <w:sz w:val="20"/>
                <w:szCs w:val="20"/>
                <w:color w:val="auto"/>
              </w:rPr>
            </w:pPr>
            <w:r>
              <w:rPr>
                <w:rFonts w:ascii="Arial" w:cs="Arial" w:eastAsia="Arial" w:hAnsi="Arial"/>
                <w:sz w:val="18"/>
                <w:szCs w:val="18"/>
                <w:color w:val="auto"/>
              </w:rPr>
              <w:t>Cost of Revenue less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420"/>
              <w:spacing w:after="0"/>
              <w:rPr>
                <w:sz w:val="20"/>
                <w:szCs w:val="20"/>
                <w:color w:val="auto"/>
              </w:rPr>
            </w:pPr>
            <w:r>
              <w:rPr>
                <w:rFonts w:ascii="Arial" w:cs="Arial" w:eastAsia="Arial" w:hAnsi="Arial"/>
                <w:sz w:val="18"/>
                <w:szCs w:val="18"/>
                <w:color w:val="auto"/>
              </w:rPr>
              <w:t>Reimbursable Expenses /</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3080" w:type="dxa"/>
            <w:vAlign w:val="bottom"/>
            <w:gridSpan w:val="2"/>
          </w:tcPr>
          <w:p>
            <w:pPr>
              <w:jc w:val="right"/>
              <w:ind w:right="22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six months ended June 30, 2010, our gross margin percentages based on Total Revenues were comparable to the prior period. In evaluating the performance of our segments, we also evaluate margins based on Service Revenue. This neutralizes the impact of pass-through items for which we earn no margin. Our gross margins based on Service Revenue for the six months ended June 30, 2010 increased as a result of the composition of revenues being more weighted towards the higher margin Mortgage Services segment, the recent acquisition of MPA and our ability to scale our operations as our referral base grows.</w:t>
      </w:r>
    </w:p>
    <w:p>
      <w:pPr>
        <w:spacing w:after="0" w:line="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Compensation and benefits costs continue to grow as we scale to support the national rollout of services and in anticipation of the growth in Ocwen’s residential loan portfolio. In addition, our compensation costs include $1.0 million of compensation costs year to date associated with equity-based compensation in the current period which is significantly higher than the prior year as we have sought to align management and key employee interests with those of shareholders. For periods subsequent to Separation Date, we began treating compensation costs associated with segment executive management and segment marketing activities and reclassifying such costs to be a component of selling, general and administrative.</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Outside fees and services primarily increased in our Mortgage Services segment consistent with greater revenues from our new services. Outside fees and services also increased in our Financial Services segment as we increased our use of external collectors.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Technology and communication costs were relatively flat as increases related to the new data center were generally offset by other cost reduction initiatives.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consumer behavior, internal audit and finance roles. This category also includes professional fees, depreciation and amortization on non-operating assets. The components of selling, general and administrative expenses were as follows for the periods ended June 30, 2010 and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44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54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7"/>
              </w:rPr>
              <w:t>Compensation and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3,786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4,219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2,529</w:t>
            </w:r>
          </w:p>
        </w:tc>
        <w:tc>
          <w:tcPr>
            <w:tcW w:w="4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(768)</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3,356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701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699</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751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1,336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1,303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3,563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25"/>
        </w:trPr>
        <w:tc>
          <w:tcPr>
            <w:tcW w:w="2540" w:type="dxa"/>
            <w:vAlign w:val="bottom"/>
            <w:gridSpan w:val="3"/>
          </w:tcPr>
          <w:p>
            <w:pPr>
              <w:spacing w:after="0"/>
              <w:rPr>
                <w:sz w:val="20"/>
                <w:szCs w:val="20"/>
                <w:color w:val="auto"/>
              </w:rPr>
            </w:pPr>
            <w:r>
              <w:rPr>
                <w:rFonts w:ascii="Arial" w:cs="Arial" w:eastAsia="Arial" w:hAnsi="Arial"/>
                <w:sz w:val="18"/>
                <w:szCs w:val="18"/>
                <w:color w:val="auto"/>
              </w:rPr>
              <w:t>Total Selling, General and</w:t>
            </w: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12,787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8,673</w:t>
            </w:r>
          </w:p>
        </w:tc>
        <w:tc>
          <w:tcPr>
            <w:tcW w:w="4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4,114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$25,172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16,151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9,021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Percentage: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Operating Income / Total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Operating Income / Service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operating margin percentage decreased slightly for the six months ended June 30, 2010 as increases in operating leverage were offset by the impact of Reimbursable Expenses. When calculated based on Service Revenue, our operating margins for the three and six months ended June 30, 2010 improved slightly. As we are approximately one year from the Separation, we believe we have incurred much of the additional costs of being a separate public company and now are able to begin to leverage our cost basis to increase our operating margins as our business grows.</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Compensation and benefits has increased from the prior year primarily as a result of the cost of being a separate public company and the need to have separate support functions such as accounting, legal and human resources as well as to the previously mentioned reclassification of certain executive and marketing related compensation costs from cost of revenues.</w:t>
      </w:r>
    </w:p>
    <w:p>
      <w:pPr>
        <w:spacing w:after="0" w:line="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Professional services increased from the prior year primarily due to the cost of being a separate public company. In addition, the prior period includes $1.9 million of one-time costs related to the Separation.</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Occupancy and equipment costs increased in 2010 as we leased new facilities primarily in India to support our expanding Mortgage Services operations and our new data center in Georgia, United States. This increase was partially offset by decreases associated with lease facility closure costs in Financial Services in 2009.</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Amortization of intangible assets increased as a result of the intangibles acquired in connection with the acquisition of MPA (see Notes 3 and 7 to the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Altisource evaluates performance based on several factors of which a primary financial measure is income before interest, tax, depreciation and amortization (“EBITDA”). We believe that this non-GAAP financial measure is useful to investors and analysts in analyzing and assessing our overall business performance since we utilize this information for making operating decisions, for compensation decisions and for forecasting and planning future periods. While the Company uses non-GAAP financial measures as a tool to enhance its understanding of certain aspects of its financial performance and to provide incremental insight into the underlying factors and trends affecting both the Company’s performance and its cash-generating potential, the Company does not consider these measures to be a substitute for, or superior to, the information provided by GAAP financial measures. Consistent with this approach, the Company believes that disclosing non-GAAP financial measures to the readers of its financial statements provides such readers with useful supplemental data that, while not a substitute for GAAP financial measures, allows for greater transparency in the review of its financial and operational performance and enables investors to more fully understand trends in its current and future performance.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w w:val="95"/>
              </w:rPr>
              <w:t>Three Months Ended June 30,</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color w:val="auto"/>
                <w:w w:val="95"/>
              </w:rPr>
              <w:t>Six Months Ended 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2"/>
                <w:szCs w:val="12"/>
                <w:color w:val="auto"/>
              </w:rPr>
            </w:pP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360" w:type="dxa"/>
            <w:vAlign w:val="bottom"/>
          </w:tcPr>
          <w:p>
            <w:pPr>
              <w:spacing w:after="0"/>
              <w:rPr>
                <w:sz w:val="12"/>
                <w:szCs w:val="12"/>
                <w:color w:val="auto"/>
              </w:rPr>
            </w:pPr>
          </w:p>
        </w:tc>
        <w:tc>
          <w:tcPr>
            <w:tcW w:w="102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w w:val="98"/>
              </w:rPr>
              <w:t>$ Change</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7"/>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14,537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24,015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16,528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796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1,410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(1,371)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699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751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1,336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16,398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12,862</w:t>
            </w:r>
          </w:p>
        </w:tc>
        <w:tc>
          <w:tcPr>
            <w:tcW w:w="680" w:type="dxa"/>
            <w:vAlign w:val="bottom"/>
          </w:tcPr>
          <w:p>
            <w:pPr>
              <w:jc w:val="right"/>
              <w:spacing w:after="0"/>
              <w:rPr>
                <w:sz w:val="20"/>
                <w:szCs w:val="20"/>
                <w:color w:val="auto"/>
              </w:rPr>
            </w:pPr>
            <w:r>
              <w:rPr>
                <w:rFonts w:ascii="Arial" w:cs="Arial" w:eastAsia="Arial" w:hAnsi="Arial"/>
                <w:sz w:val="18"/>
                <w:szCs w:val="18"/>
                <w:color w:val="auto"/>
              </w:rPr>
              <w:t>3,536</w:t>
            </w:r>
          </w:p>
        </w:tc>
        <w:tc>
          <w:tcPr>
            <w:tcW w:w="3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27,820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22,067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5,753</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Margin: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EBITDA / Total Revenue</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 / Service Revenue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6"/>
          <w:szCs w:val="16"/>
          <w:color w:val="auto"/>
        </w:rPr>
        <w:t>See “</w:t>
      </w:r>
      <w:r>
        <w:rPr>
          <w:rFonts w:ascii="Arial" w:cs="Arial" w:eastAsia="Arial" w:hAnsi="Arial"/>
          <w:sz w:val="16"/>
          <w:szCs w:val="16"/>
          <w:i w:val="1"/>
          <w:iCs w:val="1"/>
          <w:color w:val="auto"/>
        </w:rPr>
        <w:t>SECTION 3 — SEGMENT RESULTS OF OPERATIONS</w:t>
      </w:r>
      <w:r>
        <w:rPr>
          <w:rFonts w:ascii="Arial" w:cs="Arial" w:eastAsia="Arial" w:hAnsi="Arial"/>
          <w:sz w:val="16"/>
          <w:szCs w:val="16"/>
          <w:color w:val="auto"/>
        </w:rPr>
        <w:t>” below for a reconciliation of the most directly comparable GAAP measure to EBITDA.</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EBITDA for the six months ended June 30, 2010 increased to $27.8 million, a 26% increase over the comparable six months for 2009. In addition, we achieved a 44% sequential increase over the first quarter 2010. The growth in our EBITDA was predominantly driven by our Mortgage Services Segment. Our EBITDA margin based on Total Revenue percentage decreased principally due to the impact of Reimbursable Expenses and Non-Controlling Interests. EBITDA margins based on Service Revenue remained fairly consistent. Sequentially, our EBITDA margins based on Service Revenue improved to 28% compared to 22% during the first quarter of 2010 which reflects the benefit of the expansion of our higher margin asset management and default management services during the year.</w:t>
      </w:r>
    </w:p>
    <w:p>
      <w:pPr>
        <w:spacing w:after="0" w:line="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Corporate and Eliminations EBITDA improved sequentially by $1.0 million principally as a result of the reduction of legal fees incurred during the first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revised its estimated effective tax rate for the full year 2010 to 12.5% in the second quarter. The revised estimate was due to the receipt of a favorable ruling in June 2010 regarding the treatment of certain intangibles that exist for purposes of determining the Company’s taxable income. The ruling is retroactive to the Separation Date. As a result of the ruling the Company recognized a $3.4 million credit attributable to 2009 in the second quarter. The net impact of the 2009 credit and the current year provision was a credit of $0.7 million recognized for the six months ended June 30, 2010. Income tax provision on income before income tax differs from amounts that would be computed by applying the Luxembourg federal corporate income tax rate of 28.6% primarily because of the effect of enacted tax statutes in multiple jurisdictions, the treatment of intangibles for tax purposes and differing tax rates outside of Luxembourg.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 SEGMENT RESULTS OF OPERATIONS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periods ended June 30, 2010 and 2009. Transactions between segments are accounted for as third-party arrangements for purposes of presenting segment results of operations. 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color w:val="auto"/>
              </w:rPr>
              <w:t>Three Months Ended June 30, 2010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gridSpan w:val="4"/>
          </w:tcPr>
          <w:p>
            <w:pPr>
              <w:ind w:left="100"/>
              <w:spacing w:after="0" w:line="123" w:lineRule="exact"/>
              <w:rPr>
                <w:sz w:val="20"/>
                <w:szCs w:val="20"/>
                <w:color w:val="auto"/>
              </w:rPr>
            </w:pPr>
            <w:r>
              <w:rPr>
                <w:rFonts w:ascii="Arial" w:cs="Arial" w:eastAsia="Arial" w:hAnsi="Arial"/>
                <w:sz w:val="14"/>
                <w:szCs w:val="14"/>
                <w:color w:val="auto"/>
              </w:rPr>
              <w:t>Corporate Items and</w:t>
            </w:r>
          </w:p>
        </w:tc>
        <w:tc>
          <w:tcPr>
            <w:tcW w:w="1000" w:type="dxa"/>
            <w:vAlign w:val="bottom"/>
            <w:gridSpan w:val="3"/>
          </w:tcPr>
          <w:p>
            <w:pPr>
              <w:ind w:left="240"/>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260" w:type="dxa"/>
            <w:vAlign w:val="bottom"/>
          </w:tcPr>
          <w:p>
            <w:pPr>
              <w:spacing w:after="0"/>
              <w:rPr>
                <w:sz w:val="14"/>
                <w:szCs w:val="1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w w:val="91"/>
              </w:rPr>
              <w:t>Financial Services</w:t>
            </w:r>
          </w:p>
        </w:tc>
        <w:tc>
          <w:tcPr>
            <w:tcW w:w="1840" w:type="dxa"/>
            <w:vAlign w:val="bottom"/>
            <w:gridSpan w:val="4"/>
          </w:tcPr>
          <w:p>
            <w:pPr>
              <w:ind w:left="220"/>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2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15,480</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12,569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Before Income Taxes and Non-</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14,798</w:t>
            </w: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439"/>
        </w:trPr>
        <w:tc>
          <w:tcPr>
            <w:tcW w:w="3980" w:type="dxa"/>
            <w:vAlign w:val="bottom"/>
            <w:gridSpan w:val="3"/>
          </w:tcPr>
          <w:p>
            <w:pPr>
              <w:spacing w:after="0"/>
              <w:rPr>
                <w:sz w:val="20"/>
                <w:szCs w:val="20"/>
                <w:color w:val="auto"/>
              </w:rPr>
            </w:pPr>
            <w:r>
              <w:rPr>
                <w:rFonts w:ascii="Arial" w:cs="Arial" w:eastAsia="Arial" w:hAnsi="Arial"/>
                <w:sz w:val="18"/>
                <w:szCs w:val="18"/>
                <w:color w:val="auto"/>
              </w:rPr>
              <w:t>Reconciliation to EBITDA</w:t>
            </w: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(Loss) Before Income Taxes and Non-</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controlling Interests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14,798</w:t>
            </w: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(1,297)</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31,222</w:t>
            </w:r>
          </w:p>
        </w:tc>
        <w:tc>
          <w:tcPr>
            <w:tcW w:w="7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4,537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47"/>
              <w:spacing w:after="0"/>
              <w:rPr>
                <w:sz w:val="20"/>
                <w:szCs w:val="20"/>
                <w:color w:val="auto"/>
              </w:rPr>
            </w:pPr>
            <w:r>
              <w:rPr>
                <w:rFonts w:ascii="Arial" w:cs="Arial" w:eastAsia="Arial" w:hAnsi="Arial"/>
                <w:sz w:val="18"/>
                <w:szCs w:val="18"/>
                <w:color w:val="auto"/>
              </w:rPr>
              <w:t>- 29 -</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color w:val="auto"/>
              </w:rPr>
              <w:t>Three Months Ended June 30, 2009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gridSpan w:val="4"/>
          </w:tcPr>
          <w:p>
            <w:pPr>
              <w:ind w:left="100"/>
              <w:spacing w:after="0" w:line="123" w:lineRule="exact"/>
              <w:rPr>
                <w:sz w:val="20"/>
                <w:szCs w:val="20"/>
                <w:color w:val="auto"/>
              </w:rPr>
            </w:pPr>
            <w:r>
              <w:rPr>
                <w:rFonts w:ascii="Arial" w:cs="Arial" w:eastAsia="Arial" w:hAnsi="Arial"/>
                <w:sz w:val="14"/>
                <w:szCs w:val="14"/>
                <w:color w:val="auto"/>
              </w:rPr>
              <w:t>Corporate Items and</w:t>
            </w:r>
          </w:p>
        </w:tc>
        <w:tc>
          <w:tcPr>
            <w:tcW w:w="1000" w:type="dxa"/>
            <w:vAlign w:val="bottom"/>
            <w:gridSpan w:val="3"/>
          </w:tcPr>
          <w:p>
            <w:pPr>
              <w:ind w:left="240"/>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260" w:type="dxa"/>
            <w:vAlign w:val="bottom"/>
          </w:tcPr>
          <w:p>
            <w:pPr>
              <w:spacing w:after="0"/>
              <w:rPr>
                <w:sz w:val="14"/>
                <w:szCs w:val="1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color w:val="auto"/>
                <w:w w:val="91"/>
              </w:rPr>
              <w:t>Financial Services</w:t>
            </w:r>
          </w:p>
        </w:tc>
        <w:tc>
          <w:tcPr>
            <w:tcW w:w="1840" w:type="dxa"/>
            <w:vAlign w:val="bottom"/>
            <w:gridSpan w:val="4"/>
          </w:tcPr>
          <w:p>
            <w:pPr>
              <w:ind w:left="220"/>
              <w:spacing w:after="0"/>
              <w:rPr>
                <w:sz w:val="20"/>
                <w:szCs w:val="20"/>
                <w:color w:val="auto"/>
              </w:rPr>
            </w:pPr>
            <w:r>
              <w:rPr>
                <w:rFonts w:ascii="Arial" w:cs="Arial" w:eastAsia="Arial" w:hAnsi="Arial"/>
                <w:sz w:val="14"/>
                <w:szCs w:val="14"/>
                <w:color w:val="auto"/>
              </w:rPr>
              <w:t>Technology Products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2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16,469</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13,810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Before Income Taxes and Non-</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8,684</w:t>
            </w: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(1,736)</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439"/>
        </w:trPr>
        <w:tc>
          <w:tcPr>
            <w:tcW w:w="3980" w:type="dxa"/>
            <w:vAlign w:val="bottom"/>
            <w:gridSpan w:val="3"/>
          </w:tcPr>
          <w:p>
            <w:pPr>
              <w:spacing w:after="0"/>
              <w:rPr>
                <w:sz w:val="20"/>
                <w:szCs w:val="20"/>
                <w:color w:val="auto"/>
              </w:rPr>
            </w:pPr>
            <w:r>
              <w:rPr>
                <w:rFonts w:ascii="Arial" w:cs="Arial" w:eastAsia="Arial" w:hAnsi="Arial"/>
                <w:sz w:val="18"/>
                <w:szCs w:val="18"/>
                <w:color w:val="auto"/>
              </w:rPr>
              <w:t>Reconciliation to EBITDA</w:t>
            </w: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(Loss) Before Income Taxes and Non-</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controlling Interests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8,684</w:t>
            </w: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(1,736)</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4,911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Interest, net</w:t>
            </w:r>
          </w:p>
        </w:tc>
        <w:tc>
          <w:tcPr>
            <w:tcW w:w="3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669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12,862</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47"/>
              <w:spacing w:after="0"/>
              <w:rPr>
                <w:sz w:val="20"/>
                <w:szCs w:val="20"/>
                <w:color w:val="auto"/>
              </w:rPr>
            </w:pPr>
            <w:r>
              <w:rPr>
                <w:rFonts w:ascii="Arial" w:cs="Arial" w:eastAsia="Arial" w:hAnsi="Arial"/>
                <w:sz w:val="18"/>
                <w:szCs w:val="18"/>
                <w:color w:val="auto"/>
              </w:rPr>
              <w:t>- 30 -</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w w:val="93"/>
              </w:rPr>
              <w:t>Six Months Ended June 30, 2010</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520"/>
              <w:spacing w:after="0" w:line="123" w:lineRule="exact"/>
              <w:rPr>
                <w:sz w:val="20"/>
                <w:szCs w:val="20"/>
                <w:color w:val="auto"/>
              </w:rPr>
            </w:pPr>
            <w:r>
              <w:rPr>
                <w:rFonts w:ascii="Arial" w:cs="Arial" w:eastAsia="Arial" w:hAnsi="Arial"/>
                <w:sz w:val="14"/>
                <w:szCs w:val="14"/>
                <w:color w:val="auto"/>
                <w:w w:val="93"/>
              </w:rPr>
              <w:t>Corporate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97"/>
              </w:rPr>
              <w:t>Mortgage</w:t>
            </w:r>
          </w:p>
        </w:tc>
        <w:tc>
          <w:tcPr>
            <w:tcW w:w="20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Financial</w:t>
            </w: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4"/>
              </w:rPr>
              <w:t>Items and</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w w:val="89"/>
              </w:rPr>
              <w:t>Services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Services</w:t>
            </w:r>
          </w:p>
        </w:tc>
        <w:tc>
          <w:tcPr>
            <w:tcW w:w="540" w:type="dxa"/>
            <w:vAlign w:val="bottom"/>
          </w:tcPr>
          <w:p>
            <w:pPr>
              <w:spacing w:after="0"/>
              <w:rPr>
                <w:sz w:val="14"/>
                <w:szCs w:val="14"/>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Eliminations</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83,870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31,113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24,459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51,503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25,404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13,316</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(7,121)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11,143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6,496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7,593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2,430</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8,653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8,713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439"/>
        </w:trPr>
        <w:tc>
          <w:tcPr>
            <w:tcW w:w="4440" w:type="dxa"/>
            <w:vAlign w:val="bottom"/>
            <w:gridSpan w:val="2"/>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10,616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55,984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8,975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- 31 -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w w:val="93"/>
              </w:rPr>
              <w:t>Six Months Ended June 30, 2009</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520"/>
              <w:spacing w:after="0" w:line="123" w:lineRule="exact"/>
              <w:rPr>
                <w:sz w:val="20"/>
                <w:szCs w:val="20"/>
                <w:color w:val="auto"/>
              </w:rPr>
            </w:pPr>
            <w:r>
              <w:rPr>
                <w:rFonts w:ascii="Arial" w:cs="Arial" w:eastAsia="Arial" w:hAnsi="Arial"/>
                <w:sz w:val="14"/>
                <w:szCs w:val="14"/>
                <w:color w:val="auto"/>
                <w:w w:val="93"/>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w w:val="97"/>
              </w:rPr>
              <w:t>Mortgage</w:t>
            </w:r>
          </w:p>
        </w:tc>
        <w:tc>
          <w:tcPr>
            <w:tcW w:w="30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Financial</w:t>
            </w: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4"/>
              </w:rPr>
              <w:t>Items and</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9"/>
              </w:rPr>
              <w:t>Services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Services</w:t>
            </w:r>
          </w:p>
        </w:tc>
        <w:tc>
          <w:tcPr>
            <w:tcW w:w="540" w:type="dxa"/>
            <w:vAlign w:val="bottom"/>
          </w:tcPr>
          <w:p>
            <w:pPr>
              <w:spacing w:after="0"/>
              <w:rPr>
                <w:sz w:val="14"/>
                <w:szCs w:val="14"/>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Eliminations</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33,787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22,682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23,780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27,879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12,460</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10,222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3,675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7,830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2,796</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(1,115)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439"/>
        </w:trPr>
        <w:tc>
          <w:tcPr>
            <w:tcW w:w="4440" w:type="dxa"/>
            <w:vAlign w:val="bottom"/>
            <w:gridSpan w:val="2"/>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10,757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32" w:lineRule="exact"/>
        <w:rPr>
          <w:rFonts w:ascii="Arial" w:cs="Arial" w:eastAsia="Arial" w:hAnsi="Arial"/>
          <w:sz w:val="15"/>
          <w:szCs w:val="15"/>
          <w:color w:val="auto"/>
        </w:rPr>
      </w:pPr>
    </w:p>
    <w:p>
      <w:pPr>
        <w:ind w:left="460" w:right="20" w:hanging="452"/>
        <w:spacing w:after="0" w:line="34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and amortization of $1.0 million and $1.1 million for the six months ended June 30, 2010 and 2009 ($0.4 million and $0.5 million for the quarter ended June 30, 2010 and 2009), for assets reflected in the Technology Products segment but utilized by the Financial Services segment.</w:t>
      </w:r>
    </w:p>
    <w:p>
      <w:pPr>
        <w:spacing w:after="0" w:line="83" w:lineRule="exact"/>
        <w:rPr>
          <w:rFonts w:ascii="Arial" w:cs="Arial" w:eastAsia="Arial" w:hAnsi="Arial"/>
          <w:sz w:val="14"/>
          <w:szCs w:val="14"/>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Mortgage Services segment for the three and six months ending June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35,412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20,302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63,537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36,996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10,367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3,718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6,649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18,249</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4,724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13,525</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Cooperative Non-controlling</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2,084</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47,076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24,020</w:t>
            </w:r>
          </w:p>
        </w:tc>
        <w:tc>
          <w:tcPr>
            <w:tcW w:w="46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23,056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83,870</w:t>
            </w: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41,720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42,150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13,369</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51,503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23,780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10,651</w:t>
            </w:r>
          </w:p>
        </w:tc>
        <w:tc>
          <w:tcPr>
            <w:tcW w:w="46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7,906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32,367</w:t>
            </w: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17,940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14,427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3,675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14,839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8,694</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6,145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25,871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14,265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11,606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14,345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8,693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5,652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25,166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14,266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Parties Above: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31,222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17,080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14,142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55,984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30,392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25,592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w w:val="94"/>
              </w:rPr>
              <w:t>Administrative Expenses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1,053</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(1,053)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2,181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(2,181)</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360" w:firstLine="8"/>
        <w:spacing w:after="0" w:line="375"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8"/>
          <w:szCs w:val="18"/>
          <w:color w:val="auto"/>
        </w:rPr>
        <w:t>See above for a reconciliation of the most directly comparable GAAP measure to EBITDA. N/M — not meaningful.</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Total Revenue for the Mortgage Services segment doubled year to date as compared to the prior year principally as a result of the Company’s expansion of its residential default and real estate services. Sequentially, Mortgage Services Total Revenue grew $10.3 million or 28% primarily driven by Altisource’s expanded footprint as well as strong performance across all services that benefit Ocwen’s growing loan servicing portfolio.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Altisource continues to expand its default services. As of June 30, 2010, we:</w:t>
      </w:r>
    </w:p>
    <w:p>
      <w:pPr>
        <w:spacing w:after="0" w:line="117" w:lineRule="exact"/>
        <w:rPr>
          <w:sz w:val="20"/>
          <w:szCs w:val="20"/>
          <w:color w:val="auto"/>
        </w:rPr>
      </w:pPr>
    </w:p>
    <w:p>
      <w:pPr>
        <w:ind w:left="660" w:right="9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Delivered our REO brokerage disposition services in 18 states with over 5,700 properties listed with brokers (compared to 10 states and approximately 4,800 properties listed with brokers as of March 31, 2010);</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Managed property preservation services nationally for over 10,200 properties (compared to over 7,500 properties as of March 31, 2010); and</w:t>
      </w:r>
    </w:p>
    <w:p>
      <w:pPr>
        <w:spacing w:after="0" w:line="142" w:lineRule="exact"/>
        <w:rPr>
          <w:rFonts w:ascii="Arial" w:cs="Arial" w:eastAsia="Arial" w:hAnsi="Arial"/>
          <w:sz w:val="17"/>
          <w:szCs w:val="17"/>
          <w:b w:val="1"/>
          <w:bCs w:val="1"/>
          <w:color w:val="auto"/>
        </w:rPr>
      </w:pPr>
    </w:p>
    <w:p>
      <w:pPr>
        <w:ind w:left="660" w:right="40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Provided default management services, particularly non-legal processing for foreclosure attorneys, in 24 states (compared to 13 as of March 31, 2010).</w:t>
      </w:r>
    </w:p>
    <w:p>
      <w:pPr>
        <w:spacing w:after="0" w:line="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May, Ocwen announced its acquisition of HomeEq Servicing from Barclays adding approximately 190,000 loans to the roughly 400,000 loans currently serviced by Ocwen. Assuming the transaction closes September 1st, Altisource would expect to see referrals from this acquisition during the fourth quarter resulting in revenue growth principally in 2011. At the completion of this transaction, Ocwen’s portfolio, measured by unpaid principal balance, will exceed $80 billion compared to $40 billion at the time of Altisource’s separation from Ocwen.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MPA</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MPA and its consolidated subsidiary contributed $5.8 million of revenue and $1.4 million of EBITDA since the February 2010 acquisition date. This revenue and EBITDA was substantially in line with our internal projections which included a forecasted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decline in origination volumes during 2010. We expect this decline to be somewhat mitigated given the accelerated pace of new members joining the cooperative. Through June 30, 2010, MPA has added 18 new members and currently has 170 Members.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remain focused on developing Altisource services that we can provide to the Members as we approach 2011 including valuation, title and fulfillment services. We believe that over time we can work with Ocwen and other partners to provide Members additional avenues to sell their loans beyond the current preferred investor arrangements resulting in improved capital markets execution for the Members. We expect this will facilitate the sale of our services to the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89"/>
              </w:rPr>
              <w:t>Asset Management Services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18,470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6,671</w:t>
            </w:r>
          </w:p>
        </w:tc>
        <w:tc>
          <w:tcPr>
            <w:tcW w:w="700" w:type="dxa"/>
            <w:vAlign w:val="bottom"/>
          </w:tcPr>
          <w:p>
            <w:pPr>
              <w:jc w:val="right"/>
              <w:spacing w:after="0"/>
              <w:rPr>
                <w:sz w:val="20"/>
                <w:szCs w:val="20"/>
                <w:color w:val="auto"/>
              </w:rPr>
            </w:pPr>
            <w:r>
              <w:rPr>
                <w:rFonts w:ascii="Arial" w:cs="Arial" w:eastAsia="Arial" w:hAnsi="Arial"/>
                <w:sz w:val="18"/>
                <w:szCs w:val="18"/>
                <w:color w:val="auto"/>
              </w:rPr>
              <w:t>11,799</w:t>
            </w:r>
          </w:p>
        </w:tc>
        <w:tc>
          <w:tcPr>
            <w:tcW w:w="4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31,849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8,847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23,002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Component Services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5,235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16,793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8,403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Residential Property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Valuation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7,628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6,689</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14,156</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14,035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Closing and Title Services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4,169</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11,417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8,590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Default Management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5,718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1,256</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4,462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1,845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7,810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24,020</w:t>
            </w:r>
          </w:p>
        </w:tc>
        <w:tc>
          <w:tcPr>
            <w:tcW w:w="4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23,056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83,870</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41,720</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42,150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Transactions with Related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89"/>
              </w:rPr>
              <w:t>Asset Management Services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18,470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6,671</w:t>
            </w:r>
          </w:p>
        </w:tc>
        <w:tc>
          <w:tcPr>
            <w:tcW w:w="700" w:type="dxa"/>
            <w:vAlign w:val="bottom"/>
          </w:tcPr>
          <w:p>
            <w:pPr>
              <w:jc w:val="right"/>
              <w:spacing w:after="0"/>
              <w:rPr>
                <w:sz w:val="20"/>
                <w:szCs w:val="20"/>
                <w:color w:val="auto"/>
              </w:rPr>
            </w:pPr>
            <w:r>
              <w:rPr>
                <w:rFonts w:ascii="Arial" w:cs="Arial" w:eastAsia="Arial" w:hAnsi="Arial"/>
                <w:sz w:val="18"/>
                <w:szCs w:val="18"/>
                <w:color w:val="auto"/>
              </w:rPr>
              <w:t>11,799</w:t>
            </w:r>
          </w:p>
        </w:tc>
        <w:tc>
          <w:tcPr>
            <w:tcW w:w="4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31,849</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8,847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23,002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Residential Property</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Valuation</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6,459</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13,453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13,613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8"/>
              </w:rPr>
              <w:t>Closing and Title Services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3,358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7,390</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7,135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Default Management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31,222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17,080</w:t>
            </w:r>
          </w:p>
        </w:tc>
        <w:tc>
          <w:tcPr>
            <w:tcW w:w="4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14,142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55,984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30,392</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25,592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Reimbursable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89"/>
              </w:rPr>
              <w:t>Asset Management Services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9,759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2,736</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7,023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17,128</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3,146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13,982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Default Management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8"/>
              </w:rPr>
              <w:t>Closing and Title Services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10,367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3,718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6,649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18,249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primarily for Ocwen or with respect to the loan portfolio serviced by Ocwen. In addition to our relationship with Ocwen, we have longstanding relationships with some of the leading capital markets firms, commercial banks, hedge funds, insurance companies and lending institutions and provide products that enhance their ability to make informed investment decisions and manage their core operations. With the acquisition of MPA in February 2010, we took a significant step in our evolution to become a full service provider in the mortgage services vertical and gained increased access to a growing group of mid-tier mortgage bankers.</w:t>
      </w:r>
    </w:p>
    <w:p>
      <w:pPr>
        <w:spacing w:after="0" w:line="8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Asset Management Services. </w:t>
      </w:r>
      <w:r>
        <w:rPr>
          <w:rFonts w:ascii="Arial" w:cs="Arial" w:eastAsia="Arial" w:hAnsi="Arial"/>
          <w:sz w:val="18"/>
          <w:szCs w:val="18"/>
          <w:color w:val="auto"/>
        </w:rPr>
        <w:t>Asset management services principally include property preservation, property inspection, REO asset management and REO</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In the first quarter of 2010, we completed our national network for property preservation services and, including our real estate broker referral network, have coverage nationally for REO dispositions. As of June 30, 2010, we were licensed to sell real estate in eighteen states (ten as of March 31, 2010). This resulted in an increase in REO brokerage referrals which drove revenue growth during the second quarter and should continue to drive revenue growth in the third quarter.</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Component Services and Other</w:t>
      </w:r>
      <w:r>
        <w:rPr>
          <w:rFonts w:ascii="Arial" w:cs="Arial" w:eastAsia="Arial" w:hAnsi="Arial"/>
          <w:sz w:val="18"/>
          <w:szCs w:val="18"/>
          <w:color w:val="auto"/>
        </w:rPr>
        <w:t>. The increase in component services year over year is due to an expanded relationship with an existing customer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2009 and the inclusion of MPA’s results.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Residential Property Valuation</w:t>
      </w:r>
      <w:r>
        <w:rPr>
          <w:rFonts w:ascii="Arial" w:cs="Arial" w:eastAsia="Arial" w:hAnsi="Arial"/>
          <w:sz w:val="18"/>
          <w:szCs w:val="18"/>
          <w:color w:val="auto"/>
        </w:rPr>
        <w:t>. As one of the more mature services in our portfolio, residential property valuations are subject to market conditions.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2010, we saw a sequential increase in revenues as a result of Ocwen’s residential loan portfolio growth resulting in the ordering of more valuations, particularly broker price opinions.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77"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Closing and Title Services. </w:t>
      </w:r>
      <w:r>
        <w:rPr>
          <w:rFonts w:ascii="Arial" w:cs="Arial" w:eastAsia="Arial" w:hAnsi="Arial"/>
          <w:sz w:val="16"/>
          <w:szCs w:val="16"/>
          <w:color w:val="auto"/>
        </w:rPr>
        <w:t>This business includes legacy services such as pre-foreclosure title services as well as an expanded array of title services that were</w:t>
      </w:r>
      <w:r>
        <w:rPr>
          <w:rFonts w:ascii="Arial" w:cs="Arial" w:eastAsia="Arial" w:hAnsi="Arial"/>
          <w:sz w:val="16"/>
          <w:szCs w:val="16"/>
          <w:i w:val="1"/>
          <w:iCs w:val="1"/>
          <w:color w:val="auto"/>
        </w:rPr>
        <w:t xml:space="preserve"> </w:t>
      </w:r>
      <w:r>
        <w:rPr>
          <w:rFonts w:ascii="Arial" w:cs="Arial" w:eastAsia="Arial" w:hAnsi="Arial"/>
          <w:sz w:val="16"/>
          <w:szCs w:val="16"/>
          <w:color w:val="auto"/>
        </w:rPr>
        <w:t>rolled out during 2009 principally around REO purchase transactions. During 2010, we are focused on rolling out our title agency business in key markets which we believe will drive significant revenue growth at attractive margins. We have also applied for our title agency license in several counties in California which is a significant market for us. However, we do not expect to obtain agency status in California until the fourth quarter of 2010.</w:t>
      </w:r>
    </w:p>
    <w:p>
      <w:pPr>
        <w:spacing w:after="0" w:line="46"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i w:val="1"/>
          <w:iCs w:val="1"/>
          <w:color w:val="auto"/>
        </w:rPr>
        <w:t xml:space="preserve">Default Management Services. </w:t>
      </w:r>
      <w:r>
        <w:rPr>
          <w:rFonts w:ascii="Arial" w:cs="Arial" w:eastAsia="Arial" w:hAnsi="Arial"/>
          <w:sz w:val="17"/>
          <w:szCs w:val="17"/>
          <w:color w:val="auto"/>
        </w:rPr>
        <w:t>This group includes support services whereby we provide non-legal back-office support for foreclosure, bankruptcy and</w:t>
      </w:r>
      <w:r>
        <w:rPr>
          <w:rFonts w:ascii="Arial" w:cs="Arial" w:eastAsia="Arial" w:hAnsi="Arial"/>
          <w:sz w:val="17"/>
          <w:szCs w:val="17"/>
          <w:i w:val="1"/>
          <w:iCs w:val="1"/>
          <w:color w:val="auto"/>
        </w:rPr>
        <w:t xml:space="preserve"> </w:t>
      </w:r>
      <w:r>
        <w:rPr>
          <w:rFonts w:ascii="Arial" w:cs="Arial" w:eastAsia="Arial" w:hAnsi="Arial"/>
          <w:sz w:val="17"/>
          <w:szCs w:val="17"/>
          <w:color w:val="auto"/>
        </w:rPr>
        <w:t>eviction attorneys as well as non-judicial foreclosure services in California and Nevada through our trustee Western Progressive, LLC. Our default management services performed well during the second quarter; however, we saw a temporary decline in referrals in June 2010 due to new government regulations. We expect this decline to be a timing difference and referrals to increase in late July or early August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18,152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33,254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19,056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14,198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10,367</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3,718</w:t>
            </w:r>
          </w:p>
        </w:tc>
        <w:tc>
          <w:tcPr>
            <w:tcW w:w="680" w:type="dxa"/>
            <w:vAlign w:val="bottom"/>
          </w:tcPr>
          <w:p>
            <w:pPr>
              <w:jc w:val="right"/>
              <w:spacing w:after="0"/>
              <w:rPr>
                <w:sz w:val="20"/>
                <w:szCs w:val="20"/>
                <w:color w:val="auto"/>
              </w:rPr>
            </w:pPr>
            <w:r>
              <w:rPr>
                <w:rFonts w:ascii="Arial" w:cs="Arial" w:eastAsia="Arial" w:hAnsi="Arial"/>
                <w:sz w:val="18"/>
                <w:szCs w:val="18"/>
                <w:color w:val="auto"/>
              </w:rPr>
              <w:t>6,649</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4,724</w:t>
            </w:r>
          </w:p>
        </w:tc>
        <w:tc>
          <w:tcPr>
            <w:tcW w:w="5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13,525</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28,519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13,369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51,503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23,780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Revenue / Total</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420" w:type="dxa"/>
            <w:vAlign w:val="bottom"/>
            <w:gridSpan w:val="2"/>
            <w:shd w:val="clear" w:color="auto" w:fill="CCEEFF"/>
          </w:tcPr>
          <w:p>
            <w:pPr>
              <w:jc w:val="right"/>
              <w:ind w:right="258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08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8"/>
                <w:szCs w:val="18"/>
                <w:color w:val="auto"/>
              </w:rPr>
              <w:t>Cost of Revenue less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8"/>
                <w:szCs w:val="18"/>
                <w:color w:val="auto"/>
              </w:rPr>
              <w:t>Reimbursable Expenses /</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3420" w:type="dxa"/>
            <w:vAlign w:val="bottom"/>
            <w:gridSpan w:val="2"/>
          </w:tcPr>
          <w:p>
            <w:pPr>
              <w:jc w:val="right"/>
              <w:ind w:right="2580"/>
              <w:spacing w:after="0"/>
              <w:rPr>
                <w:sz w:val="20"/>
                <w:szCs w:val="20"/>
                <w:color w:val="auto"/>
              </w:rPr>
            </w:pPr>
            <w:r>
              <w:rPr>
                <w:rFonts w:ascii="Arial" w:cs="Arial" w:eastAsia="Arial" w:hAnsi="Arial"/>
                <w:sz w:val="18"/>
                <w:szCs w:val="18"/>
                <w:color w:val="auto"/>
              </w:rPr>
              <w:t>52%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3080" w:type="dxa"/>
            <w:vAlign w:val="bottom"/>
            <w:gridSpan w:val="2"/>
          </w:tcPr>
          <w:p>
            <w:pPr>
              <w:jc w:val="right"/>
              <w:ind w:right="22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six months ended June 30, 2010, our gross margin percentages declined when compared to margins of the prior year period due principally to costs associated with our expanded platform as well as the impact of Reimbursable Expenses. Our gross margins for the six months ended June 30, 2010 based on Service Revenue increased as a result of our ability to scale our operations as our referral base grows.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Three Months Ended June 30,</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9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Total Selling, General and</w:t>
            </w: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3,718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1,957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6,496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3,675</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Income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w w:val="91"/>
              </w:rPr>
              <w:t>Operating Income / Service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Revenue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Selling, General and Administrative Expenses increased principally as a result of the classification of certain compensation and benefit costs related to executive management and marketing previously being captured either in Cost of Revenue or as a component of the Corporate segment now being captured in Selling, General and Administrative Expenses. In addition, professional services fees such as those associated with the external audit have increased as a result of being a public company. Such costs are allocated to the segments based upon expected hours to be incurred per segment by the vendor.</w:t>
      </w:r>
    </w:p>
    <w:p>
      <w:pPr>
        <w:spacing w:after="0" w:line="4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operating margin percentage for Mortgage Services decreased for the six months ended June 30, 2010 as increases in operating leverage were offset by the impact of Reimbursable Expenses. Our operating margins for the three and six months ended June 30, 2010 based on Service Revenue improved as we begun to leverage our global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Three Months Ended June 30,</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$ 14,345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8,693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$ 25,166</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$ 14,266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 / Total Revenue</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tcPr>
          <w:p>
            <w:pPr>
              <w:ind w:left="220"/>
              <w:spacing w:after="0"/>
              <w:rPr>
                <w:sz w:val="20"/>
                <w:szCs w:val="20"/>
                <w:color w:val="auto"/>
              </w:rPr>
            </w:pPr>
            <w:r>
              <w:rPr>
                <w:rFonts w:ascii="Arial" w:cs="Arial" w:eastAsia="Arial" w:hAnsi="Arial"/>
                <w:sz w:val="18"/>
                <w:szCs w:val="18"/>
                <w:color w:val="auto"/>
                <w:w w:val="92"/>
              </w:rPr>
              <w:t>EBITDA / Service Revenue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Mortgage Services EBITDA for the six months ended June 30, 2010 increased to $25.2 million, a 76% increase over the comparable six months for 2009. In addition, this segment achieved a 33% sequential increase over the first quarter 2010. The growth in our EBITDA was predominantly driven by the expansion of our national footprint and the increase in Ocwen’s residential loan portfolio. Mortgage Services EBITDA margins calculated based upon Total Revenue declined for the six months ended June 30, 2010 compared to the comparable prior period due to the growth in Reimbursable Expenses as well as revenue attributable to non-controlling interests. EBITDA margins year to date based on Service Revenue improved as the company continues to expand its national footprint for both existing and new services. Sequentially EBITDA margins based on Service Revenue improved from 38% in the first quarter of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Financial Services segment for the three and six months ending June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14,706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16,469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29,691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33,787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774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1,422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15,480</w:t>
            </w:r>
          </w:p>
        </w:tc>
        <w:tc>
          <w:tcPr>
            <w:tcW w:w="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16,469</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31,113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33,787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12,569</w:t>
            </w:r>
          </w:p>
        </w:tc>
        <w:tc>
          <w:tcPr>
            <w:tcW w:w="2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13,810</w:t>
            </w:r>
          </w:p>
        </w:tc>
        <w:tc>
          <w:tcPr>
            <w:tcW w:w="4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(1,241)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25,404</w:t>
            </w: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27,879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(2,475)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2,659</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5,908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3,748</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7,830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(1,089)</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276</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728</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 Above:</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Administrative Expenses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(424)</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(882)</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360" w:firstLine="8"/>
        <w:spacing w:after="0" w:line="375" w:lineRule="auto"/>
        <w:tabs>
          <w:tab w:leader="none" w:pos="446" w:val="left"/>
        </w:tabs>
        <w:numPr>
          <w:ilvl w:val="0"/>
          <w:numId w:val="9"/>
        </w:numPr>
        <w:rPr>
          <w:rFonts w:ascii="Arial" w:cs="Arial" w:eastAsia="Arial" w:hAnsi="Arial"/>
          <w:sz w:val="15"/>
          <w:szCs w:val="15"/>
          <w:color w:val="auto"/>
        </w:rPr>
      </w:pPr>
      <w:r>
        <w:rPr>
          <w:rFonts w:ascii="Arial" w:cs="Arial" w:eastAsia="Arial" w:hAnsi="Arial"/>
          <w:sz w:val="18"/>
          <w:szCs w:val="18"/>
          <w:color w:val="auto"/>
        </w:rPr>
        <w:t>See above for a reconciliation of the most directly comparable GAAP measure to EBITDA. N/M — not meaningful.</w:t>
      </w:r>
    </w:p>
    <w:p>
      <w:pPr>
        <w:spacing w:after="0" w:line="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Financial Services revenue declined both for the quarter and year to date when compared to prior year as we continue to operate in a difficult economic environment. Sequentially, revenues were essentially flat to the first quarter due to increased placements from a customer we began servicing in 2009.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strategy for 2010 continues to be focused on improving margins principally via improving revenue per collector, expanding our quality initiatives and investing in new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Asset Recovery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12,575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12,950</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25,395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27,239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(1,844)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Customer Relationship</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6,548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15,480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16,469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(989)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31,113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33,787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(2,674)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Transactions with Related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Parties: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Asset Recovery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revenues associated with contingency collections declined slightly when compared to the second quarter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to lower placements and the shifting of placements to offshore operations.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Customer Relationship Management</w:t>
      </w:r>
      <w:r>
        <w:rPr>
          <w:rFonts w:ascii="Arial" w:cs="Arial" w:eastAsia="Arial" w:hAnsi="Arial"/>
          <w:sz w:val="18"/>
          <w:szCs w:val="18"/>
          <w:color w:val="auto"/>
        </w:rPr>
        <w:t>. Our revenues associated with customer relationship management declined year over year as we sought to wind down</w:t>
      </w:r>
      <w:r>
        <w:rPr>
          <w:rFonts w:ascii="Arial" w:cs="Arial" w:eastAsia="Arial" w:hAnsi="Arial"/>
          <w:sz w:val="18"/>
          <w:szCs w:val="18"/>
          <w:i w:val="1"/>
          <w:iCs w:val="1"/>
          <w:color w:val="auto"/>
        </w:rPr>
        <w:t xml:space="preserve"> </w:t>
      </w:r>
      <w:r>
        <w:rPr>
          <w:rFonts w:ascii="Arial" w:cs="Arial" w:eastAsia="Arial" w:hAnsi="Arial"/>
          <w:sz w:val="18"/>
          <w:szCs w:val="18"/>
          <w:color w:val="auto"/>
        </w:rPr>
        <w:t>our relationship with one customer due to unsatisfactory margins. Sequentially, revenues increased slightly.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w w:val="93"/>
              </w:rPr>
              <w:t>Three Months Ended June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color w:val="auto"/>
                <w:w w:val="98"/>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9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$ 11,795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$ 13,810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$ 23,982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$ 27,879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Reimbursable Expenses</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774</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774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1,422</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1,422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12,569</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13,810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25,404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27,879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Revenue / Total</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3420" w:type="dxa"/>
            <w:vAlign w:val="bottom"/>
            <w:gridSpan w:val="2"/>
            <w:shd w:val="clear" w:color="auto" w:fill="CCEEFF"/>
          </w:tcPr>
          <w:p>
            <w:pPr>
              <w:jc w:val="right"/>
              <w:ind w:right="258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08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8"/>
                <w:szCs w:val="18"/>
                <w:color w:val="auto"/>
              </w:rPr>
              <w:t>Cost of Revenue less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8"/>
                <w:szCs w:val="18"/>
                <w:color w:val="auto"/>
              </w:rPr>
              <w:t>Reimbursable Expenses /</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20" w:type="dxa"/>
            <w:vAlign w:val="bottom"/>
            <w:gridSpan w:val="2"/>
          </w:tcPr>
          <w:p>
            <w:pPr>
              <w:jc w:val="right"/>
              <w:ind w:right="258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080" w:type="dxa"/>
            <w:vAlign w:val="bottom"/>
            <w:gridSpan w:val="2"/>
          </w:tcPr>
          <w:p>
            <w:pPr>
              <w:jc w:val="right"/>
              <w:ind w:right="2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Our cost of revenues decreased in 2010 compared to 2009 principally due to a reduction in compensation and benefits as a result of a lower number of collectors and reduced commissions. In addition, we continue to seek ways to reduce technology and communication costs for this segment. Partially offsetting the decreases in compensation and benefits was the use of more outside collectors which we utilize in an effort to limit our exposure on the placements which have lower collection rates.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Three Months Ended 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color w:val="auto"/>
                <w:w w:val="96"/>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2"/>
                <w:szCs w:val="12"/>
                <w:color w:val="auto"/>
              </w:rPr>
            </w:pPr>
          </w:p>
        </w:tc>
        <w:tc>
          <w:tcPr>
            <w:tcW w:w="820" w:type="dxa"/>
            <w:vAlign w:val="bottom"/>
            <w:gridSpan w:val="2"/>
          </w:tcPr>
          <w:p>
            <w:pPr>
              <w:jc w:val="right"/>
              <w:ind w:right="108"/>
              <w:spacing w:after="0" w:line="142" w:lineRule="exact"/>
              <w:rPr>
                <w:sz w:val="20"/>
                <w:szCs w:val="20"/>
                <w:color w:val="auto"/>
              </w:rPr>
            </w:pPr>
            <w:r>
              <w:rPr>
                <w:rFonts w:ascii="Arial" w:cs="Arial" w:eastAsia="Arial" w:hAnsi="Arial"/>
                <w:sz w:val="14"/>
                <w:szCs w:val="14"/>
                <w:color w:val="auto"/>
              </w:rPr>
              <w:t>2009</w:t>
            </w:r>
          </w:p>
        </w:tc>
        <w:tc>
          <w:tcPr>
            <w:tcW w:w="54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2"/>
                <w:szCs w:val="12"/>
                <w:color w:val="auto"/>
              </w:rPr>
            </w:pPr>
          </w:p>
        </w:tc>
        <w:tc>
          <w:tcPr>
            <w:tcW w:w="660" w:type="dxa"/>
            <w:vAlign w:val="bottom"/>
          </w:tcPr>
          <w:p>
            <w:pPr>
              <w:jc w:val="right"/>
              <w:ind w:right="97"/>
              <w:spacing w:after="0" w:line="142" w:lineRule="exact"/>
              <w:rPr>
                <w:sz w:val="20"/>
                <w:szCs w:val="20"/>
                <w:color w:val="auto"/>
              </w:rPr>
            </w:pPr>
            <w:r>
              <w:rPr>
                <w:rFonts w:ascii="Arial" w:cs="Arial" w:eastAsia="Arial" w:hAnsi="Arial"/>
                <w:sz w:val="14"/>
                <w:szCs w:val="14"/>
                <w:color w:val="auto"/>
              </w:rPr>
              <w:t>2009</w:t>
            </w:r>
          </w:p>
        </w:tc>
        <w:tc>
          <w:tcPr>
            <w:tcW w:w="54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Total Selling, General and</w:t>
            </w:r>
          </w:p>
        </w:tc>
        <w:tc>
          <w:tcPr>
            <w:tcW w:w="3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Administrative Expenses</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3,828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3,748</w:t>
            </w:r>
          </w:p>
        </w:tc>
        <w:tc>
          <w:tcPr>
            <w:tcW w:w="5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7,593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7,830</w:t>
            </w:r>
          </w:p>
        </w:tc>
        <w:tc>
          <w:tcPr>
            <w:tcW w:w="5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Operating Income / Total</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ind w:left="200"/>
              <w:spacing w:after="0"/>
              <w:rPr>
                <w:sz w:val="20"/>
                <w:szCs w:val="20"/>
                <w:color w:val="auto"/>
              </w:rPr>
            </w:pPr>
            <w:r>
              <w:rPr>
                <w:rFonts w:ascii="Arial" w:cs="Arial" w:eastAsia="Arial" w:hAnsi="Arial"/>
                <w:sz w:val="18"/>
                <w:szCs w:val="18"/>
                <w:color w:val="auto"/>
              </w:rPr>
              <w:t>Operating Income /</w:t>
            </w: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400"/>
              <w:spacing w:after="0"/>
              <w:rPr>
                <w:sz w:val="20"/>
                <w:szCs w:val="20"/>
                <w:color w:val="auto"/>
              </w:rPr>
            </w:pPr>
            <w:r>
              <w:rPr>
                <w:rFonts w:ascii="Arial" w:cs="Arial" w:eastAsia="Arial" w:hAnsi="Arial"/>
                <w:sz w:val="18"/>
                <w:szCs w:val="18"/>
                <w:color w:val="auto"/>
              </w:rPr>
              <w:t>Service Revenue</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primarily as a result of increased costs associated with collection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w w:val="93"/>
              </w:rPr>
              <w:t>Three Months Ended June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color w:val="auto"/>
                <w:w w:val="98"/>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212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276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454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728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 / Total Revenue</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Services EBITDA declined modestly year over year despite a revenue decline of $2.7 million which reflects the cost savings initiatives we undertook in the second half of 2009 and the wind-down of business from a lower margin customer relationship management client in 2010. In August, we will begin the installation of a new hosted collection system. Once fully operational in 2011, we expect this system to result in significant cost savings as well as increased revenues due to improved collector performance.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Technology Products segment for the three and six months ending June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12,485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12,109</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24,459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22,682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5,965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13,316</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12,460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856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6,144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11,143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10,222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1,118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2,796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(366)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5,026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2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5,743</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10,616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8,923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1,693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 Above:</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4,537</w:t>
            </w:r>
          </w:p>
        </w:tc>
        <w:tc>
          <w:tcPr>
            <w:tcW w:w="2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5,362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8,975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10,757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Administrative Expenses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(93)</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(192)</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280" w:firstLine="8"/>
        <w:spacing w:after="0" w:line="375" w:lineRule="auto"/>
        <w:tabs>
          <w:tab w:leader="none" w:pos="446" w:val="left"/>
        </w:tabs>
        <w:numPr>
          <w:ilvl w:val="0"/>
          <w:numId w:val="10"/>
        </w:numPr>
        <w:rPr>
          <w:rFonts w:ascii="Arial" w:cs="Arial" w:eastAsia="Arial" w:hAnsi="Arial"/>
          <w:sz w:val="15"/>
          <w:szCs w:val="15"/>
          <w:color w:val="auto"/>
        </w:rPr>
      </w:pPr>
      <w:r>
        <w:rPr>
          <w:rFonts w:ascii="Arial" w:cs="Arial" w:eastAsia="Arial" w:hAnsi="Arial"/>
          <w:sz w:val="18"/>
          <w:szCs w:val="18"/>
          <w:color w:val="auto"/>
        </w:rPr>
        <w:t>See “above for a reconciliation of the most directly comparable GAAP measure to EBITDA. N/M — not meaningful.</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primary focus of the Technology Products segment continues to be supporting the growth of Mortgage Services and Ocwen as well as the cost reduction and quality initiatives on-going within the Financial Services segment. During the first quarter, we re-organized the management team of Technology Products by naming a new Chief Operating Officer for the segment. We are focused on enhancing our development and infrastructure capabilities to support both our expansion efforts and those of Ocwen. In addition, we remain focused on the commercialization of our service offerings to expand their applicability to a broader audience.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color w:val="auto"/>
                <w:w w:val="92"/>
              </w:rPr>
              <w:t>Three Months Ended June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w w:val="91"/>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REALSuite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7,565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6,720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845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14,551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11,656</w:t>
            </w:r>
          </w:p>
        </w:tc>
        <w:tc>
          <w:tcPr>
            <w:tcW w:w="4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2,895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5,389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12,485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12,109</w:t>
            </w:r>
          </w:p>
        </w:tc>
        <w:tc>
          <w:tcPr>
            <w:tcW w:w="4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24,459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1,777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REALSuite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2,429</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224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4,836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372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5,921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46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44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Beginning with the second quarter of 2009, we began generating the majority of our revenue within this segment from our REALSuite of services, and we expect this trend to continue for the foreseeable future.</w:t>
      </w:r>
    </w:p>
    <w:p>
      <w:pPr>
        <w:spacing w:after="0" w:line="6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REALSuite</w:t>
      </w:r>
      <w:r>
        <w:rPr>
          <w:rFonts w:ascii="Arial" w:cs="Arial" w:eastAsia="Arial" w:hAnsi="Arial"/>
          <w:sz w:val="18"/>
          <w:szCs w:val="18"/>
          <w:color w:val="auto"/>
        </w:rPr>
        <w:t>. Our REALSuite revenue is primarily driven by our REALServicing</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which is our comprehensive residential loan servicing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both year-to-date and quarterly revenues were driven by increases in REALServicing attributable to an expanded agreement with a non-related third party customer and the growth in Ocwen’s residential loan portfolio.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IT Infrastructure Services. </w:t>
      </w:r>
      <w:r>
        <w:rPr>
          <w:rFonts w:ascii="Arial" w:cs="Arial" w:eastAsia="Arial" w:hAnsi="Arial"/>
          <w:sz w:val="18"/>
          <w:szCs w:val="18"/>
          <w:color w:val="auto"/>
        </w:rPr>
        <w:t>Our IT infrastructure services revenues declined when compared to the comparable period in 2009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billings (which we eliminate in consolidation but include in our segment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6,669</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5,965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$ 13,316</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$ 12,460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Cost of Revenue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Cost of revenue increased both year-to-date and in the second quarter as a result of an increase in compensation and benefits as we added personnel to enhance our service capabilities, support our growth and commercialize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Three Months Ended 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color w:val="auto"/>
                <w:w w:val="98"/>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Total Selling, General and</w:t>
            </w: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1,324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1,118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2,430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2,796</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Income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declined year to date primarily due to lower occupancy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w w:val="93"/>
              </w:rPr>
              <w:t>Three Months Ended June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5,540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5,743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$ 10,616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8,923</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 / Total Revenue</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Technology Products EBITDA for the six months ended June 30, 2010 increased year over year as a result of the growth in REALSuite revenues. For the quarter, EBITDA declined when compared to the prior year with the principal drivers being increased compensation costs and costs associated with the new data center. Sequentially margins improved. The Company is increasing expenditures in technology software and hardware to support its commercialization efforts, Ocwen’s growing servicing portfolio and Altisource’s growth.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we have the ability to generate more than sufficient cash from our current operations for the next twelve months to meet anticipated cash requirements. Anticipated cash requirements principally include operational expenditures such as compensation and benefits, working capital requirements and spending for capital expenditures.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generate significant excess cash that we will seek to deploy in a disciplined manner. Principally, we will continue to invest in compelling services that we believe will generate high margins. In addition, we may seek to acquire a limited number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companies that fit our strategic objectives. Finally, given the tax inefficiency of dividends, the low returns earned on cash held and our desire to only perform a limited number of acquisitions, we believe one of the best ways to return value to shareholders is a share repurchase program. Under Luxembourg law, we need shareholder approval to initiate such a program. We received shareholder approval at our Annual General Meeting held on May 19, 2010 for a share repurchase program. The program is described in our proxy filed with the SEC on April 8,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Six Months 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360" w:type="dxa"/>
            <w:vAlign w:val="bottom"/>
            <w:gridSpan w:val="2"/>
          </w:tcPr>
          <w:p>
            <w:pPr>
              <w:jc w:val="right"/>
              <w:ind w:right="74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32,625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15,479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17,144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(8,283)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(2,378)</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(5,903)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13,101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(31,051)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(1,553)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(29,498)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(6,331)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3,424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(14,833)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6,988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12,205</w:t>
            </w:r>
          </w:p>
        </w:tc>
        <w:tc>
          <w:tcPr>
            <w:tcW w:w="6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8,635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operating activities consists of two components: (i) net income adjusted for depreciation, amortization and certain other non-cash items and</w:t>
      </w:r>
    </w:p>
    <w:p>
      <w:pPr>
        <w:spacing w:after="0" w:line="46" w:lineRule="exact"/>
        <w:rPr>
          <w:sz w:val="20"/>
          <w:szCs w:val="20"/>
          <w:color w:val="auto"/>
        </w:rPr>
      </w:pPr>
    </w:p>
    <w:p>
      <w:pPr>
        <w:ind w:right="40" w:firstLine="8"/>
        <w:spacing w:after="0" w:line="254"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For the six months ended June 30, 2010, we generated $24.5 million in positive cash flow from operations which reflects our increased profitability adjusted for non-cash items as our businesses have expanded. Our working capital requirements increased significantly during the second quarter as a result of our expanded Asset Management and Default Management services within our Mortgage Services segment and the increase in the associated referrals.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largest use of cash flow for investing activities was the acquisition of MPA in February 2010 for which the purchase consideration included $29.0 million in cash. In addition, we saw an elevated increase in purchases of premises and equipment to support our expansion of operations and in anticipation of Ocwen’s portfolio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During 2010, cash flow from financing activities primarily includes activity associated with stock option exercises and payments to non-controlling interest owners as a result of the acquisition of MPA. Prior to our Separation from Ocwen, we participated in a centralized cash management program with Ocwen. We made a significant amount of our cash disbursements through centralized payable systems which were operated by Ocwen, and a significant amount of our cash receipts were received by us and transferred to centralized accounts maintained by Ocwen. There were no formal financing arrangements with Ocwen, and we recorded all cash receipts and disbursement activity between Ocwen and us prior to the Separation through invested equity in the Condensed Consolidated Balance Sheets and as net distributions in the Condensed Consolidated Statements of Equity and Cash Flows because we considered such amounts to have been distributed to Ocwen.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June 30, 2010</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third quarter, we expect to pay $0.8 million to the prior owners of MPA (see Note 3 to the condensed consolidated financial statements) and distribute $1.3 million to MPA members. In addition, we currently estimate our capital expenditures will be $5.0 — $7.0 million mostly in the third quarter to support growth of our services and Ocwen’s loan portfolio.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Given our ability to generate cash flow which is sufficient to fund both current operations as well as expansion activities, we require very limited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Were we to need additional capital, we believe we have adequate access to both debt and equity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details of these transactions, see Note 16 to the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 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70" w:lineRule="exact"/>
        <w:rPr>
          <w:sz w:val="20"/>
          <w:szCs w:val="20"/>
          <w:color w:val="auto"/>
        </w:rPr>
      </w:pPr>
    </w:p>
    <w:p>
      <w:pPr>
        <w:ind w:right="1440"/>
        <w:spacing w:after="0" w:line="402" w:lineRule="auto"/>
        <w:rPr>
          <w:sz w:val="20"/>
          <w:szCs w:val="20"/>
          <w:color w:val="auto"/>
        </w:rPr>
      </w:pPr>
      <w:r>
        <w:rPr>
          <w:rFonts w:ascii="Arial" w:cs="Arial" w:eastAsia="Arial" w:hAnsi="Arial"/>
          <w:sz w:val="18"/>
          <w:szCs w:val="18"/>
          <w:color w:val="auto"/>
        </w:rPr>
        <w:t xml:space="preserve">Our critical accounting policies are described in the MD&amp;A section in our 2009 Form 10-K. Such policies have not changed during 2010. </w:t>
      </w:r>
      <w:r>
        <w:rPr>
          <w:rFonts w:ascii="Arial" w:cs="Arial" w:eastAsia="Arial" w:hAnsi="Arial"/>
          <w:sz w:val="18"/>
          <w:szCs w:val="18"/>
          <w:b w:val="1"/>
          <w:bCs w:val="1"/>
          <w:u w:val="single" w:color="auto"/>
          <w:color w:val="auto"/>
        </w:rPr>
        <w:t>SECTION 6 — OTHER MATTERS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 Ocwen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six months ended June 30, 2010, approximately $56.0 million of the Mortgage Services, $0.1 million of the Financial Services and $9.0 million of the Technology Products segment revenues were from services provided to Ocwen or sales derived from Ocwen’s loan servicing portfolio. Services provided to Ocwen included residential property valuation, real estate asset management and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comparable to market rates.</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4 to our 2009 Form 10-K). For the six months ended June 30, 2010, Altisource billed Ocwen $0.8 million ($0.4 million for the second quarter) and Ocwen billed Altisource $0.6 million ($0.3 million for the second quarter) for services provided under the Transition Services Agreement. These amounts are reflected as a component of Selling, General and Administrative expenses in the accompanying Condensed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 — FORWARD LOOKING STATEMENTS</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39"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reduce our cost structure;</w:t>
      </w:r>
    </w:p>
    <w:p>
      <w:pPr>
        <w:spacing w:after="0" w:line="198"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estimates regarding the calculation of our effective tax rate;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in our Registration Statement on Form 10 and the following:</w:t>
      </w:r>
    </w:p>
    <w:p>
      <w:pPr>
        <w:spacing w:after="0" w:line="57"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retain existing customers and attract new customers;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economic and market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availability of adequate and timely sources of liquidity.</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foreign currency exchange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which are limited, to the extent that our foreign exchange positions remain un-hedged.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30" w:lineRule="exact"/>
        <w:rPr>
          <w:rFonts w:ascii="Arial" w:cs="Arial" w:eastAsia="Arial" w:hAnsi="Arial"/>
          <w:sz w:val="18"/>
          <w:szCs w:val="18"/>
          <w:i w:val="1"/>
          <w:iCs w:val="1"/>
          <w:color w:val="auto"/>
        </w:rPr>
      </w:pPr>
    </w:p>
    <w:p>
      <w:pPr>
        <w:ind w:left="66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 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83" w:lineRule="exact"/>
        <w:rPr>
          <w:rFonts w:ascii="Arial" w:cs="Arial" w:eastAsia="Arial" w:hAnsi="Arial"/>
          <w:sz w:val="18"/>
          <w:szCs w:val="18"/>
          <w:i w:val="1"/>
          <w:iCs w:val="1"/>
          <w:color w:val="auto"/>
        </w:rPr>
      </w:pPr>
    </w:p>
    <w:p>
      <w:pPr>
        <w:ind w:left="660" w:hanging="31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30" w:lineRule="exact"/>
        <w:rPr>
          <w:rFonts w:ascii="Arial" w:cs="Arial" w:eastAsia="Arial" w:hAnsi="Arial"/>
          <w:sz w:val="18"/>
          <w:szCs w:val="18"/>
          <w:i w:val="1"/>
          <w:iCs w:val="1"/>
          <w:color w:val="auto"/>
        </w:rPr>
      </w:pPr>
    </w:p>
    <w:p>
      <w:pPr>
        <w:ind w:left="6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June 30, 2010, that have materially affected, or are reasonably likely to materially affect, our internal control over financial reporting.</w:t>
      </w:r>
    </w:p>
    <w:p>
      <w:pPr>
        <w:spacing w:after="0" w:line="15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routine litigation and administrative proceedings arising in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780"/>
        <w:spacing w:after="0" w:line="499" w:lineRule="auto"/>
        <w:rPr>
          <w:sz w:val="20"/>
          <w:szCs w:val="20"/>
          <w:color w:val="auto"/>
        </w:rPr>
      </w:pPr>
      <w:r>
        <w:rPr>
          <w:rFonts w:ascii="Arial" w:cs="Arial" w:eastAsia="Arial" w:hAnsi="Arial"/>
          <w:sz w:val="18"/>
          <w:szCs w:val="18"/>
          <w:color w:val="auto"/>
        </w:rPr>
        <w:t xml:space="preserve">As of the date of this filing, there have been no material changes in our risk factors from those disclosed in Part I, Item 1A, of our 2009 Form 10-K. </w:t>
      </w: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r>
        <w:rPr>
          <w:rFonts w:ascii="Arial" w:cs="Arial" w:eastAsia="Arial" w:hAnsi="Arial"/>
          <w:sz w:val="18"/>
          <w:szCs w:val="18"/>
          <w:b w:val="1"/>
          <w:bCs w:val="1"/>
          <w:color w:val="auto"/>
        </w:rPr>
        <w:t xml:space="preserve"> Item 3. Defaults upon Senior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42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 (filed herewith)</w:t>
            </w:r>
          </w:p>
        </w:tc>
      </w:tr>
      <w:tr>
        <w:trPr>
          <w:trHeight w:val="43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10680" w:type="dxa"/>
            <w:vAlign w:val="bottom"/>
          </w:tcPr>
          <w:p>
            <w:pPr>
              <w:ind w:left="42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 (filed herewith)</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10680" w:type="dxa"/>
            <w:vAlign w:val="bottom"/>
          </w:tcPr>
          <w:p>
            <w:pPr>
              <w:ind w:left="420"/>
              <w:spacing w:after="0"/>
              <w:rPr>
                <w:sz w:val="20"/>
                <w:szCs w:val="20"/>
                <w:color w:val="auto"/>
              </w:rPr>
            </w:pPr>
            <w:r>
              <w:rPr>
                <w:rFonts w:ascii="Arial" w:cs="Arial" w:eastAsia="Arial" w:hAnsi="Arial"/>
                <w:sz w:val="18"/>
                <w:szCs w:val="18"/>
                <w:color w:val="auto"/>
                <w:w w:val="95"/>
              </w:rPr>
              <w:t>Certification by the Chief Executive Officer and Chief Financial Officer pursuant to Section 906 of the Sarbanes-Oxley Act of 2002 (filed</w:t>
            </w:r>
          </w:p>
        </w:tc>
      </w:tr>
      <w:tr>
        <w:trPr>
          <w:trHeight w:val="230"/>
        </w:trPr>
        <w:tc>
          <w:tcPr>
            <w:tcW w:w="740" w:type="dxa"/>
            <w:vAlign w:val="bottom"/>
          </w:tcPr>
          <w:p>
            <w:pPr>
              <w:spacing w:after="0"/>
              <w:rPr>
                <w:sz w:val="20"/>
                <w:szCs w:val="20"/>
                <w:color w:val="auto"/>
              </w:rPr>
            </w:pPr>
          </w:p>
        </w:tc>
        <w:tc>
          <w:tcPr>
            <w:tcW w:w="10680" w:type="dxa"/>
            <w:vAlign w:val="bottom"/>
          </w:tcPr>
          <w:p>
            <w:pPr>
              <w:ind w:left="420"/>
              <w:spacing w:after="0"/>
              <w:rPr>
                <w:sz w:val="20"/>
                <w:szCs w:val="20"/>
                <w:color w:val="auto"/>
              </w:rPr>
            </w:pPr>
            <w:r>
              <w:rPr>
                <w:rFonts w:ascii="Arial" w:cs="Arial" w:eastAsia="Arial" w:hAnsi="Arial"/>
                <w:sz w:val="18"/>
                <w:szCs w:val="18"/>
                <w:color w:val="auto"/>
              </w:rPr>
              <w:t>herewith)</w:t>
            </w:r>
          </w:p>
        </w:tc>
      </w:tr>
      <w:tr>
        <w:trPr>
          <w:trHeight w:val="405"/>
        </w:trPr>
        <w:tc>
          <w:tcPr>
            <w:tcW w:w="740" w:type="dxa"/>
            <w:vAlign w:val="bottom"/>
          </w:tcPr>
          <w:p>
            <w:pPr>
              <w:spacing w:after="0"/>
              <w:rPr>
                <w:sz w:val="24"/>
                <w:szCs w:val="24"/>
                <w:color w:val="auto"/>
              </w:rPr>
            </w:pPr>
          </w:p>
        </w:tc>
        <w:tc>
          <w:tcPr>
            <w:tcW w:w="10680" w:type="dxa"/>
            <w:vAlign w:val="bottom"/>
          </w:tcPr>
          <w:p>
            <w:pPr>
              <w:ind w:left="4780"/>
              <w:spacing w:after="0"/>
              <w:rPr>
                <w:sz w:val="20"/>
                <w:szCs w:val="20"/>
                <w:color w:val="auto"/>
              </w:rPr>
            </w:pPr>
            <w:r>
              <w:rPr>
                <w:rFonts w:ascii="Arial" w:cs="Arial" w:eastAsia="Arial" w:hAnsi="Arial"/>
                <w:sz w:val="18"/>
                <w:szCs w:val="18"/>
                <w:color w:val="auto"/>
              </w:rPr>
              <w:t>- 45 -</w:t>
            </w:r>
          </w:p>
        </w:tc>
      </w:tr>
      <w:tr>
        <w:trPr>
          <w:trHeight w:val="226"/>
        </w:trPr>
        <w:tc>
          <w:tcPr>
            <w:tcW w:w="740" w:type="dxa"/>
            <w:vAlign w:val="bottom"/>
            <w:tcBorders>
              <w:bottom w:val="single" w:sz="8" w:color="808080"/>
            </w:tcBorders>
          </w:tcPr>
          <w:p>
            <w:pPr>
              <w:spacing w:after="0"/>
              <w:rPr>
                <w:sz w:val="19"/>
                <w:szCs w:val="19"/>
                <w:color w:val="auto"/>
              </w:rPr>
            </w:pPr>
          </w:p>
        </w:tc>
        <w:tc>
          <w:tcPr>
            <w:tcW w:w="10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ALTISOURCE PORTFOLIO SOLUTIONS S.A.</w:t>
            </w: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July 30,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Robert D. Stiles</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(On behalf of the Registrant and as its</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750"/>
              <w:spacing w:after="0"/>
              <w:rPr>
                <w:sz w:val="20"/>
                <w:szCs w:val="20"/>
                <w:color w:val="auto"/>
              </w:rPr>
            </w:pPr>
            <w:r>
              <w:rPr>
                <w:rFonts w:ascii="Arial" w:cs="Arial" w:eastAsia="Arial" w:hAnsi="Arial"/>
                <w:sz w:val="18"/>
                <w:szCs w:val="18"/>
                <w:color w:val="auto"/>
              </w:rPr>
              <w:t>- 46 -</w:t>
            </w:r>
          </w:p>
        </w:tc>
      </w:tr>
    </w:tbl>
    <w:p>
      <w:pPr>
        <w:sectPr>
          <w:pgSz w:w="11900" w:h="16838" w:orient="portrait"/>
          <w:cols w:equalWidth="0" w:num="1">
            <w:col w:w="11280"/>
          </w:cols>
          <w:pgMar w:left="240" w:top="419"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i w:val="1"/>
          <w:i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17"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2010 of Altisource Portfolio Solutions S.A.:</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314"/>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firstLine="10"/>
        <w:spacing w:after="0" w:line="264" w:lineRule="auto"/>
        <w:tabs>
          <w:tab w:leader="none" w:pos="8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20" w:firstLine="10"/>
        <w:spacing w:after="0" w:line="264" w:lineRule="auto"/>
        <w:tabs>
          <w:tab w:leader="none" w:pos="8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860" w:firstLine="10"/>
        <w:spacing w:after="0" w:line="342" w:lineRule="auto"/>
        <w:tabs>
          <w:tab w:leader="none" w:pos="8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660" w:right="240" w:firstLine="10"/>
        <w:spacing w:after="0" w:line="264" w:lineRule="auto"/>
        <w:tabs>
          <w:tab w:leader="none" w:pos="8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July 30,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William B. Shepro</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i w:val="1"/>
          <w:iCs w:val="1"/>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17"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2010 of Altisource Portfolio Solutions S.A.:</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314"/>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firstLine="10"/>
        <w:spacing w:after="0" w:line="264" w:lineRule="auto"/>
        <w:tabs>
          <w:tab w:leader="none" w:pos="8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20" w:firstLine="10"/>
        <w:spacing w:after="0" w:line="264" w:lineRule="auto"/>
        <w:tabs>
          <w:tab w:leader="none" w:pos="8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860" w:firstLine="10"/>
        <w:spacing w:after="0" w:line="342" w:lineRule="auto"/>
        <w:tabs>
          <w:tab w:leader="none" w:pos="845"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660" w:right="240" w:firstLine="10"/>
        <w:spacing w:after="0" w:line="264" w:lineRule="auto"/>
        <w:tabs>
          <w:tab w:leader="none" w:pos="8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July 30, 2010</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Robert D. Stiles</w:t>
            </w: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55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i w:val="1"/>
          <w:iCs w:val="1"/>
          <w:color w:val="auto"/>
        </w:rPr>
        <w:t>Exhibit 32.1</w:t>
      </w:r>
    </w:p>
    <w:p>
      <w:pPr>
        <w:spacing w:after="0" w:line="329"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2010</w:t>
      </w:r>
    </w:p>
    <w:p>
      <w:pPr>
        <w:spacing w:after="0" w:line="29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on Form 10-Q of Altisource Portfolio Solutions S.A. for the quarterly period ending June 30, 2010,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7360" w:type="dxa"/>
            <w:vAlign w:val="bottom"/>
            <w:gridSpan w:val="2"/>
          </w:tcPr>
          <w:p>
            <w:pPr>
              <w:ind w:left="3280"/>
              <w:spacing w:after="0"/>
              <w:rPr>
                <w:sz w:val="20"/>
                <w:szCs w:val="20"/>
                <w:color w:val="auto"/>
              </w:rPr>
            </w:pPr>
            <w:r>
              <w:rPr>
                <w:rFonts w:ascii="Arial" w:cs="Arial" w:eastAsia="Arial" w:hAnsi="Arial"/>
                <w:sz w:val="18"/>
                <w:szCs w:val="18"/>
                <w:color w:val="auto"/>
              </w:rPr>
              <w:t>By: /s/ Robert D. Stiles</w:t>
            </w:r>
          </w:p>
        </w:tc>
      </w:tr>
      <w:tr>
        <w:trPr>
          <w:trHeight w:val="209"/>
        </w:trPr>
        <w:tc>
          <w:tcPr>
            <w:tcW w:w="320" w:type="dxa"/>
            <w:vAlign w:val="bottom"/>
          </w:tcPr>
          <w:p>
            <w:pPr>
              <w:spacing w:after="0"/>
              <w:rPr>
                <w:sz w:val="18"/>
                <w:szCs w:val="18"/>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3600" w:type="dxa"/>
            <w:vAlign w:val="bottom"/>
          </w:tcPr>
          <w:p>
            <w:pPr>
              <w:spacing w:after="0"/>
              <w:rPr>
                <w:sz w:val="18"/>
                <w:szCs w:val="18"/>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36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July 30, 2010</w:t>
            </w:r>
          </w:p>
        </w:tc>
        <w:tc>
          <w:tcPr>
            <w:tcW w:w="36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3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July 30, 2010</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lvl w:ilvl="1">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lvl w:ilvl="1">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2019-12-11T07:27:24Z</dcterms:created>
  <dcterms:modified xsi:type="dcterms:W3CDTF">2019-12-11T07:27:24Z</dcterms:modified>
</cp:coreProperties>
</file>