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Arial" w:cs="Arial" w:eastAsia="Arial" w:hAnsi="Arial"/>
          <w:sz w:val="25"/>
          <w:szCs w:val="25"/>
          <w:b w:val="1"/>
          <w:bCs w:val="1"/>
          <w:color w:val="auto"/>
        </w:rPr>
        <w:t>UNITED STATES</w:t>
      </w:r>
    </w:p>
    <w:p>
      <w:pPr>
        <w:spacing w:after="0" w:line="32" w:lineRule="exact"/>
        <w:rPr>
          <w:sz w:val="24"/>
          <w:szCs w:val="24"/>
          <w:color w:val="auto"/>
        </w:rPr>
      </w:pPr>
    </w:p>
    <w:p>
      <w:pPr>
        <w:jc w:val="center"/>
        <w:ind w:right="-35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359"/>
        <w:spacing w:after="0"/>
        <w:rPr>
          <w:sz w:val="20"/>
          <w:szCs w:val="20"/>
          <w:color w:val="auto"/>
        </w:rPr>
      </w:pPr>
      <w:r>
        <w:rPr>
          <w:rFonts w:ascii="Arial" w:cs="Arial" w:eastAsia="Arial" w:hAnsi="Arial"/>
          <w:sz w:val="21"/>
          <w:szCs w:val="21"/>
          <w:b w:val="1"/>
          <w:bCs w:val="1"/>
          <w:color w:val="auto"/>
        </w:rPr>
        <w:t>Washington, D.C. 20549</w:t>
      </w:r>
    </w:p>
    <w:p>
      <w:pPr>
        <w:spacing w:after="0" w:line="175"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SCHEDULE 14A INFORMATION</w:t>
      </w:r>
    </w:p>
    <w:p>
      <w:pPr>
        <w:spacing w:after="0" w:line="220" w:lineRule="exact"/>
        <w:rPr>
          <w:sz w:val="24"/>
          <w:szCs w:val="24"/>
          <w:color w:val="auto"/>
        </w:rPr>
      </w:pPr>
    </w:p>
    <w:p>
      <w:pPr>
        <w:jc w:val="center"/>
        <w:ind w:right="-359"/>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23" w:lineRule="exact"/>
        <w:rPr>
          <w:sz w:val="24"/>
          <w:szCs w:val="24"/>
          <w:color w:val="auto"/>
        </w:rPr>
      </w:pPr>
    </w:p>
    <w:p>
      <w:pPr>
        <w:jc w:val="center"/>
        <w:ind w:right="-359"/>
        <w:spacing w:after="0"/>
        <w:rPr>
          <w:sz w:val="20"/>
          <w:szCs w:val="20"/>
          <w:color w:val="auto"/>
        </w:rPr>
      </w:pPr>
      <w:r>
        <w:rPr>
          <w:rFonts w:ascii="Arial" w:cs="Arial" w:eastAsia="Arial" w:hAnsi="Arial"/>
          <w:sz w:val="21"/>
          <w:szCs w:val="21"/>
          <w:b w:val="1"/>
          <w:bCs w:val="1"/>
          <w:color w:val="auto"/>
        </w:rPr>
        <w:t>Securities Exchange Act of 1934</w:t>
      </w:r>
    </w:p>
    <w:p>
      <w:pPr>
        <w:spacing w:after="0" w:line="6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9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3" w:lineRule="exact"/>
        <w:rPr>
          <w:sz w:val="24"/>
          <w:szCs w:val="24"/>
          <w:color w:val="auto"/>
        </w:rPr>
      </w:pPr>
    </w:p>
    <w:p>
      <w:pPr>
        <w:ind w:left="1120" w:hanging="432"/>
        <w:spacing w:after="0"/>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26" w:lineRule="exact"/>
        <w:rPr>
          <w:rFonts w:ascii="Arial" w:cs="Arial" w:eastAsia="Arial" w:hAnsi="Arial"/>
          <w:sz w:val="18"/>
          <w:szCs w:val="18"/>
          <w:color w:val="auto"/>
        </w:rPr>
      </w:pPr>
    </w:p>
    <w:p>
      <w:pPr>
        <w:ind w:left="1120" w:hanging="432"/>
        <w:spacing w:after="0"/>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126" w:lineRule="exact"/>
        <w:rPr>
          <w:rFonts w:ascii="Arial" w:cs="Arial" w:eastAsia="Arial" w:hAnsi="Arial"/>
          <w:sz w:val="18"/>
          <w:szCs w:val="18"/>
          <w:color w:val="auto"/>
        </w:rPr>
      </w:pPr>
    </w:p>
    <w:p>
      <w:pPr>
        <w:ind w:left="1120" w:hanging="432"/>
        <w:spacing w:after="0"/>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127" w:lineRule="exact"/>
        <w:rPr>
          <w:sz w:val="24"/>
          <w:szCs w:val="24"/>
          <w:color w:val="auto"/>
        </w:rPr>
      </w:pPr>
    </w:p>
    <w:p>
      <w:pPr>
        <w:ind w:left="1120" w:hanging="432"/>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27" w:lineRule="exact"/>
        <w:rPr>
          <w:sz w:val="24"/>
          <w:szCs w:val="24"/>
          <w:color w:val="auto"/>
        </w:rPr>
      </w:pPr>
    </w:p>
    <w:p>
      <w:pPr>
        <w:ind w:left="1120" w:hanging="432"/>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ss.240.14a-12</w:t>
      </w:r>
    </w:p>
    <w:p>
      <w:pPr>
        <w:spacing w:after="0" w:line="212" w:lineRule="exact"/>
        <w:rPr>
          <w:sz w:val="24"/>
          <w:szCs w:val="24"/>
          <w:color w:val="auto"/>
        </w:rPr>
      </w:pPr>
    </w:p>
    <w:p>
      <w:pPr>
        <w:jc w:val="center"/>
        <w:ind w:right="-359"/>
        <w:spacing w:after="0"/>
        <w:rPr>
          <w:sz w:val="20"/>
          <w:szCs w:val="20"/>
          <w:color w:val="auto"/>
        </w:rPr>
      </w:pPr>
      <w:r>
        <w:rPr>
          <w:rFonts w:ascii="Arial" w:cs="Arial" w:eastAsia="Arial" w:hAnsi="Arial"/>
          <w:sz w:val="25"/>
          <w:szCs w:val="25"/>
          <w:b w:val="1"/>
          <w:bCs w:val="1"/>
          <w:u w:val="single" w:color="auto"/>
          <w:color w:val="auto"/>
        </w:rPr>
        <w:t>ALTISOURCE PORTFOLIO SOLUTIONS S.A.</w:t>
      </w:r>
    </w:p>
    <w:p>
      <w:pPr>
        <w:spacing w:after="0" w:line="31" w:lineRule="exact"/>
        <w:rPr>
          <w:sz w:val="24"/>
          <w:szCs w:val="24"/>
          <w:color w:val="auto"/>
        </w:rPr>
      </w:pPr>
    </w:p>
    <w:p>
      <w:pPr>
        <w:jc w:val="center"/>
        <w:ind w:right="-359"/>
        <w:spacing w:after="0"/>
        <w:rPr>
          <w:sz w:val="20"/>
          <w:szCs w:val="20"/>
          <w:color w:val="auto"/>
        </w:rPr>
      </w:pPr>
      <w:r>
        <w:rPr>
          <w:rFonts w:ascii="Arial" w:cs="Arial" w:eastAsia="Arial" w:hAnsi="Arial"/>
          <w:sz w:val="18"/>
          <w:szCs w:val="18"/>
          <w:color w:val="auto"/>
        </w:rPr>
        <w:t>(Name of Registrant as Specified in its Charter)</w:t>
      </w:r>
    </w:p>
    <w:p>
      <w:pPr>
        <w:spacing w:after="0" w:line="204" w:lineRule="exact"/>
        <w:rPr>
          <w:sz w:val="24"/>
          <w:szCs w:val="24"/>
          <w:color w:val="auto"/>
        </w:rPr>
      </w:pPr>
    </w:p>
    <w:p>
      <w:pPr>
        <w:jc w:val="center"/>
        <w:ind w:right="-359"/>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p>
    <w:p>
      <w:pPr>
        <w:jc w:val="center"/>
        <w:ind w:right="-35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3" w:lineRule="exact"/>
        <w:rPr>
          <w:sz w:val="24"/>
          <w:szCs w:val="24"/>
          <w:color w:val="auto"/>
        </w:rPr>
      </w:pPr>
    </w:p>
    <w:p>
      <w:pPr>
        <w:ind w:left="280" w:hanging="273"/>
        <w:spacing w:after="0"/>
        <w:tabs>
          <w:tab w:leader="none" w:pos="2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27" w:lineRule="exact"/>
        <w:rPr>
          <w:sz w:val="24"/>
          <w:szCs w:val="24"/>
          <w:color w:val="auto"/>
        </w:rPr>
      </w:pPr>
    </w:p>
    <w:p>
      <w:pPr>
        <w:ind w:left="280" w:hanging="273"/>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2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Title of each class of securities to which transaction applies: N/A</w:t>
      </w:r>
    </w:p>
    <w:p>
      <w:pPr>
        <w:spacing w:after="0" w:line="12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  Aggregate number of securities to which the transaction applies: N/A</w:t>
      </w:r>
    </w:p>
    <w:p>
      <w:pPr>
        <w:spacing w:after="0" w:line="127" w:lineRule="exact"/>
        <w:rPr>
          <w:sz w:val="24"/>
          <w:szCs w:val="24"/>
          <w:color w:val="auto"/>
        </w:rPr>
      </w:pPr>
    </w:p>
    <w:p>
      <w:pPr>
        <w:ind w:left="280" w:right="220" w:hanging="273"/>
        <w:spacing w:after="0" w:line="270" w:lineRule="auto"/>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 N/A</w:t>
      </w:r>
    </w:p>
    <w:p>
      <w:pPr>
        <w:spacing w:after="0" w:line="81" w:lineRule="exact"/>
        <w:rPr>
          <w:rFonts w:ascii="Arial" w:cs="Arial" w:eastAsia="Arial" w:hAnsi="Arial"/>
          <w:sz w:val="18"/>
          <w:szCs w:val="18"/>
          <w:color w:val="auto"/>
        </w:rPr>
      </w:pPr>
    </w:p>
    <w:p>
      <w:pPr>
        <w:ind w:left="280" w:hanging="273"/>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transaction: N/A</w:t>
      </w:r>
    </w:p>
    <w:p>
      <w:pPr>
        <w:spacing w:after="0" w:line="126" w:lineRule="exact"/>
        <w:rPr>
          <w:rFonts w:ascii="Arial" w:cs="Arial" w:eastAsia="Arial" w:hAnsi="Arial"/>
          <w:sz w:val="18"/>
          <w:szCs w:val="18"/>
          <w:color w:val="auto"/>
        </w:rPr>
      </w:pPr>
    </w:p>
    <w:p>
      <w:pPr>
        <w:ind w:left="280" w:hanging="273"/>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13" w:lineRule="exact"/>
        <w:rPr>
          <w:sz w:val="24"/>
          <w:szCs w:val="24"/>
          <w:color w:val="auto"/>
        </w:rPr>
      </w:pPr>
    </w:p>
    <w:p>
      <w:pPr>
        <w:ind w:left="680" w:hanging="446"/>
        <w:spacing w:after="0"/>
        <w:tabs>
          <w:tab w:leader="none" w:pos="680" w:val="left"/>
        </w:tabs>
        <w:numPr>
          <w:ilvl w:val="1"/>
          <w:numId w:val="7"/>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26" w:lineRule="exact"/>
        <w:rPr>
          <w:rFonts w:ascii="Arial" w:cs="Arial" w:eastAsia="Arial" w:hAnsi="Arial"/>
          <w:sz w:val="18"/>
          <w:szCs w:val="18"/>
          <w:color w:val="auto"/>
        </w:rPr>
      </w:pPr>
    </w:p>
    <w:p>
      <w:pPr>
        <w:ind w:left="680" w:hanging="446"/>
        <w:spacing w:after="0" w:line="300" w:lineRule="auto"/>
        <w:tabs>
          <w:tab w:leader="none" w:pos="680" w:val="left"/>
        </w:tabs>
        <w:numPr>
          <w:ilvl w:val="1"/>
          <w:numId w:val="7"/>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5" w:lineRule="exact"/>
        <w:rPr>
          <w:rFonts w:ascii="Arial" w:cs="Arial" w:eastAsia="Arial" w:hAnsi="Arial"/>
          <w:sz w:val="17"/>
          <w:szCs w:val="17"/>
          <w:color w:val="auto"/>
        </w:rPr>
      </w:pPr>
    </w:p>
    <w:p>
      <w:pPr>
        <w:ind w:left="280" w:hanging="273"/>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Previously Paid: N/A</w:t>
      </w:r>
    </w:p>
    <w:p>
      <w:pPr>
        <w:spacing w:after="0" w:line="126" w:lineRule="exact"/>
        <w:rPr>
          <w:rFonts w:ascii="Arial" w:cs="Arial" w:eastAsia="Arial" w:hAnsi="Arial"/>
          <w:sz w:val="18"/>
          <w:szCs w:val="18"/>
          <w:color w:val="auto"/>
        </w:rPr>
      </w:pPr>
    </w:p>
    <w:p>
      <w:pPr>
        <w:ind w:left="280" w:hanging="273"/>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spacing w:after="0" w:line="126" w:lineRule="exact"/>
        <w:rPr>
          <w:rFonts w:ascii="Arial" w:cs="Arial" w:eastAsia="Arial" w:hAnsi="Arial"/>
          <w:sz w:val="18"/>
          <w:szCs w:val="18"/>
          <w:color w:val="auto"/>
        </w:rPr>
      </w:pPr>
    </w:p>
    <w:p>
      <w:pPr>
        <w:ind w:left="280" w:hanging="273"/>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Party: N/A</w:t>
      </w:r>
    </w:p>
    <w:p>
      <w:pPr>
        <w:spacing w:after="0" w:line="126" w:lineRule="exact"/>
        <w:rPr>
          <w:rFonts w:ascii="Arial" w:cs="Arial" w:eastAsia="Arial" w:hAnsi="Arial"/>
          <w:sz w:val="18"/>
          <w:szCs w:val="18"/>
          <w:color w:val="auto"/>
        </w:rPr>
      </w:pPr>
    </w:p>
    <w:p>
      <w:pPr>
        <w:ind w:left="280" w:hanging="273"/>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33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080"/>
          </w:cols>
          <w:pgMar w:left="240" w:top="330" w:right="579" w:bottom="1440" w:gutter="0" w:footer="0" w:header="0"/>
        </w:sectPr>
      </w:pPr>
    </w:p>
    <w:bookmarkStart w:id="1" w:name="page2"/>
    <w:bookmarkEnd w:id="1"/>
    <w:p>
      <w:pPr>
        <w:jc w:val="center"/>
        <w:ind w:right="840"/>
        <w:spacing w:after="0"/>
        <w:rPr>
          <w:sz w:val="20"/>
          <w:szCs w:val="20"/>
          <w:color w:val="auto"/>
        </w:rPr>
      </w:pPr>
      <w:r>
        <w:rPr>
          <w:rFonts w:ascii="Arial" w:cs="Arial" w:eastAsia="Arial" w:hAnsi="Arial"/>
          <w:sz w:val="30"/>
          <w:szCs w:val="30"/>
          <w:b w:val="1"/>
          <w:bCs w:val="1"/>
          <w:color w:val="auto"/>
        </w:rPr>
        <w:t xml:space="preserve">*** Exercise Your </w:t>
      </w:r>
      <w:r>
        <w:rPr>
          <w:rFonts w:ascii="Arial" w:cs="Arial" w:eastAsia="Arial" w:hAnsi="Arial"/>
          <w:sz w:val="30"/>
          <w:szCs w:val="30"/>
          <w:b w:val="1"/>
          <w:bCs w:val="1"/>
          <w:i w:val="1"/>
          <w:iCs w:val="1"/>
          <w:color w:val="auto"/>
        </w:rPr>
        <w:t>Right</w:t>
      </w:r>
      <w:r>
        <w:rPr>
          <w:rFonts w:ascii="Arial" w:cs="Arial" w:eastAsia="Arial" w:hAnsi="Arial"/>
          <w:sz w:val="30"/>
          <w:szCs w:val="30"/>
          <w:b w:val="1"/>
          <w:bCs w:val="1"/>
          <w:color w:val="auto"/>
        </w:rPr>
        <w:t xml:space="preserve"> to Vote ***</w:t>
      </w:r>
    </w:p>
    <w:p>
      <w:pPr>
        <w:spacing w:after="0" w:line="31" w:lineRule="exact"/>
        <w:rPr>
          <w:sz w:val="20"/>
          <w:szCs w:val="20"/>
          <w:color w:val="auto"/>
        </w:rPr>
      </w:pPr>
    </w:p>
    <w:p>
      <w:pPr>
        <w:jc w:val="center"/>
        <w:ind w:right="840"/>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jc w:val="center"/>
        <w:ind w:right="840"/>
        <w:spacing w:after="0"/>
        <w:rPr>
          <w:sz w:val="20"/>
          <w:szCs w:val="20"/>
          <w:color w:val="auto"/>
        </w:rPr>
      </w:pPr>
      <w:r>
        <w:rPr>
          <w:rFonts w:ascii="Arial" w:cs="Arial" w:eastAsia="Arial" w:hAnsi="Arial"/>
          <w:sz w:val="21"/>
          <w:szCs w:val="21"/>
          <w:b w:val="1"/>
          <w:bCs w:val="1"/>
          <w:color w:val="auto"/>
        </w:rPr>
        <w:t>Shareholder Meeting to Be Held on May 19, 2010</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377"/>
        </w:trPr>
        <w:tc>
          <w:tcPr>
            <w:tcW w:w="5680" w:type="dxa"/>
            <w:vAlign w:val="bottom"/>
            <w:tcBorders>
              <w:right w:val="single" w:sz="8" w:color="auto"/>
            </w:tcBorders>
          </w:tcPr>
          <w:p>
            <w:pPr>
              <w:spacing w:after="0"/>
              <w:rPr>
                <w:sz w:val="20"/>
                <w:szCs w:val="20"/>
                <w:color w:val="auto"/>
              </w:rPr>
            </w:pPr>
            <w:r>
              <w:rPr>
                <w:rFonts w:ascii="Arial" w:cs="Arial" w:eastAsia="Arial" w:hAnsi="Arial"/>
                <w:sz w:val="21"/>
                <w:szCs w:val="21"/>
                <w:b w:val="1"/>
                <w:bCs w:val="1"/>
                <w:i w:val="1"/>
                <w:iCs w:val="1"/>
                <w:color w:val="auto"/>
              </w:rPr>
              <w:t>ALTISOURCE PORTFOLIO SOLUTIONS S.A.</w:t>
            </w:r>
          </w:p>
        </w:tc>
        <w:tc>
          <w:tcPr>
            <w:tcW w:w="1540" w:type="dxa"/>
            <w:vAlign w:val="bottom"/>
            <w:tcBorders>
              <w:top w:val="single" w:sz="8" w:color="auto"/>
            </w:tcBorders>
          </w:tcPr>
          <w:p>
            <w:pPr>
              <w:spacing w:after="0"/>
              <w:rPr>
                <w:sz w:val="24"/>
                <w:szCs w:val="24"/>
                <w:color w:val="auto"/>
              </w:rPr>
            </w:pPr>
          </w:p>
        </w:tc>
        <w:tc>
          <w:tcPr>
            <w:tcW w:w="2040" w:type="dxa"/>
            <w:vAlign w:val="bottom"/>
            <w:tcBorders>
              <w:top w:val="single" w:sz="8" w:color="auto"/>
              <w:bottom w:val="single" w:sz="8" w:color="auto"/>
            </w:tcBorders>
          </w:tcPr>
          <w:p>
            <w:pPr>
              <w:spacing w:after="0"/>
              <w:rPr>
                <w:sz w:val="20"/>
                <w:szCs w:val="20"/>
                <w:color w:val="auto"/>
              </w:rPr>
            </w:pPr>
            <w:r>
              <w:rPr>
                <w:rFonts w:ascii="Arial" w:cs="Arial" w:eastAsia="Arial" w:hAnsi="Arial"/>
                <w:sz w:val="21"/>
                <w:szCs w:val="21"/>
                <w:b w:val="1"/>
                <w:bCs w:val="1"/>
                <w:color w:val="auto"/>
              </w:rPr>
              <w:t>Meeting Information</w:t>
            </w:r>
          </w:p>
        </w:tc>
        <w:tc>
          <w:tcPr>
            <w:tcW w:w="1520" w:type="dxa"/>
            <w:vAlign w:val="bottom"/>
            <w:tcBorders>
              <w:top w:val="single" w:sz="8" w:color="auto"/>
            </w:tcBorders>
          </w:tcPr>
          <w:p>
            <w:pPr>
              <w:spacing w:after="0"/>
              <w:rPr>
                <w:sz w:val="24"/>
                <w:szCs w:val="24"/>
                <w:color w:val="auto"/>
              </w:rPr>
            </w:pPr>
          </w:p>
        </w:tc>
      </w:tr>
      <w:tr>
        <w:trPr>
          <w:trHeight w:val="322"/>
        </w:trPr>
        <w:tc>
          <w:tcPr>
            <w:tcW w:w="5680" w:type="dxa"/>
            <w:vAlign w:val="bottom"/>
            <w:tcBorders>
              <w:right w:val="single" w:sz="8" w:color="auto"/>
            </w:tcBorders>
          </w:tcPr>
          <w:p>
            <w:pPr>
              <w:spacing w:after="0"/>
              <w:rPr>
                <w:sz w:val="24"/>
                <w:szCs w:val="24"/>
                <w:color w:val="auto"/>
              </w:rPr>
            </w:pPr>
          </w:p>
        </w:tc>
        <w:tc>
          <w:tcPr>
            <w:tcW w:w="5100" w:type="dxa"/>
            <w:vAlign w:val="bottom"/>
            <w:gridSpan w:val="3"/>
          </w:tcPr>
          <w:p>
            <w:pPr>
              <w:ind w:left="40"/>
              <w:spacing w:after="0"/>
              <w:rPr>
                <w:sz w:val="20"/>
                <w:szCs w:val="20"/>
                <w:color w:val="auto"/>
              </w:rPr>
            </w:pPr>
            <w:r>
              <w:rPr>
                <w:rFonts w:ascii="Arial" w:cs="Arial" w:eastAsia="Arial" w:hAnsi="Arial"/>
                <w:sz w:val="16"/>
                <w:szCs w:val="16"/>
                <w:b w:val="1"/>
                <w:bCs w:val="1"/>
                <w:color w:val="auto"/>
              </w:rPr>
              <w:t xml:space="preserve">Meeting Type: </w:t>
            </w:r>
            <w:r>
              <w:rPr>
                <w:rFonts w:ascii="Arial" w:cs="Arial" w:eastAsia="Arial" w:hAnsi="Arial"/>
                <w:sz w:val="16"/>
                <w:szCs w:val="16"/>
                <w:color w:val="auto"/>
              </w:rPr>
              <w:t>Annual Meeting</w:t>
            </w:r>
          </w:p>
        </w:tc>
      </w:tr>
      <w:tr>
        <w:trPr>
          <w:trHeight w:val="240"/>
        </w:trPr>
        <w:tc>
          <w:tcPr>
            <w:tcW w:w="5680" w:type="dxa"/>
            <w:vAlign w:val="bottom"/>
            <w:tcBorders>
              <w:right w:val="single" w:sz="8" w:color="auto"/>
            </w:tcBorders>
          </w:tcPr>
          <w:p>
            <w:pPr>
              <w:spacing w:after="0"/>
              <w:rPr>
                <w:sz w:val="20"/>
                <w:szCs w:val="20"/>
                <w:color w:val="auto"/>
              </w:rPr>
            </w:pPr>
          </w:p>
        </w:tc>
        <w:tc>
          <w:tcPr>
            <w:tcW w:w="5100" w:type="dxa"/>
            <w:vAlign w:val="bottom"/>
            <w:gridSpan w:val="3"/>
          </w:tcPr>
          <w:p>
            <w:pPr>
              <w:ind w:left="40"/>
              <w:spacing w:after="0"/>
              <w:rPr>
                <w:sz w:val="20"/>
                <w:szCs w:val="20"/>
                <w:color w:val="auto"/>
              </w:rPr>
            </w:pPr>
            <w:r>
              <w:rPr>
                <w:rFonts w:ascii="Arial" w:cs="Arial" w:eastAsia="Arial" w:hAnsi="Arial"/>
                <w:sz w:val="16"/>
                <w:szCs w:val="16"/>
                <w:b w:val="1"/>
                <w:bCs w:val="1"/>
                <w:color w:val="auto"/>
              </w:rPr>
              <w:t xml:space="preserve">For holders as of: </w:t>
            </w:r>
            <w:r>
              <w:rPr>
                <w:rFonts w:ascii="Arial" w:cs="Arial" w:eastAsia="Arial" w:hAnsi="Arial"/>
                <w:sz w:val="16"/>
                <w:szCs w:val="16"/>
                <w:color w:val="auto"/>
              </w:rPr>
              <w:t>March 15, 2010</w:t>
            </w:r>
          </w:p>
        </w:tc>
      </w:tr>
      <w:tr>
        <w:trPr>
          <w:trHeight w:val="240"/>
        </w:trPr>
        <w:tc>
          <w:tcPr>
            <w:tcW w:w="5680" w:type="dxa"/>
            <w:vAlign w:val="bottom"/>
            <w:tcBorders>
              <w:right w:val="single" w:sz="8" w:color="auto"/>
            </w:tcBorders>
          </w:tcPr>
          <w:p>
            <w:pPr>
              <w:spacing w:after="0"/>
              <w:rPr>
                <w:sz w:val="20"/>
                <w:szCs w:val="20"/>
                <w:color w:val="auto"/>
              </w:rPr>
            </w:pPr>
          </w:p>
        </w:tc>
        <w:tc>
          <w:tcPr>
            <w:tcW w:w="1540" w:type="dxa"/>
            <w:vAlign w:val="bottom"/>
          </w:tcPr>
          <w:p>
            <w:pPr>
              <w:ind w:left="40"/>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May 19, 2010</w:t>
            </w:r>
          </w:p>
        </w:tc>
        <w:tc>
          <w:tcPr>
            <w:tcW w:w="3560" w:type="dxa"/>
            <w:vAlign w:val="bottom"/>
            <w:gridSpan w:val="2"/>
          </w:tcPr>
          <w:p>
            <w:pPr>
              <w:ind w:left="420"/>
              <w:spacing w:after="0"/>
              <w:rPr>
                <w:sz w:val="20"/>
                <w:szCs w:val="20"/>
                <w:color w:val="auto"/>
              </w:rPr>
            </w:pPr>
            <w:r>
              <w:rPr>
                <w:rFonts w:ascii="Arial" w:cs="Arial" w:eastAsia="Arial" w:hAnsi="Arial"/>
                <w:sz w:val="16"/>
                <w:szCs w:val="16"/>
                <w:b w:val="1"/>
                <w:bCs w:val="1"/>
                <w:color w:val="auto"/>
              </w:rPr>
              <w:t xml:space="preserve">Time: </w:t>
            </w:r>
            <w:r>
              <w:rPr>
                <w:rFonts w:ascii="Arial" w:cs="Arial" w:eastAsia="Arial" w:hAnsi="Arial"/>
                <w:sz w:val="16"/>
                <w:szCs w:val="16"/>
                <w:color w:val="auto"/>
              </w:rPr>
              <w:t>9:00 AM LST</w:t>
            </w:r>
          </w:p>
        </w:tc>
      </w:tr>
      <w:tr>
        <w:trPr>
          <w:trHeight w:val="245"/>
        </w:trPr>
        <w:tc>
          <w:tcPr>
            <w:tcW w:w="5680" w:type="dxa"/>
            <w:vAlign w:val="bottom"/>
            <w:tcBorders>
              <w:right w:val="single" w:sz="8" w:color="auto"/>
            </w:tcBorders>
          </w:tcPr>
          <w:p>
            <w:pPr>
              <w:spacing w:after="0"/>
              <w:rPr>
                <w:sz w:val="21"/>
                <w:szCs w:val="21"/>
                <w:color w:val="auto"/>
              </w:rPr>
            </w:pPr>
          </w:p>
        </w:tc>
        <w:tc>
          <w:tcPr>
            <w:tcW w:w="5100" w:type="dxa"/>
            <w:vAlign w:val="bottom"/>
            <w:gridSpan w:val="3"/>
          </w:tcPr>
          <w:p>
            <w:pPr>
              <w:ind w:left="40"/>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2, rue Jean Bertholet</w:t>
            </w:r>
          </w:p>
        </w:tc>
      </w:tr>
      <w:tr>
        <w:trPr>
          <w:trHeight w:val="200"/>
        </w:trPr>
        <w:tc>
          <w:tcPr>
            <w:tcW w:w="5680" w:type="dxa"/>
            <w:vAlign w:val="bottom"/>
            <w:tcBorders>
              <w:right w:val="single" w:sz="8" w:color="auto"/>
            </w:tcBorders>
          </w:tcPr>
          <w:p>
            <w:pPr>
              <w:spacing w:after="0"/>
              <w:rPr>
                <w:sz w:val="17"/>
                <w:szCs w:val="17"/>
                <w:color w:val="auto"/>
              </w:rPr>
            </w:pPr>
          </w:p>
        </w:tc>
        <w:tc>
          <w:tcPr>
            <w:tcW w:w="5100" w:type="dxa"/>
            <w:vAlign w:val="bottom"/>
            <w:gridSpan w:val="3"/>
          </w:tcPr>
          <w:p>
            <w:pPr>
              <w:ind w:left="900"/>
              <w:spacing w:after="0" w:line="201" w:lineRule="exact"/>
              <w:rPr>
                <w:sz w:val="20"/>
                <w:szCs w:val="20"/>
                <w:color w:val="auto"/>
              </w:rPr>
            </w:pPr>
            <w:r>
              <w:rPr>
                <w:rFonts w:ascii="Arial" w:cs="Arial" w:eastAsia="Arial" w:hAnsi="Arial"/>
                <w:sz w:val="18"/>
                <w:szCs w:val="18"/>
                <w:color w:val="auto"/>
              </w:rPr>
              <w:t>L-1233 Luxembourg</w:t>
            </w:r>
          </w:p>
        </w:tc>
      </w:tr>
      <w:tr>
        <w:trPr>
          <w:trHeight w:val="213"/>
        </w:trPr>
        <w:tc>
          <w:tcPr>
            <w:tcW w:w="5680" w:type="dxa"/>
            <w:vAlign w:val="bottom"/>
            <w:tcBorders>
              <w:right w:val="single" w:sz="8" w:color="auto"/>
            </w:tcBorders>
          </w:tcPr>
          <w:p>
            <w:pPr>
              <w:spacing w:after="0"/>
              <w:rPr>
                <w:sz w:val="18"/>
                <w:szCs w:val="18"/>
                <w:color w:val="auto"/>
              </w:rPr>
            </w:pPr>
          </w:p>
        </w:tc>
        <w:tc>
          <w:tcPr>
            <w:tcW w:w="5100" w:type="dxa"/>
            <w:vAlign w:val="bottom"/>
            <w:gridSpan w:val="3"/>
          </w:tcPr>
          <w:p>
            <w:pPr>
              <w:ind w:left="900"/>
              <w:spacing w:after="0"/>
              <w:rPr>
                <w:sz w:val="20"/>
                <w:szCs w:val="20"/>
                <w:color w:val="auto"/>
              </w:rPr>
            </w:pPr>
            <w:r>
              <w:rPr>
                <w:rFonts w:ascii="Arial" w:cs="Arial" w:eastAsia="Arial" w:hAnsi="Arial"/>
                <w:sz w:val="18"/>
                <w:szCs w:val="18"/>
                <w:color w:val="auto"/>
              </w:rPr>
              <w:t>Grand Duchy of Luxembourg</w:t>
            </w:r>
          </w:p>
        </w:tc>
      </w:tr>
      <w:tr>
        <w:trPr>
          <w:trHeight w:val="345"/>
        </w:trPr>
        <w:tc>
          <w:tcPr>
            <w:tcW w:w="5680" w:type="dxa"/>
            <w:vAlign w:val="bottom"/>
            <w:tcBorders>
              <w:right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bl>
    <w:p>
      <w:pPr>
        <w:spacing w:after="0" w:line="105"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You are receiving this communication because you hold shares in the</w:t>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above named company.</w:t>
      </w:r>
    </w:p>
    <w:p>
      <w:pPr>
        <w:spacing w:after="0" w:line="110"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This is not a ballot. You cannot use this notice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-109220</wp:posOffset>
            </wp:positionV>
            <wp:extent cx="85090" cy="13392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5090" cy="1339215"/>
                    </a:xfrm>
                    <a:prstGeom prst="rect">
                      <a:avLst/>
                    </a:prstGeom>
                    <a:noFill/>
                  </pic:spPr>
                </pic:pic>
              </a:graphicData>
            </a:graphic>
          </wp:anchor>
        </w:drawing>
      </w:r>
    </w:p>
    <w:p>
      <w:pPr>
        <w:ind w:left="5700"/>
        <w:spacing w:after="0"/>
        <w:rPr>
          <w:sz w:val="20"/>
          <w:szCs w:val="20"/>
          <w:color w:val="auto"/>
        </w:rPr>
      </w:pPr>
      <w:r>
        <w:rPr>
          <w:rFonts w:ascii="Arial" w:cs="Arial" w:eastAsia="Arial" w:hAnsi="Arial"/>
          <w:sz w:val="16"/>
          <w:szCs w:val="16"/>
          <w:color w:val="auto"/>
        </w:rPr>
        <w:t>This communication presents only an overview of the more complete</w:t>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proxy materials that are available to you on the Internet. You may</w:t>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 xml:space="preserve">view the proxy materials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easily</w:t>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request a paper copy (see reverse side).</w:t>
      </w:r>
    </w:p>
    <w:p>
      <w:pPr>
        <w:spacing w:after="0" w:line="110"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We  encourage  you  to  access  and  review  all  of  the  important</w:t>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3629025</wp:posOffset>
            </wp:positionH>
            <wp:positionV relativeFrom="paragraph">
              <wp:posOffset>635</wp:posOffset>
            </wp:positionV>
            <wp:extent cx="3187700" cy="389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7700" cy="389890"/>
                    </a:xfrm>
                    <a:prstGeom prst="rect">
                      <a:avLst/>
                    </a:prstGeom>
                    <a:noFill/>
                  </pic:spPr>
                </pic:pic>
              </a:graphicData>
            </a:graphic>
          </wp:anchor>
        </w:drawing>
      </w:r>
    </w:p>
    <w:p>
      <w:pPr>
        <w:spacing w:after="0" w:line="87" w:lineRule="exact"/>
        <w:rPr>
          <w:sz w:val="20"/>
          <w:szCs w:val="20"/>
          <w:color w:val="auto"/>
        </w:rPr>
      </w:pPr>
    </w:p>
    <w:p>
      <w:pPr>
        <w:ind w:left="5760"/>
        <w:spacing w:after="0"/>
        <w:rPr>
          <w:sz w:val="20"/>
          <w:szCs w:val="20"/>
          <w:color w:val="auto"/>
        </w:rPr>
      </w:pPr>
      <w:r>
        <w:rPr>
          <w:rFonts w:ascii="Arial" w:cs="Arial" w:eastAsia="Arial" w:hAnsi="Arial"/>
          <w:sz w:val="20"/>
          <w:szCs w:val="20"/>
          <w:b w:val="1"/>
          <w:bCs w:val="1"/>
          <w:color w:val="FFFFFF"/>
        </w:rPr>
        <w:t>See the reverse side of this notice to obtain proxy</w:t>
      </w:r>
    </w:p>
    <w:p>
      <w:pPr>
        <w:spacing w:after="0" w:line="8" w:lineRule="exact"/>
        <w:rPr>
          <w:sz w:val="20"/>
          <w:szCs w:val="20"/>
          <w:color w:val="auto"/>
        </w:rPr>
      </w:pPr>
    </w:p>
    <w:p>
      <w:pPr>
        <w:ind w:left="5760"/>
        <w:spacing w:after="0"/>
        <w:rPr>
          <w:sz w:val="20"/>
          <w:szCs w:val="20"/>
          <w:color w:val="auto"/>
        </w:rPr>
      </w:pPr>
      <w:r>
        <w:rPr>
          <w:rFonts w:ascii="Arial" w:cs="Arial" w:eastAsia="Arial" w:hAnsi="Arial"/>
          <w:sz w:val="20"/>
          <w:szCs w:val="20"/>
          <w:b w:val="1"/>
          <w:bCs w:val="1"/>
          <w:color w:val="FFFFFF"/>
        </w:rPr>
        <w:t>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608330</wp:posOffset>
            </wp:positionV>
            <wp:extent cx="725233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780"/>
          </w:cols>
          <w:pgMar w:left="980" w:top="931" w:right="139" w:bottom="1440" w:gutter="0" w:footer="0" w:header="0"/>
        </w:sectPr>
      </w:pPr>
    </w:p>
    <w:bookmarkStart w:id="2" w:name="page3"/>
    <w:bookmarkEnd w:id="2"/>
    <w:p>
      <w:pPr>
        <w:jc w:val="center"/>
        <w:ind w:right="680"/>
        <w:spacing w:after="0"/>
        <w:rPr>
          <w:sz w:val="20"/>
          <w:szCs w:val="20"/>
          <w:color w:val="auto"/>
        </w:rPr>
      </w:pPr>
      <w:r>
        <w:rPr>
          <w:rFonts w:ascii="Arial" w:cs="Arial" w:eastAsia="Arial" w:hAnsi="Arial"/>
          <w:sz w:val="32"/>
          <w:szCs w:val="32"/>
          <w:color w:val="auto"/>
        </w:rPr>
        <w:t xml:space="preserve">—— </w:t>
      </w:r>
      <w:r>
        <w:rPr>
          <w:rFonts w:ascii="Arial" w:cs="Arial" w:eastAsia="Arial" w:hAnsi="Arial"/>
          <w:sz w:val="32"/>
          <w:szCs w:val="32"/>
          <w:b w:val="1"/>
          <w:bCs w:val="1"/>
          <w:color w:val="auto"/>
        </w:rPr>
        <w:t>Before You Vote</w:t>
      </w:r>
      <w:r>
        <w:rPr>
          <w:rFonts w:ascii="Arial" w:cs="Arial" w:eastAsia="Arial" w:hAnsi="Arial"/>
          <w:sz w:val="32"/>
          <w:szCs w:val="32"/>
          <w:color w:val="auto"/>
        </w:rPr>
        <w:t xml:space="preserve"> ——</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21"/>
          <w:szCs w:val="21"/>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1270</wp:posOffset>
            </wp:positionV>
            <wp:extent cx="7025005" cy="2267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5005" cy="226758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6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1. Form 10-K</w:t>
      </w:r>
      <w:r>
        <w:rPr>
          <w:sz w:val="20"/>
          <w:szCs w:val="20"/>
          <w:color w:val="auto"/>
        </w:rPr>
        <w:tab/>
      </w:r>
      <w:r>
        <w:rPr>
          <w:rFonts w:ascii="Arial" w:cs="Arial" w:eastAsia="Arial" w:hAnsi="Arial"/>
          <w:sz w:val="17"/>
          <w:szCs w:val="17"/>
          <w:color w:val="auto"/>
        </w:rPr>
        <w:t>2. Notice &amp; Proxy Statement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Have the 12-Digit Control Number available (located on the following page) and visit: </w:t>
      </w:r>
      <w:r>
        <w:rPr>
          <w:rFonts w:ascii="Arial" w:cs="Arial" w:eastAsia="Arial" w:hAnsi="Arial"/>
          <w:sz w:val="18"/>
          <w:szCs w:val="18"/>
          <w:i w:val="1"/>
          <w:iCs w:val="1"/>
          <w:color w:val="auto"/>
        </w:rPr>
        <w:t>www.proxyvote.com.</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1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10" w:lineRule="exact"/>
        <w:rPr>
          <w:sz w:val="20"/>
          <w:szCs w:val="20"/>
          <w:color w:val="auto"/>
        </w:rPr>
      </w:pPr>
    </w:p>
    <w:p>
      <w:pPr>
        <w:ind w:left="2180" w:hanging="209"/>
        <w:spacing w:after="0"/>
        <w:tabs>
          <w:tab w:leader="none" w:pos="2180"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r>
        <w:rPr>
          <w:rFonts w:ascii="Arial" w:cs="Arial" w:eastAsia="Arial" w:hAnsi="Arial"/>
          <w:sz w:val="17"/>
          <w:szCs w:val="17"/>
          <w:color w:val="auto"/>
        </w:rPr>
        <w:t>www.proxyvote.com</w:t>
      </w:r>
    </w:p>
    <w:p>
      <w:pPr>
        <w:spacing w:after="0" w:line="11" w:lineRule="exact"/>
        <w:rPr>
          <w:rFonts w:ascii="Arial" w:cs="Arial" w:eastAsia="Arial" w:hAnsi="Arial"/>
          <w:sz w:val="18"/>
          <w:szCs w:val="18"/>
          <w:color w:val="auto"/>
        </w:rPr>
      </w:pPr>
    </w:p>
    <w:p>
      <w:pPr>
        <w:ind w:left="2180" w:hanging="209"/>
        <w:spacing w:after="0" w:line="232" w:lineRule="auto"/>
        <w:tabs>
          <w:tab w:leader="none" w:pos="2180"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ind w:left="2180" w:hanging="209"/>
        <w:spacing w:after="0"/>
        <w:tabs>
          <w:tab w:leader="none" w:pos="2180"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7"/>
          <w:szCs w:val="17"/>
          <w:color w:val="auto"/>
        </w:rPr>
        <w:t>sendmaterial@proxyvote.com</w:t>
      </w:r>
    </w:p>
    <w:p>
      <w:pPr>
        <w:spacing w:after="0" w:line="100" w:lineRule="exact"/>
        <w:rPr>
          <w:rFonts w:ascii="Arial" w:cs="Arial" w:eastAsia="Arial" w:hAnsi="Arial"/>
          <w:sz w:val="18"/>
          <w:szCs w:val="18"/>
          <w:color w:val="auto"/>
        </w:rPr>
      </w:pPr>
    </w:p>
    <w:p>
      <w:pPr>
        <w:ind w:left="220" w:hanging="214"/>
        <w:spacing w:after="0" w:line="239" w:lineRule="auto"/>
        <w:rPr>
          <w:rFonts w:ascii="Arial" w:cs="Arial" w:eastAsia="Arial" w:hAnsi="Arial"/>
          <w:sz w:val="18"/>
          <w:szCs w:val="18"/>
          <w:color w:val="auto"/>
        </w:rPr>
      </w:pPr>
      <w:r>
        <w:rPr>
          <w:rFonts w:ascii="Arial" w:cs="Arial" w:eastAsia="Arial" w:hAnsi="Arial"/>
          <w:sz w:val="18"/>
          <w:szCs w:val="18"/>
          <w:color w:val="auto"/>
        </w:rPr>
        <w:t>* If requesting materials by e-mail, please send a blank e-mail with the 12-Digit Control Number (located on the following page) in the subject line.</w:t>
      </w:r>
    </w:p>
    <w:p>
      <w:pPr>
        <w:spacing w:after="0" w:line="9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May 05, 2010 to facilitate timely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238760</wp:posOffset>
            </wp:positionV>
            <wp:extent cx="85090" cy="13392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5090" cy="1339215"/>
                    </a:xfrm>
                    <a:prstGeom prst="rect">
                      <a:avLst/>
                    </a:prstGeom>
                    <a:noFill/>
                  </pic:spPr>
                </pic:pic>
              </a:graphicData>
            </a:graphic>
          </wp:anchor>
        </w:drawing>
      </w:r>
    </w:p>
    <w:p>
      <w:pPr>
        <w:spacing w:after="0" w:line="369" w:lineRule="exact"/>
        <w:rPr>
          <w:sz w:val="20"/>
          <w:szCs w:val="20"/>
          <w:color w:val="auto"/>
        </w:rPr>
      </w:pPr>
    </w:p>
    <w:p>
      <w:pPr>
        <w:jc w:val="center"/>
        <w:ind w:right="220"/>
        <w:spacing w:after="0"/>
        <w:rPr>
          <w:sz w:val="20"/>
          <w:szCs w:val="20"/>
          <w:color w:val="auto"/>
        </w:rPr>
      </w:pPr>
      <w:r>
        <w:rPr>
          <w:rFonts w:ascii="Arial" w:cs="Arial" w:eastAsia="Arial" w:hAnsi="Arial"/>
          <w:sz w:val="32"/>
          <w:szCs w:val="32"/>
          <w:color w:val="auto"/>
        </w:rPr>
        <w:t xml:space="preserve">—— </w:t>
      </w:r>
      <w:r>
        <w:rPr>
          <w:rFonts w:ascii="Arial" w:cs="Arial" w:eastAsia="Arial" w:hAnsi="Arial"/>
          <w:sz w:val="32"/>
          <w:szCs w:val="32"/>
          <w:b w:val="1"/>
          <w:bCs w:val="1"/>
          <w:color w:val="auto"/>
        </w:rPr>
        <w:t>How To Vote</w:t>
      </w:r>
      <w:r>
        <w:rPr>
          <w:rFonts w:ascii="Arial" w:cs="Arial" w:eastAsia="Arial" w:hAnsi="Arial"/>
          <w:sz w:val="32"/>
          <w:szCs w:val="32"/>
          <w:color w:val="auto"/>
        </w:rPr>
        <w:t xml:space="preserve"> ——</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21"/>
          <w:szCs w:val="21"/>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69215</wp:posOffset>
            </wp:positionV>
            <wp:extent cx="7025005" cy="1250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25005" cy="1250315"/>
                    </a:xfrm>
                    <a:prstGeom prst="rect">
                      <a:avLst/>
                    </a:prstGeom>
                    <a:noFill/>
                  </pic:spPr>
                </pic:pic>
              </a:graphicData>
            </a:graphic>
          </wp:anchor>
        </w:drawing>
      </w:r>
    </w:p>
    <w:p>
      <w:pPr>
        <w:spacing w:after="0" w:line="29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If you choose to vote these shares in person at the meeting, you must request a “</w:t>
      </w:r>
      <w:r>
        <w:rPr>
          <w:rFonts w:ascii="Arial" w:cs="Arial" w:eastAsia="Arial" w:hAnsi="Arial"/>
          <w:sz w:val="18"/>
          <w:szCs w:val="18"/>
          <w:i w:val="1"/>
          <w:iCs w:val="1"/>
          <w:color w:val="auto"/>
        </w:rPr>
        <w:t>legal proxy.</w:t>
      </w:r>
      <w:r>
        <w:rPr>
          <w:rFonts w:ascii="Arial" w:cs="Arial" w:eastAsia="Arial" w:hAnsi="Arial"/>
          <w:sz w:val="18"/>
          <w:szCs w:val="18"/>
          <w:color w:val="auto"/>
        </w:rPr>
        <w:t>” To do so, please follow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instructions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request a paper copy of the materials, which will contain the appropriate instructions. Many shareholder meetings have attendance requirements including, but not limited to, the possession of an attendance ticket issued by the entity holding the meeting. Please check the meeting materials for any special requirements for meeting attendance.</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12-Digit Control Number available and follow the</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618490</wp:posOffset>
            </wp:positionV>
            <wp:extent cx="725233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940"/>
          </w:cols>
          <w:pgMar w:left="820" w:top="926" w:right="139" w:bottom="1440" w:gutter="0" w:footer="0" w:header="0"/>
        </w:sectPr>
      </w:pPr>
    </w:p>
    <w:bookmarkStart w:id="3" w:name="page4"/>
    <w:bookmarkEnd w:id="3"/>
    <w:p>
      <w:pPr>
        <w:ind w:left="13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447040</wp:posOffset>
            </wp:positionH>
            <wp:positionV relativeFrom="page">
              <wp:posOffset>599440</wp:posOffset>
            </wp:positionV>
            <wp:extent cx="2208530" cy="165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08530" cy="165100"/>
                    </a:xfrm>
                    <a:prstGeom prst="rect">
                      <a:avLst/>
                    </a:prstGeom>
                    <a:noFill/>
                  </pic:spPr>
                </pic:pic>
              </a:graphicData>
            </a:graphic>
          </wp:anchor>
        </w:drawing>
        <w:t>Voting items</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Board of Directors recommends that you</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FOR the following:</w:t>
      </w:r>
    </w:p>
    <w:p>
      <w:pPr>
        <w:spacing w:after="0" w:line="98" w:lineRule="exact"/>
        <w:rPr>
          <w:sz w:val="20"/>
          <w:szCs w:val="20"/>
          <w:color w:val="auto"/>
        </w:rPr>
      </w:pPr>
    </w:p>
    <w:p>
      <w:pPr>
        <w:ind w:left="400" w:hanging="397"/>
        <w:spacing w:after="0"/>
        <w:tabs>
          <w:tab w:leader="none" w:pos="400" w:val="left"/>
        </w:tabs>
        <w:numPr>
          <w:ilvl w:val="0"/>
          <w:numId w:val="9"/>
        </w:numPr>
        <w:rPr>
          <w:rFonts w:ascii="Arial" w:cs="Arial" w:eastAsia="Arial" w:hAnsi="Arial"/>
          <w:sz w:val="12"/>
          <w:szCs w:val="12"/>
          <w:color w:val="auto"/>
        </w:rPr>
      </w:pPr>
      <w:r>
        <w:rPr>
          <w:rFonts w:ascii="Arial" w:cs="Arial" w:eastAsia="Arial" w:hAnsi="Arial"/>
          <w:sz w:val="12"/>
          <w:szCs w:val="12"/>
          <w:color w:val="auto"/>
        </w:rPr>
        <w:t>Election of Directors</w:t>
      </w:r>
    </w:p>
    <w:p>
      <w:pPr>
        <w:ind w:left="400"/>
        <w:spacing w:after="0" w:line="232" w:lineRule="auto"/>
        <w:rPr>
          <w:rFonts w:ascii="Arial" w:cs="Arial" w:eastAsia="Arial" w:hAnsi="Arial"/>
          <w:sz w:val="12"/>
          <w:szCs w:val="12"/>
          <w:color w:val="auto"/>
        </w:rPr>
      </w:pPr>
      <w:r>
        <w:rPr>
          <w:rFonts w:ascii="Arial" w:cs="Arial" w:eastAsia="Arial" w:hAnsi="Arial"/>
          <w:sz w:val="12"/>
          <w:szCs w:val="12"/>
          <w:b w:val="1"/>
          <w:bCs w:val="1"/>
          <w:color w:val="auto"/>
        </w:rPr>
        <w:t>Nominees</w:t>
      </w:r>
    </w:p>
    <w:p>
      <w:pPr>
        <w:spacing w:after="0"/>
        <w:tabs>
          <w:tab w:leader="none" w:pos="380" w:val="left"/>
          <w:tab w:leader="none" w:pos="1820" w:val="left"/>
          <w:tab w:leader="none" w:pos="2140" w:val="left"/>
          <w:tab w:leader="none" w:pos="3840" w:val="left"/>
          <w:tab w:leader="none" w:pos="4160" w:val="left"/>
          <w:tab w:leader="none" w:pos="5960" w:val="left"/>
          <w:tab w:leader="none" w:pos="6260" w:val="left"/>
          <w:tab w:leader="none" w:pos="7780" w:val="left"/>
          <w:tab w:leader="none" w:pos="8080" w:val="left"/>
        </w:tabs>
        <w:rPr>
          <w:sz w:val="20"/>
          <w:szCs w:val="20"/>
          <w:color w:val="auto"/>
        </w:rPr>
      </w:pPr>
      <w:r>
        <w:rPr>
          <w:rFonts w:ascii="Arial" w:cs="Arial" w:eastAsia="Arial" w:hAnsi="Arial"/>
          <w:sz w:val="12"/>
          <w:szCs w:val="12"/>
          <w:color w:val="auto"/>
        </w:rPr>
        <w:t>01</w:t>
      </w:r>
      <w:r>
        <w:rPr>
          <w:sz w:val="20"/>
          <w:szCs w:val="20"/>
          <w:color w:val="auto"/>
        </w:rPr>
        <w:tab/>
      </w:r>
      <w:r>
        <w:rPr>
          <w:rFonts w:ascii="Arial" w:cs="Arial" w:eastAsia="Arial" w:hAnsi="Arial"/>
          <w:sz w:val="12"/>
          <w:szCs w:val="12"/>
          <w:color w:val="auto"/>
        </w:rPr>
        <w:t>William C. Erbey</w:t>
      </w:r>
      <w:r>
        <w:rPr>
          <w:sz w:val="20"/>
          <w:szCs w:val="20"/>
          <w:color w:val="auto"/>
        </w:rPr>
        <w:tab/>
      </w:r>
      <w:r>
        <w:rPr>
          <w:rFonts w:ascii="Arial" w:cs="Arial" w:eastAsia="Arial" w:hAnsi="Arial"/>
          <w:sz w:val="12"/>
          <w:szCs w:val="12"/>
          <w:color w:val="auto"/>
        </w:rPr>
        <w:t>02</w:t>
        <w:tab/>
        <w:t>Silke Andresen-Kienz</w:t>
      </w:r>
      <w:r>
        <w:rPr>
          <w:sz w:val="20"/>
          <w:szCs w:val="20"/>
          <w:color w:val="auto"/>
        </w:rPr>
        <w:tab/>
      </w:r>
      <w:r>
        <w:rPr>
          <w:rFonts w:ascii="Arial" w:cs="Arial" w:eastAsia="Arial" w:hAnsi="Arial"/>
          <w:sz w:val="12"/>
          <w:szCs w:val="12"/>
          <w:color w:val="auto"/>
        </w:rPr>
        <w:t>03</w:t>
        <w:tab/>
        <w:t>Roland Müller-Ineichen</w:t>
      </w:r>
      <w:r>
        <w:rPr>
          <w:sz w:val="20"/>
          <w:szCs w:val="20"/>
          <w:color w:val="auto"/>
        </w:rPr>
        <w:tab/>
      </w:r>
      <w:r>
        <w:rPr>
          <w:rFonts w:ascii="Arial" w:cs="Arial" w:eastAsia="Arial" w:hAnsi="Arial"/>
          <w:sz w:val="12"/>
          <w:szCs w:val="12"/>
          <w:color w:val="auto"/>
        </w:rPr>
        <w:t>04</w:t>
        <w:tab/>
        <w:t>William B. Shepro</w:t>
      </w:r>
      <w:r>
        <w:rPr>
          <w:sz w:val="20"/>
          <w:szCs w:val="20"/>
          <w:color w:val="auto"/>
        </w:rPr>
        <w:tab/>
      </w:r>
      <w:r>
        <w:rPr>
          <w:rFonts w:ascii="Arial" w:cs="Arial" w:eastAsia="Arial" w:hAnsi="Arial"/>
          <w:sz w:val="12"/>
          <w:szCs w:val="12"/>
          <w:color w:val="auto"/>
        </w:rPr>
        <w:t>05</w:t>
        <w:tab/>
        <w:t>Timo Vättö</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Board of Directors recommends you vote FOR the following proposal(s):</w:t>
      </w:r>
    </w:p>
    <w:p>
      <w:pPr>
        <w:spacing w:after="0" w:line="130" w:lineRule="exact"/>
        <w:rPr>
          <w:sz w:val="20"/>
          <w:szCs w:val="20"/>
          <w:color w:val="auto"/>
        </w:rPr>
      </w:pPr>
    </w:p>
    <w:p>
      <w:pPr>
        <w:ind w:left="400" w:right="39" w:hanging="397"/>
        <w:spacing w:after="0" w:line="250" w:lineRule="auto"/>
        <w:tabs>
          <w:tab w:leader="none" w:pos="4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Proposal to approve and ratify the appointment of Deloitte &amp; Touche LLP as our independent registered certified public accounting firm for the fiscal year ending December 31, 2010.</w:t>
      </w:r>
    </w:p>
    <w:p>
      <w:pPr>
        <w:spacing w:after="0" w:line="100" w:lineRule="exact"/>
        <w:rPr>
          <w:sz w:val="20"/>
          <w:szCs w:val="20"/>
          <w:color w:val="auto"/>
        </w:rPr>
      </w:pPr>
    </w:p>
    <w:p>
      <w:pPr>
        <w:ind w:left="400" w:hanging="397"/>
        <w:spacing w:after="0"/>
        <w:tabs>
          <w:tab w:leader="none" w:pos="4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Proposal to approve and ratify the share repurchase program.</w:t>
      </w:r>
    </w:p>
    <w:p>
      <w:pPr>
        <w:spacing w:after="0" w:line="236" w:lineRule="exact"/>
        <w:rPr>
          <w:sz w:val="20"/>
          <w:szCs w:val="20"/>
          <w:color w:val="auto"/>
        </w:rPr>
      </w:pPr>
    </w:p>
    <w:p>
      <w:pPr>
        <w:ind w:left="400" w:hanging="397"/>
        <w:spacing w:after="0"/>
        <w:tabs>
          <w:tab w:leader="none" w:pos="4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Proposal to approve and ratify the directors’ reports for the years ended December 31, 2009, December 31, 2008, and December 31, 2007.</w:t>
      </w:r>
    </w:p>
    <w:p>
      <w:pPr>
        <w:spacing w:after="0" w:line="116" w:lineRule="exact"/>
        <w:rPr>
          <w:sz w:val="20"/>
          <w:szCs w:val="20"/>
          <w:color w:val="auto"/>
        </w:rPr>
      </w:pPr>
    </w:p>
    <w:p>
      <w:pPr>
        <w:ind w:left="400" w:hanging="397"/>
        <w:spacing w:after="0"/>
        <w:tabs>
          <w:tab w:leader="none" w:pos="4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Proposal to approve and ratify the Luxembourg statutory accounts for the years ended December 31, 2009, December 31, 2008, and December 31, 2007.</w:t>
      </w:r>
    </w:p>
    <w:p>
      <w:pPr>
        <w:spacing w:after="0" w:line="116" w:lineRule="exact"/>
        <w:rPr>
          <w:sz w:val="20"/>
          <w:szCs w:val="20"/>
          <w:color w:val="auto"/>
        </w:rPr>
      </w:pPr>
    </w:p>
    <w:p>
      <w:pPr>
        <w:ind w:left="400" w:right="19" w:hanging="397"/>
        <w:spacing w:after="0" w:line="245" w:lineRule="auto"/>
        <w:tabs>
          <w:tab w:leader="none" w:pos="4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Proposal to discharge all of the current and past directors of Altisource Portfolio Solutions S.A. for the performance of their mandate during the year ended December 31, 2009.</w:t>
      </w:r>
    </w:p>
    <w:p>
      <w:pPr>
        <w:spacing w:after="0" w:line="246" w:lineRule="exact"/>
        <w:rPr>
          <w:sz w:val="20"/>
          <w:szCs w:val="20"/>
          <w:color w:val="auto"/>
        </w:rPr>
      </w:pPr>
    </w:p>
    <w:p>
      <w:pPr>
        <w:ind w:left="400" w:hanging="397"/>
        <w:spacing w:after="0"/>
        <w:tabs>
          <w:tab w:leader="none" w:pos="4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 their discretion, upon such other matters that may properly come before the meeting or any adjournment or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61798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9820" cy="8255"/>
                    </a:xfrm>
                    <a:prstGeom prst="rect">
                      <a:avLst/>
                    </a:prstGeom>
                    <a:noFill/>
                  </pic:spPr>
                </pic:pic>
              </a:graphicData>
            </a:graphic>
          </wp:anchor>
        </w:drawing>
      </w:r>
    </w:p>
    <w:p>
      <w:pPr>
        <w:spacing w:after="0" w:line="108" w:lineRule="exact"/>
        <w:rPr>
          <w:sz w:val="20"/>
          <w:szCs w:val="20"/>
          <w:color w:val="auto"/>
        </w:rPr>
      </w:pPr>
    </w:p>
    <w:p>
      <w:pPr>
        <w:jc w:val="both"/>
        <w:ind w:left="560" w:right="39" w:hanging="546"/>
        <w:spacing w:after="0" w:line="253" w:lineRule="auto"/>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12"/>
          <w:szCs w:val="12"/>
          <w:color w:val="auto"/>
        </w:rPr>
        <w:t>The shares represented by this proxy when properly executed will be voted in the manner directed herein by the undersigned Stockholder(s). If no direction is made, this</w:t>
      </w:r>
      <w:r>
        <w:rPr>
          <w:rFonts w:ascii="Arial" w:cs="Arial" w:eastAsia="Arial" w:hAnsi="Arial"/>
          <w:sz w:val="12"/>
          <w:szCs w:val="12"/>
          <w:b w:val="1"/>
          <w:bCs w:val="1"/>
          <w:color w:val="auto"/>
        </w:rPr>
        <w:t xml:space="preserve"> </w:t>
      </w:r>
      <w:r>
        <w:rPr>
          <w:rFonts w:ascii="Arial" w:cs="Arial" w:eastAsia="Arial" w:hAnsi="Arial"/>
          <w:sz w:val="12"/>
          <w:szCs w:val="12"/>
          <w:color w:val="auto"/>
        </w:rPr>
        <w:t>proxy will be voted FOR items 1, 2, 3, 4, 5, 6, and 7. If any other matters properly come before the meeting, or if cumulative voting is required, the person named in this proxy will vote in their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-161925</wp:posOffset>
            </wp:positionV>
            <wp:extent cx="6434455" cy="13392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4455" cy="1339215"/>
                    </a:xfrm>
                    <a:prstGeom prst="rect">
                      <a:avLst/>
                    </a:prstGeom>
                    <a:noFill/>
                  </pic:spPr>
                </pic:pic>
              </a:graphicData>
            </a:graphic>
          </wp:anchor>
        </w:drawing>
      </w:r>
    </w:p>
    <w:sectPr>
      <w:pgSz w:w="11900" w:h="16838" w:orient="portrait"/>
      <w:cols w:equalWidth="0" w:num="1">
        <w:col w:w="9759"/>
      </w:cols>
      <w:pgMar w:left="700" w:top="9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o"/>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o"/>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o"/>
      <w:numFmt w:val="bullet"/>
      <w:start w:val="1"/>
    </w:lvl>
  </w:abstractNum>
  <w:abstractNum w:abstractNumId="5">
    <w:nsid w:val="216231B"/>
    <w:multiLevelType w:val="hybridMultilevel"/>
    <w:lvl w:ilvl="0">
      <w:lvlJc w:val="left"/>
      <w:lvlText w:val="%1)"/>
      <w:numFmt w:val="decimal"/>
      <w:start w:val="3"/>
    </w:lvl>
  </w:abstractNum>
  <w:abstractNum w:abstractNumId="6">
    <w:nsid w:val="1F16E9E8"/>
    <w:multiLevelType w:val="hybridMultilevel"/>
    <w:lvl w:ilvl="0">
      <w:lvlJc w:val="left"/>
      <w:lvlText w:val="%1)"/>
      <w:numFmt w:val="decimal"/>
    </w:lvl>
    <w:lvl w:ilvl="1">
      <w:lvlJc w:val="left"/>
      <w:lvlText w:val="o"/>
      <w:numFmt w:val="bullet"/>
      <w:start w:val="1"/>
    </w:lvl>
  </w:abstractNum>
  <w:abstractNum w:abstractNumId="7">
    <w:nsid w:val="1190CDE7"/>
    <w:multiLevelType w:val="hybridMultilevel"/>
    <w:lvl w:ilvl="0">
      <w:lvlJc w:val="left"/>
      <w:lvlText w:val="*"/>
      <w:numFmt w:val="bullet"/>
      <w:start w:val="1"/>
    </w:lvl>
    <w:lvl w:ilvl="1">
      <w:lvlJc w:val="left"/>
      <w:lvlText w:val="%2)"/>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2"/>
      <w:numFmt w:val="bullet"/>
      <w:start w:val="1"/>
    </w:lvl>
  </w:abstractNum>
  <w:abstractNum w:abstractNumId="10">
    <w:nsid w:val="3352255A"/>
    <w:multiLevelType w:val="hybridMultilevel"/>
    <w:lvl w:ilvl="0">
      <w:lvlJc w:val="left"/>
      <w:lvlText w:val="3"/>
      <w:numFmt w:val="bullet"/>
      <w:start w:val="1"/>
    </w:lvl>
  </w:abstractNum>
  <w:abstractNum w:abstractNumId="11">
    <w:nsid w:val="109CF92E"/>
    <w:multiLevelType w:val="hybridMultilevel"/>
    <w:lvl w:ilvl="0">
      <w:lvlJc w:val="left"/>
      <w:lvlText w:val="4"/>
      <w:numFmt w:val="bullet"/>
      <w:start w:val="1"/>
    </w:lvl>
  </w:abstractNum>
  <w:abstractNum w:abstractNumId="12">
    <w:nsid w:val="DED7263"/>
    <w:multiLevelType w:val="hybridMultilevel"/>
    <w:lvl w:ilvl="0">
      <w:lvlJc w:val="left"/>
      <w:lvlText w:val="5"/>
      <w:numFmt w:val="bullet"/>
      <w:start w:val="1"/>
    </w:lvl>
  </w:abstractNum>
  <w:abstractNum w:abstractNumId="13">
    <w:nsid w:val="7FDCC233"/>
    <w:multiLevelType w:val="hybridMultilevel"/>
    <w:lvl w:ilvl="0">
      <w:lvlJc w:val="left"/>
      <w:lvlText w:val="6"/>
      <w:numFmt w:val="bullet"/>
      <w:start w:val="1"/>
    </w:lvl>
  </w:abstractNum>
  <w:abstractNum w:abstractNumId="14">
    <w:nsid w:val="1BEFD79F"/>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2019-12-11T06:17:09Z</dcterms:created>
  <dcterms:modified xsi:type="dcterms:W3CDTF">2019-12-11T06:17:09Z</dcterms:modified>
</cp:coreProperties>
</file>