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167640</wp:posOffset>
            </wp:positionV>
            <wp:extent cx="199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109855</wp:posOffset>
            </wp:positionV>
            <wp:extent cx="1997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ind w:left="1040" w:hanging="620"/>
        <w:spacing w:after="0" w:line="180" w:lineRule="auto"/>
        <w:tabs>
          <w:tab w:leader="none" w:pos="10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 the quarterly period ended June 30, 2020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1040" w:hanging="620"/>
        <w:spacing w:after="0" w:line="215" w:lineRule="auto"/>
        <w:tabs>
          <w:tab w:leader="none" w:pos="10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89" w:lineRule="exact"/>
        <w:rPr>
          <w:rFonts w:ascii="MS PGothic" w:cs="MS PGothic" w:eastAsia="MS PGothic" w:hAnsi="MS PGothic"/>
          <w:sz w:val="43"/>
          <w:szCs w:val="43"/>
          <w:color w:val="auto"/>
          <w:vertAlign w:val="subscript"/>
        </w:rPr>
      </w:pPr>
    </w:p>
    <w:p>
      <w:pPr>
        <w:ind w:left="4360"/>
        <w:spacing w:after="0"/>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For the transition period from to</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257175</wp:posOffset>
            </wp:positionV>
            <wp:extent cx="199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167640</wp:posOffset>
            </wp:positionV>
            <wp:extent cx="1997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jc w:val="center"/>
              <w:ind w:left="1804"/>
              <w:spacing w:after="0"/>
              <w:rPr>
                <w:sz w:val="20"/>
                <w:szCs w:val="20"/>
                <w:color w:val="auto"/>
              </w:rPr>
            </w:pPr>
            <w:r>
              <w:rPr>
                <w:rFonts w:ascii="Arial" w:cs="Arial" w:eastAsia="Arial" w:hAnsi="Arial"/>
                <w:sz w:val="18"/>
                <w:szCs w:val="18"/>
                <w:b w:val="1"/>
                <w:bCs w:val="1"/>
                <w:color w:val="auto"/>
                <w:w w:val="91"/>
              </w:rPr>
              <w:t>Luxembourg</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80" w:type="dxa"/>
            <w:vAlign w:val="bottom"/>
          </w:tcPr>
          <w:p>
            <w:pPr>
              <w:jc w:val="right"/>
              <w:ind w:right="2324"/>
              <w:spacing w:after="0"/>
              <w:rPr>
                <w:sz w:val="20"/>
                <w:szCs w:val="20"/>
                <w:color w:val="auto"/>
              </w:rPr>
            </w:pPr>
            <w:r>
              <w:rPr>
                <w:rFonts w:ascii="Arial" w:cs="Arial" w:eastAsia="Arial" w:hAnsi="Arial"/>
                <w:sz w:val="18"/>
                <w:szCs w:val="18"/>
                <w:b w:val="1"/>
                <w:bCs w:val="1"/>
                <w:color w:val="auto"/>
              </w:rPr>
              <w:t>98-0554932</w:t>
            </w:r>
          </w:p>
        </w:tc>
      </w:tr>
      <w:tr>
        <w:trPr>
          <w:trHeight w:val="217"/>
        </w:trPr>
        <w:tc>
          <w:tcPr>
            <w:tcW w:w="7260" w:type="dxa"/>
            <w:vAlign w:val="bottom"/>
            <w:gridSpan w:val="6"/>
          </w:tcPr>
          <w:p>
            <w:pPr>
              <w:jc w:val="center"/>
              <w:ind w:right="1640"/>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3980" w:type="dxa"/>
            <w:vAlign w:val="bottom"/>
          </w:tcPr>
          <w:p>
            <w:pPr>
              <w:jc w:val="center"/>
              <w:ind w:right="1604"/>
              <w:spacing w:after="0"/>
              <w:rPr>
                <w:sz w:val="20"/>
                <w:szCs w:val="20"/>
                <w:color w:val="auto"/>
              </w:rPr>
            </w:pPr>
            <w:r>
              <w:rPr>
                <w:rFonts w:ascii="Arial" w:cs="Arial" w:eastAsia="Arial" w:hAnsi="Arial"/>
                <w:sz w:val="14"/>
                <w:szCs w:val="14"/>
                <w:color w:val="auto"/>
                <w:w w:val="97"/>
              </w:rPr>
              <w:t>(I.R.S. Employer Identification No.)</w:t>
            </w:r>
          </w:p>
        </w:tc>
      </w:tr>
      <w:tr>
        <w:trPr>
          <w:trHeight w:val="264"/>
        </w:trPr>
        <w:tc>
          <w:tcPr>
            <w:tcW w:w="3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40, avenue Monterey</w:t>
            </w:r>
          </w:p>
        </w:tc>
        <w:tc>
          <w:tcPr>
            <w:tcW w:w="3980" w:type="dxa"/>
            <w:vAlign w:val="bottom"/>
          </w:tcPr>
          <w:p>
            <w:pPr>
              <w:spacing w:after="0"/>
              <w:rPr>
                <w:sz w:val="22"/>
                <w:szCs w:val="22"/>
                <w:color w:val="auto"/>
              </w:rPr>
            </w:pPr>
          </w:p>
        </w:tc>
      </w:tr>
      <w:tr>
        <w:trPr>
          <w:trHeight w:val="216"/>
        </w:trPr>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2"/>
              </w:rPr>
              <w:t>L-2163 Luxembourg</w:t>
            </w:r>
          </w:p>
        </w:tc>
        <w:tc>
          <w:tcPr>
            <w:tcW w:w="39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2"/>
              </w:rPr>
              <w:t>Grand Duchy of Luxembourg</w:t>
            </w:r>
          </w:p>
        </w:tc>
        <w:tc>
          <w:tcPr>
            <w:tcW w:w="3980" w:type="dxa"/>
            <w:vAlign w:val="bottom"/>
          </w:tcPr>
          <w:p>
            <w:pPr>
              <w:spacing w:after="0"/>
              <w:rPr>
                <w:sz w:val="18"/>
                <w:szCs w:val="18"/>
                <w:color w:val="auto"/>
              </w:rPr>
            </w:pPr>
          </w:p>
        </w:tc>
      </w:tr>
      <w:tr>
        <w:trPr>
          <w:trHeight w:val="182"/>
        </w:trPr>
        <w:tc>
          <w:tcPr>
            <w:tcW w:w="3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60" w:type="dxa"/>
            <w:vAlign w:val="bottom"/>
            <w:gridSpan w:val="4"/>
          </w:tcPr>
          <w:p>
            <w:pPr>
              <w:jc w:val="center"/>
              <w:ind w:right="420"/>
              <w:spacing w:after="0"/>
              <w:rPr>
                <w:sz w:val="20"/>
                <w:szCs w:val="20"/>
                <w:color w:val="auto"/>
              </w:rPr>
            </w:pPr>
            <w:r>
              <w:rPr>
                <w:rFonts w:ascii="Arial" w:cs="Arial" w:eastAsia="Arial" w:hAnsi="Arial"/>
                <w:sz w:val="14"/>
                <w:szCs w:val="14"/>
                <w:color w:val="auto"/>
                <w:w w:val="95"/>
              </w:rPr>
              <w:t>(Address of principal executive offices)</w:t>
            </w:r>
          </w:p>
        </w:tc>
        <w:tc>
          <w:tcPr>
            <w:tcW w:w="3980" w:type="dxa"/>
            <w:vAlign w:val="bottom"/>
          </w:tcPr>
          <w:p>
            <w:pPr>
              <w:spacing w:after="0"/>
              <w:rPr>
                <w:sz w:val="15"/>
                <w:szCs w:val="15"/>
                <w:color w:val="auto"/>
              </w:rPr>
            </w:pPr>
          </w:p>
        </w:tc>
      </w:tr>
      <w:tr>
        <w:trPr>
          <w:trHeight w:val="304"/>
        </w:trPr>
        <w:tc>
          <w:tcPr>
            <w:tcW w:w="3720" w:type="dxa"/>
            <w:vAlign w:val="bottom"/>
          </w:tcPr>
          <w:p>
            <w:pPr>
              <w:spacing w:after="0"/>
              <w:rPr>
                <w:sz w:val="24"/>
                <w:szCs w:val="24"/>
                <w:color w:val="auto"/>
              </w:rPr>
            </w:pPr>
          </w:p>
        </w:tc>
        <w:tc>
          <w:tcPr>
            <w:tcW w:w="3040" w:type="dxa"/>
            <w:vAlign w:val="bottom"/>
            <w:gridSpan w:val="3"/>
          </w:tcPr>
          <w:p>
            <w:pPr>
              <w:jc w:val="center"/>
              <w:ind w:left="679"/>
              <w:spacing w:after="0"/>
              <w:rPr>
                <w:sz w:val="20"/>
                <w:szCs w:val="20"/>
                <w:color w:val="auto"/>
              </w:rPr>
            </w:pPr>
            <w:r>
              <w:rPr>
                <w:rFonts w:ascii="Arial" w:cs="Arial" w:eastAsia="Arial" w:hAnsi="Arial"/>
                <w:sz w:val="18"/>
                <w:szCs w:val="18"/>
                <w:b w:val="1"/>
                <w:bCs w:val="1"/>
                <w:color w:val="auto"/>
                <w:w w:val="90"/>
              </w:rPr>
              <w:t>(352) 24 69 79 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2"/>
        </w:trPr>
        <w:tc>
          <w:tcPr>
            <w:tcW w:w="3720" w:type="dxa"/>
            <w:vAlign w:val="bottom"/>
          </w:tcPr>
          <w:p>
            <w:pPr>
              <w:spacing w:after="0"/>
              <w:rPr>
                <w:sz w:val="15"/>
                <w:szCs w:val="15"/>
                <w:color w:val="auto"/>
              </w:rPr>
            </w:pPr>
          </w:p>
        </w:tc>
        <w:tc>
          <w:tcPr>
            <w:tcW w:w="3540" w:type="dxa"/>
            <w:vAlign w:val="bottom"/>
            <w:gridSpan w:val="5"/>
          </w:tcPr>
          <w:p>
            <w:pPr>
              <w:jc w:val="center"/>
              <w:ind w:left="179"/>
              <w:spacing w:after="0"/>
              <w:rPr>
                <w:sz w:val="20"/>
                <w:szCs w:val="20"/>
                <w:color w:val="auto"/>
              </w:rPr>
            </w:pPr>
            <w:r>
              <w:rPr>
                <w:rFonts w:ascii="Arial" w:cs="Arial" w:eastAsia="Arial" w:hAnsi="Arial"/>
                <w:sz w:val="14"/>
                <w:szCs w:val="14"/>
                <w:color w:val="auto"/>
                <w:w w:val="92"/>
              </w:rPr>
              <w:t>(Registrant’s telephone number, including area code)</w:t>
            </w:r>
          </w:p>
        </w:tc>
        <w:tc>
          <w:tcPr>
            <w:tcW w:w="3980" w:type="dxa"/>
            <w:vAlign w:val="bottom"/>
          </w:tcPr>
          <w:p>
            <w:pPr>
              <w:spacing w:after="0"/>
              <w:rPr>
                <w:sz w:val="15"/>
                <w:szCs w:val="15"/>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398"/>
        </w:trPr>
        <w:tc>
          <w:tcPr>
            <w:tcW w:w="372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4"/>
        </w:trPr>
        <w:tc>
          <w:tcPr>
            <w:tcW w:w="3720" w:type="dxa"/>
            <w:vAlign w:val="bottom"/>
          </w:tcPr>
          <w:p>
            <w:pPr>
              <w:ind w:left="1340"/>
              <w:spacing w:after="0"/>
              <w:rPr>
                <w:sz w:val="20"/>
                <w:szCs w:val="20"/>
                <w:color w:val="auto"/>
              </w:rPr>
            </w:pPr>
            <w:r>
              <w:rPr>
                <w:rFonts w:ascii="Arial" w:cs="Arial" w:eastAsia="Arial" w:hAnsi="Arial"/>
                <w:sz w:val="14"/>
                <w:szCs w:val="14"/>
                <w:color w:val="auto"/>
              </w:rPr>
              <w:t>Common Stock, $1.00 par value</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3"/>
          </w:tcPr>
          <w:p>
            <w:pPr>
              <w:jc w:val="center"/>
              <w:ind w:right="520"/>
              <w:spacing w:after="0"/>
              <w:rPr>
                <w:sz w:val="20"/>
                <w:szCs w:val="20"/>
                <w:color w:val="auto"/>
              </w:rPr>
            </w:pPr>
            <w:r>
              <w:rPr>
                <w:rFonts w:ascii="Arial" w:cs="Arial" w:eastAsia="Arial" w:hAnsi="Arial"/>
                <w:sz w:val="14"/>
                <w:szCs w:val="14"/>
                <w:color w:val="auto"/>
                <w:w w:val="90"/>
              </w:rPr>
              <w:t>ASPS</w:t>
            </w:r>
          </w:p>
        </w:tc>
        <w:tc>
          <w:tcPr>
            <w:tcW w:w="3980" w:type="dxa"/>
            <w:vAlign w:val="bottom"/>
          </w:tcPr>
          <w:p>
            <w:pPr>
              <w:jc w:val="center"/>
              <w:ind w:right="324"/>
              <w:spacing w:after="0"/>
              <w:rPr>
                <w:sz w:val="20"/>
                <w:szCs w:val="20"/>
                <w:color w:val="auto"/>
              </w:rPr>
            </w:pPr>
            <w:r>
              <w:rPr>
                <w:rFonts w:ascii="Arial" w:cs="Arial" w:eastAsia="Arial" w:hAnsi="Arial"/>
                <w:sz w:val="14"/>
                <w:szCs w:val="14"/>
                <w:color w:val="auto"/>
                <w:w w:val="96"/>
              </w:rPr>
              <w:t>NASDAQ Global Select Market</w:t>
            </w:r>
          </w:p>
        </w:tc>
      </w:tr>
    </w:tbl>
    <w:p>
      <w:pPr>
        <w:ind w:right="220"/>
        <w:spacing w:after="0" w:line="17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20" w:right="339" w:bottom="1440" w:gutter="0" w:footer="0" w:header="0"/>
        </w:sectPr>
      </w:pPr>
    </w:p>
    <w:p>
      <w:pPr>
        <w:spacing w:after="0" w:line="187" w:lineRule="exact"/>
        <w:rPr>
          <w:sz w:val="24"/>
          <w:szCs w:val="24"/>
          <w:color w:val="auto"/>
        </w:rPr>
      </w:pPr>
    </w:p>
    <w:p>
      <w:pPr>
        <w:ind w:left="16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440" w:space="400"/>
            <w:col w:w="5460" w:space="720"/>
            <w:col w:w="960" w:space="380"/>
            <w:col w:w="1880"/>
          </w:cols>
          <w:pgMar w:left="320" w:top="620" w:right="339" w:bottom="1440" w:gutter="0" w:footer="0" w:header="0"/>
          <w:type w:val="continuous"/>
        </w:sectPr>
      </w:pPr>
    </w:p>
    <w:p>
      <w:pPr>
        <w:spacing w:after="0" w:line="41" w:lineRule="exact"/>
        <w:rPr>
          <w:sz w:val="24"/>
          <w:szCs w:val="24"/>
          <w:color w:val="auto"/>
        </w:rPr>
      </w:pPr>
    </w:p>
    <w:p>
      <w:pPr>
        <w:ind w:left="16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380" w:space="340"/>
            <w:col w:w="5580" w:space="720"/>
            <w:col w:w="1580" w:space="540"/>
            <w:col w:w="1100"/>
          </w:cols>
          <w:pgMar w:left="320" w:top="620" w:right="339" w:bottom="1440" w:gutter="0" w:footer="0" w:header="0"/>
          <w:type w:val="continuous"/>
        </w:sectPr>
      </w:pPr>
    </w:p>
    <w:p>
      <w:pPr>
        <w:spacing w:after="0" w:line="41" w:lineRule="exact"/>
        <w:rPr>
          <w:sz w:val="24"/>
          <w:szCs w:val="24"/>
          <w:color w:val="auto"/>
        </w:rPr>
      </w:pPr>
    </w:p>
    <w:p>
      <w:pPr>
        <w:ind w:left="80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2">
            <w:col w:w="9600" w:space="540"/>
            <w:col w:w="1100"/>
          </w:cols>
          <w:pgMar w:left="320" w:top="620" w:right="3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As of July 31, 2020, there were 15,631,557 outstanding shares of the registrant’s common stock (excluding 9,781,191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15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6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08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1120" w:type="dxa"/>
            <w:vAlign w:val="bottom"/>
          </w:tcPr>
          <w:p>
            <w:pPr>
              <w:spacing w:after="0"/>
              <w:rPr>
                <w:sz w:val="19"/>
                <w:szCs w:val="19"/>
                <w:color w:val="auto"/>
              </w:rPr>
            </w:pPr>
          </w:p>
        </w:tc>
      </w:tr>
      <w:tr>
        <w:trPr>
          <w:trHeight w:val="405"/>
        </w:trPr>
        <w:tc>
          <w:tcPr>
            <w:tcW w:w="86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220" w:type="dxa"/>
            <w:vAlign w:val="bottom"/>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Interim Condensed Consolidated Financial Statements (Unaudited)</w:t>
              </w:r>
            </w:hyperlink>
          </w:p>
        </w:tc>
        <w:tc>
          <w:tcPr>
            <w:tcW w:w="1120" w:type="dxa"/>
            <w:vAlign w:val="bottom"/>
          </w:tcPr>
          <w:p>
            <w:pPr>
              <w:spacing w:after="0"/>
              <w:rPr>
                <w:sz w:val="24"/>
                <w:szCs w:val="24"/>
                <w:color w:val="auto"/>
              </w:rPr>
            </w:pPr>
          </w:p>
        </w:tc>
      </w:tr>
      <w:tr>
        <w:trPr>
          <w:trHeight w:val="270"/>
        </w:trPr>
        <w:tc>
          <w:tcPr>
            <w:tcW w:w="860" w:type="dxa"/>
            <w:vAlign w:val="bottom"/>
          </w:tcPr>
          <w:p>
            <w:pPr>
              <w:spacing w:after="0"/>
              <w:rPr>
                <w:sz w:val="23"/>
                <w:szCs w:val="23"/>
                <w:color w:val="auto"/>
              </w:rPr>
            </w:pPr>
          </w:p>
        </w:tc>
        <w:tc>
          <w:tcPr>
            <w:tcW w:w="9220" w:type="dxa"/>
            <w:vAlign w:val="bottom"/>
          </w:tcPr>
          <w:p>
            <w:pPr>
              <w:ind w:left="4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3</w:t>
              </w:r>
            </w:hyperlink>
          </w:p>
        </w:tc>
      </w:tr>
      <w:tr>
        <w:trPr>
          <w:trHeight w:val="270"/>
        </w:trPr>
        <w:tc>
          <w:tcPr>
            <w:tcW w:w="860" w:type="dxa"/>
            <w:vAlign w:val="bottom"/>
          </w:tcPr>
          <w:p>
            <w:pPr>
              <w:spacing w:after="0"/>
              <w:rPr>
                <w:sz w:val="23"/>
                <w:szCs w:val="23"/>
                <w:color w:val="auto"/>
              </w:rPr>
            </w:pPr>
          </w:p>
        </w:tc>
        <w:tc>
          <w:tcPr>
            <w:tcW w:w="9220" w:type="dxa"/>
            <w:vAlign w:val="bottom"/>
          </w:tcPr>
          <w:p>
            <w:pPr>
              <w:ind w:left="4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Loss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4</w:t>
              </w:r>
            </w:hyperlink>
          </w:p>
        </w:tc>
      </w:tr>
      <w:tr>
        <w:trPr>
          <w:trHeight w:val="270"/>
        </w:trPr>
        <w:tc>
          <w:tcPr>
            <w:tcW w:w="860" w:type="dxa"/>
            <w:vAlign w:val="bottom"/>
          </w:tcPr>
          <w:p>
            <w:pPr>
              <w:spacing w:after="0"/>
              <w:rPr>
                <w:sz w:val="23"/>
                <w:szCs w:val="23"/>
                <w:color w:val="auto"/>
              </w:rPr>
            </w:pPr>
          </w:p>
        </w:tc>
        <w:tc>
          <w:tcPr>
            <w:tcW w:w="9220" w:type="dxa"/>
            <w:vAlign w:val="bottom"/>
          </w:tcPr>
          <w:p>
            <w:pPr>
              <w:ind w:left="4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Equity</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5</w:t>
              </w:r>
            </w:hyperlink>
          </w:p>
        </w:tc>
      </w:tr>
      <w:tr>
        <w:trPr>
          <w:trHeight w:val="270"/>
        </w:trPr>
        <w:tc>
          <w:tcPr>
            <w:tcW w:w="860" w:type="dxa"/>
            <w:vAlign w:val="bottom"/>
          </w:tcPr>
          <w:p>
            <w:pPr>
              <w:spacing w:after="0"/>
              <w:rPr>
                <w:sz w:val="23"/>
                <w:szCs w:val="23"/>
                <w:color w:val="auto"/>
              </w:rPr>
            </w:pPr>
          </w:p>
        </w:tc>
        <w:tc>
          <w:tcPr>
            <w:tcW w:w="9220" w:type="dxa"/>
            <w:vAlign w:val="bottom"/>
          </w:tcPr>
          <w:p>
            <w:pPr>
              <w:ind w:left="4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6</w:t>
              </w:r>
            </w:hyperlink>
          </w:p>
        </w:tc>
      </w:tr>
      <w:tr>
        <w:trPr>
          <w:trHeight w:val="270"/>
        </w:trPr>
        <w:tc>
          <w:tcPr>
            <w:tcW w:w="860" w:type="dxa"/>
            <w:vAlign w:val="bottom"/>
          </w:tcPr>
          <w:p>
            <w:pPr>
              <w:spacing w:after="0"/>
              <w:rPr>
                <w:sz w:val="23"/>
                <w:szCs w:val="23"/>
                <w:color w:val="auto"/>
              </w:rPr>
            </w:pPr>
          </w:p>
        </w:tc>
        <w:tc>
          <w:tcPr>
            <w:tcW w:w="9220" w:type="dxa"/>
            <w:vAlign w:val="bottom"/>
          </w:tcPr>
          <w:p>
            <w:pPr>
              <w:ind w:left="4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7</w:t>
              </w:r>
            </w:hyperlink>
          </w:p>
        </w:tc>
      </w:tr>
      <w:tr>
        <w:trPr>
          <w:trHeight w:val="392"/>
        </w:trPr>
        <w:tc>
          <w:tcPr>
            <w:tcW w:w="86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w:t>
              </w:r>
            </w:hyperlink>
          </w:p>
        </w:tc>
        <w:tc>
          <w:tcPr>
            <w:tcW w:w="9220" w:type="dxa"/>
            <w:vAlign w:val="bottom"/>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26</w:t>
              </w:r>
            </w:hyperlink>
          </w:p>
        </w:tc>
      </w:tr>
      <w:tr>
        <w:trPr>
          <w:trHeight w:val="392"/>
        </w:trPr>
        <w:tc>
          <w:tcPr>
            <w:tcW w:w="86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3</w:t>
              </w:r>
            </w:hyperlink>
          </w:p>
        </w:tc>
        <w:tc>
          <w:tcPr>
            <w:tcW w:w="9220" w:type="dxa"/>
            <w:vAlign w:val="bottom"/>
          </w:tcPr>
          <w:p>
            <w:pPr>
              <w:ind w:left="1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Disclosures about Market Risk</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41</w:t>
              </w:r>
            </w:hyperlink>
          </w:p>
        </w:tc>
      </w:tr>
      <w:tr>
        <w:trPr>
          <w:trHeight w:val="392"/>
        </w:trPr>
        <w:tc>
          <w:tcPr>
            <w:tcW w:w="86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4</w:t>
              </w:r>
            </w:hyperlink>
          </w:p>
        </w:tc>
        <w:tc>
          <w:tcPr>
            <w:tcW w:w="9220" w:type="dxa"/>
            <w:vAlign w:val="bottom"/>
          </w:tcPr>
          <w:p>
            <w:pPr>
              <w:ind w:left="1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Controls and Procedures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41</w:t>
              </w:r>
            </w:hyperlink>
          </w:p>
        </w:tc>
      </w:tr>
      <w:tr>
        <w:trPr>
          <w:trHeight w:val="567"/>
        </w:trPr>
        <w:tc>
          <w:tcPr>
            <w:tcW w:w="10080" w:type="dxa"/>
            <w:vAlign w:val="bottom"/>
            <w:gridSpan w:val="2"/>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PART II — Other Information</w:t>
              </w:r>
            </w:hyperlink>
          </w:p>
        </w:tc>
        <w:tc>
          <w:tcPr>
            <w:tcW w:w="1120" w:type="dxa"/>
            <w:vAlign w:val="bottom"/>
          </w:tcPr>
          <w:p>
            <w:pPr>
              <w:spacing w:after="0"/>
              <w:rPr>
                <w:sz w:val="24"/>
                <w:szCs w:val="24"/>
                <w:color w:val="auto"/>
              </w:rPr>
            </w:pPr>
          </w:p>
        </w:tc>
      </w:tr>
      <w:tr>
        <w:trPr>
          <w:trHeight w:val="392"/>
        </w:trPr>
        <w:tc>
          <w:tcPr>
            <w:tcW w:w="860" w:type="dxa"/>
            <w:vAlign w:val="bottom"/>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w:t>
              </w:r>
            </w:hyperlink>
          </w:p>
        </w:tc>
        <w:tc>
          <w:tcPr>
            <w:tcW w:w="9220" w:type="dxa"/>
            <w:vAlign w:val="bottom"/>
          </w:tcPr>
          <w:p>
            <w:pPr>
              <w:ind w:left="1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42</w:t>
              </w:r>
            </w:hyperlink>
          </w:p>
        </w:tc>
      </w:tr>
      <w:tr>
        <w:trPr>
          <w:trHeight w:val="391"/>
        </w:trPr>
        <w:tc>
          <w:tcPr>
            <w:tcW w:w="860" w:type="dxa"/>
            <w:vAlign w:val="bottom"/>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1A</w:t>
              </w:r>
            </w:hyperlink>
          </w:p>
        </w:tc>
        <w:tc>
          <w:tcPr>
            <w:tcW w:w="9220" w:type="dxa"/>
            <w:vAlign w:val="bottom"/>
          </w:tcPr>
          <w:p>
            <w:pPr>
              <w:ind w:left="1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42</w:t>
              </w:r>
            </w:hyperlink>
          </w:p>
        </w:tc>
      </w:tr>
      <w:tr>
        <w:trPr>
          <w:trHeight w:val="392"/>
        </w:trPr>
        <w:tc>
          <w:tcPr>
            <w:tcW w:w="860" w:type="dxa"/>
            <w:vAlign w:val="bottom"/>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2</w:t>
              </w:r>
            </w:hyperlink>
          </w:p>
        </w:tc>
        <w:tc>
          <w:tcPr>
            <w:tcW w:w="9220" w:type="dxa"/>
            <w:vAlign w:val="bottom"/>
          </w:tcPr>
          <w:p>
            <w:pPr>
              <w:ind w:left="1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Unregistered Sales of Equity Securities and Use of Proceeds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42</w:t>
              </w:r>
            </w:hyperlink>
          </w:p>
        </w:tc>
      </w:tr>
      <w:tr>
        <w:trPr>
          <w:trHeight w:val="391"/>
        </w:trPr>
        <w:tc>
          <w:tcPr>
            <w:tcW w:w="860" w:type="dxa"/>
            <w:vAlign w:val="bottom"/>
          </w:tcPr>
          <w:p>
            <w:pPr>
              <w:ind w:left="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6</w:t>
              </w:r>
            </w:hyperlink>
          </w:p>
        </w:tc>
        <w:tc>
          <w:tcPr>
            <w:tcW w:w="9220" w:type="dxa"/>
            <w:vAlign w:val="bottom"/>
          </w:tcPr>
          <w:p>
            <w:pPr>
              <w:ind w:left="16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43</w:t>
              </w:r>
            </w:hyperlink>
          </w:p>
        </w:tc>
      </w:tr>
      <w:tr>
        <w:trPr>
          <w:trHeight w:val="567"/>
        </w:trPr>
        <w:tc>
          <w:tcPr>
            <w:tcW w:w="10080" w:type="dxa"/>
            <w:vAlign w:val="bottom"/>
            <w:gridSpan w:val="2"/>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SIGNATURES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44</w:t>
              </w:r>
            </w:hyperlink>
          </w:p>
        </w:tc>
      </w:tr>
      <w:tr>
        <w:trPr>
          <w:trHeight w:val="675"/>
        </w:trPr>
        <w:tc>
          <w:tcPr>
            <w:tcW w:w="860" w:type="dxa"/>
            <w:vAlign w:val="bottom"/>
          </w:tcPr>
          <w:p>
            <w:pPr>
              <w:spacing w:after="0"/>
              <w:rPr>
                <w:sz w:val="24"/>
                <w:szCs w:val="24"/>
                <w:color w:val="auto"/>
              </w:rPr>
            </w:pPr>
          </w:p>
        </w:tc>
        <w:tc>
          <w:tcPr>
            <w:tcW w:w="9220" w:type="dxa"/>
            <w:vAlign w:val="bottom"/>
          </w:tcPr>
          <w:p>
            <w:pPr>
              <w:ind w:left="468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69"/>
        </w:trPr>
        <w:tc>
          <w:tcPr>
            <w:tcW w:w="8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8220" w:type="dxa"/>
            <w:vAlign w:val="bottom"/>
            <w:tcBorders>
              <w:bottom w:val="single" w:sz="8" w:color="CCEEFF"/>
            </w:tcBorders>
            <w:shd w:val="clear" w:color="auto" w:fill="CCEEFF"/>
          </w:tcPr>
          <w:p>
            <w:pPr>
              <w:ind w:left="5340"/>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82,741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Investment in equity securities</w:t>
            </w: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42,618</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43,615</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15,214</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184,188</w:t>
            </w:r>
          </w:p>
        </w:tc>
      </w:tr>
      <w:tr>
        <w:trPr>
          <w:trHeight w:val="216"/>
        </w:trPr>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Right-of-use assets under operating leases, net</w:t>
            </w: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22,843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29,074</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73,849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53,997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61,046</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12,436</w:t>
            </w:r>
          </w:p>
        </w:tc>
      </w:tr>
      <w:tr>
        <w:trPr>
          <w:trHeight w:val="209"/>
        </w:trPr>
        <w:tc>
          <w:tcPr>
            <w:tcW w:w="8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328,349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385,119</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7"/>
        </w:trPr>
        <w:tc>
          <w:tcPr>
            <w:tcW w:w="8220" w:type="dxa"/>
            <w:vAlign w:val="bottom"/>
            <w:tcBorders>
              <w:bottom w:val="single" w:sz="8" w:color="CCEEFF"/>
            </w:tcBorders>
            <w:shd w:val="clear" w:color="auto" w:fill="CCEEFF"/>
          </w:tcPr>
          <w:p>
            <w:pPr>
              <w:ind w:left="4640"/>
              <w:spacing w:after="0"/>
              <w:rPr>
                <w:sz w:val="20"/>
                <w:szCs w:val="20"/>
                <w:color w:val="auto"/>
              </w:rPr>
            </w:pPr>
            <w:r>
              <w:rPr>
                <w:rFonts w:ascii="Arial" w:cs="Arial" w:eastAsia="Arial" w:hAnsi="Arial"/>
                <w:sz w:val="16"/>
                <w:szCs w:val="16"/>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67,671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5,183</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14,724</w:t>
            </w:r>
          </w:p>
        </w:tc>
      </w:tr>
      <w:tr>
        <w:trPr>
          <w:trHeight w:val="237"/>
        </w:trPr>
        <w:tc>
          <w:tcPr>
            <w:tcW w:w="82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78,600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87,578</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288,581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287,882</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31,016</w:t>
            </w:r>
          </w:p>
        </w:tc>
      </w:tr>
      <w:tr>
        <w:trPr>
          <w:trHeight w:val="216"/>
        </w:trPr>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16"/>
        </w:trPr>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(deficit):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w w:val="90"/>
              </w:rPr>
              <w:t>Common stock ($1.00 par value; 100,000 shares authorized, 25,413 issued and 15,629 outstanding as of June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30, 2020; 15,454 outstanding as of December 31, 2019)</w:t>
            </w:r>
          </w:p>
        </w:tc>
        <w:tc>
          <w:tcPr>
            <w:tcW w:w="2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25,413</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133,669</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213,023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272,026</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(9,784 shares as of June 30, 2020 and 9,959 shares as of</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December 31, 2019)</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(453,934)</w:t>
            </w:r>
          </w:p>
        </w:tc>
      </w:tr>
      <w:tr>
        <w:trPr>
          <w:trHeight w:val="236"/>
        </w:trPr>
        <w:tc>
          <w:tcPr>
            <w:tcW w:w="8220" w:type="dxa"/>
            <w:vAlign w:val="bottom"/>
          </w:tcPr>
          <w:p>
            <w:pPr>
              <w:ind w:left="500"/>
              <w:spacing w:after="0"/>
              <w:rPr>
                <w:sz w:val="20"/>
                <w:szCs w:val="20"/>
                <w:color w:val="auto"/>
              </w:rPr>
            </w:pPr>
            <w:r>
              <w:rPr>
                <w:rFonts w:ascii="Arial" w:cs="Arial" w:eastAsia="Arial" w:hAnsi="Arial"/>
                <w:sz w:val="18"/>
                <w:szCs w:val="18"/>
                <w:color w:val="auto"/>
              </w:rPr>
              <w:t>Altisource deficit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(22,826)</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1,469</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deficit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(21,357)</w:t>
            </w:r>
          </w:p>
        </w:tc>
      </w:tr>
      <w:tr>
        <w:trPr>
          <w:trHeight w:val="210"/>
        </w:trPr>
        <w:tc>
          <w:tcPr>
            <w:tcW w:w="8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deficit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328,349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385,119</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3"/>
        </w:trPr>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70"/>
        </w:trPr>
        <w:tc>
          <w:tcPr>
            <w:tcW w:w="6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216,786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366,470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82,628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152,714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177,209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276,929</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6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12,714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43,821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39,577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89,541</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24,701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36,516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52,794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78,442</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6,319</w:t>
            </w:r>
          </w:p>
        </w:tc>
      </w:tr>
      <w:tr>
        <w:trPr>
          <w:trHeight w:val="263"/>
        </w:trPr>
        <w:tc>
          <w:tcPr>
            <w:tcW w:w="64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(11,764)</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Unrealized (loss) gain on investment in equity securities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11,787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14,025</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r>
      <w:tr>
        <w:trPr>
          <w:trHeight w:val="237"/>
        </w:trPr>
        <w:tc>
          <w:tcPr>
            <w:tcW w:w="642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3,163</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(Loss) income before income taxes and non-controlling interests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11,909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7,943</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(15,291)</w:t>
            </w:r>
          </w:p>
        </w:tc>
      </w:tr>
      <w:tr>
        <w:trPr>
          <w:trHeight w:val="263"/>
        </w:trPr>
        <w:tc>
          <w:tcPr>
            <w:tcW w:w="64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6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304"/>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Altisource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(9,028)</w:t>
            </w:r>
          </w:p>
        </w:tc>
      </w:tr>
      <w:tr>
        <w:trPr>
          <w:trHeight w:val="257"/>
        </w:trPr>
        <w:tc>
          <w:tcPr>
            <w:tcW w:w="6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Loss per share: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0"/>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r>
      <w:tr>
        <w:trPr>
          <w:trHeight w:val="257"/>
        </w:trPr>
        <w:tc>
          <w:tcPr>
            <w:tcW w:w="6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3"/>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15,549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16,253</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0"/>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16,214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15,549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16,253</w:t>
            </w:r>
          </w:p>
        </w:tc>
      </w:tr>
      <w:tr>
        <w:trPr>
          <w:trHeight w:val="257"/>
        </w:trPr>
        <w:tc>
          <w:tcPr>
            <w:tcW w:w="6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Comprehensive loss, net of tax</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(34,864)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(46,409)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(7,348)</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64"/>
        </w:trPr>
        <w:tc>
          <w:tcPr>
            <w:tcW w:w="64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Altisource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(9,028)</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Altisource Equity (Deficit)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720" w:type="dxa"/>
            <w:vAlign w:val="bottom"/>
            <w:gridSpan w:val="4"/>
            <w:vMerge w:val="restart"/>
          </w:tcPr>
          <w:p>
            <w:pPr>
              <w:jc w:val="right"/>
              <w:ind w:right="29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7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 at 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9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2018</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25,413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590,655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296,668</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220"/>
        </w:trPr>
        <w:tc>
          <w:tcPr>
            <w:tcW w:w="4060" w:type="dxa"/>
            <w:vAlign w:val="bottom"/>
          </w:tcPr>
          <w:p>
            <w:pPr>
              <w:ind w:left="40"/>
              <w:spacing w:after="0"/>
              <w:rPr>
                <w:sz w:val="20"/>
                <w:szCs w:val="20"/>
                <w:color w:val="auto"/>
              </w:rPr>
            </w:pPr>
            <w:r>
              <w:rPr>
                <w:rFonts w:ascii="Arial" w:cs="Arial" w:eastAsia="Arial" w:hAnsi="Arial"/>
                <w:sz w:val="16"/>
                <w:szCs w:val="16"/>
                <w:color w:val="auto"/>
                <w:w w:val="97"/>
              </w:rPr>
              <w:t>Exercise of stock options and issuance of restricted share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200"/>
              <w:spacing w:after="0"/>
              <w:rPr>
                <w:sz w:val="20"/>
                <w:szCs w:val="20"/>
                <w:color w:val="auto"/>
              </w:rPr>
            </w:pPr>
            <w:r>
              <w:rPr>
                <w:rFonts w:ascii="Arial" w:cs="Arial" w:eastAsia="Arial" w:hAnsi="Arial"/>
                <w:sz w:val="16"/>
                <w:szCs w:val="16"/>
                <w:color w:val="auto"/>
              </w:rPr>
              <w:t>units and restricted shares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Treasury shares withheld for the payment of tax on restricted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March 31, 2019</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584,759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295,368</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(4,604)</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2,832</w:t>
            </w:r>
          </w:p>
        </w:tc>
        <w:tc>
          <w:tcPr>
            <w:tcW w:w="0" w:type="dxa"/>
            <w:vAlign w:val="bottom"/>
          </w:tcPr>
          <w:p>
            <w:pPr>
              <w:spacing w:after="0"/>
              <w:rPr>
                <w:sz w:val="1"/>
                <w:szCs w:val="1"/>
                <w:color w:val="auto"/>
              </w:rPr>
            </w:pPr>
          </w:p>
        </w:tc>
      </w:tr>
      <w:tr>
        <w:trPr>
          <w:trHeight w:val="220"/>
        </w:trPr>
        <w:tc>
          <w:tcPr>
            <w:tcW w:w="4060" w:type="dxa"/>
            <w:vAlign w:val="bottom"/>
          </w:tcPr>
          <w:p>
            <w:pPr>
              <w:ind w:left="40"/>
              <w:spacing w:after="0"/>
              <w:rPr>
                <w:sz w:val="20"/>
                <w:szCs w:val="20"/>
                <w:color w:val="auto"/>
              </w:rPr>
            </w:pPr>
            <w:r>
              <w:rPr>
                <w:rFonts w:ascii="Arial" w:cs="Arial" w:eastAsia="Arial" w:hAnsi="Arial"/>
                <w:sz w:val="16"/>
                <w:szCs w:val="16"/>
                <w:color w:val="auto"/>
                <w:w w:val="97"/>
              </w:rPr>
              <w:t>Exercise of stock options and issuance of restricted share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200"/>
              <w:spacing w:after="0"/>
              <w:rPr>
                <w:sz w:val="20"/>
                <w:szCs w:val="20"/>
                <w:color w:val="auto"/>
              </w:rPr>
            </w:pPr>
            <w:r>
              <w:rPr>
                <w:rFonts w:ascii="Arial" w:cs="Arial" w:eastAsia="Arial" w:hAnsi="Arial"/>
                <w:sz w:val="16"/>
                <w:szCs w:val="16"/>
                <w:color w:val="auto"/>
              </w:rPr>
              <w:t>units and restricted shares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Treasury shares withheld for the payment of tax on restricted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(6,700)</w:t>
            </w:r>
          </w:p>
        </w:tc>
        <w:tc>
          <w:tcPr>
            <w:tcW w:w="0" w:type="dxa"/>
            <w:vAlign w:val="bottom"/>
          </w:tcPr>
          <w:p>
            <w:pPr>
              <w:spacing w:after="0"/>
              <w:rPr>
                <w:sz w:val="1"/>
                <w:szCs w:val="1"/>
                <w:color w:val="auto"/>
              </w:rPr>
            </w:pPr>
          </w:p>
        </w:tc>
      </w:tr>
      <w:tr>
        <w:trPr>
          <w:trHeight w:val="33"/>
        </w:trPr>
        <w:tc>
          <w:tcPr>
            <w:tcW w:w="4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4060" w:type="dxa"/>
            <w:vAlign w:val="bottom"/>
          </w:tcPr>
          <w:p>
            <w:pPr>
              <w:ind w:left="40"/>
              <w:spacing w:after="0"/>
              <w:rPr>
                <w:sz w:val="20"/>
                <w:szCs w:val="20"/>
                <w:color w:val="auto"/>
              </w:rPr>
            </w:pPr>
            <w:r>
              <w:rPr>
                <w:rFonts w:ascii="Arial" w:cs="Arial" w:eastAsia="Arial" w:hAnsi="Arial"/>
                <w:sz w:val="16"/>
                <w:szCs w:val="16"/>
                <w:color w:val="auto"/>
              </w:rPr>
              <w:t>Balance, June 30, 2019</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25,413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128,120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574,040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(443,480)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285,872</w:t>
            </w:r>
          </w:p>
        </w:tc>
        <w:tc>
          <w:tcPr>
            <w:tcW w:w="0" w:type="dxa"/>
            <w:vAlign w:val="bottom"/>
          </w:tcPr>
          <w:p>
            <w:pPr>
              <w:spacing w:after="0"/>
              <w:rPr>
                <w:sz w:val="1"/>
                <w:szCs w:val="1"/>
                <w:color w:val="auto"/>
              </w:rPr>
            </w:pPr>
          </w:p>
        </w:tc>
      </w:tr>
      <w:tr>
        <w:trPr>
          <w:trHeight w:val="257"/>
        </w:trPr>
        <w:tc>
          <w:tcPr>
            <w:tcW w:w="406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6"/>
                <w:szCs w:val="16"/>
                <w:color w:val="auto"/>
              </w:rPr>
              <w:t>Balance, December 31, 2019</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25,413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133,669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272,026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(453,934)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(21,357)</w:t>
            </w:r>
          </w:p>
        </w:tc>
        <w:tc>
          <w:tcPr>
            <w:tcW w:w="0" w:type="dxa"/>
            <w:vAlign w:val="bottom"/>
          </w:tcPr>
          <w:p>
            <w:pPr>
              <w:spacing w:after="0"/>
              <w:rPr>
                <w:sz w:val="1"/>
                <w:szCs w:val="1"/>
                <w:color w:val="auto"/>
              </w:rPr>
            </w:pPr>
          </w:p>
        </w:tc>
      </w:tr>
      <w:tr>
        <w:trPr>
          <w:trHeight w:val="47"/>
        </w:trPr>
        <w:tc>
          <w:tcPr>
            <w:tcW w:w="4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0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(11,545)</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2,894</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60" w:type="dxa"/>
            <w:vAlign w:val="bottom"/>
          </w:tcPr>
          <w:p>
            <w:pPr>
              <w:ind w:left="40"/>
              <w:spacing w:after="0"/>
              <w:rPr>
                <w:sz w:val="20"/>
                <w:szCs w:val="20"/>
                <w:color w:val="auto"/>
              </w:rPr>
            </w:pPr>
            <w:r>
              <w:rPr>
                <w:rFonts w:ascii="Arial" w:cs="Arial" w:eastAsia="Arial" w:hAnsi="Arial"/>
                <w:sz w:val="16"/>
                <w:szCs w:val="16"/>
                <w:color w:val="auto"/>
                <w:w w:val="92"/>
              </w:rPr>
              <w:t>Treasury shares withheld for the payment of tax on restricted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20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33"/>
        </w:trPr>
        <w:tc>
          <w:tcPr>
            <w:tcW w:w="4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Balance, March 31, 2020</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25,413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136,563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252,466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(447,229)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(31,524)</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(34,864)</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60" w:type="dxa"/>
            <w:vAlign w:val="bottom"/>
          </w:tcPr>
          <w:p>
            <w:pPr>
              <w:ind w:left="40"/>
              <w:spacing w:after="0"/>
              <w:rPr>
                <w:sz w:val="20"/>
                <w:szCs w:val="20"/>
                <w:color w:val="auto"/>
              </w:rPr>
            </w:pPr>
            <w:r>
              <w:rPr>
                <w:rFonts w:ascii="Arial" w:cs="Arial" w:eastAsia="Arial" w:hAnsi="Arial"/>
                <w:sz w:val="16"/>
                <w:szCs w:val="16"/>
                <w:color w:val="auto"/>
                <w:w w:val="92"/>
              </w:rPr>
              <w:t>Treasury shares withheld for the payment of tax on restricted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20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4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060" w:type="dxa"/>
            <w:vAlign w:val="bottom"/>
          </w:tcPr>
          <w:p>
            <w:pPr>
              <w:ind w:left="40"/>
              <w:spacing w:after="0"/>
              <w:rPr>
                <w:sz w:val="20"/>
                <w:szCs w:val="20"/>
                <w:color w:val="auto"/>
              </w:rPr>
            </w:pPr>
            <w:r>
              <w:rPr>
                <w:rFonts w:ascii="Arial" w:cs="Arial" w:eastAsia="Arial" w:hAnsi="Arial"/>
                <w:sz w:val="16"/>
                <w:szCs w:val="16"/>
                <w:color w:val="auto"/>
              </w:rPr>
              <w:t>Balance, June 30, 2020</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25,413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25,413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138,493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213,023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(443,059)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(64,850)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148"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189"/>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(46,409)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(7,348)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10,522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 under 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6,793</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12,191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investment in 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(14,025)</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5,453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15,846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Short-term investments in real estate</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39,459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(16,587)</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Current and non-current operating lease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33,156</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Proceeds received from sale of equity securities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6,476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6,629</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and repurchases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shares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tax withholding on issuance of restricted share units and restricted shares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(14,711)</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25,074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64,046</w:t>
            </w:r>
          </w:p>
        </w:tc>
      </w:tr>
      <w:tr>
        <w:trPr>
          <w:trHeight w:val="223"/>
        </w:trPr>
        <w:tc>
          <w:tcPr>
            <w:tcW w:w="8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71,993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89,120</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11,279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received,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Acquisition of right-of-use assets with operating lease liabilities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of right-of-use assets from operating lease modifications or reassessments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r>
      <w:tr>
        <w:trPr>
          <w:trHeight w:val="229"/>
        </w:trPr>
        <w:tc>
          <w:tcPr>
            <w:tcW w:w="8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Net increase (decrease) in payables for purchases of premises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5" w:right="339" w:bottom="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5" w:right="3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the current year presentation.</w:t>
      </w:r>
    </w:p>
    <w:p>
      <w:pPr>
        <w:spacing w:after="0" w:line="12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June 30, 2020, Lenders One had total assets of $2.4 million and total liabilities of $0.6 million. As of December 31, 2019, Lenders One had total assets of $1.6 million and total liabilities of $0.3 million.</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2019, Altisource created Pointillist, Inc. (“Pointillist”) and contributed the Pointillist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customer journey analytics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no ongoing obligation to provide future funding to Pointillist. Pointillist is presented in the accompanying condensed consolidated financial statements on a consolidated basis and the portion of Pointillist owned by Pointillist management is reported as non-controlling interests.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2019, as filed with the SEC on March 5, 2020.</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January 2017, the Financial Accounting Standards Board (“FASB”) issued Accounting Standards Update (“ASU”) No. 2017-04, </w:t>
      </w:r>
      <w:r>
        <w:rPr>
          <w:rFonts w:ascii="Arial" w:cs="Arial" w:eastAsia="Arial" w:hAnsi="Arial"/>
          <w:sz w:val="16"/>
          <w:szCs w:val="16"/>
          <w:i w:val="1"/>
          <w:iCs w:val="1"/>
          <w:color w:val="auto"/>
        </w:rPr>
        <w:t>Intangibles-Goodwill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(Topic 350): Simplifying the Test for Goodwill Impairment. </w:t>
      </w:r>
      <w:r>
        <w:rPr>
          <w:rFonts w:ascii="Arial" w:cs="Arial" w:eastAsia="Arial" w:hAnsi="Arial"/>
          <w:sz w:val="16"/>
          <w:szCs w:val="16"/>
          <w:color w:val="auto"/>
        </w:rPr>
        <w:t>This standard simplified the subsequent measurement of goodwill by eliminating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Step 2 from the goodwill impairment test. Prior guidance required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requires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The Company adopted this standard effective January 1, 2020 and is applied prospectively. Adoption of this new standard did not have any impact on the Company’s condensed consolidated financial statements.</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This standard modified certain disclosure requirements such as the valuation processes for Level 3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This standard also requires new disclosures such as the disclosure of certain assumptions used to develop significant unobservable inputs for Level 3 fair value measurements. The Company adopted this standard effective January 1, 2020 and is applied prospectively. Adoption of this new standard did not have any impact on the Company’s condensed consolidated financial statements.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 (a consensus of the FASB Emerging Issues Task Force)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standard aligns the requirements for capitalizing implementation costs in a hosting arrangement service contract with the existing guidance for capitalizing implementation costs incurred for an internal-use software license. This standard also requires capitalizing or expensing implementation costs based on the nature of the costs and the project stage during which they are incurred and establishes additional disclosure requirements. The Company adopted this standard effective January 1, 2020 and is applied prospectively. Adoption of this new standard did not have any impact on the Company’s condensed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standard is part of the FASB’s initiative to reduce complexity in accounting standards by instituting several simplifying provisions and removing several exceptions pertaining to income tax accounting. This standard will be effective for annual periods beginning after December 15, 2020, including interim periods within that reporting period. Early adoption of this standard is permitted. The Company is currently evaluating the impact this guidance may have on its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This standard applies only to contracts, hedging relationships, and other transactions that reference the London Interbank Offered Rate</w:t>
      </w:r>
      <w:r>
        <w:rPr>
          <w:rFonts w:ascii="Arial" w:cs="Arial" w:eastAsia="Arial" w:hAnsi="Arial"/>
          <w:sz w:val="17"/>
          <w:szCs w:val="17"/>
          <w:i w:val="1"/>
          <w:iCs w:val="1"/>
          <w:color w:val="auto"/>
        </w:rPr>
        <w:t xml:space="preserve"> </w:t>
      </w:r>
      <w:r>
        <w:rPr>
          <w:rFonts w:ascii="Arial" w:cs="Arial" w:eastAsia="Arial" w:hAnsi="Arial"/>
          <w:sz w:val="17"/>
          <w:szCs w:val="17"/>
          <w:color w:val="auto"/>
        </w:rPr>
        <w:t>(“LIBOR”)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and six months ended June 30, 2020, Ocwen was our largest customer, accounting for 61% of our total revenue for the six months ended June 30, 2020 (60% of our revenue for the second quarter of 2020). Ocwen purchases certain mortgage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2019, Altisource and Ocwen entered into agreements that, among other things, facilitated Ocwen’s transition from REALServicing and related technologies to another mortgage servicing software platform, establish a process for Ocwen to review and approve the assignment of one or more of our agreements to potential buyers of Altisource’s business lines, requiring Ocwen to use Altisource as service provider for certain service referrals totaling an amount equal to 100% of the applicable service referrals on certain portfolios plus an amount equal to not less than 90% of applicable service referrals from certain other portfolios (determined on a service by service basis), subject to certain additional restrictions and limitations, and affirm Altisource’s role as a strategic service provider to Ocwen through August 2025. In connection with these agreements, Altisource expressly preserved and did not waive any of its existing contractual rights relating to service referrals, other than with respect to Ocwen transitioning from the REALServicing and related technologies. If Altisource fails certain performance standards for specified periods of time, then Ocwen may terminate Altisource as a provider for the applicable service(s), subject to certain limitations and Altisource’s right to cure. Ocwen’s transition to another mortgage servicing platform was completed during 2019.</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six months ended June 30, 2020 and 2019, we recognized revenue from Ocwen of $131.6 million and $185.2 million, respectively ($57.4 million and $87.0 million for the second quarter of 2020 and 2019, respectively). Revenue from Ocwen as a percentage of consolidated revenue was 61% and 51% for the six months ended June 30, 2020 and 2019, respectively (60% and 44% for the second quarter of 2020 and 2019, respectively).</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earn additional revenue related to the portfolios serviced and subserviced by Ocwen when a party other than Ocwen or the MSR owner selects Altisource as the service provider. For the six months ended June 30, 2020 and 2019, we recognized revenue of $12.8 million and $20.3 million, respectively ($5.0 million and $9.2 million for the second quarter of 2020 and 2019, respectively), related to the portfolios serviced by Ocwen when a party other than Ocwen or the MSR owner selected Altisource as the service provider. These amounts are not included in deriving revenue from Ocwen and revenue from Ocwen as a percentage of revenue discussed above.</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second quarter of 2020, Ocwen informed us that an investor had instructed Ocwen to use a field services provider other than Altisource on properties associated with certain MSRs. They indicated that they were instructed to begin the transition in July 2020, and that the transition should be completed in a few months. We believe Ocwen commenced using another field services provider for these properties in July 2020. Based upon the impacted portfolios to date and the designated service provider, Altisource believes that Ocwen received these directions from NRZ, but Ocwen has not confirmed this belief. The timing to complete the transition to the replacement field service provider has not been defined, but we anticipate that there will be an impact to revenue and earnings from the transfer of field services that may be material in future periods. We estimate that $58.2 million and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$77.5 million of service revenue from Ocwen for the six months ended June 30, 2020 and 2019, respectively ($27.4 million and $35.1 million for the second quarter of 2020 and 2019, respectively) was derived from Field Services referrals from the NRZ owned portfolios. Without providing the timing or specific services impacted, Ocwen also communicated to Altisource that the same investor plans to direct them to transition certain other default related service referrals to other providers. We estimate that revenue from these certain other default related services represented approximately $20.6 million and $22.5 million of service revenue from Ocwen for the six months ended June 30, 2020 and 2019, respectively ($9.0 million and $10.5 million for the second quarter of 2020 and 2019, respectively). Altisource believes that any action taken by Ocwen to redirect these service referrals breaches Altisource's agreement with Ocwen. We are currently in discussions with Ocwen to address this matter, and have reserved all of our rights with respect to this matter.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potential reduction in revenue, Altisource is taking additional measures to reduce its cost structure and strengthen its operations.</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2020, accounts receivable from Ocwen totaled $16.3 million, $14.7 million of which was billed and $1.6 million of which was unbilled. As of December 31, 2019, accounts receivable from Ocwen totaled $19.1 million, $15.7 million of which was billed and $3.4 million of which was unbilled.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New Residential Investment Corp. (individually, together with one or more of its subsidiaries or one or more of its subsidiaries individually, “NRZ”) is a real estate investment trust that invests in and manages investments primarily related to residential real estate, including MSRs and excess MSRs.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June 30, 2020, NRZ owned MSRs or rights to MSRs relating to approximately 53% of loans serviced and subserviced by Ocwen (measured in unpaid principal balance (“UPB”)).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subject to early termination rights.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real estate owned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2020 and 2019, we recognized revenue from NRZ of $4.6 million and $7.0 million, respectively ($1.9 million and $3.0 million for the second quarter of 2020 and 2019, respectively), under the Brokerage Agreement. For the six months ended June 30, 2020 and 2019, we recognized additional revenue of $19.1 million and $34.1 million, respectively ($7.1 million and $16.4 million for the second quarter of 2020 and 2019, respectively), relating to the Subject MSRs when a party other than NRZ selects Altisource as the service provider.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SALE OF THE FINANCIAL SERVICES BUSINESS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1, 2019, Altisource sold its Financial Services business, consisting of its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(finalized during 2019) and transaction costs upon closing of the sale, and an additional $4.0 million payment on the one year anniversary of the sale closing, which was received on July 1, 2020. The parties also entered into a transition services agreement to provide for the management and orderly transition of certain services and technologies to TSI for periods ranging from 2 months to 13 months, subject to additional 3 month extensions. These services include support for information technology systems and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infrastructure, facilities management, finance, compliance and human resources functions and are charged to TSI on a fixed fee or hourly basis. As of July 1, 2020, nearly all of the transition services and technologies have been fully transitioned to TSI.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IN EQUITY SECURITIES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2016, we purchased 4.1 million shares of Front Yard Residential Corporation (“RESI”) common stock. This investment is reflected in the accompanying condensed consolidated balance sheets at fair value and changes in fair value are included in other income (expense), net in the accompanying condensed consolidated statements of operations and comprehensive loss. As of June 30, 2020 and December 31, 2019, we held 3.5 million shares of RESI common stock. As of June 30, 2020 and December 31, 2019, the fair value of our investment was $30.0 million and $42.6 million, respectively. During the six months ended June 30, 2020 and 2019, we recognized an unrealized (loss) gain from the change in fair value of $(12.6) million and $14.0 million, respectively ($(11.2) million and $11.8 million for the second quarter of 2020 and 2019, respectively). The unrealized gains for the three and six months ended June 30, 2019 included $1.2 million and $1.5 million, respectively, of net gains recognized on RESI shares sold during the second quarter of 2019. During the six months ended June 30, 2020 and 2019, we earned dividends of $0.5 million and $1.2 million, respectively (no comparative amount for the second quarter of 2020 and $0.5 million for the second quarter of 2019), related to this investment.</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2019, the Company began selling its investment in RESI common stock. During the three and six months ended June 30, 2019, the Company sold 0.6 million shares for net proceeds of approximately $6.5 million (no comparative amount for the three and six months ended June 30, 2020). As required by the senior secured term loan agreement, the Company used the net proceeds to repay a portion of its senior secured term loan.</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17, 2020, RESI entered into a merger agreement to be acquired by affiliates of Amherst Single Family Residential Partners VI, LP (“Amherst”) for $12.50 in cash per share. On May 4, 2020, RESI announced the termination of the merger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1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40" w:type="dxa"/>
            <w:vAlign w:val="bottom"/>
            <w:tcBorders>
              <w:top w:val="single" w:sz="8" w:color="auto"/>
            </w:tcBorders>
          </w:tcPr>
          <w:p>
            <w:pPr>
              <w:spacing w:after="0"/>
              <w:rPr>
                <w:sz w:val="23"/>
                <w:szCs w:val="23"/>
                <w:color w:val="auto"/>
              </w:rPr>
            </w:pPr>
          </w:p>
        </w:tc>
        <w:tc>
          <w:tcPr>
            <w:tcW w:w="8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Billed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35,921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Unbilled</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48,087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80" w:type="dxa"/>
            <w:vAlign w:val="bottom"/>
            <w:gridSpan w:val="2"/>
          </w:tcPr>
          <w:p>
            <w:pPr>
              <w:ind w:left="140"/>
              <w:spacing w:after="0"/>
              <w:rPr>
                <w:sz w:val="20"/>
                <w:szCs w:val="20"/>
                <w:color w:val="auto"/>
              </w:rPr>
            </w:pPr>
            <w:r>
              <w:rPr>
                <w:rFonts w:ascii="Arial" w:cs="Arial" w:eastAsia="Arial" w:hAnsi="Arial"/>
                <w:sz w:val="18"/>
                <w:szCs w:val="18"/>
                <w:color w:val="auto"/>
              </w:rPr>
              <w:t>Less: Allowance for credit losses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8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35,337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43,615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14,157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DISCONTINUATION OF LINES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Owners.com</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2019, the Company announced its plans to wind down and close the Owners.com business, which was completed by December 31, 2019. Owners.com was a technology-enabled real estate brokerage and provider of related mortgage brokerage and title services. Owners.com was not material in relation to the Company’s results of operations or financial position. Wind down expenses were included in the Project Catalyst restructuring charges (see Note 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Buy-Renovate-Lease-Sell</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26, 2018, the Company announced its plans to sell its short-term investments in real estate (“BRS Inventory”) and discontinue the Company’s Buy-Renovate-Lease-Sell (“BRS”) business. Altisource’s BRS business focused on buying, renovating, leasing and selling single-family homes to real estate investors. The BRS business was not material in relation to the Company’s results of operations or financial position. The Company completed the sale of the BRS Inventory during the year ended December 31,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PREMISES AND EQUIPMENT,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144,608</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21,807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23,800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8,775</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181,187</w:t>
            </w:r>
          </w:p>
        </w:tc>
        <w:tc>
          <w:tcPr>
            <w:tcW w:w="0" w:type="dxa"/>
            <w:vAlign w:val="bottom"/>
          </w:tcPr>
          <w:p>
            <w:pPr>
              <w:spacing w:after="0"/>
              <w:rPr>
                <w:sz w:val="1"/>
                <w:szCs w:val="1"/>
                <w:color w:val="auto"/>
              </w:rPr>
            </w:pP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(156,661)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18,661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24,526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amounted to $7.7 million and $10.5 million for the six months ended June 30, 2020 and 2019, respectively ($3.6 million and $4.9 million for the second quarter of 2020 and 2019, respectively), and is included in cost of revenue for operating assets and in selling, general and administrative expenses for non-operating assets in the accompanying condensed consolidated statements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13,426</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Luxembourg</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10,295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Uruguay</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Philippines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63"/>
        </w:trPr>
        <w:tc>
          <w:tcPr>
            <w:tcW w:w="8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18,661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24,526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RIGHT-OF-USE ASSETS UNDER OPERATING LEASES, NET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under operating leases,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Right-of-use assets under 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39,729</w:t>
            </w:r>
          </w:p>
        </w:tc>
        <w:tc>
          <w:tcPr>
            <w:tcW w:w="0" w:type="dxa"/>
            <w:vAlign w:val="bottom"/>
          </w:tcPr>
          <w:p>
            <w:pPr>
              <w:spacing w:after="0"/>
              <w:rPr>
                <w:sz w:val="1"/>
                <w:szCs w:val="1"/>
                <w:color w:val="auto"/>
              </w:rPr>
            </w:pPr>
          </w:p>
        </w:tc>
      </w:tr>
      <w:tr>
        <w:trPr>
          <w:trHeight w:val="243"/>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Less: Accumulated amortization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22,843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29,074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of operating leases was $5.5 million and $6.8 million for the six months ended June 30, 2020 and 2019, respectively, ($2.8 million and $3.1 million for the second quarter of 2020 and 2019, respectively) and is included in cost of revenue for operating assets and in selling, general and administrative expenses for non-operating assets in the accompanying condensed consolidated statements of operations and comprehensive loss.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consists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9"/>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9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0"/>
              </w:rPr>
              <w:t>Balance as of June 30, 2020 and December 31, 2019</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73,849</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40" w:type="dxa"/>
            <w:vAlign w:val="bottom"/>
            <w:gridSpan w:val="4"/>
          </w:tcPr>
          <w:p>
            <w:pPr>
              <w:spacing w:after="0"/>
              <w:rPr>
                <w:sz w:val="20"/>
                <w:szCs w:val="20"/>
                <w:color w:val="auto"/>
              </w:rPr>
            </w:pPr>
            <w:r>
              <w:rPr>
                <w:rFonts w:ascii="Arial" w:cs="Arial" w:eastAsia="Arial" w:hAnsi="Arial"/>
                <w:sz w:val="18"/>
                <w:szCs w:val="18"/>
                <w:color w:val="auto"/>
              </w:rPr>
              <w:t>Intangible assets, net consist of the following:</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24"/>
                <w:szCs w:val="24"/>
                <w:color w:val="auto"/>
              </w:rPr>
            </w:pPr>
          </w:p>
        </w:tc>
        <w:tc>
          <w:tcPr>
            <w:tcW w:w="232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Gross carrying amount</w:t>
            </w:r>
          </w:p>
        </w:tc>
        <w:tc>
          <w:tcPr>
            <w:tcW w:w="220" w:type="dxa"/>
            <w:vAlign w:val="bottom"/>
          </w:tcPr>
          <w:p>
            <w:pPr>
              <w:spacing w:after="0"/>
              <w:rPr>
                <w:sz w:val="24"/>
                <w:szCs w:val="24"/>
                <w:color w:val="auto"/>
              </w:rPr>
            </w:pPr>
          </w:p>
        </w:tc>
        <w:tc>
          <w:tcPr>
            <w:tcW w:w="234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Accumulated amortization</w:t>
            </w:r>
          </w:p>
        </w:tc>
        <w:tc>
          <w:tcPr>
            <w:tcW w:w="240" w:type="dxa"/>
            <w:vAlign w:val="bottom"/>
          </w:tcPr>
          <w:p>
            <w:pPr>
              <w:spacing w:after="0"/>
              <w:rPr>
                <w:sz w:val="24"/>
                <w:szCs w:val="24"/>
                <w:color w:val="auto"/>
              </w:rPr>
            </w:pPr>
          </w:p>
        </w:tc>
        <w:tc>
          <w:tcPr>
            <w:tcW w:w="2220" w:type="dxa"/>
            <w:vAlign w:val="bottom"/>
            <w:gridSpan w:val="6"/>
            <w:vMerge w:val="restart"/>
          </w:tcPr>
          <w:p>
            <w:pPr>
              <w:jc w:val="right"/>
              <w:ind w:right="675"/>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5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estimated</w:t>
            </w: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8"/>
                <w:szCs w:val="8"/>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8"/>
                <w:szCs w:val="8"/>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8"/>
                <w:szCs w:val="8"/>
                <w:color w:val="auto"/>
              </w:rPr>
            </w:pPr>
          </w:p>
        </w:tc>
        <w:tc>
          <w:tcPr>
            <w:tcW w:w="110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8"/>
                <w:szCs w:val="8"/>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8"/>
        </w:trPr>
        <w:tc>
          <w:tcPr>
            <w:tcW w:w="25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useful life</w:t>
            </w: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98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2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80"/>
              <w:spacing w:after="0"/>
              <w:rPr>
                <w:sz w:val="20"/>
                <w:szCs w:val="20"/>
                <w:color w:val="auto"/>
              </w:rPr>
            </w:pPr>
            <w:r>
              <w:rPr>
                <w:rFonts w:ascii="Arial" w:cs="Arial" w:eastAsia="Arial" w:hAnsi="Arial"/>
                <w:sz w:val="18"/>
                <w:szCs w:val="18"/>
                <w:color w:val="auto"/>
                <w:w w:val="99"/>
              </w:rPr>
              <w:t>Customer related intangible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440"/>
              <w:spacing w:after="0"/>
              <w:rPr>
                <w:sz w:val="20"/>
                <w:szCs w:val="20"/>
                <w:color w:val="auto"/>
              </w:rPr>
            </w:pPr>
            <w:r>
              <w:rPr>
                <w:rFonts w:ascii="Arial" w:cs="Arial" w:eastAsia="Arial" w:hAnsi="Arial"/>
                <w:sz w:val="18"/>
                <w:szCs w:val="18"/>
                <w:color w:val="auto"/>
              </w:rPr>
              <w:t>assets</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214,973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214,973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(181,367)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(176,043)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33,606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38,930</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agreement</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17,624</w:t>
            </w:r>
          </w:p>
        </w:tc>
        <w:tc>
          <w:tcPr>
            <w:tcW w:w="0" w:type="dxa"/>
            <w:vAlign w:val="bottom"/>
          </w:tcPr>
          <w:p>
            <w:pPr>
              <w:spacing w:after="0"/>
              <w:rPr>
                <w:sz w:val="1"/>
                <w:szCs w:val="1"/>
                <w:color w:val="auto"/>
              </w:rPr>
            </w:pPr>
          </w:p>
        </w:tc>
      </w:tr>
      <w:tr>
        <w:trPr>
          <w:trHeight w:val="243"/>
        </w:trPr>
        <w:tc>
          <w:tcPr>
            <w:tcW w:w="2500" w:type="dxa"/>
            <w:vAlign w:val="bottom"/>
          </w:tcPr>
          <w:p>
            <w:pPr>
              <w:ind w:left="280"/>
              <w:spacing w:after="0"/>
              <w:rPr>
                <w:sz w:val="20"/>
                <w:szCs w:val="20"/>
                <w:color w:val="auto"/>
              </w:rPr>
            </w:pPr>
            <w:r>
              <w:rPr>
                <w:rFonts w:ascii="Arial" w:cs="Arial" w:eastAsia="Arial" w:hAnsi="Arial"/>
                <w:sz w:val="18"/>
                <w:szCs w:val="18"/>
                <w:color w:val="auto"/>
                <w:w w:val="93"/>
              </w:rPr>
              <w:t>Trademarks and trade names</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9,709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Non-compete agreements</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500" w:type="dxa"/>
            <w:vAlign w:val="bottom"/>
          </w:tcPr>
          <w:p>
            <w:pPr>
              <w:ind w:left="280"/>
              <w:spacing w:after="0"/>
              <w:rPr>
                <w:sz w:val="20"/>
                <w:szCs w:val="20"/>
                <w:color w:val="auto"/>
              </w:rPr>
            </w:pPr>
            <w:r>
              <w:rPr>
                <w:rFonts w:ascii="Arial" w:cs="Arial" w:eastAsia="Arial" w:hAnsi="Arial"/>
                <w:sz w:val="18"/>
                <w:szCs w:val="18"/>
                <w:color w:val="auto"/>
              </w:rPr>
              <w:t>Intellectual property</w:t>
            </w:r>
          </w:p>
        </w:tc>
        <w:tc>
          <w:tcPr>
            <w:tcW w:w="120" w:type="dxa"/>
            <w:vAlign w:val="bottom"/>
          </w:tcPr>
          <w:p>
            <w:pPr>
              <w:spacing w:after="0"/>
              <w:rPr>
                <w:sz w:val="21"/>
                <w:szCs w:val="2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intangible assets</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262,712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264,957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53,997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61,046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definite lived intangible assets was $7.0 million and $12.2 million for six months ended June 30, 2020 and 2019, respectively ($2.8 million and $3.5 million for the second quarter of 2020 and 2019,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expense for 2020 through 2024 is $13.7 million, $10.5 million, $5.1 million, $5.1 million and $5.1 million, respectively.</w:t>
      </w:r>
    </w:p>
    <w:p>
      <w:pPr>
        <w:sectPr>
          <w:pgSz w:w="11900" w:h="16838" w:orient="portrait"/>
          <w:cols w:equalWidth="0" w:num="1">
            <w:col w:w="11240"/>
          </w:cols>
          <w:pgMar w:left="320" w:top="12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04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04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bl>
    <w:p>
      <w:pPr>
        <w:spacing w:after="0" w:line="200" w:lineRule="exact"/>
        <w:rPr>
          <w:sz w:val="20"/>
          <w:szCs w:val="20"/>
          <w:color w:val="auto"/>
        </w:rPr>
      </w:pPr>
    </w:p>
    <w:p>
      <w:pPr>
        <w:sectPr>
          <w:pgSz w:w="11900" w:h="16872" w:orient="portrait"/>
          <w:cols w:equalWidth="0" w:num="2">
            <w:col w:w="8220" w:space="0"/>
            <w:col w:w="3020"/>
          </w:cols>
          <w:pgMar w:left="320" w:top="125" w:right="339" w:bottom="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Security deposits</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3,473</w:t>
            </w:r>
          </w:p>
        </w:tc>
      </w:tr>
      <w:tr>
        <w:trPr>
          <w:trHeight w:val="27"/>
        </w:trPr>
        <w:tc>
          <w:tcPr>
            <w:tcW w:w="8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3,495</w:t>
            </w:r>
          </w:p>
        </w:tc>
      </w:tr>
      <w:tr>
        <w:trPr>
          <w:trHeight w:val="27"/>
        </w:trPr>
        <w:tc>
          <w:tcPr>
            <w:tcW w:w="8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8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3"/>
        </w:trPr>
        <w:tc>
          <w:tcPr>
            <w:tcW w:w="822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12,436</w:t>
            </w:r>
          </w:p>
        </w:tc>
      </w:tr>
      <w:tr>
        <w:trPr>
          <w:trHeight w:val="20"/>
        </w:trPr>
        <w:tc>
          <w:tcPr>
            <w:tcW w:w="8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180"/>
        <w:spacing w:after="0" w:line="435" w:lineRule="auto"/>
        <w:rPr>
          <w:sz w:val="20"/>
          <w:szCs w:val="20"/>
          <w:color w:val="auto"/>
        </w:rPr>
      </w:pPr>
      <w:r>
        <w:rPr>
          <w:rFonts w:ascii="Arial" w:cs="Arial" w:eastAsia="Arial" w:hAnsi="Arial"/>
          <w:sz w:val="18"/>
          <w:szCs w:val="18"/>
          <w:b w:val="1"/>
          <w:bCs w:val="1"/>
          <w:color w:val="auto"/>
        </w:rPr>
        <w:t xml:space="preserve">NOTE 12 — ACCOUNTS PAYABLE, ACCRUED EXPENSES AND OTHER CURRENT LIABILITIES </w:t>
      </w:r>
      <w:r>
        <w:rPr>
          <w:rFonts w:ascii="Arial" w:cs="Arial" w:eastAsia="Arial" w:hAnsi="Arial"/>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50"/>
        </w:trPr>
        <w:tc>
          <w:tcPr>
            <w:tcW w:w="81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3"/>
                <w:szCs w:val="13"/>
                <w:color w:val="auto"/>
              </w:rPr>
            </w:pPr>
          </w:p>
        </w:tc>
        <w:tc>
          <w:tcPr>
            <w:tcW w:w="1560" w:type="dxa"/>
            <w:vAlign w:val="bottom"/>
            <w:gridSpan w:val="2"/>
          </w:tcPr>
          <w:p>
            <w:pPr>
              <w:jc w:val="center"/>
              <w:ind w:right="140"/>
              <w:spacing w:after="0" w:line="150" w:lineRule="exact"/>
              <w:rPr>
                <w:sz w:val="20"/>
                <w:szCs w:val="20"/>
                <w:color w:val="auto"/>
              </w:rPr>
            </w:pPr>
            <w:r>
              <w:rPr>
                <w:rFonts w:ascii="Arial" w:cs="Arial" w:eastAsia="Arial" w:hAnsi="Arial"/>
                <w:sz w:val="14"/>
                <w:szCs w:val="14"/>
                <w:b w:val="1"/>
                <w:bCs w:val="1"/>
                <w:color w:val="auto"/>
                <w:w w:val="89"/>
              </w:rPr>
              <w:t>June 30,</w:t>
            </w:r>
          </w:p>
        </w:tc>
        <w:tc>
          <w:tcPr>
            <w:tcW w:w="14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1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72" w:orient="portrait"/>
          <w:cols w:equalWidth="0" w:num="1">
            <w:col w:w="11240"/>
          </w:cols>
          <w:pgMar w:left="320" w:top="125" w:right="339" w:bottom="0" w:gutter="0" w:footer="0" w:header="0"/>
          <w:type w:val="continuous"/>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expenses -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salaries and benefits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 consist of the following:</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Operating lease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20"/>
        <w:spacing w:after="0"/>
        <w:tabs>
          <w:tab w:leader="none" w:pos="840" w:val="left"/>
          <w:tab w:leader="none" w:pos="1560" w:val="left"/>
          <w:tab w:leader="none" w:pos="2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20,926</w:t>
        <w:tab/>
        <w:t>$</w:t>
      </w:r>
      <w:r>
        <w:rPr>
          <w:sz w:val="20"/>
          <w:szCs w:val="20"/>
          <w:color w:val="auto"/>
        </w:rPr>
        <w:tab/>
      </w:r>
      <w:r>
        <w:rPr>
          <w:rFonts w:ascii="Arial" w:cs="Arial" w:eastAsia="Arial" w:hAnsi="Arial"/>
          <w:sz w:val="16"/>
          <w:szCs w:val="16"/>
          <w:color w:val="auto"/>
        </w:rPr>
        <w:t>22,431</w:t>
      </w:r>
    </w:p>
    <w:p>
      <w:pPr>
        <w:spacing w:after="0" w:line="63"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8"/>
          <w:szCs w:val="18"/>
          <w:color w:val="auto"/>
        </w:rPr>
        <w:t>21,422</w:t>
      </w:r>
      <w:r>
        <w:rPr>
          <w:sz w:val="20"/>
          <w:szCs w:val="20"/>
          <w:color w:val="auto"/>
        </w:rPr>
        <w:tab/>
      </w:r>
      <w:r>
        <w:rPr>
          <w:rFonts w:ascii="Arial" w:cs="Arial" w:eastAsia="Arial" w:hAnsi="Arial"/>
          <w:sz w:val="18"/>
          <w:szCs w:val="18"/>
          <w:color w:val="auto"/>
        </w:rPr>
        <w:t>24,558</w:t>
      </w:r>
    </w:p>
    <w:p>
      <w:pPr>
        <w:spacing w:after="0" w:line="63" w:lineRule="exact"/>
        <w:rPr>
          <w:sz w:val="20"/>
          <w:szCs w:val="20"/>
          <w:color w:val="auto"/>
        </w:rPr>
      </w:pPr>
    </w:p>
    <w:p>
      <w:pPr>
        <w:ind w:left="860"/>
        <w:spacing w:after="0"/>
        <w:tabs>
          <w:tab w:leader="none" w:pos="2400" w:val="left"/>
        </w:tabs>
        <w:rPr>
          <w:sz w:val="20"/>
          <w:szCs w:val="20"/>
          <w:color w:val="auto"/>
        </w:rPr>
      </w:pPr>
      <w:r>
        <w:rPr>
          <w:rFonts w:ascii="Arial" w:cs="Arial" w:eastAsia="Arial" w:hAnsi="Arial"/>
          <w:sz w:val="18"/>
          <w:szCs w:val="18"/>
          <w:color w:val="auto"/>
        </w:rPr>
        <w:t>15,704</w:t>
      </w:r>
      <w:r>
        <w:rPr>
          <w:sz w:val="20"/>
          <w:szCs w:val="20"/>
          <w:color w:val="auto"/>
        </w:rPr>
        <w:tab/>
      </w:r>
      <w:r>
        <w:rPr>
          <w:rFonts w:ascii="Arial" w:cs="Arial" w:eastAsia="Arial" w:hAnsi="Arial"/>
          <w:sz w:val="18"/>
          <w:szCs w:val="18"/>
          <w:color w:val="auto"/>
        </w:rPr>
        <w:t>18,982</w:t>
      </w:r>
    </w:p>
    <w:p>
      <w:pPr>
        <w:spacing w:after="0" w:line="63" w:lineRule="exact"/>
        <w:rPr>
          <w:sz w:val="20"/>
          <w:szCs w:val="20"/>
          <w:color w:val="auto"/>
        </w:rPr>
      </w:pPr>
    </w:p>
    <w:p>
      <w:pPr>
        <w:ind w:left="940"/>
        <w:spacing w:after="0"/>
        <w:tabs>
          <w:tab w:leader="none" w:pos="2480" w:val="left"/>
        </w:tabs>
        <w:rPr>
          <w:sz w:val="20"/>
          <w:szCs w:val="20"/>
          <w:color w:val="auto"/>
        </w:rPr>
      </w:pPr>
      <w:r>
        <w:rPr>
          <w:rFonts w:ascii="Arial" w:cs="Arial" w:eastAsia="Arial" w:hAnsi="Arial"/>
          <w:sz w:val="18"/>
          <w:szCs w:val="18"/>
          <w:color w:val="auto"/>
        </w:rPr>
        <w:t>3,354</w:t>
      </w:r>
      <w:r>
        <w:rPr>
          <w:sz w:val="20"/>
          <w:szCs w:val="20"/>
          <w:color w:val="auto"/>
        </w:rPr>
        <w:tab/>
      </w:r>
      <w:r>
        <w:rPr>
          <w:rFonts w:ascii="Arial" w:cs="Arial" w:eastAsia="Arial" w:hAnsi="Arial"/>
          <w:sz w:val="18"/>
          <w:szCs w:val="18"/>
          <w:color w:val="auto"/>
        </w:rPr>
        <w:t>1,700</w:t>
      </w:r>
    </w:p>
    <w:p>
      <w:pPr>
        <w:spacing w:after="0" w:line="347" w:lineRule="exact"/>
        <w:rPr>
          <w:sz w:val="20"/>
          <w:szCs w:val="20"/>
          <w:color w:val="auto"/>
        </w:rPr>
      </w:pPr>
    </w:p>
    <w:p>
      <w:pPr>
        <w:ind w:left="20"/>
        <w:spacing w:after="0"/>
        <w:tabs>
          <w:tab w:leader="none" w:pos="840" w:val="left"/>
          <w:tab w:leader="none" w:pos="1560" w:val="left"/>
          <w:tab w:leader="none" w:pos="2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61,406</w:t>
        <w:tab/>
        <w:t>$</w:t>
      </w:r>
      <w:r>
        <w:rPr>
          <w:sz w:val="20"/>
          <w:szCs w:val="20"/>
          <w:color w:val="auto"/>
        </w:rPr>
        <w:tab/>
      </w:r>
      <w:r>
        <w:rPr>
          <w:rFonts w:ascii="Arial" w:cs="Arial" w:eastAsia="Arial" w:hAnsi="Arial"/>
          <w:sz w:val="16"/>
          <w:szCs w:val="16"/>
          <w:color w:val="auto"/>
        </w:rPr>
        <w:t>67,671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192024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024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51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11,398</w:t>
            </w:r>
          </w:p>
        </w:tc>
      </w:tr>
      <w:tr>
        <w:trPr>
          <w:trHeight w:val="270"/>
        </w:trPr>
        <w:tc>
          <w:tcPr>
            <w:tcW w:w="2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3,326</w:t>
            </w:r>
          </w:p>
        </w:tc>
      </w:tr>
      <w:tr>
        <w:trPr>
          <w:trHeight w:val="27"/>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0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11,991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14,724</w:t>
            </w:r>
          </w:p>
        </w:tc>
      </w:tr>
      <w:tr>
        <w:trPr>
          <w:trHeight w:val="27"/>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bl>
    <w:p>
      <w:pPr>
        <w:spacing w:after="0" w:line="200" w:lineRule="exact"/>
        <w:rPr>
          <w:sz w:val="20"/>
          <w:szCs w:val="20"/>
          <w:color w:val="auto"/>
        </w:rPr>
      </w:pPr>
    </w:p>
    <w:p>
      <w:pPr>
        <w:sectPr>
          <w:pgSz w:w="11900" w:h="16872" w:orient="portrait"/>
          <w:cols w:equalWidth="0" w:num="2">
            <w:col w:w="7500" w:space="720"/>
            <w:col w:w="3020"/>
          </w:cols>
          <w:pgMar w:left="320" w:top="125" w:right="339" w:bottom="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secured term loans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293,826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293,826</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Less: Debt issuance costs, net</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(3,119)</w:t>
            </w:r>
          </w:p>
        </w:tc>
      </w:tr>
      <w:tr>
        <w:trPr>
          <w:trHeight w:val="27"/>
        </w:trPr>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Unamortized discount, net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64"/>
        </w:trPr>
        <w:tc>
          <w:tcPr>
            <w:tcW w:w="82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288,581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287,882</w:t>
            </w:r>
          </w:p>
        </w:tc>
      </w:tr>
      <w:tr>
        <w:trPr>
          <w:trHeight w:val="20"/>
        </w:trPr>
        <w:tc>
          <w:tcPr>
            <w:tcW w:w="8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mandatory repayments of the Term B Loans due until March 2023, when $1.3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w:t>
      </w:r>
    </w:p>
    <w:p>
      <w:pPr>
        <w:sectPr>
          <w:pgSz w:w="11900" w:h="16872" w:orient="portrait"/>
          <w:cols w:equalWidth="0" w:num="1">
            <w:col w:w="11240"/>
          </w:cols>
          <w:pgMar w:left="320" w:top="125" w:right="339" w:bottom="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72" w:orient="portrait"/>
          <w:cols w:equalWidth="0" w:num="1">
            <w:col w:w="11240"/>
          </w:cols>
          <w:pgMar w:left="320" w:top="125" w:right="339" w:bottom="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is greater than 3.00 to 1.00, as calculated in accordance with the provisions of the Credit Agreement (the percentage increases if our leverage ratio exceeds 3.50 to 1.00). Certain mandatory prepayments reduce future contractual amortization payments in direct order of maturity by an amount equal to the mandatory prepayment.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June 30, 2020 was 5.00%.</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w:t>
      </w:r>
    </w:p>
    <w:p>
      <w:pPr>
        <w:jc w:val="both"/>
        <w:ind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4.00%. Base Rate revolving loans bear interest at a rate per annum equal to the sum of (i) the Base Rate plus (ii) 3.00%. The unused commitment fee is 0.50%. Borrowings under the revolving credit facility are not permitted if our leverage ratio exceeds 3.50 to 1.00. There were no borrowings outstanding under the revolving credit facility as of June 30, 2020.</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 (xi)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debt issuance costs were $2.8 million, net of $1.8 million of accumulated amortization. As of December 31, 2019, debt issuance costs were $3.1 million, net of $1.4 million of accumulated amortization.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19,707</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2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63"/>
        </w:trPr>
        <w:tc>
          <w:tcPr>
            <w:tcW w:w="8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26,018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31,016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 AND FINANCIAL INSTRUMENTS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June 30, 2020 and December 31, 2019. The following fair values are estimated using market information and what the Company believes to be appropriate valuation methodologies under GAAP: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June 30, 2020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 2019</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6"/>
              </w:rPr>
              <w:t>Level 2</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shd w:val="clear" w:color="auto" w:fill="CCEEFF"/>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Investment in equity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42,618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42,618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Arial" w:cs="Arial" w:eastAsia="Arial" w:hAnsi="Arial"/>
                <w:sz w:val="18"/>
                <w:szCs w:val="18"/>
                <w:color w:val="auto"/>
              </w:rPr>
              <w:t>Long-term receivable</w:t>
            </w: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secured term loan</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293,826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214,493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293,826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277,666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Investment in equity securities is carried at fair value and consists of 3.5 million shares of RESI common stock as of June 30, 2020 and December 31, 2019. The investment in equity securities is measured using Level 1 inputs as these securities have quoted prices in active markets.</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sale of the rental property management business in August 2018, Altisource will receive $3.0 million on the earlier of a RESI change of control or on August 8, 2023. We measure long-term receivables without a stated interest rate based on the present value of the future payments.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over 50% of its revenue from Ocwen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640"/>
        <w:spacing w:after="0" w:line="440" w:lineRule="auto"/>
        <w:rPr>
          <w:sz w:val="20"/>
          <w:szCs w:val="20"/>
          <w:color w:val="auto"/>
        </w:rPr>
      </w:pPr>
      <w:r>
        <w:rPr>
          <w:rFonts w:ascii="Arial" w:cs="Arial" w:eastAsia="Arial" w:hAnsi="Arial"/>
          <w:sz w:val="18"/>
          <w:szCs w:val="18"/>
          <w:b w:val="1"/>
          <w:bCs w:val="1"/>
          <w:color w:val="auto"/>
        </w:rPr>
        <w:t>NOTE 16 — SHAREHOLDERS’ EQUITY AND SHARE-BASED COMPENSATION Share Repurchase Program</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June 30, 2020, approximately 2.4 million shares of common stock remain available for repurchase under the program. There were no purchases of shares of common stock during the six months ended June 30, 2020. We purchased 0.3 million shares of common stock at an average price of $21.89 per share during the three and six months ended June 30, 2019. Luxembourg law limits share repurchases to the balance of Altisource Portfolio Solutions S.A. (unconsolidated parent company) retained earnings, less the value of shares repurchased. As of June 30, 2020, we can repurchase up to approximately $94 million of our common stock under Luxembourg law. Our Credit Agreement also limits the amount we can spend on share repurchases, which limit was approximately $448 million as of June 30, 2020, and may prevent repurchases in certain circumstances.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$4.8 million and $5.5 million for the six months ended June 30, 2020 and 2019, respectively ($1.9 million and $2.8 million for the second quarter of 2020 and 2019, respectively). As of June 30, 2020, estimated unrecognized compensation costs related to share-based awards amounted to $8.5 million, which we expect to recognize over a weighted average remaining requisite service period of approximately 1.51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Service-Based Options. </w:t>
      </w:r>
      <w:r>
        <w:rPr>
          <w:rFonts w:ascii="Arial" w:cs="Arial" w:eastAsia="Arial" w:hAnsi="Arial"/>
          <w:sz w:val="16"/>
          <w:szCs w:val="16"/>
          <w:color w:val="auto"/>
        </w:rPr>
        <w:t>These options generally vest over three or four years with equal annual vesting and generally expire on the earlier of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of grant or following termination of service. A total of 280 thousand service-based options were outstanding as of June 30, 2020.</w:t>
      </w:r>
    </w:p>
    <w:p>
      <w:pPr>
        <w:spacing w:after="0" w:line="70"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222 thousand market-based options were outstanding as of June 30, 2020.</w:t>
      </w:r>
    </w:p>
    <w:p>
      <w:pPr>
        <w:spacing w:after="0" w:line="13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Performance-Based Options. </w:t>
      </w:r>
      <w:r>
        <w:rPr>
          <w:rFonts w:ascii="Arial" w:cs="Arial" w:eastAsia="Arial" w:hAnsi="Arial"/>
          <w:sz w:val="18"/>
          <w:szCs w:val="18"/>
          <w:color w:val="auto"/>
        </w:rPr>
        <w:t>These option grants generally will vest if certain specific financial measures are achieved; one-fourth vests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For certain other financial measures, options cliff-vest upon the achievement of the specific performance during the period from 2019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There were 461 thousand performance-based options outstanding as of June 30, 2020.</w:t>
      </w:r>
    </w:p>
    <w:p>
      <w:pPr>
        <w:spacing w:after="0" w:line="14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stock options granted during the six months ended June 30, 2020 and 2019. Outstanding stock options increased by 228 thousand in February 2019 in connection with the determination of the level of achievement for certain performance-based options granted in 2018.</w:t>
      </w:r>
    </w:p>
    <w:p>
      <w:pPr>
        <w:spacing w:after="0" w:line="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values of the service-based options and performance-based options are determined using the Black-Scholes option pricing model and the fair values of the market-based options were determined using a lattice (binomial) model.</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total intrinsic value of stock options exercised and the grant date fair value of stock options that vested during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340" w:type="dxa"/>
            <w:vAlign w:val="bottom"/>
          </w:tcPr>
          <w:p>
            <w:pPr>
              <w:spacing w:after="0"/>
              <w:rPr>
                <w:sz w:val="22"/>
                <w:szCs w:val="22"/>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70"/>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Intrinsic value of options exercised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3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2,752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00" w:type="dxa"/>
            <w:vAlign w:val="bottom"/>
          </w:tcPr>
          <w:p>
            <w:pPr>
              <w:spacing w:after="0"/>
              <w:rPr>
                <w:sz w:val="12"/>
                <w:szCs w:val="12"/>
                <w:color w:val="auto"/>
              </w:rPr>
            </w:pPr>
          </w:p>
        </w:tc>
        <w:tc>
          <w:tcPr>
            <w:tcW w:w="12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p>
        </w:tc>
        <w:tc>
          <w:tcPr>
            <w:tcW w:w="20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69"/>
        </w:trPr>
        <w:tc>
          <w:tcPr>
            <w:tcW w:w="5080" w:type="dxa"/>
            <w:vAlign w:val="bottom"/>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2019</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1,468,046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460" w:type="dxa"/>
            <w:vAlign w:val="bottom"/>
          </w:tcPr>
          <w:p>
            <w:pPr>
              <w:jc w:val="right"/>
              <w:spacing w:after="0"/>
              <w:rPr>
                <w:sz w:val="20"/>
                <w:szCs w:val="20"/>
                <w:color w:val="auto"/>
              </w:rPr>
            </w:pPr>
            <w:r>
              <w:rPr>
                <w:rFonts w:ascii="Arial" w:cs="Arial" w:eastAsia="Arial" w:hAnsi="Arial"/>
                <w:sz w:val="18"/>
                <w:szCs w:val="18"/>
                <w:color w:val="auto"/>
              </w:rPr>
              <w:t>(504,911)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as of June 30, 2020</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963,135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Exercisable as of June 30, 2020</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589,845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share-based and similar types of awards are composed of restricted shares and restricted share units. The restricted shares and restricted share units are composed of a combination of service-based awards and performance-based awards.</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two to four year periods with (a) vesting in equal annual installments, or (b) vesting of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restricted shares and restricted share units at the end of the vesting period. A total of 411 thousand service-based awards were outstanding as of June 30, 2020. Beginning in 2019, service-based restricted share units were awarded as a component of most employees’ annual incentive compensation rather than cash.</w:t>
      </w:r>
    </w:p>
    <w:p>
      <w:pPr>
        <w:spacing w:after="0" w:line="133"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These awards generally vest if certain specific financial measures are achieved; one-third vests on each anniversary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date or cliff-vest on the third anniversary of the grant date. The number of performance-based restricted shares and restricted share units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restricted share unit award for certain awards. If the performance criteria achieved is below certain thresholds, the award is canceled. A total of 265 thousand performance-based awards were outstanding as of June 30, 2020.</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349 thousand restricted share units (at a weighted average grant date fair value of $16.26 per share) during the six months ended June 30,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restricted</w:t>
            </w:r>
          </w:p>
        </w:tc>
      </w:tr>
      <w:tr>
        <w:trPr>
          <w:trHeight w:val="149"/>
        </w:trPr>
        <w:tc>
          <w:tcPr>
            <w:tcW w:w="9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and restricted</w:t>
            </w:r>
          </w:p>
        </w:tc>
      </w:tr>
      <w:tr>
        <w:trPr>
          <w:trHeight w:val="192"/>
        </w:trPr>
        <w:tc>
          <w:tcPr>
            <w:tcW w:w="95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 units</w:t>
            </w:r>
          </w:p>
        </w:tc>
      </w:tr>
      <w:tr>
        <w:trPr>
          <w:trHeight w:val="269"/>
        </w:trPr>
        <w:tc>
          <w:tcPr>
            <w:tcW w:w="95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2019</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636,146</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349,459</w:t>
            </w:r>
          </w:p>
        </w:tc>
      </w:tr>
      <w:tr>
        <w:trPr>
          <w:trHeight w:val="27"/>
        </w:trPr>
        <w:tc>
          <w:tcPr>
            <w:tcW w:w="95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(175,533)</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680" w:type="dxa"/>
            <w:vAlign w:val="bottom"/>
          </w:tcPr>
          <w:p>
            <w:pPr>
              <w:jc w:val="right"/>
              <w:spacing w:after="0"/>
              <w:rPr>
                <w:sz w:val="20"/>
                <w:szCs w:val="20"/>
                <w:color w:val="auto"/>
              </w:rPr>
            </w:pPr>
            <w:r>
              <w:rPr>
                <w:rFonts w:ascii="Arial" w:cs="Arial" w:eastAsia="Arial" w:hAnsi="Arial"/>
                <w:sz w:val="18"/>
                <w:szCs w:val="18"/>
                <w:color w:val="auto"/>
              </w:rPr>
              <w:t>(133,622)</w:t>
            </w:r>
          </w:p>
        </w:tc>
      </w:tr>
      <w:tr>
        <w:trPr>
          <w:trHeight w:val="27"/>
        </w:trPr>
        <w:tc>
          <w:tcPr>
            <w:tcW w:w="95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3"/>
        </w:trPr>
        <w:tc>
          <w:tcPr>
            <w:tcW w:w="95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63"/>
        </w:trPr>
        <w:tc>
          <w:tcPr>
            <w:tcW w:w="9560" w:type="dxa"/>
            <w:vAlign w:val="bottom"/>
          </w:tcPr>
          <w:p>
            <w:pPr>
              <w:ind w:left="40"/>
              <w:spacing w:after="0"/>
              <w:rPr>
                <w:sz w:val="20"/>
                <w:szCs w:val="20"/>
                <w:color w:val="auto"/>
              </w:rPr>
            </w:pPr>
            <w:r>
              <w:rPr>
                <w:rFonts w:ascii="Arial" w:cs="Arial" w:eastAsia="Arial" w:hAnsi="Arial"/>
                <w:sz w:val="18"/>
                <w:szCs w:val="18"/>
                <w:color w:val="auto"/>
              </w:rPr>
              <w:t>Outstanding as of June 30, 2020</w:t>
            </w:r>
          </w:p>
        </w:tc>
        <w:tc>
          <w:tcPr>
            <w:tcW w:w="1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676,450</w:t>
            </w:r>
          </w:p>
        </w:tc>
      </w:tr>
      <w:tr>
        <w:trPr>
          <w:trHeight w:val="20"/>
        </w:trPr>
        <w:tc>
          <w:tcPr>
            <w:tcW w:w="9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588"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5" w:right="339" w:bottom="588"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REVENUE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Three months ended</w:t>
            </w:r>
          </w:p>
        </w:tc>
        <w:tc>
          <w:tcPr>
            <w:tcW w:w="2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6"/>
                <w:szCs w:val="16"/>
                <w:color w:val="auto"/>
              </w:rPr>
            </w:pPr>
          </w:p>
        </w:tc>
        <w:tc>
          <w:tcPr>
            <w:tcW w:w="1520" w:type="dxa"/>
            <w:vAlign w:val="bottom"/>
            <w:gridSpan w:val="3"/>
          </w:tcPr>
          <w:p>
            <w:pPr>
              <w:jc w:val="center"/>
              <w:ind w:right="688"/>
              <w:spacing w:after="0"/>
              <w:rPr>
                <w:sz w:val="20"/>
                <w:szCs w:val="20"/>
                <w:color w:val="auto"/>
              </w:rPr>
            </w:pPr>
            <w:r>
              <w:rPr>
                <w:rFonts w:ascii="Arial" w:cs="Arial" w:eastAsia="Arial" w:hAnsi="Arial"/>
                <w:sz w:val="14"/>
                <w:szCs w:val="14"/>
                <w:b w:val="1"/>
                <w:bCs w:val="1"/>
                <w:color w:val="auto"/>
                <w:w w:val="92"/>
              </w:rPr>
              <w:t>June 30,</w:t>
            </w: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Reimbursable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Non-controlling interests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Disaggregation of total revenues by major source is as follows:</w:t>
      </w: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34925</wp:posOffset>
            </wp:positionV>
            <wp:extent cx="3111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1340" w:type="dxa"/>
        <w:tblCellMar>
          <w:top w:w="0" w:type="dxa"/>
          <w:left w:w="0" w:type="dxa"/>
          <w:bottom w:w="0" w:type="dxa"/>
          <w:right w:w="0" w:type="dxa"/>
        </w:tblCellMar>
      </w:tblPr>
      <w:tr>
        <w:trPr>
          <w:trHeight w:val="230"/>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91,008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190,520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204,184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355,519</w:t>
            </w:r>
          </w:p>
        </w:tc>
      </w:tr>
      <w:tr>
        <w:trPr>
          <w:trHeight w:val="270"/>
        </w:trPr>
        <w:tc>
          <w:tcPr>
            <w:tcW w:w="3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9,271</w:t>
            </w:r>
          </w:p>
        </w:tc>
      </w:tr>
      <w:tr>
        <w:trPr>
          <w:trHeight w:val="270"/>
        </w:trPr>
        <w:tc>
          <w:tcPr>
            <w:tcW w:w="3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1,680</w:t>
            </w:r>
          </w:p>
        </w:tc>
      </w:tr>
      <w:tr>
        <w:trPr>
          <w:trHeight w:val="27"/>
        </w:trPr>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0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95,342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196,535</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216,786</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366,470</w:t>
            </w:r>
          </w:p>
        </w:tc>
      </w:tr>
      <w:tr>
        <w:trPr>
          <w:trHeight w:val="27"/>
        </w:trPr>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-548005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-196215</wp:posOffset>
            </wp:positionV>
            <wp:extent cx="713232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Revenue recognized</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Revenue related to</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when services are</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technology platforms</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Reimbursable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performed or assets</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and professional</w:t>
            </w:r>
          </w:p>
        </w:tc>
        <w:tc>
          <w:tcPr>
            <w:tcW w:w="1560" w:type="dxa"/>
            <w:vAlign w:val="bottom"/>
            <w:gridSpan w:val="2"/>
            <w:vMerge w:val="continue"/>
          </w:tcPr>
          <w:p>
            <w:pPr>
              <w:spacing w:after="0"/>
              <w:rPr>
                <w:sz w:val="12"/>
                <w:szCs w:val="12"/>
                <w:color w:val="auto"/>
              </w:rPr>
            </w:pPr>
          </w:p>
        </w:tc>
        <w:tc>
          <w:tcPr>
            <w:tcW w:w="14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92"/>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are sold</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expenses revenue</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60" w:space="520"/>
            <w:col w:w="6160"/>
          </w:cols>
          <w:pgMar w:left="320" w:top="125" w:right="339" w:bottom="1440" w:gutter="0" w:footer="0" w:header="0"/>
          <w:type w:val="continuous"/>
        </w:sectPr>
      </w:pP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Three months ended June 30, 2020</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87,447</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4,055</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3,840</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95,342</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Three months ended June 30, 2019</w:t>
            </w:r>
          </w:p>
        </w:tc>
        <w:tc>
          <w:tcPr>
            <w:tcW w:w="16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178,949</w:t>
            </w:r>
          </w:p>
        </w:tc>
        <w:tc>
          <w:tcPr>
            <w:tcW w:w="5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12,811</w:t>
            </w:r>
          </w:p>
        </w:tc>
        <w:tc>
          <w:tcPr>
            <w:tcW w:w="5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4,775</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196,535</w:t>
            </w:r>
          </w:p>
        </w:tc>
      </w:tr>
      <w:tr>
        <w:trPr>
          <w:trHeight w:val="27"/>
        </w:trPr>
        <w:tc>
          <w:tcPr>
            <w:tcW w:w="3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Six months ended June 30, 2020</w:t>
            </w:r>
          </w:p>
        </w:tc>
        <w:tc>
          <w:tcPr>
            <w:tcW w:w="16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195,455</w:t>
            </w:r>
          </w:p>
        </w:tc>
        <w:tc>
          <w:tcPr>
            <w:tcW w:w="5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9,646</w:t>
            </w:r>
          </w:p>
        </w:tc>
        <w:tc>
          <w:tcPr>
            <w:tcW w:w="5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11,685</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216,786</w:t>
            </w:r>
          </w:p>
        </w:tc>
      </w:tr>
      <w:tr>
        <w:trPr>
          <w:trHeight w:val="27"/>
        </w:trPr>
        <w:tc>
          <w:tcPr>
            <w:tcW w:w="3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2019</w:t>
            </w:r>
          </w:p>
        </w:tc>
        <w:tc>
          <w:tcPr>
            <w:tcW w:w="1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326,704</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30,495</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9,271</w:t>
            </w: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366,470</w:t>
            </w:r>
          </w:p>
        </w:tc>
      </w:tr>
      <w:tr>
        <w:trPr>
          <w:trHeight w:val="27"/>
        </w:trPr>
        <w:tc>
          <w:tcPr>
            <w:tcW w:w="37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assets consist of unbilled accounts receivable (see Note 5). Our contract liabilities consist of current deferred revenue and other non-current liabilities as reported on the accompanying condensed consolidated balance sheets. Revenue recognized that was included in the contract liability at the beginning of the period was $3.8 million and $8.6 million for the six months ended June 30, 2020 and 2019, respectively ($1.3 million and $3.7 million for the second quarter of 2020 and 2019,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COST OF REVENUE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4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2"/>
                <w:szCs w:val="22"/>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270"/>
        </w:trPr>
        <w:tc>
          <w:tcPr>
            <w:tcW w:w="6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24,913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50,829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78,174</w:t>
            </w: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41,761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58,588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89,901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121,169</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18,538</w:t>
            </w: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9,271</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7,407</w:t>
            </w: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Cost of real estate sold</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40,276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42,370</w:t>
            </w:r>
          </w:p>
        </w:tc>
      </w:tr>
      <w:tr>
        <w:trPr>
          <w:trHeight w:val="27"/>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6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82,628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152,714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177,209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276,929</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208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6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26,591</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6,921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11,089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3,320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63"/>
        </w:trPr>
        <w:tc>
          <w:tcPr>
            <w:tcW w:w="6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24,701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36,516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52,794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78,442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20 — OTHER (EXPENSE) INCOME, NET</w:t>
            </w: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4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20" w:type="dxa"/>
            <w:vAlign w:val="bottom"/>
            <w:gridSpan w:val="2"/>
          </w:tcPr>
          <w:p>
            <w:pPr>
              <w:spacing w:after="0"/>
              <w:rPr>
                <w:sz w:val="20"/>
                <w:szCs w:val="20"/>
                <w:color w:val="auto"/>
              </w:rPr>
            </w:pPr>
            <w:r>
              <w:rPr>
                <w:rFonts w:ascii="Arial" w:cs="Arial" w:eastAsia="Arial" w:hAnsi="Arial"/>
                <w:sz w:val="18"/>
                <w:szCs w:val="18"/>
                <w:color w:val="auto"/>
              </w:rPr>
              <w:t>Other (expense) income, net consists of the following:</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24"/>
                <w:szCs w:val="24"/>
                <w:color w:val="auto"/>
              </w:rPr>
            </w:pPr>
          </w:p>
        </w:tc>
        <w:tc>
          <w:tcPr>
            <w:tcW w:w="208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6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INCOME TAXES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an income tax provision of $3.5 million and $15.3 million for the six months ended June 30, 2020 and 2019, respectively ($1.1 million and $16.5 million for the second quarter of 2020 and 2019, respectively). The decreases in the income tax provision for the three and six months ended June 30, 2020 were primarily from a $12.3 million reduction in Luxembourg deferred tax assets in connection with a decrease in the Luxembourg statutory income tax rate from 26.0% to 24.9% in the second quarter of 2019. The income tax provisions on losses before income taxes and non-controlling interests for the three and six months ended June 30, 2020 were driven by income tax on transfer pricing income from US and foreign operations other than our Luxembourg operating company and no tax benefit on the pretax losses from our Luxembourg operating company for the three and six months ended June 30,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LOSS PER SHARE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loss per share is computed by dividing loss available to common shareholders by the weighted average number of common shares outstanding for the period. Diluted net loss per share excludes all dilutive securities because their impact would be anti-dilutive, as described below.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are calculated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9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22"/>
                <w:szCs w:val="22"/>
                <w:color w:val="auto"/>
              </w:rPr>
            </w:pP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70"/>
        </w:trPr>
        <w:tc>
          <w:tcPr>
            <w:tcW w:w="5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r>
      <w:tr>
        <w:trPr>
          <w:trHeight w:val="263"/>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Altisource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(9,028)</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5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3"/>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15,549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16,253</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5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3"/>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15,549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16,253</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5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303"/>
        </w:trPr>
        <w:tc>
          <w:tcPr>
            <w:tcW w:w="5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r>
      <w:tr>
        <w:trPr>
          <w:trHeight w:val="251"/>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six months ended June 30, 2020 and 2019, 1.8 million and 1.5 million, respectively (1.5 million for each of the second quarter of 2020 and 2019), stock options, restricted shares and restricted share units were excluded from the computation of loss per share, as a result of the following:</w:t>
      </w:r>
    </w:p>
    <w:p>
      <w:pPr>
        <w:spacing w:after="0" w:line="92" w:lineRule="exact"/>
        <w:rPr>
          <w:sz w:val="20"/>
          <w:szCs w:val="20"/>
          <w:color w:val="auto"/>
        </w:rPr>
      </w:pPr>
    </w:p>
    <w:p>
      <w:pPr>
        <w:jc w:val="both"/>
        <w:ind w:left="500" w:hanging="330"/>
        <w:spacing w:after="0" w:line="255"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the net loss attributable to Altisource for the six months ended June 30, 2020 and 2019, 0.2 million and 0.3 million, respectively (0.1 million and 0.3 million for the second quarter of 2020 and 2019, respectively), stock options, restricted shares and restricted share units in each period were excluded from the computation of diluted loss per share, as their impacts were anti-dilutive</w:t>
      </w:r>
    </w:p>
    <w:p>
      <w:pPr>
        <w:spacing w:after="0" w:line="2" w:lineRule="exact"/>
        <w:rPr>
          <w:rFonts w:ascii="Arial" w:cs="Arial" w:eastAsia="Arial" w:hAnsi="Arial"/>
          <w:sz w:val="18"/>
          <w:szCs w:val="18"/>
          <w:color w:val="auto"/>
        </w:rPr>
      </w:pPr>
    </w:p>
    <w:p>
      <w:pPr>
        <w:jc w:val="both"/>
        <w:ind w:left="500" w:hanging="330"/>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six months ended June 30, 2020 and 2019, 0.6 million and 0.4 million, respectively (0.3 million and 0.5 million for the second quarter of 2020 and 2019, respectively), stock options were anti-dilutive and have been excluded from the computation of diluted loss per share because their exercise price was greater than the average market price of our common stock</w:t>
      </w:r>
    </w:p>
    <w:p>
      <w:pPr>
        <w:spacing w:after="0" w:line="1" w:lineRule="exact"/>
        <w:rPr>
          <w:rFonts w:ascii="Arial" w:cs="Arial" w:eastAsia="Arial" w:hAnsi="Arial"/>
          <w:sz w:val="18"/>
          <w:szCs w:val="18"/>
          <w:color w:val="auto"/>
        </w:rPr>
      </w:pPr>
    </w:p>
    <w:p>
      <w:pPr>
        <w:jc w:val="both"/>
        <w:ind w:left="500" w:hanging="330"/>
        <w:spacing w:after="0" w:line="25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six months ended June 30, 2020 and 2019, 1.0 million and 0.8 million, respectively (1.1 million and 0.7 million for the second quarter of 2020 and 2019, respectively), stock options, restricted shares and restricted share units, which begin to vest upon the achievement of certain market criteria related to our common stock price, performance criteria and an annualized rate of return to shareholders that have not yet been met in each period have been excluded from the computation of diluted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RESTRUCTURING CHARGES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Altisource initiated Project Catalyst, a project intended to optimize its operations and reduce costs to better align its cost structure with its anticipated revenues and improve its operating margins. During the six months ended June 30, 2020 and 2019, Altisource incurred $8.7 million and $6.3 million, respectively ($5.8 million and $1.9 million for the second quarter of 2020 and 2019, respectively), of severance costs, professional services fees, facility consolidation costs, technology costs and business wind down costs related to the reorganization plan. We expect to incur additional severance costs, professional services fees, technology costs and facility consolidation costs in connection with this internal reorganization, automation and other technology</w:t>
      </w:r>
    </w:p>
    <w:p>
      <w:pPr>
        <w:sectPr>
          <w:pgSz w:w="11900" w:h="16838" w:orient="portrait"/>
          <w:cols w:equalWidth="0" w:num="1">
            <w:col w:w="11240"/>
          </w:cols>
          <w:pgMar w:left="320" w:top="125" w:right="3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related activities and will expense those costs as incurred. Based on our analysis, we currently anticipate the future costs relating to Project Catalyst to be in the range of approximately $4 million to $7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During the six months ended June 30, 2019, the Company completed the analysis of its services for potential exposure to sales tax in various jurisdictions in the United States. The Company recognized a $2.1 million net loss for the six months ended June 30, 2019 in selling, general and administrative expenses in the accompanying condensed consolidated statements of operations and comprehensive loss (no comparative amount for the six months ended June 30, 2020 and the second quarter of 2020 and 2019). The Company began invoicing, collecting and remitting sales tax in applicable jurisdictions in 2019. The Company is also in the process of seeking additional reimbursements for sales tax payments from clients; however, there can be no assurance that the Company will be successful in collecting some or all of such additional reimbursements. Future changes in our estimated sales tax exposure could result in a material adjustment to our condensed consolidated financial statements, which would impact our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during the six months ended June 30, 2020, Ocwen was our largest customer, accounting for 61% of our total revenue (60% of our revenue for the second quarter of 2020). Additionally, 6% of our revenue for the six months ended June 30, 2020 (5% of our revenue for the second quarter of 2020) was earned on the loan portfolios serviced by Ocwen, when a party other than Ocwen or the MSR owner selected Altisource as the service provider.</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Ocwen has disclosed that it is subject to a number of ongoing federal and state regulatory examinations, consent orders, inquiries, subpoenas, civil investigative demands, requests for information and other actions and is subject to pending legal proceedings, some of which include claims against Ocwen for substantial monetary damages. In addition to monetary damages, various complaints have sought to obtain permanent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June 30, 2020, NRZ owned MSRs or rights to MSRs relating to approximately 53%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second quarter of 2020, Ocwen informed us that an investor had instructed Ocwen to use a field services provider other than Altisource on properties associated with certain MSRs. They indicated that they were instructed to begin the transition in July 2020, and that the transition should be completed in a few months. We believe Ocwen commenced using another field services provider for these properties in July 2020. Based upon the impacted portfolios to date and the designated service provider, Altisource believes that Ocwen received these directions from NRZ, but Ocwen has not confirmed this belief. The timing to complete the transition to the replacement field service provider has not been defined, but we anticipate that there will be an impact to revenue and earnings from the transfer of field services that may be material in future periods. We estimate that $58.2 million and $77.5 million of service revenue from Ocwen for the six months ended June 30, 2020 and 2019, respectively ($27.4 million and $35.1 million for the second quarter of 2020 and 2019, respectively) was derived from Field Services referrals from the NRZ owned portfolios. Without providing the timing or specific services impacted, Ocwen also communicated to Altisource that the same investor plans to direct them to transition certain other default related service referrals to other providers. We estimate that revenue from these certain other default related services represented approximately $20.6 million and $22.5 million of service revenue from Ocwen for the six months ended June 30, 2020 and 2019, respectively ($9.0 million and $10.5 million for the second quarter of 2020 and 2019, respectively). Altisource believes that any action taken by Ocwen to redirect these service referrals breaches Altisource's agreement with Ocwen. We are currently in discussions with Ocwen to address this matter, and have reserved all of our rights with respect to this matter.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potential reduction in revenue, Altisource is taking additional measures to reduce its cost structure and strengthen its operations.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expected reductions in our revenue from the Field Services referrals transition,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3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and Federal Housing Administration servicing rights or subservicing arrangements or remaining non-GSE servicing rights or subservicing arrangements and Altisource fails to be retained as a service provider</w:t>
      </w: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in line with remaining revenue and that current liquidity and cash flows from operations would be sufficient to meet our working capital, capital expenditures, debt service and other cash needs. There can be no assurance that our plans will be successful or our operations will be profitable.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in July 2018, the FASB issued ASU No. 2018-10,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Topic 842, Leases </w:t>
      </w:r>
      <w:r>
        <w:rPr>
          <w:rFonts w:ascii="Arial" w:cs="Arial" w:eastAsia="Arial" w:hAnsi="Arial"/>
          <w:sz w:val="18"/>
          <w:szCs w:val="18"/>
          <w:color w:val="auto"/>
        </w:rPr>
        <w:t>and ASU No.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(collectively “Topic 842”). Topic 842 introduced a</w:t>
      </w:r>
      <w:r>
        <w:rPr>
          <w:rFonts w:ascii="Arial" w:cs="Arial" w:eastAsia="Arial" w:hAnsi="Arial"/>
          <w:sz w:val="18"/>
          <w:szCs w:val="18"/>
          <w:i w:val="1"/>
          <w:iCs w:val="1"/>
          <w:color w:val="auto"/>
        </w:rPr>
        <w:t xml:space="preserve"> </w:t>
      </w:r>
      <w:r>
        <w:rPr>
          <w:rFonts w:ascii="Arial" w:cs="Arial" w:eastAsia="Arial" w:hAnsi="Arial"/>
          <w:sz w:val="18"/>
          <w:szCs w:val="18"/>
          <w:color w:val="auto"/>
        </w:rPr>
        <w:t>new lessee model that brings substantially all leases on the balance sheet.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adopted Topic 842 effective January 1, 2019 using the modified retrospective transition approach. In addition, the Company elected the practical expedients permitted under the transition guidance within the new standard, including allowing the Company to carry forward its historical lease classification, using hindsight to determine the lease term for existing leases, combining fixed lease and non-lease components and excluding short-term leases. Adoption of this new standard resulted in the recognition of $42.1 million of right-of-use assets in right-of-use assets under operating leases, $45.5 million of operating lease liabilities ($16.7 million in other current liabilities and $28.8 million in other non-current liabilities) and reduced accrued rent and lease incentives of $3.4 million in accounts payable and accrued expenses and other non-current liabilities on the accompanying condensed consolidated balance sheets.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$0.7 million and $0.8 million for the six months ended June 30, 2020 and 2019, respectively ($0.4 million and $0.5 million for the second quarter of 2020 and 2019, respectively). The amortization period of right-of-use assets are generally limited by the expected lease term. Our leases generally have expected lease terms at adoption of one to six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w w:val="94"/>
              </w:rPr>
              <w:t>June 30, 2020</w:t>
            </w:r>
          </w:p>
        </w:tc>
        <w:tc>
          <w:tcPr>
            <w:tcW w:w="0" w:type="dxa"/>
            <w:vAlign w:val="bottom"/>
          </w:tcPr>
          <w:p>
            <w:pPr>
              <w:spacing w:after="0"/>
              <w:rPr>
                <w:sz w:val="1"/>
                <w:szCs w:val="1"/>
                <w:color w:val="auto"/>
              </w:rPr>
            </w:pPr>
          </w:p>
        </w:tc>
      </w:tr>
      <w:tr>
        <w:trPr>
          <w:trHeight w:val="269"/>
        </w:trPr>
        <w:tc>
          <w:tcPr>
            <w:tcW w:w="6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6.99%</w:t>
            </w:r>
          </w:p>
        </w:tc>
        <w:tc>
          <w:tcPr>
            <w:tcW w:w="0" w:type="dxa"/>
            <w:vAlign w:val="bottom"/>
          </w:tcPr>
          <w:p>
            <w:pPr>
              <w:spacing w:after="0"/>
              <w:rPr>
                <w:sz w:val="1"/>
                <w:szCs w:val="1"/>
                <w:color w:val="auto"/>
              </w:rPr>
            </w:pPr>
          </w:p>
        </w:tc>
      </w:tr>
      <w:tr>
        <w:trPr>
          <w:trHeight w:val="621"/>
        </w:trPr>
        <w:tc>
          <w:tcPr>
            <w:tcW w:w="6420" w:type="dxa"/>
            <w:vAlign w:val="bottom"/>
            <w:gridSpan w:val="2"/>
          </w:tcPr>
          <w:p>
            <w:pPr>
              <w:spacing w:after="0"/>
              <w:rPr>
                <w:sz w:val="20"/>
                <w:szCs w:val="20"/>
                <w:color w:val="auto"/>
              </w:rPr>
            </w:pPr>
            <w:r>
              <w:rPr>
                <w:rFonts w:ascii="Arial" w:cs="Arial" w:eastAsia="Arial" w:hAnsi="Arial"/>
                <w:sz w:val="18"/>
                <w:szCs w:val="18"/>
                <w:color w:val="auto"/>
              </w:rPr>
              <w:t>Our lease activity during the period is as follows: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4"/>
                <w:szCs w:val="24"/>
                <w:color w:val="auto"/>
              </w:rPr>
            </w:pPr>
          </w:p>
        </w:tc>
        <w:tc>
          <w:tcPr>
            <w:tcW w:w="148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2"/>
                <w:szCs w:val="22"/>
                <w:color w:val="auto"/>
              </w:rPr>
            </w:pPr>
          </w:p>
        </w:tc>
        <w:tc>
          <w:tcPr>
            <w:tcW w:w="860" w:type="dxa"/>
            <w:vAlign w:val="bottom"/>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6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4,810</w:t>
            </w:r>
          </w:p>
        </w:tc>
        <w:tc>
          <w:tcPr>
            <w:tcW w:w="6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Cash used in operating activities for amounts included in the measurement of lease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6,758</w:t>
            </w:r>
          </w:p>
        </w:tc>
        <w:tc>
          <w:tcPr>
            <w:tcW w:w="62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Short-term (less than one year) lease costs</w:t>
            </w: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621"/>
        </w:trPr>
        <w:tc>
          <w:tcPr>
            <w:tcW w:w="6420" w:type="dxa"/>
            <w:vAlign w:val="bottom"/>
            <w:gridSpan w:val="2"/>
          </w:tcPr>
          <w:p>
            <w:pPr>
              <w:spacing w:after="0"/>
              <w:rPr>
                <w:sz w:val="20"/>
                <w:szCs w:val="20"/>
                <w:color w:val="auto"/>
              </w:rPr>
            </w:pPr>
            <w:r>
              <w:rPr>
                <w:rFonts w:ascii="Arial" w:cs="Arial" w:eastAsia="Arial" w:hAnsi="Arial"/>
                <w:sz w:val="18"/>
                <w:szCs w:val="18"/>
                <w:color w:val="auto"/>
              </w:rPr>
              <w:t>Maturities of our lease liabilities as of June 30, 2020 are as follows: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5"/>
              </w:rPr>
              <w:t>Operating lease</w:t>
            </w:r>
          </w:p>
        </w:tc>
        <w:tc>
          <w:tcPr>
            <w:tcW w:w="0" w:type="dxa"/>
            <w:vAlign w:val="bottom"/>
          </w:tcPr>
          <w:p>
            <w:pPr>
              <w:spacing w:after="0"/>
              <w:rPr>
                <w:sz w:val="1"/>
                <w:szCs w:val="1"/>
                <w:color w:val="auto"/>
              </w:rPr>
            </w:pPr>
          </w:p>
        </w:tc>
      </w:tr>
      <w:tr>
        <w:trPr>
          <w:trHeight w:val="192"/>
        </w:trPr>
        <w:tc>
          <w:tcPr>
            <w:tcW w:w="64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5,652</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27,382</w:t>
            </w:r>
          </w:p>
        </w:tc>
        <w:tc>
          <w:tcPr>
            <w:tcW w:w="0" w:type="dxa"/>
            <w:vAlign w:val="bottom"/>
          </w:tcPr>
          <w:p>
            <w:pPr>
              <w:spacing w:after="0"/>
              <w:rPr>
                <w:sz w:val="1"/>
                <w:szCs w:val="1"/>
                <w:color w:val="auto"/>
              </w:rPr>
            </w:pPr>
          </w:p>
        </w:tc>
      </w:tr>
      <w:tr>
        <w:trPr>
          <w:trHeight w:val="243"/>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Less: interest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(3,058)</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24,324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$42.7 million and $12.3 million as of June 30, 2020 and December 31, 2019, respectively.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2019 filed with the Securities and Exchange Commission (“SEC”) on March 5,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other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1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4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improve margins and affect anticipated expense reductions as a result of Project Catalyst and otherwise in response to lower revenues due to COVID-19, the transfer of certain Field Services referrals to another service provider discussed below, or other factors;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the variable nature of our cost structure that would allow us to realign our cost structure in line with revenue;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assumptions regarding the impacts of the COVID-19 pandemic and the timeliness and effectiveness of actions taken in response thereto;</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Important factors that could cause actual results to differ materially from those suggested by the forward-looking statements include, but are not limited to, the risks discussed in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the Form 10-Q for the quarterly period ended March 31, 2020 and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of our Form 10-K for the year ended December 31, 2019 including:</w:t>
      </w:r>
    </w:p>
    <w:p>
      <w:pPr>
        <w:spacing w:after="0" w:line="130" w:lineRule="exact"/>
        <w:rPr>
          <w:sz w:val="20"/>
          <w:szCs w:val="20"/>
          <w:color w:val="auto"/>
        </w:rPr>
      </w:pPr>
    </w:p>
    <w:p>
      <w:pPr>
        <w:ind w:left="660" w:hanging="328"/>
        <w:spacing w:after="0" w:line="27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Ocwen Financial Corporation (together with its subsidiaries, “Ocwen”) as a customer or our ability to receive the anticipated volume of referrals from Ocwen;</w:t>
      </w:r>
    </w:p>
    <w:p>
      <w:pPr>
        <w:spacing w:after="0" w:line="1" w:lineRule="exact"/>
        <w:rPr>
          <w:rFonts w:ascii="Arial" w:cs="Arial" w:eastAsia="Arial" w:hAnsi="Arial"/>
          <w:sz w:val="18"/>
          <w:szCs w:val="18"/>
          <w:color w:val="auto"/>
        </w:rPr>
      </w:pPr>
    </w:p>
    <w:p>
      <w:pPr>
        <w:ind w:left="660" w:right="20" w:hanging="328"/>
        <w:spacing w:after="0" w:line="27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1"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on our strategic plan;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governmental regulations and policies and any changes in such regulations and policies;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incidents, data breaches and cybersecurity risks;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tax regulations and interpretations in the countries, states and local jurisdictions in which we operate; and</w:t>
      </w:r>
    </w:p>
    <w:p>
      <w:pPr>
        <w:spacing w:after="0" w:line="49"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risks and uncertainties related to pandemics, epidemics or other force majeure events, including the COVID-19 pandemic, and associated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provide loan servicers and originators with marketplaces, services and technologies that span the residential mortgage lifecycle. We provide real estate consumers with marketplaces and services that span the residential real estate lifecycle.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Property preservation and inspection services and marketplace transaction management, payment management and vendor management oversight software-as-a-service (“SaaS”) technologies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Hubzu</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online real estate auction platform, real estate auction, real estate brokerage and asset management</w:t>
      </w:r>
    </w:p>
    <w:p>
      <w:pPr>
        <w:ind w:right="960" w:firstLine="332"/>
        <w:spacing w:after="0" w:line="235"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Equator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 SaaS-based technology to manage real estate owned (“REO”), short sales, foreclosure, bankruptcy and eviction processes </w:t>
      </w:r>
      <w:r>
        <w:rPr>
          <w:rFonts w:ascii="Arial" w:cs="Arial" w:eastAsia="Arial" w:hAnsi="Arial"/>
          <w:sz w:val="18"/>
          <w:szCs w:val="18"/>
          <w:u w:val="single" w:color="auto"/>
          <w:color w:val="auto"/>
        </w:rPr>
        <w:t>Mortgage and Real Estate Solutions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loan fulfillment, certification and certification insurance services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insurance (as an agent), settlement and valuation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Management of the Best Partners Mortgage Cooperative, Inc.,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mortgage banking cooperative</w:t>
      </w:r>
    </w:p>
    <w:p>
      <w:pPr>
        <w:spacing w:after="0" w:line="3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Pointillist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journey analytics platform</w:t>
      </w:r>
    </w:p>
    <w:p>
      <w:pPr>
        <w:spacing w:after="0"/>
        <w:rPr>
          <w:rFonts w:ascii="Arial" w:cs="Arial" w:eastAsia="Arial" w:hAnsi="Arial"/>
          <w:sz w:val="18"/>
          <w:szCs w:val="18"/>
          <w:color w:val="auto"/>
        </w:rPr>
      </w:pPr>
      <w:r>
        <w:rPr>
          <w:rFonts w:ascii="Arial" w:cs="Arial" w:eastAsia="Arial" w:hAnsi="Arial"/>
          <w:sz w:val="18"/>
          <w:szCs w:val="18"/>
          <w:u w:val="single" w:color="auto"/>
          <w:color w:val="auto"/>
        </w:rPr>
        <w:t>Other</w:t>
      </w:r>
    </w:p>
    <w:p>
      <w:pPr>
        <w:spacing w:after="0" w:line="4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Services business including post-charge-off consumer debt, mortgage charge-off collection services and customer relationship management services (sold on July 1, 2019)</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Buy-Renovate-Lease-Sell (“BRS”) business (wound down in 2019)</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loan servicing technologies, document management platform and information technology (“IT”) infrastructure management services (wound down in 2019 following Ocwen’s transition to another servicing platform)</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 loan servicing technology</w:t>
      </w:r>
    </w:p>
    <w:p>
      <w:pPr>
        <w:spacing w:after="0" w:line="63" w:lineRule="exact"/>
        <w:rPr>
          <w:rFonts w:ascii="Arial" w:cs="Arial" w:eastAsia="Arial" w:hAnsi="Arial"/>
          <w:sz w:val="18"/>
          <w:szCs w:val="18"/>
          <w:color w:val="auto"/>
        </w:rPr>
      </w:pPr>
    </w:p>
    <w:p>
      <w:pPr>
        <w:ind w:left="660" w:right="20" w:hanging="328"/>
        <w:spacing w:after="0" w:line="21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Owners.com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technology-enabled real estate brokerage and provider of related mortgage brokerage and title services (discontinued in the fourth quarter of 2019)</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Lenders One. Lenders One is a mortgage cooperative managed, but not owned, by Altisource. The Lenders One members’ earnings are included in revenue and reduced from net income to arrive at net income attributable to Altisource.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focused on becoming the premier provider of mortgage and real estate marketplaces and related services to a broad and diversified customer base of residential loan investors and servicers, and originators. The real estate and mortgage marketplaces represent very large markets, and we believe our scale and suite of offerings provide us with competitive advantages that could support our growth.</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our offerings that support residential loan investors and servicers, we provide a suite of services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NRZ. We believe we are one of only a few providers with a broad suite of servicer solutions, nationwide coverage and scalability. Further, we believe we are well positioned to gain market share from existing and new customers in the event delinquency rates rise, or customers and prospects consolidate to larger, full-service providers or outsource services that have historically been performed in-house.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provide services to loan originators (or other similar mortgage market participants) in originating, buying and selling residential mortgages. We provide a suite of services and technologies to meet the evolving and growing needs of lenders, mortgage purchasers and securitizers. We are focused on growing referrals from our existing customer base and attracting new customers to our offerings. We have a customer base that includes the Lenders One cooperative mortgage bankers and mid-size and larger bank and non-bank loan originators. We believe our suite of services, technologies and unique access to the members of the Lenders One mortgage cooperative position us to grow our relationships with our existing customer base by providing additional products, services and solutions to these customers. Further, we believe we are well positioned to gain market share from existing and new customers in the event origination volumes rise, or customers and prospects consolidate to larger, full-service providers or outsource services that have historically been performed in-house.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earlier stage business consists of Pointillist, Inc. (“Pointillist”). The Pointillist business was developed by Altisource through our consumer analytics capabilities. We believe the Pointillist business is a potentially disruptive SaaS-based platform which provides unique customer journey analytics at scale and enables customers to engage through our intelligent platform. During 2019, we created Pointillist as a separate legal entity to position it for accelerated growth and outside investment and contributed the Pointillist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an option, but no ongoing obligation, to participate in future funding of Pointillist.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previously reported the results of Owners.com as an earlier stage business. In October 2019, the Company announced its plans to wind down and close the Owners.com business, which was completed by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COVID-19 pandemic is having an unprecedented impact on human life and the economy, including the real estate, mortgage and servicing industries in which we operate. Our first half of 2020 financial performance in our default related services businesses was negatively impacted by COVID-19 related governmental restrictions on services that could be performed and travel (i.e., only essential services and travel), restrictions on governmental services available (e.g., title offices closed), government measures to provide financial support to borrowers, and changing vendor and consumer behavior. This impact was partially offset by stronger performance from our origination related businesses that benefited from lower interest rates throughout most of the first half of 2020. We anticipate the COVID-19 circumstances will continue to have a negative impact on our default related services businesses. We further anticipate that the duration and quantum of this impact will be influenced by economic, regulatory and other factors that influence mortgage delinquency and foreclosure rates, evictions and the market for sales of one to four family homes. As long as these factors persist, we anticipate continued negative impact on our default related services businesses.</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COVID-19, during portions of the first half of 2020 at differing times, certain jurisdictions in the United States have operated under certain social distancing restrictions, and restrictions on travel and commerce. The government has provided various forms of borrower assistance, including forbearance programs and foreclosure and eviction moratoriums. Despite government assistance programs, there has been a significant negative impact on United States employment, with a June 2020 unemployment rate of 11% according to the Bureau of Labor Statistics. These factors, together with the general economic impact of the pandemic, have led to a disruption in the real estate, mortgage and servicing markets. While we cannot predict the duration of the pandemic and future governmental measures that may continue to reduce foreclosure initiations and sales, we believe the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short- to medium-term revenue impact to Altisource will largely be driven by two factors. First, with most of the population of the United States practicing social distancing and limiting interactions with others, and with growing unemployment throughout the country, we expect that home buying activity will continue to be significantly lower. We anticipate that this will largely negatively impact our Hubzu and settlement services businesses. Second, with foreclosure and eviction moratoriums, forbearance plans and other borrower relief actions, along with social distancing restrictions, we anticipate that foreclosure, eviction and REO referrals will be substantially lower. Based upon ATTOM Data Solutions reporting, foreclosure starts and completions declined by approximately 44% for the first half of 2020 compared to the same period in 2019. The decline accelerated in the second quarter of 2020, with foreclosure starts down by approximately 80% compared to the second quarter 2019 and foreclosure completions in June 2020 were 76% lower than compared to June 2019. As long as these factors persist, we anticipate a continued negative impact on our Equator, title, foreclosure trustee, valuation, field services and REO businesses.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governmental restrictions on movement and the provision of certain services, social distancing requirements, the closure of or reduced services provided by certain governmental offices, vendors’ refusals or inability to provide certain services in certain jurisdictions and limitations on the availability of supplies have negatively impacted our Field Services business. Governmental restrictions and designations of essential services are subject to interpretation and have been evolving, negatively impacting the ability and willingness of our vendors in applicable jurisdictions to perform services and limiting services that we are able to provide to our customers, negatively impacting our Field Services businesses. Limited availability of supplies has also restricted the amount of services that we can provide, and in some cases, has increased the costs that we pay for these services. Some of our vendors have also refused to perform services that may involve contact with the public further limiting the services that we are capable of providing to customers. As long as these factors persist, we anticipate continued negative impact to our Field Services business.</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the same time, our originations businesses benefitted from the decline in mortgage interest rates and the growing refinance market. To the extent these factors continue, we anticipate stronger than planned growth in our origination related services. This potential growth could be limited, however, by the government’s and GSEs’ willingness, and purchase price, to acquire loans in forbearance, higher unemployment rates and economic deterioration.</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the default related business experienced a modest rebound late in June, with June 2020 default related service revenue approximately 10% higher than May 2020, we believe this reflects the partial re-opening of businesses that support real estate sales as the industry implements measures to operate in this COVID-19 environment. Given declining default related referrals and inventory and the recent large increases in COVID-19 cases across many states and the extension of the federal foreclosure moratoriums through August 2020, it is too early to determine whether this trend will continue. To address this challenging environment, we implemented cost reduction measures in the second quarter of 2020, and as a result, we have been able to reduce the anticipated cash burn and maintain a strong cash position ending the quarter with $98.2 million in cash, cash equivalents and marketable equity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Altisource is attempting to adapt to the evolving situation, including by:</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Taking steps designed to maintain the health and safety of our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Adjusting operations to mitigate the impact to its customers and business while complying with governmental orders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our cost structure and preserving liquidity to prepare for what could be a period of lower revenue than planned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2020, we began implementing our business continuity plans and enabling remote work capabilities across the organization. Altisource has transitioned the majority of its global workforce to work remotely. We have largely been able to maintain our productivity, despite this shift to remote work arrangements. We have implemented heightened hygiene protocols to help safeguard the health of the small number of employees who continue to perform critical functions from certain facilities that cannot be performed remotely.</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adjusted our operations in response to the current environment. In addition to the cost reduction measures described below, we sought to retain and deploy otherwise underutilized employees to increase the capacity of our originations businesses. Our customer relationship management, sales and operations teams are in regular contact with our customers concerning changing circumstances and impacts on services and performance levels. We are seeking to work with our customers to adjust services and operations to address the COVID-19 business related challenges and opportunities.</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also preparing Altisource for what could be an extended period of lower revenue than planned from the near-term economic effects of COVID-19 and the governmental response to it. The Company has $68.2 million in cash and equivalents as of June 30, 2020. Our liquidity position has been further enhanced by our debt reduction efforts over the last several years. Our current outstanding debt on our senior secured term loan is $293.8 million.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and continue to seek to address our cost structure. In addition to undertaking cost reduction activities planned prior to the COVID-19 pandemic, we took several additional measures to further reduce our 2020 cash expenses. These measures included employee furloughs and terminations, the elimination of certain discretionary spending and temporary employee and Board compensation reductions. As a result of these cost reduction activities, we anticipate reducing our 2020 cash expenses, in addition to outside fees and services that generally decline proportionately with a decline in service referrals, by an estimated $45 million to $50 million compared to the fourth quarter 2019 annual run rate. Based upon our revenue and working capital forecasts, and the successful implementation of our planned cash expense reductions, we anticipate that we can adequately support the cash needs of the business largely from the results of operations.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positioning our businesses to be able to respond to what we believe will be strong medium- to longer-term demand for our default related services from anticipated growth in loan delinquencies. Increasing delinquencies have the potential to result in an increase in demand for our default related services businesses, including an increase in demand for inspection and preservation services, real estate auction and brokerage services, foreclosure trustee services, valuation services, and title and settlement services. We also anticipate that the current unprecedented level of foreclosure, eviction and other mortgage borrower relief will likely subside and, if unemployment rates remain elevated, delinquency levels are likely to be higher than they were before the COVID-19 pandemic began. Given the countercyclical nature of several of our businesses, we believe Altisource has the potential to benefit from such an environment.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June 30, 2020, approximately 2.4 million shares of common stock remain available for repurchase under the program. There were no purchases of shares of common stock during the six months ended June 30, 2020. We purchased 0.3 million shares of common stock at an average price of $21.89 per share during the three and six months ended June 30, 2019. Luxembourg law limits share repurchases to the balance of Altisource Portfolio Solutions S.A. (unconsolidated parent company) retained earnings, less the value of shares repurchased. As of June 30, 2020, we can repurchase up to approximately $94 million of our common stock under Luxembourg law. Our Credit Agreement also limits the amount we can spend on share repurchases, which limit was approximately $448 million as of June 30, 2020, and may prevent repurchases in certain circumstances.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2020, Ocwen was our largest customer, accounting for 61% of our total revenue for the six months ended June 30, 2020 (60% of our revenue for the second quarter of 2020). Additionally, 6% of our revenue for the six months ended June 30, 2020 (5% of our revenue for the second quarter of 2020) was earned on the loan portfolios serviced by Ocwen, when a party other than Ocwen or the mortgage servicing rights (“MSRs”) owner selected Altisource as the service provider.</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Ocwen has disclosed that it is subject to a number of ongoing federal and state regulatory examinations, consent orders, inquiries, subpoenas, civil investigative demands, requests for information and other actions and is subject to pending legal proceedings, some of which include claims against Ocwen for substantial monetary damages. In addition to monetary damages, various complaints have sought to obtain permanent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Ocwen has disclosed that NRZ is its largest client. As of June 30, 2020, NRZ owned MSRs or rights to MSRs relating to approximately 53% of loans serviced and subserviced by Ocwen (measured in unpaid principal balance).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NRZ can terminate its sub-servicing agreement with Ocwen in exchange for the payment of a termination fee.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second quarter of 2020, Ocwen informed us that an investor had instructed Ocwen to use a field services provider other than Altisource on properties associated with certain MSRs. They indicated that they were instructed to begin the transition in July 2020, and that the transition should be completed in a few months. We believe Ocwen commenced using another field services provider for these properties in July 2020. Based upon the impacted portfolios to date and the designated service provider, Altisource believes that Ocwen received these directions from NRZ, but Ocwen has not confirmed this belief. The timing to complete the transition to the replacement field service provider has not been defined, but we anticipate that there will be an impact to revenue and earnings from the transfer of field services that may be material in future periods. We estimate that $58.2 million and $77.5 million of service revenue from Ocwen for the six months ended June 30, 2020 and 2019, respectively ($27.4 million and $35.1 million for the second quarter of 2020 and 2019, respectively) was derived from Field Services referrals from the NRZ owned portfolios. Without providing the timing or specific services impacted, Ocwen also communicated to Altisource that the same investor plans to direct them to transition certain other default related service referrals to other providers. We estimate that revenue from these certain other default related services represented approximately $20.6 million and $22.5 million of service revenue from Ocwen for the six months ended June 30, 2020 and 2019, respectively ($9.0 million and $10.5 million for the second quarter of 2020 and 2019, respectively). Altisource believes that any action taken by Ocwen to redirect these service referrals breaches Altisource's agreement with Ocwen. We are currently in discussions with Ocwen to address this matter, and have reserved all of our rights with respect to this matter.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To address the potential reduction in revenue, Altisource is taking additional measures to reduce its cost structure and strengthen its operations.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expected reductions in our revenue from the Field Services referrals transition,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3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and Federal Housing Administration servicing rights or subservicing arrangements or remaining non-GSE servicing rights or subservicing arrangements and Altisource fails to be retained as a service provider</w:t>
      </w: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in line with remaining revenue and that current liquidity and cash flows from operations would be sufficient to meet our working capital, capital expenditures, debt service and other cash needs. There can be no assurance that our plans will be successful or our operations will be profitable.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9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financial performance for the three and six months ended June 30, 2020 in its default related services businesses was negatively impacted by COVID-19 related governmental restrictions and changing vendor and consumer behavior. This impact was partially offset by stronger performance from the Company’s origination related businesses that benefited from lower interest rates for the three and six months ended June 30, 2020. Across the Company’s three core businesses, service revenue from customers other than Ocwen, NRZ and Front Yard Residential Corporation (“RESI”) for the three and six months ended June 30, 2020 grew by 5% and 19%, respectively, compared to the three and six months ended June 30, 2019, despite the COVID-19 impacts the Company started facing late in the first quarter of 2020. Compared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to the six months ended June 30, 2019, the increase is primarily from the growth in our customer base and market share expansion. Service revenue from the origination businesses such as loan fulfillment, loan certification, title, settlement and valuation services in Mortgage and Real Estate Solutions grew by 44% for the six months ended June 30, 2020 (35% for the second quarter of 2020). In the Marketplace and Field Services businesses, revenue growth from customers other than Ocwen and NRZ was more than offset by lower revenue from Ocwen’s declining servicing portfolio and the impact of COVID-19.</w:t>
      </w:r>
    </w:p>
    <w:p>
      <w:pPr>
        <w:spacing w:after="0" w:line="26" w:lineRule="exact"/>
        <w:rPr>
          <w:sz w:val="20"/>
          <w:szCs w:val="20"/>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six months ended June 30, 2020 and 2019, we recognized an unrealized (loss) gain of $(12.6) million and $14.0 million, respectively, ($(11.2) million and $11.8 million for the second quarter of 2020 and 2019, respectively) from the change in fair value on our investment in RESI in other income (expense), net in the condensed consolidated statements of operations and comprehensive loss from a change in the market value of RESI common shares.</w:t>
      </w:r>
    </w:p>
    <w:p>
      <w:pPr>
        <w:spacing w:after="0" w:line="24"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During the six months ended June 30, 2020 and 2019, Altisource incurred $8.7 million and $6.3 million, respectively, ($5.8 million and $1.9 million for the second quarter of 2020 and 2019, respectively) of severance costs, professional services fees, facility consolidation costs, technology costs and business wind down costs related to the reorganization plan. Altisource expects to incur additional severance costs, professional services fees, technology costs and facility consolidation costs in connection with this internal reorganization, automation and other technology related activities and will expense those costs as incurred. Based on the Company’s analysis, it currently anticipates the future costs relating to Project Catalyst to be in the range of approximately $4 million to $7 million and does not include any anticipated costs associated with COVID-19 cost savings initiatives or planned cost reductions in connection with Ocwen’s decision to move certain field services referrals to another provider.</w:t>
      </w:r>
    </w:p>
    <w:p>
      <w:pPr>
        <w:spacing w:after="0" w:line="18" w:lineRule="exact"/>
        <w:rPr>
          <w:rFonts w:ascii="Arial" w:cs="Arial" w:eastAsia="Arial" w:hAnsi="Arial"/>
          <w:sz w:val="17"/>
          <w:szCs w:val="17"/>
          <w:color w:val="auto"/>
        </w:rPr>
      </w:pPr>
    </w:p>
    <w:p>
      <w:pPr>
        <w:jc w:val="both"/>
        <w:ind w:left="660" w:hanging="328"/>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July 1, 2019, Altisource sold its Financial Services business, consisting of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(finalized during 2019) and transaction costs upon closing of the sale, and an additional $4.0 million payment on the one year anniversary of the sale closing, which was received on July 1, 2020. The parties also entered into a transition services agreement to provide for the management and orderly transition of certain services and technologies to TSI for periods ranging from 2 months to 13 months, subject to additional 3 month extensions. As of July 1, 2020, nearly all of the transition services and technologies have been fully transitioned to TSI. For the three and six months ended June 30, 2019, service revenue from the Financial Services Business was $17.3 million and $33.4 million, respectively (no comparative amount for the three and six months ended June 30, 2020).</w:t>
      </w:r>
    </w:p>
    <w:p>
      <w:pPr>
        <w:spacing w:after="0" w:line="34" w:lineRule="exact"/>
        <w:rPr>
          <w:rFonts w:ascii="Arial" w:cs="Arial" w:eastAsia="Arial" w:hAnsi="Arial"/>
          <w:sz w:val="18"/>
          <w:szCs w:val="18"/>
          <w:color w:val="auto"/>
        </w:rPr>
      </w:pPr>
    </w:p>
    <w:p>
      <w:pPr>
        <w:jc w:val="both"/>
        <w:ind w:left="660" w:hanging="328"/>
        <w:spacing w:after="0" w:line="30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February 2019, Altisource and Ocwen entered into agreements that, among other things, facilitated Ocwen’s transition from REALServicing and related technologies to another mortgage servicing software platform. The transition was completed during 2019. For the six months ended June 30, 2019, service revenue from REALServicing and related technologies was $11.6 million ($4.6 million for the second quarter of 2019).</w:t>
      </w: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November 2018, the Company announced its plans to sell its short-term investments in real estate and exit the Company’s BRS business. For the three and six months ended June 30, 2019, service revenue from BRS was $39.7 million and $42.2 million, respectively (no comparative amount for the three and six months ended June 30, 2020).</w:t>
      </w:r>
    </w:p>
    <w:p>
      <w:pPr>
        <w:spacing w:after="0" w:line="2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May 2019, the Company began selling its investment in RESI common stock. During the three and six months ended June 30, 2019, the Company sold 0.6 million shares for net proceeds of approximately $6.5 million (no comparative amount for the three and six months ended June 30, 2020). As required by the senior secure term loan agreement, the Company is using the net proceeds to repay a portion of its senior secured term loan.</w:t>
      </w:r>
    </w:p>
    <w:p>
      <w:pPr>
        <w:spacing w:after="0" w:line="2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October 2019, the Company announced its plans to wind down and close the Owners.com business, which was completed by December 31, 2019. For the three and six months ended June 30, 2019, service revenue from Owners.com was $2.2 million and $3.8 million, respectively (no comparative amount for the three and six months ended June 30, 2020).</w:t>
      </w:r>
    </w:p>
    <w:p>
      <w:pPr>
        <w:spacing w:after="0" w:line="21"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certain existing court precedent. During the six months ended June 30, 2019, the Company completed the analysis of its services for potential exposure to sales tax in various jurisdictions in the United States. The Company recognized a $2.1 million net loss for the six months ended June 30, 2019 in selling, general and administrative expenses in the accompanying condensed consolidated statements of operations and comprehensive loss (no comparative amount for the six months ended June 30, 2020 and the second quarter of 2020 and 2019). The Company began invoicing, collecting and remitting sales tax in applicable jurisdictions in 2019. The Company is also in the process of seeking additional reimbursements for sales tax payments from clients; however, there can be no assurance that the Company will be successful in collecting some or all of such additional reimbursements.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Future changes in our estimated sales tax exposure could result in a material adjustment to our consolidated financial statements which would impact our financial condition and results of operations.</w:t>
      </w:r>
    </w:p>
    <w:p>
      <w:pPr>
        <w:spacing w:after="0" w:line="8" w:lineRule="exact"/>
        <w:rPr>
          <w:sz w:val="20"/>
          <w:szCs w:val="20"/>
          <w:color w:val="auto"/>
        </w:rPr>
      </w:pPr>
    </w:p>
    <w:p>
      <w:pPr>
        <w:jc w:val="both"/>
        <w:ind w:left="660" w:hanging="328"/>
        <w:spacing w:after="0" w:line="272"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recognized an income tax provision of $3.5 million and $15.3 million for the six months ended June 30, 2020 and 2019, respectively ($1.1 million and $16.5 million for the second quarter of 2020 and 2019, respectively). The decreases in the income tax provision for the three and six months ended June 30, 2020 were primarily from a $12.3 million reduction in Luxembourg deferred tax assets in connection with a decrease in the Luxembourg statutory income tax rate from 26.0% to 24.9% in the second quarter of 2019. The income tax provisions on losses before income taxes and non-controlling interests for the three and six months ended June 30, 2020 were driven by income tax on transfer pricing income from US and foreign operations other than our Luxembourg operating company and no tax benefit on the pretax losses from our Luxembourg operating company for the three and six months ended June 30, 2020.</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5"/>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40" w:type="dxa"/>
            <w:vAlign w:val="bottom"/>
          </w:tcPr>
          <w:p>
            <w:pPr>
              <w:spacing w:after="0"/>
              <w:rPr>
                <w:sz w:val="13"/>
                <w:szCs w:val="13"/>
                <w:color w:val="auto"/>
              </w:rPr>
            </w:pPr>
          </w:p>
        </w:tc>
        <w:tc>
          <w:tcPr>
            <w:tcW w:w="108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0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 Increase</w:t>
            </w:r>
          </w:p>
        </w:tc>
        <w:tc>
          <w:tcPr>
            <w:tcW w:w="340" w:type="dxa"/>
            <w:vAlign w:val="bottom"/>
          </w:tcPr>
          <w:p>
            <w:pPr>
              <w:spacing w:after="0"/>
              <w:rPr>
                <w:sz w:val="13"/>
                <w:szCs w:val="13"/>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980" w:type="dxa"/>
            <w:vAlign w:val="bottom"/>
          </w:tcPr>
          <w:p>
            <w:pPr>
              <w:jc w:val="right"/>
              <w:ind w:right="54"/>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1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(decrease)</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9"/>
        </w:trPr>
        <w:tc>
          <w:tcPr>
            <w:tcW w:w="3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91,008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190,520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204,184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355,519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9,271</w:t>
            </w:r>
          </w:p>
        </w:tc>
        <w:tc>
          <w:tcPr>
            <w:tcW w:w="1080" w:type="dxa"/>
            <w:vAlign w:val="bottom"/>
            <w:gridSpan w:val="2"/>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1,680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95,342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196,535</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216,786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366,470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82,628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152,714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177,209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276,929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12,714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43,821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39,577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89,541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34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0"/>
                <w:szCs w:val="20"/>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24,701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36,516</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52,794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78,442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8,694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6,319</w:t>
            </w:r>
          </w:p>
        </w:tc>
        <w:tc>
          <w:tcPr>
            <w:tcW w:w="10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(Loss) income from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(17,756)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0"/>
                <w:szCs w:val="20"/>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(21,911)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(5,812)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(9,162)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(11,764)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Unrealized (loss) gain on investment 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equity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11,787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14,025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(Loss) income before income taxes 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(33,747)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11,909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(42,871)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7,943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(16,513)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(15,291)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(34,864)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(46,409)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(7,348)</w:t>
            </w:r>
          </w:p>
        </w:tc>
        <w:tc>
          <w:tcPr>
            <w:tcW w:w="1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63"/>
        </w:trPr>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Altisource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(35,061)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(5,844)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(46,711)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(9,028)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Gross profit/service revenue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(Loss) income from operations/service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16,214</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15,549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16,253</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16,214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15,549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16,253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was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80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0"/>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2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3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69"/>
        </w:trPr>
        <w:tc>
          <w:tcPr>
            <w:tcW w:w="3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Field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47,567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64,388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102,480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134,482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Marketplace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32,603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Mortgage and Real Estate Solutions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25,468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26,940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55,744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Earlier Stage Business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w:t>
            </w:r>
          </w:p>
        </w:tc>
        <w:tc>
          <w:tcPr>
            <w:tcW w:w="1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66,259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97,518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190,520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Field Services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Marketplace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1,544</w:t>
            </w:r>
          </w:p>
        </w:tc>
        <w:tc>
          <w:tcPr>
            <w:tcW w:w="1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3940" w:type="dxa"/>
            <w:vAlign w:val="bottom"/>
            <w:gridSpan w:val="2"/>
          </w:tcPr>
          <w:p>
            <w:pPr>
              <w:ind w:left="160"/>
              <w:spacing w:after="0"/>
              <w:rPr>
                <w:sz w:val="20"/>
                <w:szCs w:val="20"/>
                <w:color w:val="auto"/>
              </w:rPr>
            </w:pPr>
            <w:r>
              <w:rPr>
                <w:rFonts w:ascii="Arial" w:cs="Arial" w:eastAsia="Arial" w:hAnsi="Arial"/>
                <w:sz w:val="18"/>
                <w:szCs w:val="18"/>
                <w:color w:val="auto"/>
              </w:rPr>
              <w:t>Mortgage and Real Estate Solutions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736</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Mortgage and Real Estate Solutions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3"/>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95,342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196,535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216,786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366,470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recognized service revenue of $204.2 million for the six months ended June 30, 2020, a 43% decrease compared to the six months ended June 30, 2019 ($91.0 million for the second quarter of 2020, a 52% decrease compared to the second quarter of 2019), primarily from the 2019 sale, discontinuation and exit from certain businesses (resulting in a 33% and 26% decline in service revenue for the three and six months ended June 30, 2020, respectively). Service revenue was also lower during these periods from COVID-19 pandemic related governmental restrictions and changing vendor and consumer behavior on demand for Field Services, Marketplace and default related services in Mortgage and Real Estate Solutions. In addition, service revenue declined from a reduction in the size of Ocwen’s portfolio and NRZ’s more aggressive sale of homes at the foreclosure auction (which reduces our REO auction, brokerage, field services and title service revenue). These decreases were partially offset by a 5% and 19% increase in revenue from customers other than Ocwen, NRZ and RESI for the three and six months ended June 30, 2020, respectively, in our Field Services, Marketplace and Mortgage and Real Estate Solutions businesses from new customer on-boardings, market share expansion with existing customers, and higher origination related volumes driven by lower interest rates. Service revenue from the origination businesses such as loan fulfillment, loan certification, title, settlement and valuation services in Mortgage and Real Estate Solutions grew by 44% for the six months ended June 30, 2020 (35% for the second quarter of 2020). Other service revenue declined for the three and six months ended June 30, 2020 from the July 1, 2019 sale of the Financial Services Business, lower REALServicing revenue from Ocwen’s migration to another servicing system, the discontinuation of the BRS business and the wind down of Owners.com compared to the three and six months ended June 30, 2019.</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reimbursable expense revenue of $11.7 million for the six months ended June 30, 2020, a 26% increase compared to the six months ended June 30, 2019 ($3.8 million for the second quarter of 2020, a 20% decrease compared to the second quarter of 2019). The increase for the six months ended June 30, 2020 was primarily driven by an increase in reimbursable expense revenue from a new early stage disposition service offering (cash for keys program and evictions) initiated in June 2019 in Marketplace, partially offset by lower Field Services revenue consistent with the decline in service revenue discussed above. The decrease in reimbursable expense revenue for the second quarter of 2020 was primarily driven by lower Field Services revenue consistent with the decline in service revenue discussed above, partially offset by an increase in certain title and foreclosure trustee volumes in Mortgage and Real Estate Solutions and a new early stage disposition service offering in Marketplace.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w:t>
      </w:r>
    </w:p>
    <w:p>
      <w:pPr>
        <w:sectPr>
          <w:pgSz w:w="11900" w:h="16838" w:orient="portrait"/>
          <w:cols w:equalWidth="0" w:num="1">
            <w:col w:w="11240"/>
          </w:cols>
          <w:pgMar w:left="320" w:top="12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80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0"/>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2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3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36,806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41,761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58,588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89,901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121,169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9,060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3,840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4,775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Cost of real estate sold</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40,276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42,370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82,628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152,714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177,209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276,929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cost of revenue of $177.2 million for the six months ended June 30, 2020, a 36% decrease compared to the six months ended June 30, 2019 ($82.6 million for the second quarter of 2020, a 46% decrease compared to the second quarter of 2019). The decreases in compensation and benefits, outside fees and services and cost of real estate sold were primarily driven by lower service revenue in Field Services and Marketplace businesses, the July 1, 2019 sale of the Financial Services Business and the discontinuation of the BRS business and wind down of Owners.com discussed in the revenue section above. Compensation and benefits also decreased due to lower headcount and temporary reductions in compensation in connection with cash cost savings measures initiated in the second quarter of 2020 in response to the COVID-19 related decreases in service revenue discussed in the revenue section above and as a result of the Project Catalyst reorganization. The changes in reimbursable expenses were consistent with the changes in reimbursable expense revenue discussed in the revenue section above.</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Gross profit decreased to $39.6 million, representing 19% of service revenue, for the six months ended June 30, 2020 compared to $89.5 million, representing 25% of service revenue, for the six months ended June 30, 2019 (decreased to $12.7 million, representing 14% of service revenue, for the second quarter of 2020 compared to $43.8 million, representing 23% of service revenue, for the second quarter of 2019). Gross profit as a percentage of service revenue for the three and six months ended June 30, 2020 decreased compared to the three and six months ended June 30, 2019, primarily due to revenue mix with lower revenue from higher margin Marketplace businesses and the impact of the July 1, 2019 sale of the Financial Services Business. These decreases were partially offset by our COVID-19 cash cost savings measures, Project Catalyst cost reduction initiatives and higher revenue in the second quarter of 2019 from the sale of the majority of the short-term investments in real estate (“BRS Inventory”) that resulted in a $1.8 million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(“SG&amp;A”) expenses include payroll for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80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0"/>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2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3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69"/>
        </w:trPr>
        <w:tc>
          <w:tcPr>
            <w:tcW w:w="3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15,238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14,395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3,841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3,320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8,796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3"/>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24,701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36,516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52,794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78,442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SG&amp;A expenses for the six months ended June 30, 2020 of $52.8 million decreased by 33% compared to the six months ended June 30, 2019 ($24.7 million for the second quarter of 2020, a 32% decrease compared to the second quarter of 2019). The decreases were primarily driven by lower compensation and benefits, occupancy related costs, amortization of intangible assets, marketing costs and Other expenses. Compensation and benefits decreased as we reduced headcount and temporarily reduced compensation from COVID-19 cash cost savings measures and Project Catalyst cost reduction initiatives. The decreases in occupancy related costs primarily resulted from the July 1, 2019 sale of the Financial Services Business and facility consolidation initiatives. The decrease in amortization of intangible assets was driven by the completion of the amortization period of certain intangible assets during 2019, the July 1, 2019 sale of the Financial Services Business and lower revenue generated from the Homeward Residential, Inc. and Residential Capital, LLC portfolios (revenue-based amortization) consistent with the reduction in the size of Ocwen’s portfolio, discussed in the revenue section above. The decreases in marketing costs were primarily driven by the wind down of Owners.com in the fourth quarter of 2019. Other expenses decreased primarily due to lower travel and entertainment costs driven by lower headcount and COVID-19 travel restrictions and a $2.1 million contingent loss accrual for sales tax exposure in the United States recognized during the first quarter of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Altisource initiated Project Catalyst, a project intended to optimize our operations and reduce costs to better align its cost structure with its anticipated revenues and improve our operating margins. During the six months ended June 30, 2020 and 2019, Altisource incurred $8.7 million and $6.3 million, respectively ($5.8 million and $1.9 million for the second quarter of 2020 and 2019, respectively), of severance costs, professional services fees, facility consolidation costs, technology costs and business wind down costs related to the reorganization plan. Altisource expects to incur additional severance costs, professional services fees, technology costs and facility consolidation costs in connection with this internal reorganization, automation and other technology related activities and will expense those costs as incurred. Based on the Company’s analysis, it currently anticipates the future costs relating to Project Catalyst to be in the range of approximately $4 million to $7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decreased to a loss of $(21.9) million, representing (11)% of service revenue, for the six months ended June 30, 2020, compared to $4.8 million, representing 1% of service revenue, for the six months ended June 30, 2019 (decreased to a loss of $(17.8) million, representing (20)% of service revenue, for the second quarter of 2020 compared to $5.4 million, representing 3% of service revenue, for the second quarter of 2019). Income from operations as a percentage of service revenue decreased for the three and six months ended June 30, 2020 compared to the three and six months ended June 30, 2019, primarily as a result of lower gross profit margins and higher restructuring costs, partially offset by lower SG&amp;A expenses, as discussed 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principally includes interest expense, unrealized (loss) gain on our investment in RESI common shares and other non-operating gains and losses.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net was $(21.0) million for the six months ended June 30, 2020 compared to $3.2 million for the six months ended June 30, 2019 ($(16.0) million for the second quarter of 2020 and $6.5 million the second quarter of 2019). The decreases in other income were primarily driven by $(11.2) million and $(12.6) million unrealized losses on our investment in RESI common shares for the three and six months ended June 30, 2020, respectively, compared to $11.8 million and $14.0 million unrealized gains for the three and six months ended June 30, 2019, respectively. These decreases in other income were partially</w:t>
      </w:r>
    </w:p>
    <w:p>
      <w:pPr>
        <w:sectPr>
          <w:pgSz w:w="11900" w:h="16838" w:orient="portrait"/>
          <w:cols w:equalWidth="0" w:num="1">
            <w:col w:w="11240"/>
          </w:cols>
          <w:pgMar w:left="320" w:top="125" w:right="33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offset by lower interest expense during the three and six months ended June 30, 2020. Interest expense decreased primarily due to lower average outstanding balances of the senior secured term loan as a result of repayments during 2019 and lower interest rates. For the six months ended June 30, 2020, the interest rate of the senior secured term loan was 5.70% compared to 6.49% for the six months ended June 30, 2019 (5.45% for the second quarter of 2020 compared to 6.60% for the second quarter of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an income tax provision of $3.5 million and $15.3 million for the six months ended June 30, 2020 and 2019, respectively ($1.1 million and $16.5 million for the second quarter of 2020 and 2019, respectively). The decreases in the income tax provision for the three and six months ended June 30, 2020 were primarily from a $12.3 million reduction in Luxembourg deferred tax assets in connection with a decrease in the Luxembourg statutory income tax rate from 26.0% to 24.9% in the second quarter of 2019. The income tax provisions on losses before income taxes and non-controlling interests for the three and six months ended June 30, 2020 were driven by the income tax on transfer pricing income from US and foreign operations other than our Luxembourg operating company and no tax benefit on the pretax losses from our Luxembourg operating company for the three and six months ended June 30,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primary source of liquidity has historically been cash flow from operations and cash on hand. However, the COVID-19 pandemic has resulted in a reduction in cash flow from operations for the six months ended June 30, 2020, as lower service revenue has not been fully offset by cash cost savings initiatives.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capital investments and we anticipate that we may use cash from time to time to repurchase shares of our common stock. In addition, we consider and evaluate business acquisitions, dispositions, closures or other similar actions from time to time that are aligned with our strategy.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Altisource entered into the Credit Agreement pursuant to which Altisource borrowed $412.0 million in the form of Term B Loans and obtained a $15.0 million revolving credit facility. The Term B Loans mature in April 2024 and the revolving credit facility matures in April 2023. As of June 30, 2020, $293.8 million of the Term B Loans were outstanding. Borrowings under the revolving credit facility are not permitted if our leverage ratio exceeds to 3.50 to 1.00. There were no borrowings outstanding under the revolving credit facility as of June 30, 2020.</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mandatory repayments of the Term B Loans due until March 2023, when $1.3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is greater than 3.00 to 1.00, as calculated in accordance with the provisions of the Credit Agreement (the percentage increases if our leverage ratio exceeds 3.50 to 1.00). Certain mandatory prepayments reduce future contractual amortization payments by an amount equal to the mandatory prepayment.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Term B Loans as of June 30, 2020 was 5.00%.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six months ended June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3"/>
              </w:rPr>
              <w:t>% Increase (decrease)</w:t>
            </w:r>
          </w:p>
        </w:tc>
      </w:tr>
      <w:tr>
        <w:trPr>
          <w:trHeight w:val="270"/>
        </w:trPr>
        <w:tc>
          <w:tcPr>
            <w:tcW w:w="6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loss adjusted for non-cash items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31,161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1,995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33,156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6,629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financing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87</w:t>
            </w:r>
          </w:p>
        </w:tc>
      </w:tr>
      <w:tr>
        <w:trPr>
          <w:trHeight w:val="237"/>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25,074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cash equivalents and restricted cash at the beginning of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64,046</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w:t>
            </w:r>
          </w:p>
        </w:tc>
      </w:tr>
      <w:tr>
        <w:trPr>
          <w:trHeight w:val="263"/>
        </w:trPr>
        <w:tc>
          <w:tcPr>
            <w:tcW w:w="6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cash equivalents and restricted cash at the end of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89,120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income. For the six months ended June 30, 2020, cash flows used in operating activities were $(11.2) million, or approximately $(0.05) for every dollar of service revenue ($(0.11) for every dollar of service revenue for the second quarter of 2020), compared to cash flows provided by operating activities of $33.2 million, or approximately $0.09 for every dollar of service revenue for the six months ended June 30, 2019 ($0.21 for every dollar of service revenue for the second quarter of 2019). During the six months ended June 30, 2020, the decrease in cash provided by operating activities was driven by a $37.8 million increase in net loss, adjusted for non-cash items and higher cash used for changes in operating assets and liabilities of $6.5 million. The increase in net loss, adjusted for non-cash items, was primarily due to lower gross profit during the six months ended June 30, 2020 from lower service revenue driven by the COVID-19 pandemic, reduced customer volumes, the July 1, 2019 sale of the Financial Services Business and higher restructuring costs, partially offset by decreases in expenses as a result of COVID-19 cash cost savings measures, the Project Catalyst cost reduction initiatives and lower SG&amp;A expenses. The increase in cash used for changes in operating assets and liabilities was driven by the decrease in short-term investments in real estate of $39.5 million primarily related to the sale of the majority of the remaining BRS Inventory in the six months ended June 30, 2020. The cash flow impact of the prior year decrease in short-term investments was partially offset by a decrease in cash used for changes in operating assets and liabilities driven by $6.9 million of payments of sales tax accruals during the first quarter of 2019, lower cash payments for annual incentive compensation bonuses in the first quarter of 2020 by $7.3 million and a decrease in accounts receivable of $7.2 million for the six months ended June 30, 2020 compared to an increase in accounts receivable of $15.8 million during the six months ended June 30, 2019, largely driven by the timing of collections. During 2019, accounts receivable increased in part as a result of delays in receiving payments from Ocwen in connection with Ocwen’s transition to another mortgage servicing software platform.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from investing activities for the six months ended June 30, 2020 and 2019 consisted of additions to premises and equipment, and for the six months ended June 30, 2019, included proceeds from the sale of a business and proceeds from the sale of equity securities. Cash flows (used in) provided by investing activities were $(1.5) million and $6.6 million for the six months ended June 30, 2020 and 2019, respectively. The change in cash provided by investing activities was primarily driven by $6.5 million in proceeds received from the sale of a portion of our investment in RESI common stock during the second quarter of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from financing activities for the six months ended June 30, 2020 and 2019 primarily included payments of tax withholdings on issuance of restricted share units and restricted shares and distributions to non-controlling interests, and for the six months ended June 30, 2019, included repayments of long-term debt, the purchase of treasury shares and proceeds from stock option exercises. Cash flows used in financing activities were $(1.9) million and $(14.7) million for the six months ended June 30, 2020 and 2019, respectively. During the six months ended June 30, 2020 and 2019, we made payments of $(1.4) million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$(1.3)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six months ended June 30, 2020 and 2019, we distributed $(0.5) million and $(1.1) million to non-controlling interests, respectively. During the six months ended June 30, 2019, we used $(5.8) million for repayments of long-term debt related to proceeds received from the sale of RESI shares and we used $(6.7) million to repurchase shares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June 30, 2020</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future liquidity obligations primarily pertain to long-term debt interest expense under the Credit Agreement (see Liquidity section above) and lease payments. During the next 12 months, we expect to pay $14.7 million of interest expense (assuming no further principal repayments and the June 30, 2020 interest rate) under the Credit Agreement and make lease payments of $9.9 million.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existing cash and cash equivalents balances and our anticipated cash flows from operations will be sufficient to meet our liquidity needs, including to fund required interest payments and lease payments, for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2020, there were no significant changes to our contractual obligations from those identified in our Form 10-K for the fiscal year ended December 31, 2019 and this Form 10-Q, other than those that occur in the normal course of business. See Note 24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2019 filed with the SEC on March 5, 2020. There have been no material changes to our critical accounting policies during the six months ended June 30,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interest rate charged on the Term B Loan was 5.00%. The interest rate is calculated based on the Adjusted Eurodollar Rate (as defined in the senior secured term loan agreement) with a minimum floor of 1.00% plus 4.00%.</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principal amount outstanding and the Adjusted Eurodollar Rate as of June 30, 2020, a one percentage point increase in the Eurodollar rate would increase our annual interest expense by approximately $2.9 million. There would be no decrease in our annual interest expense if there was a one percentage point decrease in the Eurodollar Rate, as a result of the 1.00% minimum floor.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second quarter of 2020, a one percentage point increase or decrease in value of the Indian rupee in relation to the United States dollar would increase or decrease our annual expenses by approximately $0.5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2020.</w:t>
      </w:r>
    </w:p>
    <w:p>
      <w:pPr>
        <w:spacing w:after="0" w:line="13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the date of this filing, there have been no material changes in our risk factors from those disclosed in Part I, Item 1A, of our Form 10-K for the year ended December 31, 2019 filed with the SEC on March 5, 2020, except as discussed in our Form 10-Q for the quarterly period ended March 31,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no purchases of shares of common stock during the three months ended June 30, 2020. 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 As of June 30, 2020, the maximum number of shares that may be purchased under the repurchase program is 2.4 million shares of the Company’s common stock. In addition to the share repurchase program, during the three months ended June 30, 2020, 26,530 common shares were withheld from employees to satisfy tax withholding obligations that arose from the vesting of restricted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9960" w:type="dxa"/>
            <w:vAlign w:val="bottom"/>
            <w:gridSpan w:val="3"/>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17"/>
        </w:trPr>
        <w:tc>
          <w:tcPr>
            <w:tcW w:w="380" w:type="dxa"/>
            <w:vAlign w:val="bottom"/>
          </w:tcPr>
          <w:p>
            <w:pPr>
              <w:ind w:left="40"/>
              <w:spacing w:after="0"/>
              <w:rPr>
                <w:rFonts w:ascii="Arial" w:cs="Arial" w:eastAsia="Arial" w:hAnsi="Arial"/>
                <w:sz w:val="18"/>
                <w:szCs w:val="18"/>
                <w:u w:val="single" w:color="auto"/>
                <w:color w:val="0000FF"/>
                <w:w w:val="91"/>
              </w:rPr>
            </w:pPr>
            <w:hyperlink w:anchor="page45">
              <w:r>
                <w:rPr>
                  <w:rFonts w:ascii="Arial" w:cs="Arial" w:eastAsia="Arial" w:hAnsi="Arial"/>
                  <w:sz w:val="18"/>
                  <w:szCs w:val="18"/>
                  <w:u w:val="single" w:color="auto"/>
                  <w:color w:val="0000FF"/>
                  <w:w w:val="91"/>
                </w:rPr>
                <w:t>10.1</w:t>
              </w:r>
            </w:hyperlink>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c>
          <w:tcPr>
            <w:tcW w:w="9960" w:type="dxa"/>
            <w:vAlign w:val="bottom"/>
            <w:gridSpan w:val="3"/>
          </w:tcPr>
          <w:p>
            <w:pPr>
              <w:spacing w:after="0"/>
              <w:rPr>
                <w:rFonts w:ascii="Arial" w:cs="Arial" w:eastAsia="Arial" w:hAnsi="Arial"/>
                <w:sz w:val="18"/>
                <w:szCs w:val="18"/>
                <w:color w:val="0000FF"/>
                <w:w w:val="97"/>
              </w:rPr>
            </w:pPr>
            <w:hyperlink w:anchor="page45">
              <w:r>
                <w:rPr>
                  <w:rFonts w:ascii="Arial" w:cs="Arial" w:eastAsia="Arial" w:hAnsi="Arial"/>
                  <w:sz w:val="18"/>
                  <w:szCs w:val="18"/>
                  <w:color w:val="0000FF"/>
                  <w:w w:val="97"/>
                </w:rPr>
                <w:t>Form of Restricted Stock Unit Award Agreement Pursuant to Altisource’s 2009 Equity Incentive Plan and 2020 Long Term Equity</w:t>
              </w:r>
            </w:hyperlink>
          </w:p>
        </w:tc>
      </w:tr>
      <w:tr>
        <w:trPr>
          <w:trHeight w:val="196"/>
        </w:trPr>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Incentive Program</w:t>
              </w:r>
            </w:hyperlink>
          </w:p>
        </w:tc>
        <w:tc>
          <w:tcPr>
            <w:tcW w:w="85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380" w:type="dxa"/>
            <w:vAlign w:val="bottom"/>
          </w:tcPr>
          <w:p>
            <w:pPr>
              <w:ind w:left="40"/>
              <w:spacing w:after="0"/>
              <w:rPr>
                <w:rFonts w:ascii="Arial" w:cs="Arial" w:eastAsia="Arial" w:hAnsi="Arial"/>
                <w:sz w:val="18"/>
                <w:szCs w:val="18"/>
                <w:u w:val="single" w:color="auto"/>
                <w:color w:val="0000FF"/>
                <w:w w:val="91"/>
              </w:rPr>
            </w:pPr>
            <w:hyperlink w:anchor="page56">
              <w:r>
                <w:rPr>
                  <w:rFonts w:ascii="Arial" w:cs="Arial" w:eastAsia="Arial" w:hAnsi="Arial"/>
                  <w:sz w:val="18"/>
                  <w:szCs w:val="18"/>
                  <w:u w:val="single" w:color="auto"/>
                  <w:color w:val="0000FF"/>
                  <w:w w:val="91"/>
                </w:rPr>
                <w:t>10.2</w:t>
              </w:r>
            </w:hyperlink>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c>
          <w:tcPr>
            <w:tcW w:w="9960" w:type="dxa"/>
            <w:vAlign w:val="bottom"/>
            <w:gridSpan w:val="3"/>
          </w:tcPr>
          <w:p>
            <w:pPr>
              <w:spacing w:after="0"/>
              <w:rPr>
                <w:rFonts w:ascii="Arial" w:cs="Arial" w:eastAsia="Arial" w:hAnsi="Arial"/>
                <w:sz w:val="18"/>
                <w:szCs w:val="18"/>
                <w:u w:val="single" w:color="auto"/>
                <w:color w:val="0000FF"/>
                <w:w w:val="94"/>
              </w:rPr>
            </w:pPr>
            <w:hyperlink w:anchor="page56">
              <w:r>
                <w:rPr>
                  <w:rFonts w:ascii="Arial" w:cs="Arial" w:eastAsia="Arial" w:hAnsi="Arial"/>
                  <w:sz w:val="18"/>
                  <w:szCs w:val="18"/>
                  <w:u w:val="single" w:color="auto"/>
                  <w:color w:val="0000FF"/>
                  <w:w w:val="94"/>
                </w:rPr>
                <w:t>Form of Restricted Stock Unit Award Agreement Pursuant to Altisource’s 2009 Equity Incentive Plan and 2019 Annual Incentive Plan</w:t>
              </w:r>
            </w:hyperlink>
          </w:p>
        </w:tc>
      </w:tr>
      <w:tr>
        <w:trPr>
          <w:trHeight w:val="392"/>
        </w:trPr>
        <w:tc>
          <w:tcPr>
            <w:tcW w:w="380" w:type="dxa"/>
            <w:vAlign w:val="bottom"/>
          </w:tcPr>
          <w:p>
            <w:pPr>
              <w:ind w:left="40"/>
              <w:spacing w:after="0"/>
              <w:rPr>
                <w:rFonts w:ascii="Arial" w:cs="Arial" w:eastAsia="Arial" w:hAnsi="Arial"/>
                <w:sz w:val="18"/>
                <w:szCs w:val="18"/>
                <w:u w:val="single" w:color="auto"/>
                <w:color w:val="0000FF"/>
                <w:w w:val="91"/>
              </w:rPr>
            </w:pPr>
            <w:hyperlink w:anchor="page65">
              <w:r>
                <w:rPr>
                  <w:rFonts w:ascii="Arial" w:cs="Arial" w:eastAsia="Arial" w:hAnsi="Arial"/>
                  <w:sz w:val="18"/>
                  <w:szCs w:val="18"/>
                  <w:u w:val="single" w:color="auto"/>
                  <w:color w:val="0000FF"/>
                  <w:w w:val="91"/>
                </w:rPr>
                <w:t>31.1</w:t>
              </w:r>
            </w:hyperlink>
          </w:p>
        </w:tc>
        <w:tc>
          <w:tcPr>
            <w:tcW w:w="760" w:type="dxa"/>
            <w:vAlign w:val="bottom"/>
          </w:tcPr>
          <w:p>
            <w:pPr>
              <w:ind w:left="2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Section 302 Certification of the Chief Executive Officer pursuant to Exchange Act Rule 13a-14(a)</w:t>
              </w:r>
            </w:hyperlink>
          </w:p>
        </w:tc>
      </w:tr>
      <w:tr>
        <w:trPr>
          <w:trHeight w:val="392"/>
        </w:trPr>
        <w:tc>
          <w:tcPr>
            <w:tcW w:w="380" w:type="dxa"/>
            <w:vAlign w:val="bottom"/>
          </w:tcPr>
          <w:p>
            <w:pPr>
              <w:ind w:left="40"/>
              <w:spacing w:after="0"/>
              <w:rPr>
                <w:rFonts w:ascii="Arial" w:cs="Arial" w:eastAsia="Arial" w:hAnsi="Arial"/>
                <w:sz w:val="18"/>
                <w:szCs w:val="18"/>
                <w:u w:val="single" w:color="auto"/>
                <w:color w:val="0000FF"/>
                <w:w w:val="91"/>
              </w:rPr>
            </w:pPr>
            <w:hyperlink w:anchor="page66">
              <w:r>
                <w:rPr>
                  <w:rFonts w:ascii="Arial" w:cs="Arial" w:eastAsia="Arial" w:hAnsi="Arial"/>
                  <w:sz w:val="18"/>
                  <w:szCs w:val="18"/>
                  <w:u w:val="single" w:color="auto"/>
                  <w:color w:val="0000FF"/>
                  <w:w w:val="91"/>
                </w:rPr>
                <w:t>31.2</w:t>
              </w:r>
            </w:hyperlink>
          </w:p>
        </w:tc>
        <w:tc>
          <w:tcPr>
            <w:tcW w:w="760" w:type="dxa"/>
            <w:vAlign w:val="bottom"/>
          </w:tcPr>
          <w:p>
            <w:pPr>
              <w:ind w:left="2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Section 302 Certification of the Chief Financial Officer pursuant to Exchange Act Rule 13a-14(a)</w:t>
              </w:r>
            </w:hyperlink>
          </w:p>
        </w:tc>
      </w:tr>
      <w:tr>
        <w:trPr>
          <w:trHeight w:val="392"/>
        </w:trPr>
        <w:tc>
          <w:tcPr>
            <w:tcW w:w="380" w:type="dxa"/>
            <w:vAlign w:val="bottom"/>
          </w:tcPr>
          <w:p>
            <w:pPr>
              <w:ind w:left="40"/>
              <w:spacing w:after="0"/>
              <w:rPr>
                <w:rFonts w:ascii="Arial" w:cs="Arial" w:eastAsia="Arial" w:hAnsi="Arial"/>
                <w:sz w:val="18"/>
                <w:szCs w:val="18"/>
                <w:u w:val="single" w:color="auto"/>
                <w:color w:val="0000FF"/>
                <w:w w:val="91"/>
              </w:rPr>
            </w:pPr>
            <w:hyperlink w:anchor="page67">
              <w:r>
                <w:rPr>
                  <w:rFonts w:ascii="Arial" w:cs="Arial" w:eastAsia="Arial" w:hAnsi="Arial"/>
                  <w:sz w:val="18"/>
                  <w:szCs w:val="18"/>
                  <w:u w:val="single" w:color="auto"/>
                  <w:color w:val="0000FF"/>
                  <w:w w:val="91"/>
                </w:rPr>
                <w:t>32.1</w:t>
              </w:r>
            </w:hyperlink>
          </w:p>
        </w:tc>
        <w:tc>
          <w:tcPr>
            <w:tcW w:w="760" w:type="dxa"/>
            <w:vAlign w:val="bottom"/>
          </w:tcPr>
          <w:p>
            <w:pPr>
              <w:ind w:left="2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
          </w:tcPr>
          <w:p>
            <w:pPr>
              <w:spacing w:after="0"/>
              <w:rPr>
                <w:rFonts w:ascii="Arial" w:cs="Arial" w:eastAsia="Arial" w:hAnsi="Arial"/>
                <w:sz w:val="18"/>
                <w:szCs w:val="18"/>
                <w:u w:val="single" w:color="auto"/>
                <w:color w:val="0000FF"/>
                <w:w w:val="96"/>
              </w:rPr>
            </w:pPr>
            <w:hyperlink w:anchor="page67">
              <w:r>
                <w:rPr>
                  <w:rFonts w:ascii="Arial" w:cs="Arial" w:eastAsia="Arial" w:hAnsi="Arial"/>
                  <w:sz w:val="18"/>
                  <w:szCs w:val="18"/>
                  <w:u w:val="single" w:color="auto"/>
                  <w:color w:val="0000FF"/>
                  <w:w w:val="96"/>
                </w:rPr>
                <w:t>Certification by the Chief Executive Officer and Chief Financial Officer pursuant to Section 906 of the Sarbanes-Oxley Act of 2002</w:t>
              </w:r>
            </w:hyperlink>
          </w:p>
        </w:tc>
      </w:tr>
      <w:tr>
        <w:trPr>
          <w:trHeight w:val="377"/>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3"/>
              </w:rPr>
              <w:t>Pursuant to Rule 405 of Regulation S-T, the following financial information from the Company’s Quarterly Report on Form 10-Q for the</w:t>
            </w: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1"/>
              </w:rPr>
              <w:t>period ended June 30, 2020 is formatted in Inline XBRL interactive data files: (i) Condensed Consolidated Balance Sheets as of June 30,</w:t>
            </w: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3"/>
              </w:rPr>
              <w:t>2020 and December 31, 2019; (ii) Condensed Consolidated Statements of Operations and Comprehensive Loss for the three and six</w:t>
            </w: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1"/>
              </w:rPr>
              <w:t>months ended June 30, 2020 and 2019; (iii) Condensed Consolidated Statements of Equity for the six months ended June 30, 2020 and</w:t>
            </w: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5"/>
              </w:rPr>
              <w:t>2019; (iv) Condensed Consolidated Statements of Cash Flows for the six months ended June 30, 2020 and 2019; and (v) Notes to</w:t>
            </w:r>
          </w:p>
        </w:tc>
      </w:tr>
      <w:tr>
        <w:trPr>
          <w:trHeight w:val="230"/>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Condensed Consolidated Financial Statements.</w:t>
            </w:r>
          </w:p>
        </w:tc>
      </w:tr>
      <w:tr>
        <w:trPr>
          <w:trHeight w:val="392"/>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______________________________________</w:t>
      </w:r>
    </w:p>
    <w:p>
      <w:pPr>
        <w:spacing w:after="0" w:line="63" w:lineRule="exact"/>
        <w:rPr>
          <w:sz w:val="20"/>
          <w:szCs w:val="20"/>
          <w:color w:val="auto"/>
        </w:rPr>
      </w:pPr>
    </w:p>
    <w:p>
      <w:pPr>
        <w:ind w:left="1280" w:hanging="1245"/>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540" w:right="5420" w:hanging="5505"/>
        <w:spacing w:after="0" w:line="592" w:lineRule="auto"/>
        <w:tabs>
          <w:tab w:leader="none" w:pos="1283"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Denotes a management contract or compensatory arrangement. 43</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ALTISOURCE PORTFOLIO SOLUTIONS S.A.</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20" w:val="left"/>
          <w:tab w:leader="none" w:pos="6420" w:val="left"/>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27774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(On behalf of the Registrant and as its Principal Financial</w:t>
      </w:r>
    </w:p>
    <w:p>
      <w:pPr>
        <w:spacing w:after="0" w:line="3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4" w:name="page45"/>
    <w:bookmarkEnd w:id="44"/>
    <w:p>
      <w:pPr>
        <w:ind w:left="10320"/>
        <w:spacing w:after="0"/>
        <w:rPr>
          <w:sz w:val="20"/>
          <w:szCs w:val="20"/>
          <w:color w:val="auto"/>
        </w:rPr>
      </w:pPr>
      <w:r>
        <w:rPr>
          <w:rFonts w:ascii="Arial" w:cs="Arial" w:eastAsia="Arial" w:hAnsi="Arial"/>
          <w:sz w:val="16"/>
          <w:szCs w:val="16"/>
          <w:b w:val="1"/>
          <w:bCs w:val="1"/>
          <w:color w:val="auto"/>
        </w:rPr>
        <w:t>Exhibit 10.1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ALTISOURCE’S 2009 EQUITY INCENTIVE PLAN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LONG TERM EQUITY INCENTIVE PROGRAM</w:t>
      </w:r>
    </w:p>
    <w:p>
      <w:pPr>
        <w:spacing w:after="0" w:line="236"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THIS RESTRICTED STOCK UNIT AWARD AGREEMENT </w:t>
      </w:r>
      <w:r>
        <w:rPr>
          <w:rFonts w:ascii="Arial" w:cs="Arial" w:eastAsia="Arial" w:hAnsi="Arial"/>
          <w:sz w:val="19"/>
          <w:szCs w:val="19"/>
          <w:color w:val="auto"/>
        </w:rPr>
        <w:t>(the “Agreement”) is made and entered into as of January 24,</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2020 (the “Grant Date”) by and between </w:t>
      </w:r>
      <w:r>
        <w:rPr>
          <w:rFonts w:ascii="Arial" w:cs="Arial" w:eastAsia="Arial" w:hAnsi="Arial"/>
          <w:sz w:val="19"/>
          <w:szCs w:val="19"/>
          <w:b w:val="1"/>
          <w:bCs w:val="1"/>
          <w:color w:val="auto"/>
        </w:rPr>
        <w:t>Altisource Portfolio Solutions S.A.</w:t>
      </w:r>
      <w:r>
        <w:rPr>
          <w:rFonts w:ascii="Arial" w:cs="Arial" w:eastAsia="Arial" w:hAnsi="Arial"/>
          <w:sz w:val="19"/>
          <w:szCs w:val="19"/>
          <w:color w:val="auto"/>
        </w:rPr>
        <w:t>, a Luxembourg société anonyme (“Altisource” and, together with its subsidiaries and affiliates, the “Company”), and [ ], an employee of the Company (the “Employee”).</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by awarding the Employee restricted units for shares of its common stock, par value $1.00</w:t>
      </w:r>
      <w:r>
        <w:rPr>
          <w:rFonts w:ascii="Arial" w:cs="Arial" w:eastAsia="Arial" w:hAnsi="Arial"/>
          <w:sz w:val="22"/>
          <w:szCs w:val="22"/>
          <w:b w:val="1"/>
          <w:bCs w:val="1"/>
          <w:color w:val="auto"/>
        </w:rPr>
        <w:t xml:space="preserve"> </w:t>
      </w:r>
      <w:r>
        <w:rPr>
          <w:rFonts w:ascii="Arial" w:cs="Arial" w:eastAsia="Arial" w:hAnsi="Arial"/>
          <w:sz w:val="22"/>
          <w:szCs w:val="22"/>
          <w:color w:val="auto"/>
        </w:rPr>
        <w:t>per share (“Shares”), to further the objectives of the Company’s 2009 Equity Incentive Plan, as amended and restated (the “2009 Plan”).</w:t>
      </w:r>
    </w:p>
    <w:p>
      <w:pPr>
        <w:spacing w:after="0" w:line="176" w:lineRule="exact"/>
        <w:rPr>
          <w:sz w:val="20"/>
          <w:szCs w:val="20"/>
          <w:color w:val="auto"/>
        </w:rPr>
      </w:pPr>
    </w:p>
    <w:p>
      <w:pPr>
        <w:jc w:val="both"/>
        <w:spacing w:after="0" w:line="349"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hereinafter set forth and for other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and intending to be legally bound hereby, the parties hereto have agreed, and do hereby agree, as follows:</w:t>
      </w:r>
    </w:p>
    <w:p>
      <w:pPr>
        <w:spacing w:after="0" w:line="9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RESTRICTED STOCK UNIT AWARD</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Company hereby grants to the Employee, pursuant to and subject to the 2009 Plan, [ ] Restricted Stock Units (the “Restricted Stock Units” or “RSUs”), on the terms and conditions set forth herein (the “RSU Award”), consisting of [ ] Type I performance-based RSUs (“Type I RSUs”) and [ ] Type II performance-based RSUs (“Type II RSUs”) that shall vest subject to the terms and conditions described in Section 2. Each RSU represents a right for the Employee to receive one Share (or cash, if so determined pursuant to Section 5 Subsection B), as determined in the sole discretion of the Committee, subject to the terms and conditions of this Agreement and the Plan.</w:t>
      </w:r>
    </w:p>
    <w:p>
      <w:pPr>
        <w:spacing w:after="0" w:line="18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RSU AWARD</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Type I RSUs shall vest in three equal increments on the first, second and third anniversaries of the Grant Date, subject to the Employee meeting a minimum performance level of fifty percent (50%) on his or her annual scorecard for the preceding service year.</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Type II RSUs shall be earned and vest entirely on the third anniversary of the Grant Date, subject to the Company’s (i) achievement of corporate adjusted earnings per share (“EPS”) during 2020-2022 (the “Performance Period”); and (ii) total shareholder return (“TSR”) versus the return of the Russell 3000 Index during the “Performance Period, as described in Exhibit A.</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as provided in Section 4 and Section 8 below, no RSUs will vest unless the Employee is, at the time of vesting, an employee of the Company and not under a notice of resignation.</w:t>
      </w:r>
    </w:p>
    <w:p>
      <w:pPr>
        <w:spacing w:after="0" w:line="16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SHAREHOLDER RIGHTS; DIVIDEND EQUIVALENT RIGHTS</w:t>
      </w:r>
    </w:p>
    <w:p>
      <w:pPr>
        <w:spacing w:after="0" w:line="172"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Shareholder Rights</w:t>
      </w:r>
    </w:p>
    <w:p>
      <w:pPr>
        <w:spacing w:after="0" w:line="1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RSUs are an unfunded promise to deliver Shares (or cash, if so determined pursuant to Section 5 Subsection B) in the future if the requirements of the RSU Award and the Plan are met. Prior to issuance of Shares, if any, to the Employee in settlement of the RSU Award pursuant to Section 5 below, the Employee has no ownership rights in Shares or shareholder rights.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1</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1240"/>
          </w:cols>
          <w:pgMar w:left="320" w:top="553" w:right="339" w:bottom="1440" w:gutter="0" w:footer="0" w:header="0"/>
        </w:sectPr>
      </w:pPr>
    </w:p>
    <w:bookmarkStart w:id="45" w:name="page46"/>
    <w:bookmarkEnd w:id="45"/>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Dividend Equivalents</w:t>
      </w:r>
    </w:p>
    <w:p>
      <w:pPr>
        <w:spacing w:after="0" w:line="166"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Each RSU shall include dividend equivalent rights that entitle the Employee, simultaneously upon the settlement of the RSU pursuant to Section 5 below, to receive a cash payment equal to any dividends declared on a Share (“Dividend Equivalents”) from the Grant Date through the day immediately before the issuance date of the Share in settlement of the RSU. If for any reason, the Employee does not become entitled to receive a Share in settlement of an RSU, the Employee will forfeit the dividend equivalent rights associated with such RSU. Dividend Equivalents shall not accrue interest. For the avoidance of doubt, Employee shall have no right to receive the Dividend Equivalents unless and until the associated RSUs vest.</w:t>
      </w:r>
    </w:p>
    <w:p>
      <w:pPr>
        <w:spacing w:after="0" w:line="196"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Non-Transferability of the RSU Award</w:t>
      </w:r>
    </w:p>
    <w:p>
      <w:pPr>
        <w:spacing w:after="0" w:line="16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This RSU Award is nontransferable and neither the RSU Award nor the RSUs may be assigned, transferred, pledged or hypothecated in any way (whether by operation of law or otherwise) and shall not be subject to execution, attachment or similar process. Any attempted assignment, transfer, pledge, hypothecation or other disposition of the RSU Award contrary to the provisions hereof, and the levy of any execution, attachment or similar process upon the RSU Award, shall be null and void and without effect.</w:t>
      </w:r>
    </w:p>
    <w:p>
      <w:pPr>
        <w:spacing w:after="0" w:line="19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RSUs Are Unfunded and Unsecured</w:t>
      </w:r>
    </w:p>
    <w:p>
      <w:pPr>
        <w:spacing w:after="0" w:line="220"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22"/>
          <w:szCs w:val="22"/>
          <w:color w:val="auto"/>
        </w:rPr>
        <w:t>RSUs are an unfunded and unsecured promise to deliver Shares in the future (or cash, if so determined pursuant to Section 5 Subsection B), subject to the terms of this Agreement and the Plan. The Employee’s rights under this Agreement are no greater than an unsecured, general creditor of the Company.</w:t>
      </w:r>
    </w:p>
    <w:p>
      <w:pPr>
        <w:spacing w:after="0" w:line="17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RSU AWARD</w:t>
      </w:r>
    </w:p>
    <w:p>
      <w:pPr>
        <w:spacing w:after="0" w:line="171" w:lineRule="exact"/>
        <w:rPr>
          <w:rFonts w:ascii="Arial" w:cs="Arial" w:eastAsia="Arial" w:hAnsi="Arial"/>
          <w:sz w:val="22"/>
          <w:szCs w:val="22"/>
          <w:b w:val="1"/>
          <w:bCs w:val="1"/>
          <w:color w:val="auto"/>
        </w:rPr>
      </w:pPr>
    </w:p>
    <w:p>
      <w:pPr>
        <w:ind w:left="66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If, prior to vesting of the entire RSU Award, the Employee's employment terminates, the RSU Award shall terminate in accordance with the 2009 Plan except as follows:</w:t>
      </w:r>
    </w:p>
    <w:p>
      <w:pPr>
        <w:spacing w:after="0" w:line="174" w:lineRule="exact"/>
        <w:rPr>
          <w:rFonts w:ascii="Arial" w:cs="Arial" w:eastAsia="Arial" w:hAnsi="Arial"/>
          <w:sz w:val="22"/>
          <w:szCs w:val="22"/>
          <w:b w:val="1"/>
          <w:bCs w:val="1"/>
          <w:color w:val="auto"/>
        </w:rPr>
      </w:pPr>
    </w:p>
    <w:p>
      <w:pPr>
        <w:jc w:val="both"/>
        <w:ind w:left="1300" w:hanging="644"/>
        <w:spacing w:after="0" w:line="250" w:lineRule="auto"/>
        <w:tabs>
          <w:tab w:leader="none" w:pos="1300" w:val="left"/>
        </w:tabs>
        <w:numPr>
          <w:ilvl w:val="1"/>
          <w:numId w:val="27"/>
        </w:numPr>
        <w:rPr>
          <w:rFonts w:ascii="Arial" w:cs="Arial" w:eastAsia="Arial" w:hAnsi="Arial"/>
          <w:sz w:val="22"/>
          <w:szCs w:val="22"/>
          <w:color w:val="auto"/>
        </w:rPr>
      </w:pPr>
      <w:r>
        <w:rPr>
          <w:rFonts w:ascii="Arial" w:cs="Arial" w:eastAsia="Arial" w:hAnsi="Arial"/>
          <w:sz w:val="22"/>
          <w:szCs w:val="22"/>
          <w:color w:val="auto"/>
        </w:rPr>
        <w:t>by the Company for Cause or termination of employment by the Employee (other than by reason of Retirement), then the RSU Award shall terminate and all unvested RSUs shall be forfeited by the Employee as of the date of termination of employment or, in the case of the Employee’s resignation, on the date the Employee provides notice of his or her resignation.</w:t>
      </w:r>
    </w:p>
    <w:p>
      <w:pPr>
        <w:spacing w:after="0" w:line="133" w:lineRule="exact"/>
        <w:rPr>
          <w:rFonts w:ascii="Arial" w:cs="Arial" w:eastAsia="Arial" w:hAnsi="Arial"/>
          <w:sz w:val="22"/>
          <w:szCs w:val="22"/>
          <w:color w:val="auto"/>
        </w:rPr>
      </w:pPr>
    </w:p>
    <w:p>
      <w:pPr>
        <w:jc w:val="both"/>
        <w:ind w:left="1300" w:hanging="644"/>
        <w:spacing w:after="0" w:line="259" w:lineRule="auto"/>
        <w:tabs>
          <w:tab w:leader="none" w:pos="1300" w:val="left"/>
        </w:tabs>
        <w:numPr>
          <w:ilvl w:val="1"/>
          <w:numId w:val="27"/>
        </w:numPr>
        <w:rPr>
          <w:rFonts w:ascii="Arial" w:cs="Arial" w:eastAsia="Arial" w:hAnsi="Arial"/>
          <w:sz w:val="21"/>
          <w:szCs w:val="21"/>
          <w:color w:val="auto"/>
        </w:rPr>
      </w:pPr>
      <w:r>
        <w:rPr>
          <w:rFonts w:ascii="Arial" w:cs="Arial" w:eastAsia="Arial" w:hAnsi="Arial"/>
          <w:sz w:val="21"/>
          <w:szCs w:val="21"/>
          <w:color w:val="auto"/>
        </w:rPr>
        <w:t>by the Company without Cause (other than by reason of Retirement), then (i) any unvested Type I RSUs that are scheduled to vest within twelve (12) months of such termination of employment under Section 2 above shall vest as of the date of termination of employment, and the remainder of the unvested Type I RSUs (if any) shall be forfeited by the Employee as of the date of termination of employment; and (ii) if the respective performance criteria for Type II RSUs have been satisfied on or prior to the ninety (90) day anniversary of the date of such termination of employment, such Type II RSUs shall vest as of the date the criteria are met, provided, however, that in both cases (i) and (ii) the Employee has been employed by the Company for at least two years as of the date of such termination of employment.</w:t>
      </w:r>
    </w:p>
    <w:p>
      <w:pPr>
        <w:spacing w:after="0" w:line="129" w:lineRule="exact"/>
        <w:rPr>
          <w:rFonts w:ascii="Arial" w:cs="Arial" w:eastAsia="Arial" w:hAnsi="Arial"/>
          <w:sz w:val="21"/>
          <w:szCs w:val="21"/>
          <w:color w:val="auto"/>
        </w:rPr>
      </w:pPr>
    </w:p>
    <w:p>
      <w:pPr>
        <w:jc w:val="both"/>
        <w:ind w:left="1300" w:hanging="644"/>
        <w:spacing w:after="0" w:line="250" w:lineRule="auto"/>
        <w:tabs>
          <w:tab w:leader="none" w:pos="1300" w:val="left"/>
        </w:tabs>
        <w:numPr>
          <w:ilvl w:val="1"/>
          <w:numId w:val="27"/>
        </w:numPr>
        <w:rPr>
          <w:rFonts w:ascii="Arial" w:cs="Arial" w:eastAsia="Arial" w:hAnsi="Arial"/>
          <w:sz w:val="22"/>
          <w:szCs w:val="22"/>
          <w:color w:val="auto"/>
        </w:rPr>
      </w:pPr>
      <w:r>
        <w:rPr>
          <w:rFonts w:ascii="Arial" w:cs="Arial" w:eastAsia="Arial" w:hAnsi="Arial"/>
          <w:sz w:val="22"/>
          <w:szCs w:val="22"/>
          <w:color w:val="auto"/>
        </w:rPr>
        <w:t>by reason of Retirement, death or Disability of the Employee, then all unvested Type I RSUs shall vest thirty (30) days after the date of such termination of employment, and all unvested Type II RSUs shall be forfeited unless the performance criteria are achieved within 90 days of such termination, in which case the Type II RSUs shall vest in accordance with Section 2, Subsection B above.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2</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1240"/>
          </w:cols>
          <w:pgMar w:left="320" w:top="564" w:right="339" w:bottom="1440" w:gutter="0" w:footer="0" w:header="0"/>
        </w:sectPr>
      </w:pPr>
    </w:p>
    <w:bookmarkStart w:id="46" w:name="page47"/>
    <w:bookmarkEnd w:id="46"/>
    <w:p>
      <w:pPr>
        <w:jc w:val="both"/>
        <w:ind w:left="1300" w:hanging="644"/>
        <w:spacing w:after="0" w:line="302" w:lineRule="auto"/>
        <w:tabs>
          <w:tab w:leader="none" w:pos="13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Employee’s right to accelerated vesting of RSUs following termination of employment under this Section 4 is subject in all cases to the requirement that the Employee has been employed with the Company for a period of at least two (2) years in the case of termination without Cause, Disability or death, or three (3) years in the case of Retirement, unless otherwise determined by the Company in its sole discretion.</w:t>
      </w:r>
    </w:p>
    <w:p>
      <w:pPr>
        <w:spacing w:after="0" w:line="88" w:lineRule="exact"/>
        <w:rPr>
          <w:rFonts w:ascii="Arial" w:cs="Arial" w:eastAsia="Arial" w:hAnsi="Arial"/>
          <w:sz w:val="19"/>
          <w:szCs w:val="19"/>
          <w:color w:val="auto"/>
        </w:rPr>
      </w:pPr>
    </w:p>
    <w:p>
      <w:pPr>
        <w:ind w:left="1300" w:hanging="644"/>
        <w:spacing w:after="0" w:line="263" w:lineRule="auto"/>
        <w:tabs>
          <w:tab w:leader="none" w:pos="13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In no event shall the granting of the RSU Award or its acceptance by the Employee give or be deemed to give the Employee any right to continued employment by the Company.</w:t>
      </w:r>
    </w:p>
    <w:p>
      <w:pPr>
        <w:spacing w:after="0" w:line="114" w:lineRule="exact"/>
        <w:rPr>
          <w:rFonts w:ascii="Arial" w:cs="Arial" w:eastAsia="Arial" w:hAnsi="Arial"/>
          <w:sz w:val="22"/>
          <w:szCs w:val="22"/>
          <w:color w:val="auto"/>
        </w:rPr>
      </w:pPr>
    </w:p>
    <w:p>
      <w:pPr>
        <w:ind w:left="660" w:hanging="652"/>
        <w:spacing w:after="0"/>
        <w:tabs>
          <w:tab w:leader="none" w:pos="6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RSUs.</w:t>
      </w:r>
    </w:p>
    <w:p>
      <w:pPr>
        <w:spacing w:after="0" w:line="171" w:lineRule="exact"/>
        <w:rPr>
          <w:rFonts w:ascii="Arial" w:cs="Arial" w:eastAsia="Arial" w:hAnsi="Arial"/>
          <w:sz w:val="22"/>
          <w:szCs w:val="22"/>
          <w:b w:val="1"/>
          <w:bCs w:val="1"/>
          <w:color w:val="auto"/>
        </w:rPr>
      </w:pPr>
    </w:p>
    <w:p>
      <w:pPr>
        <w:jc w:val="both"/>
        <w:ind w:left="1300" w:hanging="644"/>
        <w:spacing w:after="0" w:line="253" w:lineRule="auto"/>
        <w:tabs>
          <w:tab w:leader="none" w:pos="13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Subject to Section 7.B, each vested RSU shall be settled in one Share (less applicable tax withholdings), as soon as practicable following and no later than the March 15th following the calendar year in which the RSU vests pursuant to Section 2 or 4 of this Agreement.</w:t>
      </w:r>
    </w:p>
    <w:p>
      <w:pPr>
        <w:spacing w:after="0" w:line="131"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Notwithstanding the foregoing or any other provision of this Agreement, and subject in all cases to the terms of the 2009 Plan then in effect, the Company reserves the right to settle your RSUs by a lump sum cash payment equal to the then fair market value (as determined pursuant to Section 7) of the settled Shares (less applicable tax withholdings).</w:t>
      </w:r>
    </w:p>
    <w:p>
      <w:pPr>
        <w:spacing w:after="0" w:line="127" w:lineRule="exact"/>
        <w:rPr>
          <w:rFonts w:ascii="Arial" w:cs="Arial" w:eastAsia="Arial" w:hAnsi="Arial"/>
          <w:sz w:val="22"/>
          <w:szCs w:val="22"/>
          <w:color w:val="auto"/>
        </w:rPr>
      </w:pPr>
    </w:p>
    <w:p>
      <w:pPr>
        <w:ind w:left="660" w:hanging="652"/>
        <w:spacing w:after="0"/>
        <w:tabs>
          <w:tab w:leader="none" w:pos="6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UPON TERMINATION OF EMPLOYMENT; CLAW-BACK POLICY</w:t>
      </w:r>
    </w:p>
    <w:p>
      <w:pPr>
        <w:spacing w:after="0" w:line="171" w:lineRule="exact"/>
        <w:rPr>
          <w:rFonts w:ascii="Arial" w:cs="Arial" w:eastAsia="Arial" w:hAnsi="Arial"/>
          <w:sz w:val="22"/>
          <w:szCs w:val="22"/>
          <w:b w:val="1"/>
          <w:bCs w:val="1"/>
          <w:color w:val="auto"/>
        </w:rPr>
      </w:pPr>
    </w:p>
    <w:p>
      <w:pPr>
        <w:jc w:val="both"/>
        <w:ind w:left="1300" w:hanging="644"/>
        <w:spacing w:after="0" w:line="288" w:lineRule="auto"/>
        <w:tabs>
          <w:tab w:leader="none" w:pos="13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For a period of two (2) years following the Employee’s departure from the Company, the Employee shall not: (i) within the territory where the Employee is working or within which the Employee had responsibility at the time of termination, perform, either directly or indirectly, on behalf of a competitor the same or similar job duties that Employee performed on behalf of the Company in the two (2) years prior to departure, (ii) solicit, directly or indirectly, any employee of the Company to leave the employ of the Company for employment, hire, or engagement as an independent contractor elsewhere, (iii) solicit the sale of competitive goods or services from any customer, supplier, licensee, or business relation of the Company with which Employee had material contact (as that term is defined at O.C.G.A. § 13-8-51(10)) or solicit the aforementioned categories of entities to reduce their relationships with the Company, or (iv) share, reveal or utilize any Confidential Information of the Company except as otherwise expressly permitted in writing by Altisource.</w:t>
      </w:r>
    </w:p>
    <w:p>
      <w:pPr>
        <w:spacing w:after="0" w:line="105" w:lineRule="exact"/>
        <w:rPr>
          <w:rFonts w:ascii="Arial" w:cs="Arial" w:eastAsia="Arial" w:hAnsi="Arial"/>
          <w:sz w:val="19"/>
          <w:szCs w:val="19"/>
          <w:color w:val="auto"/>
        </w:rPr>
      </w:pPr>
    </w:p>
    <w:p>
      <w:pPr>
        <w:jc w:val="both"/>
        <w:ind w:left="1300" w:hanging="644"/>
        <w:spacing w:after="0" w:line="263" w:lineRule="auto"/>
        <w:tabs>
          <w:tab w:leader="none" w:pos="1300" w:val="left"/>
        </w:tabs>
        <w:numPr>
          <w:ilvl w:val="1"/>
          <w:numId w:val="29"/>
        </w:numPr>
        <w:rPr>
          <w:rFonts w:ascii="Arial" w:cs="Arial" w:eastAsia="Arial" w:hAnsi="Arial"/>
          <w:sz w:val="21"/>
          <w:szCs w:val="21"/>
          <w:color w:val="auto"/>
        </w:rPr>
      </w:pPr>
      <w:r>
        <w:rPr>
          <w:rFonts w:ascii="Arial" w:cs="Arial" w:eastAsia="Arial" w:hAnsi="Arial"/>
          <w:sz w:val="21"/>
          <w:szCs w:val="21"/>
          <w:color w:val="auto"/>
        </w:rPr>
        <w:t>For a period of two (2) years following the Employee’s departure from the Company, the Employee shall be available at reasonable times to provide information to the Company at the request of the Company’s management with respect to phases of the business with which he/she was actively connected during his/her employment, but such availability shall not be required during usual vacation periods or periods of illness or other incapacity or without reasonable compensation and cost reimbursement.</w:t>
      </w:r>
    </w:p>
    <w:p>
      <w:pPr>
        <w:spacing w:after="0" w:line="121" w:lineRule="exact"/>
        <w:rPr>
          <w:rFonts w:ascii="Arial" w:cs="Arial" w:eastAsia="Arial" w:hAnsi="Arial"/>
          <w:sz w:val="21"/>
          <w:szCs w:val="21"/>
          <w:color w:val="auto"/>
        </w:rPr>
      </w:pPr>
    </w:p>
    <w:p>
      <w:pPr>
        <w:jc w:val="both"/>
        <w:ind w:left="1300" w:hanging="644"/>
        <w:spacing w:after="0" w:line="259" w:lineRule="auto"/>
        <w:tabs>
          <w:tab w:leader="none" w:pos="1300" w:val="left"/>
        </w:tabs>
        <w:numPr>
          <w:ilvl w:val="1"/>
          <w:numId w:val="29"/>
        </w:numPr>
        <w:rPr>
          <w:rFonts w:ascii="Arial" w:cs="Arial" w:eastAsia="Arial" w:hAnsi="Arial"/>
          <w:sz w:val="21"/>
          <w:szCs w:val="21"/>
          <w:color w:val="auto"/>
        </w:rPr>
      </w:pPr>
      <w:r>
        <w:rPr>
          <w:rFonts w:ascii="Arial" w:cs="Arial" w:eastAsia="Arial" w:hAnsi="Arial"/>
          <w:sz w:val="21"/>
          <w:szCs w:val="21"/>
          <w:color w:val="auto"/>
        </w:rPr>
        <w:t>In the event that the Employee fails to comply with any of the promises made in this Section 6, then in addition to and not in limitation of any and all other remedies available to the Company at law or in equity (a) RSUs, to the extent then unvested, will be immediately forfeited by the Employee and returned to the Company and (b) the Employee will be required to immediately deliver to the Company an amount (in cash or in Shares) equal to the amount of the market value of any Shares that have been issued to the Employee in settlement of a vested RSU (“Share Value”) at any time (or cash, if applicable) from one hundred eighty (180) days prior to the date of termination of employment to one hundred eighty (180) days after the date when the Company learns that the Employee has not complied with any such promise. The Employee will deliver such Share Value amount to the Company on such terms and</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3</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1240"/>
          </w:cols>
          <w:pgMar w:left="320" w:top="564" w:right="339" w:bottom="1440" w:gutter="0" w:footer="0" w:header="0"/>
        </w:sectPr>
      </w:pPr>
    </w:p>
    <w:bookmarkStart w:id="47" w:name="page48"/>
    <w:bookmarkEnd w:id="47"/>
    <w:p>
      <w:pPr>
        <w:jc w:val="both"/>
        <w:ind w:left="1300"/>
        <w:spacing w:after="0" w:line="244" w:lineRule="auto"/>
        <w:rPr>
          <w:sz w:val="20"/>
          <w:szCs w:val="20"/>
          <w:color w:val="auto"/>
        </w:rPr>
      </w:pPr>
      <w:r>
        <w:rPr>
          <w:rFonts w:ascii="Arial" w:cs="Arial" w:eastAsia="Arial" w:hAnsi="Arial"/>
          <w:sz w:val="19"/>
          <w:szCs w:val="19"/>
          <w:color w:val="auto"/>
        </w:rPr>
        <w:t>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 The Employee acknowledges that in the event that the covenants made in this Section 6 are not fulfilled, the damage to the Company would be irreparable. The Company, in addition to any other remedies available to it, including, without limitation, the remedies set forth in Section 6, Subsection C above, shall be entitled to injunctive relief against the Employee’s breach or threatened breach of said covenants. Employee specifically agrees that the subsidiaries and affiliates of Altisource are intended beneficiaries of the restrictions contained in this Paragraph 6 and that those subsidiaries and affiliates have the right to enforce the terms of this Paragraph 6.</w:t>
      </w:r>
    </w:p>
    <w:p>
      <w:pPr>
        <w:spacing w:after="0" w:line="134" w:lineRule="exact"/>
        <w:rPr>
          <w:sz w:val="20"/>
          <w:szCs w:val="20"/>
          <w:color w:val="auto"/>
        </w:rPr>
      </w:pPr>
    </w:p>
    <w:p>
      <w:pPr>
        <w:ind w:left="1300" w:hanging="644"/>
        <w:spacing w:after="0" w:line="287" w:lineRule="auto"/>
        <w:tabs>
          <w:tab w:leader="none" w:pos="1300" w:val="left"/>
        </w:tabs>
        <w:numPr>
          <w:ilvl w:val="1"/>
          <w:numId w:val="30"/>
        </w:numPr>
        <w:rPr>
          <w:rFonts w:ascii="Arial" w:cs="Arial" w:eastAsia="Arial" w:hAnsi="Arial"/>
          <w:sz w:val="21"/>
          <w:szCs w:val="21"/>
          <w:color w:val="auto"/>
        </w:rPr>
      </w:pPr>
      <w:r>
        <w:rPr>
          <w:rFonts w:ascii="Arial" w:cs="Arial" w:eastAsia="Arial" w:hAnsi="Arial"/>
          <w:sz w:val="21"/>
          <w:szCs w:val="21"/>
          <w:color w:val="auto"/>
        </w:rPr>
        <w:t>The Employee acknowledges that the Company would not have awarded the RSUs to the Employee under this Agreement absent the Employee’s agreement to be bound by the covenants made in this Section 6.</w:t>
      </w:r>
    </w:p>
    <w:p>
      <w:pPr>
        <w:spacing w:after="0" w:line="97" w:lineRule="exact"/>
        <w:rPr>
          <w:rFonts w:ascii="Arial" w:cs="Arial" w:eastAsia="Arial" w:hAnsi="Arial"/>
          <w:sz w:val="21"/>
          <w:szCs w:val="21"/>
          <w:color w:val="auto"/>
        </w:rPr>
      </w:pPr>
    </w:p>
    <w:p>
      <w:pPr>
        <w:ind w:left="1300" w:hanging="644"/>
        <w:spacing w:after="0" w:line="263" w:lineRule="auto"/>
        <w:tabs>
          <w:tab w:leader="none" w:pos="13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RSUs shall be subject to any claw-back policy implemented by the Board of Directors of the Company or any Successor Entity.</w:t>
      </w:r>
    </w:p>
    <w:p>
      <w:pPr>
        <w:spacing w:after="0" w:line="114" w:lineRule="exact"/>
        <w:rPr>
          <w:rFonts w:ascii="Arial" w:cs="Arial" w:eastAsia="Arial" w:hAnsi="Arial"/>
          <w:sz w:val="22"/>
          <w:szCs w:val="22"/>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71" w:lineRule="exact"/>
        <w:rPr>
          <w:rFonts w:ascii="Arial" w:cs="Arial" w:eastAsia="Arial" w:hAnsi="Arial"/>
          <w:sz w:val="22"/>
          <w:szCs w:val="22"/>
          <w:b w:val="1"/>
          <w:bCs w:val="1"/>
          <w:color w:val="auto"/>
        </w:rPr>
      </w:pPr>
    </w:p>
    <w:p>
      <w:pPr>
        <w:ind w:left="1300" w:hanging="644"/>
        <w:spacing w:after="0"/>
        <w:tabs>
          <w:tab w:leader="none" w:pos="13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Generally</w:t>
      </w:r>
    </w:p>
    <w:p>
      <w:pPr>
        <w:spacing w:after="0" w:line="165" w:lineRule="exact"/>
        <w:rPr>
          <w:rFonts w:ascii="Arial" w:cs="Arial" w:eastAsia="Arial" w:hAnsi="Arial"/>
          <w:sz w:val="22"/>
          <w:szCs w:val="22"/>
          <w:color w:val="auto"/>
        </w:rPr>
      </w:pPr>
    </w:p>
    <w:p>
      <w:pPr>
        <w:jc w:val="both"/>
        <w:ind w:left="1300"/>
        <w:spacing w:after="0" w:line="286" w:lineRule="auto"/>
        <w:rPr>
          <w:rFonts w:ascii="Arial" w:cs="Arial" w:eastAsia="Arial" w:hAnsi="Arial"/>
          <w:sz w:val="22"/>
          <w:szCs w:val="22"/>
          <w:color w:val="auto"/>
        </w:rPr>
      </w:pPr>
      <w:r>
        <w:rPr>
          <w:rFonts w:ascii="Arial" w:cs="Arial" w:eastAsia="Arial" w:hAnsi="Arial"/>
          <w:sz w:val="19"/>
          <w:szCs w:val="19"/>
          <w:color w:val="auto"/>
        </w:rPr>
        <w:t>Except as provided in the next sentence, the Company shall withhold and/or receive the return of a number of Shares having a fair market value equal to the taxes that the Company determines it is required to withhold under applicable tax laws with respect to the RSUs (with such withholding obligation determined based on any applicable minimum statutory withholding rates), in connection with the vesting of RSUs. In the event the Company cannot (under applicable legal, regulatory, listing or other requirements) satisfy such tax withholding obligation in such method or the parties otherwise agree in writing, then the Company may satisfy such withholding by any one or combination of the following methods: (i) by requiring the Employee to pay such amount by check or wire transfer; (ii) by deducting such amount out of any other compensation otherwise payable to the Employee; and/or (iii) by allowing the Employee to surrender shares of Common Stock of the Company which (a) in the case of shares initially acquired from the Company (upon exercise of a stock option or otherwise), have been owned by the Employee for such period (if any) as may be required to avoid a charge to the Company’s earnings, and (b) have a fair market value on the date of surrender equal to the amount required to be withheld. For these purposes, the fair market value of the Shares to be withheld or repurchased, as applicable, shall be determined using the opening price of the Shares on the date that the amount of tax to be withheld is to be determined or, if such date falls on a day on which the NASDAQ Global Select Market is not open for active trading, using the opening price of the Shares on the next active trading day.</w:t>
      </w:r>
    </w:p>
    <w:p>
      <w:pPr>
        <w:spacing w:after="0" w:line="360" w:lineRule="exact"/>
        <w:rPr>
          <w:rFonts w:ascii="Arial" w:cs="Arial" w:eastAsia="Arial" w:hAnsi="Arial"/>
          <w:sz w:val="22"/>
          <w:szCs w:val="22"/>
          <w:color w:val="auto"/>
        </w:rPr>
      </w:pPr>
    </w:p>
    <w:p>
      <w:pPr>
        <w:ind w:left="1300" w:hanging="644"/>
        <w:spacing w:after="0"/>
        <w:tabs>
          <w:tab w:leader="none" w:pos="13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Section 409A.</w:t>
      </w:r>
    </w:p>
    <w:p>
      <w:pPr>
        <w:spacing w:after="0" w:line="165" w:lineRule="exact"/>
        <w:rPr>
          <w:rFonts w:ascii="Arial" w:cs="Arial" w:eastAsia="Arial" w:hAnsi="Arial"/>
          <w:sz w:val="22"/>
          <w:szCs w:val="22"/>
          <w:color w:val="auto"/>
        </w:rPr>
      </w:pPr>
    </w:p>
    <w:p>
      <w:pPr>
        <w:jc w:val="both"/>
        <w:ind w:left="1300"/>
        <w:spacing w:after="0" w:line="297" w:lineRule="auto"/>
        <w:rPr>
          <w:rFonts w:ascii="Arial" w:cs="Arial" w:eastAsia="Arial" w:hAnsi="Arial"/>
          <w:sz w:val="22"/>
          <w:szCs w:val="22"/>
          <w:color w:val="auto"/>
        </w:rPr>
      </w:pPr>
      <w:r>
        <w:rPr>
          <w:rFonts w:ascii="Arial" w:cs="Arial" w:eastAsia="Arial" w:hAnsi="Arial"/>
          <w:sz w:val="19"/>
          <w:szCs w:val="19"/>
          <w:color w:val="auto"/>
        </w:rPr>
        <w:t>The intent of the parties is that payments and benefits under this Agreement comply with or otherwise be exempt from Section 409A of the Internal Revenue Code of 1986, as amended and the regulations promulgated thereunder (the “Code”), and, accordingly, to the maximum extent permitted, this Agreement shall be interpreted either to be exempt from or in compliance therewith</w:t>
      </w:r>
      <w:r>
        <w:rPr>
          <w:rFonts w:ascii="Arial" w:cs="Arial" w:eastAsia="Arial" w:hAnsi="Arial"/>
          <w:sz w:val="19"/>
          <w:szCs w:val="19"/>
          <w:color w:val="002060"/>
        </w:rPr>
        <w:t>. I</w:t>
      </w:r>
      <w:r>
        <w:rPr>
          <w:rFonts w:ascii="Arial" w:cs="Arial" w:eastAsia="Arial" w:hAnsi="Arial"/>
          <w:sz w:val="19"/>
          <w:szCs w:val="19"/>
          <w:color w:val="auto"/>
        </w:rPr>
        <w:t>f any provision of this Agreement (or any award of compensation or benefits provided under this Agreement) would cause the Employee to incur any additional tax or</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4</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1240"/>
          </w:cols>
          <w:pgMar w:left="320" w:top="537" w:right="339" w:bottom="1440" w:gutter="0" w:footer="0" w:header="0"/>
        </w:sectPr>
      </w:pPr>
    </w:p>
    <w:bookmarkStart w:id="48" w:name="page49"/>
    <w:bookmarkEnd w:id="48"/>
    <w:p>
      <w:pPr>
        <w:jc w:val="both"/>
        <w:ind w:left="1300"/>
        <w:spacing w:after="0" w:line="288" w:lineRule="auto"/>
        <w:rPr>
          <w:sz w:val="20"/>
          <w:szCs w:val="20"/>
          <w:color w:val="auto"/>
        </w:rPr>
      </w:pPr>
      <w:r>
        <w:rPr>
          <w:rFonts w:ascii="Arial" w:cs="Arial" w:eastAsia="Arial" w:hAnsi="Arial"/>
          <w:sz w:val="19"/>
          <w:szCs w:val="19"/>
          <w:color w:val="auto"/>
        </w:rPr>
        <w:t>interest under Section 409A of the Code, the Company may reform such provision to comply with 409A. Notwithstanding the foregoing, Employee is solely responsible for any tax consequences Employee may incur under Code Section 409A and none of Altisource, its subsidiaries or any of their respective directors, officers, employees, agents or shareholders shall have any obligation to indemnify or hold Employee harmless from such taxes. If and to the extent any Shares that become vested and issuable under this RSU Award on account of the Employee’s Retirement constitute deferred compensation subject to Code 409A, such issuance shall occur when the Employee has incurred a “separation from service” within the meaning of Treasury Regulation Section 1.409A-1(h) (“Separation from Service”). Notwithstanding the foregoing, if at the time of the Employee’s Separation from Service, the Employee is a “specified employee” within the meaning of Treasury Regulation Section 1.409A-1(i), such Shares shall be issued to the Employee on the first business day of the seventh month following the Employee’s Separation from Service.</w:t>
      </w:r>
    </w:p>
    <w:p>
      <w:pPr>
        <w:spacing w:after="0" w:line="356"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TRANSACTIONS; CHANGE OF CONTROL/RESTRUCTURING EVENT</w:t>
      </w:r>
    </w:p>
    <w:p>
      <w:pPr>
        <w:spacing w:after="0" w:line="171" w:lineRule="exact"/>
        <w:rPr>
          <w:rFonts w:ascii="Arial" w:cs="Arial" w:eastAsia="Arial" w:hAnsi="Arial"/>
          <w:sz w:val="22"/>
          <w:szCs w:val="22"/>
          <w:b w:val="1"/>
          <w:bCs w:val="1"/>
          <w:color w:val="auto"/>
        </w:rPr>
      </w:pPr>
    </w:p>
    <w:p>
      <w:pPr>
        <w:ind w:left="1300" w:hanging="644"/>
        <w:spacing w:after="0"/>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Corporate Transactions</w:t>
      </w:r>
    </w:p>
    <w:p>
      <w:pPr>
        <w:spacing w:after="0" w:line="165" w:lineRule="exact"/>
        <w:rPr>
          <w:rFonts w:ascii="Arial" w:cs="Arial" w:eastAsia="Arial" w:hAnsi="Arial"/>
          <w:sz w:val="22"/>
          <w:szCs w:val="22"/>
          <w:color w:val="auto"/>
        </w:rPr>
      </w:pPr>
    </w:p>
    <w:p>
      <w:pPr>
        <w:jc w:val="both"/>
        <w:ind w:left="1300"/>
        <w:spacing w:after="0" w:line="265" w:lineRule="auto"/>
        <w:rPr>
          <w:rFonts w:ascii="Arial" w:cs="Arial" w:eastAsia="Arial" w:hAnsi="Arial"/>
          <w:sz w:val="22"/>
          <w:szCs w:val="22"/>
          <w:color w:val="auto"/>
        </w:rPr>
      </w:pPr>
      <w:r>
        <w:rPr>
          <w:rFonts w:ascii="Arial" w:cs="Arial" w:eastAsia="Arial" w:hAnsi="Arial"/>
          <w:sz w:val="21"/>
          <w:szCs w:val="21"/>
          <w:color w:val="auto"/>
        </w:rPr>
        <w:t>If there shall be any change in the Shares, through merger, consolidation, reorganization, recapitalization, stock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subject to the RSU Award.</w:t>
      </w:r>
    </w:p>
    <w:p>
      <w:pPr>
        <w:spacing w:after="0" w:line="121" w:lineRule="exact"/>
        <w:rPr>
          <w:rFonts w:ascii="Arial" w:cs="Arial" w:eastAsia="Arial" w:hAnsi="Arial"/>
          <w:sz w:val="22"/>
          <w:szCs w:val="22"/>
          <w:color w:val="auto"/>
        </w:rPr>
      </w:pPr>
    </w:p>
    <w:p>
      <w:pPr>
        <w:ind w:left="1300" w:hanging="644"/>
        <w:spacing w:after="0"/>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Change of Control/Restructuring Event</w:t>
      </w:r>
    </w:p>
    <w:p>
      <w:pPr>
        <w:spacing w:after="0" w:line="165" w:lineRule="exact"/>
        <w:rPr>
          <w:rFonts w:ascii="Arial" w:cs="Arial" w:eastAsia="Arial" w:hAnsi="Arial"/>
          <w:sz w:val="22"/>
          <w:szCs w:val="22"/>
          <w:color w:val="auto"/>
        </w:rPr>
      </w:pPr>
    </w:p>
    <w:p>
      <w:pPr>
        <w:jc w:val="both"/>
        <w:ind w:left="1960" w:hanging="656"/>
        <w:spacing w:after="0" w:line="285" w:lineRule="auto"/>
        <w:tabs>
          <w:tab w:leader="none" w:pos="1960" w:val="left"/>
        </w:tabs>
        <w:numPr>
          <w:ilvl w:val="2"/>
          <w:numId w:val="32"/>
        </w:numPr>
        <w:rPr>
          <w:rFonts w:ascii="Arial" w:cs="Arial" w:eastAsia="Arial" w:hAnsi="Arial"/>
          <w:sz w:val="19"/>
          <w:szCs w:val="19"/>
          <w:color w:val="auto"/>
        </w:rPr>
      </w:pPr>
      <w:r>
        <w:rPr>
          <w:rFonts w:ascii="Arial" w:cs="Arial" w:eastAsia="Arial" w:hAnsi="Arial"/>
          <w:sz w:val="19"/>
          <w:szCs w:val="19"/>
          <w:color w:val="auto"/>
        </w:rPr>
        <w:t>If a Change of Control/Restructuring Event occurs, the Board of Directors shall have the right to make appropriate adjustments, including, without limiting the generality of the foregoing, by (i) allowing the RSUs to continue in full force and effect in accordance with the terms hereof, (ii) issuing an equivalent award of shares in the Successor Entity as the Board of Directors deems equitable, (iii) cancelling the award for consideration (as the Board of Directors sees as equitable) which may equal the value of the consideration to be paid in the Change of Control/Restructuring Event to holders of Shares, or</w:t>
      </w:r>
    </w:p>
    <w:p>
      <w:pPr>
        <w:ind w:left="1960" w:hanging="8"/>
        <w:spacing w:after="0" w:line="246" w:lineRule="auto"/>
        <w:tabs>
          <w:tab w:leader="none" w:pos="2403" w:val="left"/>
        </w:tabs>
        <w:numPr>
          <w:ilvl w:val="3"/>
          <w:numId w:val="32"/>
        </w:numPr>
        <w:rPr>
          <w:rFonts w:ascii="Arial" w:cs="Arial" w:eastAsia="Arial" w:hAnsi="Arial"/>
          <w:sz w:val="22"/>
          <w:szCs w:val="22"/>
          <w:color w:val="auto"/>
        </w:rPr>
      </w:pPr>
      <w:r>
        <w:rPr>
          <w:rFonts w:ascii="Arial" w:cs="Arial" w:eastAsia="Arial" w:hAnsi="Arial"/>
          <w:sz w:val="22"/>
          <w:szCs w:val="22"/>
          <w:color w:val="auto"/>
        </w:rPr>
        <w:t>providing for vesting and settlement of the RSUs immediately prior to, and conditioned on consummation, of the Change of Control/Restructuring Event.</w:t>
      </w:r>
    </w:p>
    <w:p>
      <w:pPr>
        <w:spacing w:after="0" w:line="138" w:lineRule="exact"/>
        <w:rPr>
          <w:rFonts w:ascii="Arial" w:cs="Arial" w:eastAsia="Arial" w:hAnsi="Arial"/>
          <w:sz w:val="22"/>
          <w:szCs w:val="22"/>
          <w:color w:val="auto"/>
        </w:rPr>
      </w:pPr>
    </w:p>
    <w:p>
      <w:pPr>
        <w:jc w:val="both"/>
        <w:ind w:left="1960" w:hanging="656"/>
        <w:spacing w:after="0" w:line="247" w:lineRule="auto"/>
        <w:tabs>
          <w:tab w:leader="none" w:pos="1960" w:val="left"/>
        </w:tabs>
        <w:numPr>
          <w:ilvl w:val="2"/>
          <w:numId w:val="32"/>
        </w:numPr>
        <w:rPr>
          <w:rFonts w:ascii="Arial" w:cs="Arial" w:eastAsia="Arial" w:hAnsi="Arial"/>
          <w:sz w:val="22"/>
          <w:szCs w:val="22"/>
          <w:color w:val="auto"/>
        </w:rPr>
      </w:pPr>
      <w:r>
        <w:rPr>
          <w:rFonts w:ascii="Arial" w:cs="Arial" w:eastAsia="Arial" w:hAnsi="Arial"/>
          <w:sz w:val="22"/>
          <w:szCs w:val="22"/>
          <w:color w:val="auto"/>
        </w:rPr>
        <w:t>To the extent the Successor Entity allows the RSUs to continue in full force and effect in accordance with the terms hereof, the vesting schedule set forth in Section 2 will continue to apply (subject to the accelerated vesting provisions of Section 4); provided that, in such case, the Board of Directors shall have the right in its discretion to make appropriate adjustments, including, with the consent of the Successor Entity, equitably converting the consideration to be received upon the vesting of the RSUs to common stock of the Successor Entity.</w:t>
      </w:r>
    </w:p>
    <w:p>
      <w:pPr>
        <w:spacing w:after="0" w:line="138" w:lineRule="exact"/>
        <w:rPr>
          <w:rFonts w:ascii="Arial" w:cs="Arial" w:eastAsia="Arial" w:hAnsi="Arial"/>
          <w:sz w:val="22"/>
          <w:szCs w:val="22"/>
          <w:color w:val="auto"/>
        </w:rPr>
      </w:pPr>
    </w:p>
    <w:p>
      <w:pPr>
        <w:jc w:val="both"/>
        <w:ind w:left="1960" w:hanging="656"/>
        <w:spacing w:after="0" w:line="297" w:lineRule="auto"/>
        <w:tabs>
          <w:tab w:leader="none" w:pos="1960" w:val="left"/>
        </w:tabs>
        <w:numPr>
          <w:ilvl w:val="2"/>
          <w:numId w:val="32"/>
        </w:numPr>
        <w:rPr>
          <w:rFonts w:ascii="Arial" w:cs="Arial" w:eastAsia="Arial" w:hAnsi="Arial"/>
          <w:sz w:val="19"/>
          <w:szCs w:val="19"/>
          <w:color w:val="auto"/>
        </w:rPr>
      </w:pPr>
      <w:r>
        <w:rPr>
          <w:rFonts w:ascii="Arial" w:cs="Arial" w:eastAsia="Arial" w:hAnsi="Arial"/>
          <w:sz w:val="19"/>
          <w:szCs w:val="19"/>
          <w:color w:val="auto"/>
        </w:rPr>
        <w:t>Notwithstanding any provision of Section 8 Subsection B(1) and B(2) to the contrary, in the event a Change of Control/Restructuring Event occurs, if the RSUs are not assumed or replaced by the acquirer/continuing entity on terms deemed by the Compensation Committee to be appropriate, then the Compensation Committee shall have the right to (i) provide for vesting and settlement of the RSUs immediately prior to, and conditioned on consummation, of the Change of Control/Restructuring Event</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5</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1240"/>
          </w:cols>
          <w:pgMar w:left="320" w:top="564" w:right="339" w:bottom="1440" w:gutter="0" w:footer="0" w:header="0"/>
        </w:sectPr>
      </w:pPr>
    </w:p>
    <w:bookmarkStart w:id="49" w:name="page50"/>
    <w:bookmarkEnd w:id="49"/>
    <w:p>
      <w:pPr>
        <w:ind w:left="1960" w:right="20"/>
        <w:spacing w:after="0" w:line="232" w:lineRule="auto"/>
        <w:rPr>
          <w:sz w:val="20"/>
          <w:szCs w:val="20"/>
          <w:color w:val="auto"/>
        </w:rPr>
      </w:pPr>
      <w:r>
        <w:rPr>
          <w:rFonts w:ascii="Arial" w:cs="Arial" w:eastAsia="Arial" w:hAnsi="Arial"/>
          <w:sz w:val="22"/>
          <w:szCs w:val="22"/>
          <w:color w:val="auto"/>
        </w:rPr>
        <w:t>or (ii) to the extent the Successor Entity allows the RSUs to stay in place, to make appropriate adjustments to avoid an expansion or reduction in the value of the award.</w:t>
      </w:r>
    </w:p>
    <w:p>
      <w:pPr>
        <w:spacing w:after="0" w:line="132" w:lineRule="exact"/>
        <w:rPr>
          <w:sz w:val="20"/>
          <w:szCs w:val="20"/>
          <w:color w:val="auto"/>
        </w:rPr>
      </w:pPr>
    </w:p>
    <w:p>
      <w:pPr>
        <w:jc w:val="both"/>
        <w:ind w:left="1960" w:hanging="656"/>
        <w:spacing w:after="0" w:line="302" w:lineRule="auto"/>
        <w:tabs>
          <w:tab w:leader="none" w:pos="19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For the avoidance of doubt, in the event the Employee remains employed with the Successor Entity for purposes of this Agreement, he/she will be deemed to remain employed as if he/she continued employment with the Company such that the employment termination provisions applicable to the RSU Award shall not be invoked unless and until his/her employment with such Successor Entity shall terminate.</w:t>
      </w:r>
    </w:p>
    <w:p>
      <w:pPr>
        <w:spacing w:after="0" w:line="82" w:lineRule="exact"/>
        <w:rPr>
          <w:rFonts w:ascii="Arial" w:cs="Arial" w:eastAsia="Arial" w:hAnsi="Arial"/>
          <w:sz w:val="19"/>
          <w:szCs w:val="19"/>
          <w:color w:val="auto"/>
        </w:rPr>
      </w:pPr>
    </w:p>
    <w:p>
      <w:pPr>
        <w:ind w:left="660" w:hanging="652"/>
        <w:spacing w:after="0"/>
        <w:tabs>
          <w:tab w:leader="none" w:pos="66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EXPENSES AND COMPLIANCE WITH LAWS</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 shall reserve and keep available such number of Shares or access to cash and cash equivalents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32"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CONDITIONS</w:t>
      </w:r>
    </w:p>
    <w:p>
      <w:pPr>
        <w:spacing w:after="0" w:line="171" w:lineRule="exact"/>
        <w:rPr>
          <w:rFonts w:ascii="Arial" w:cs="Arial" w:eastAsia="Arial" w:hAnsi="Arial"/>
          <w:sz w:val="22"/>
          <w:szCs w:val="22"/>
          <w:b w:val="1"/>
          <w:bCs w:val="1"/>
          <w:color w:val="auto"/>
        </w:rPr>
      </w:pPr>
    </w:p>
    <w:p>
      <w:pPr>
        <w:jc w:val="both"/>
        <w:ind w:left="1300" w:hanging="644"/>
        <w:spacing w:after="0" w:line="284" w:lineRule="auto"/>
        <w:tabs>
          <w:tab w:leader="none" w:pos="13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Employee hereby represents and covenants that (a) any Share acquired upon the vesting of the RSU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Employee shall submit a written statement, in form satisfactory to the Company, to the effect that such representation (x) is true and correct as of the date of acquisition of any Shares hereunder or</w:t>
      </w:r>
    </w:p>
    <w:p>
      <w:pPr>
        <w:spacing w:after="0" w:line="1" w:lineRule="exact"/>
        <w:rPr>
          <w:rFonts w:ascii="Arial" w:cs="Arial" w:eastAsia="Arial" w:hAnsi="Arial"/>
          <w:sz w:val="19"/>
          <w:szCs w:val="19"/>
          <w:color w:val="auto"/>
        </w:rPr>
      </w:pPr>
    </w:p>
    <w:p>
      <w:pPr>
        <w:jc w:val="both"/>
        <w:ind w:left="1300" w:firstLine="4"/>
        <w:spacing w:after="0" w:line="244" w:lineRule="auto"/>
        <w:tabs>
          <w:tab w:leader="none" w:pos="1609" w:val="left"/>
        </w:tabs>
        <w:numPr>
          <w:ilvl w:val="2"/>
          <w:numId w:val="35"/>
        </w:numPr>
        <w:rPr>
          <w:rFonts w:ascii="Arial" w:cs="Arial" w:eastAsia="Arial" w:hAnsi="Arial"/>
          <w:sz w:val="22"/>
          <w:szCs w:val="22"/>
          <w:color w:val="auto"/>
        </w:rPr>
      </w:pPr>
      <w:r>
        <w:rPr>
          <w:rFonts w:ascii="Arial" w:cs="Arial" w:eastAsia="Arial" w:hAnsi="Arial"/>
          <w:sz w:val="22"/>
          <w:szCs w:val="22"/>
          <w:color w:val="auto"/>
        </w:rPr>
        <w:t>is true and correct as of the date of any sale of any such Shares, as applicable. As a further condition precedent to the delivery to the Employee of any Shares subject to the RSU Award, the Employee shall comply with all regulations and requirements of any regulatory authority having control of or supervision over the issuance of the Shares and, in connection therewith, shall execute any documents which the Company shall in its sole discretion deem necessary or advisable.</w:t>
      </w:r>
    </w:p>
    <w:p>
      <w:pPr>
        <w:spacing w:after="0" w:line="140" w:lineRule="exact"/>
        <w:rPr>
          <w:rFonts w:ascii="Arial" w:cs="Arial" w:eastAsia="Arial" w:hAnsi="Arial"/>
          <w:sz w:val="22"/>
          <w:szCs w:val="22"/>
          <w:color w:val="auto"/>
        </w:rPr>
      </w:pPr>
    </w:p>
    <w:p>
      <w:pPr>
        <w:jc w:val="both"/>
        <w:ind w:left="1300" w:hanging="644"/>
        <w:spacing w:after="0" w:line="292" w:lineRule="auto"/>
        <w:tabs>
          <w:tab w:leader="none" w:pos="13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RSU Award is subject to the condition that if the listing, registration or qualification of the Shares subject to the RSU Award upon any securities exchange or under any law, or the consent or approval of any governmental body, or the taking of any other action is necessary or desirable as a condition of, or in connection with, the vesting or delivery of the Shares hereunder, the Shares subject to the RSU Award shall not vest or be delivered, in whole or in part, unless such listing, registration, qualification, consent or approval shall have been effected or obtained, free of any conditions not acceptable to the Company. The Company shall use reasonable efforts to effect or obtain any such listing, registration, qualification, consent or approval.</w:t>
      </w:r>
    </w:p>
    <w:p>
      <w:pPr>
        <w:spacing w:after="0" w:line="90" w:lineRule="exact"/>
        <w:rPr>
          <w:rFonts w:ascii="Arial" w:cs="Arial" w:eastAsia="Arial" w:hAnsi="Arial"/>
          <w:sz w:val="19"/>
          <w:szCs w:val="19"/>
          <w:color w:val="auto"/>
        </w:rPr>
      </w:pPr>
    </w:p>
    <w:p>
      <w:pPr>
        <w:ind w:left="660" w:hanging="652"/>
        <w:spacing w:after="0"/>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71" w:lineRule="exact"/>
        <w:rPr>
          <w:rFonts w:ascii="Arial" w:cs="Arial" w:eastAsia="Arial" w:hAnsi="Arial"/>
          <w:sz w:val="22"/>
          <w:szCs w:val="22"/>
          <w:b w:val="1"/>
          <w:bCs w:val="1"/>
          <w:color w:val="auto"/>
        </w:rPr>
      </w:pPr>
    </w:p>
    <w:p>
      <w:pPr>
        <w:jc w:val="both"/>
        <w:ind w:left="1300" w:hanging="644"/>
        <w:spacing w:after="0" w:line="253" w:lineRule="auto"/>
        <w:tabs>
          <w:tab w:leader="none" w:pos="13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As used herein, the term “Board of Directors” shall mean the Board of Directors or Compensation Committee of Altisource or any Successor Entity, as applicable, and the term “Compensation Committee” shall mean the Compensation Committee of the Board of Directors of Altisource.</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6</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1240"/>
          </w:cols>
          <w:pgMar w:left="320" w:top="537" w:right="339" w:bottom="1440" w:gutter="0" w:footer="0" w:header="0"/>
        </w:sectPr>
      </w:pPr>
    </w:p>
    <w:bookmarkStart w:id="50" w:name="page51"/>
    <w:bookmarkEnd w:id="50"/>
    <w:p>
      <w:pPr>
        <w:jc w:val="both"/>
        <w:ind w:left="644" w:hanging="644"/>
        <w:spacing w:after="0" w:line="289"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As used herein, the term “Cause” shall mean, as reasonably determined by the Board of Directors (excluding the Employee, if he/she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involving fraud or embezzlement, whether or not committed in the course of the Employee’s employment with the Company. For avoidance of doubt, termination of employment as a result of a business reorganization or reduction in force will be deemed termination without Cause for purposes of the RSU Award.</w:t>
      </w:r>
    </w:p>
    <w:p>
      <w:pPr>
        <w:spacing w:after="0" w:line="102" w:lineRule="exact"/>
        <w:rPr>
          <w:rFonts w:ascii="Arial" w:cs="Arial" w:eastAsia="Arial" w:hAnsi="Arial"/>
          <w:sz w:val="19"/>
          <w:szCs w:val="19"/>
          <w:color w:val="auto"/>
        </w:rPr>
      </w:pPr>
    </w:p>
    <w:p>
      <w:pPr>
        <w:jc w:val="both"/>
        <w:ind w:left="644" w:hanging="644"/>
        <w:spacing w:after="0" w:line="247" w:lineRule="auto"/>
        <w:tabs>
          <w:tab w:leader="none" w:pos="6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As used herein, “Change of Control/Restructuring Date” shall mean either the date which includes the “closing” of the transaction which makes a Change of Control/Restructuring Event effective if the Change of Control/Restructuring Event is made effective through a transaction which has a “closing” or the date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38" w:lineRule="exact"/>
        <w:rPr>
          <w:rFonts w:ascii="Arial" w:cs="Arial" w:eastAsia="Arial" w:hAnsi="Arial"/>
          <w:sz w:val="22"/>
          <w:szCs w:val="22"/>
          <w:color w:val="auto"/>
        </w:rPr>
      </w:pPr>
    </w:p>
    <w:p>
      <w:pPr>
        <w:jc w:val="both"/>
        <w:ind w:left="644" w:hanging="644"/>
        <w:spacing w:after="0" w:line="286"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 Notwithstanding anything herein to the contrary, the definition of Change of Control Event set forth herein shall not be broader than the definition of “change in control event” as set forth under Section 409A of the Internal Revenue Code of 1986, as amended, and the guidance promulgated thereunder, and if a transaction or event does not otherwise fall within such definition of change in control event, it shall not be deemed a Change in Control for purposes of this Agreement.</w:t>
      </w:r>
    </w:p>
    <w:p>
      <w:pPr>
        <w:spacing w:after="0" w:line="111" w:lineRule="exact"/>
        <w:rPr>
          <w:rFonts w:ascii="Arial" w:cs="Arial" w:eastAsia="Arial" w:hAnsi="Arial"/>
          <w:sz w:val="19"/>
          <w:szCs w:val="19"/>
          <w:color w:val="auto"/>
        </w:rPr>
      </w:pPr>
    </w:p>
    <w:p>
      <w:pPr>
        <w:jc w:val="both"/>
        <w:ind w:left="644" w:hanging="644"/>
        <w:spacing w:after="0" w:line="287" w:lineRule="auto"/>
        <w:tabs>
          <w:tab w:leader="none" w:pos="644" w:val="left"/>
        </w:tabs>
        <w:numPr>
          <w:ilvl w:val="0"/>
          <w:numId w:val="36"/>
        </w:numPr>
        <w:rPr>
          <w:rFonts w:ascii="Arial" w:cs="Arial" w:eastAsia="Arial" w:hAnsi="Arial"/>
          <w:sz w:val="19"/>
          <w:szCs w:val="19"/>
          <w:color w:val="auto"/>
        </w:rPr>
      </w:pPr>
      <w:r>
        <w:rPr>
          <w:rFonts w:ascii="Arial" w:cs="Arial" w:eastAsia="Arial" w:hAnsi="Arial"/>
          <w:sz w:val="19"/>
          <w:szCs w:val="19"/>
          <w:color w:val="auto"/>
        </w:rPr>
        <w:t>As used herein, “Confidential Information” means all non-public, commercially valuable information relating to Company, including any of its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7</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0584"/>
          </w:cols>
          <w:pgMar w:left="976" w:top="564" w:right="339" w:bottom="1440" w:gutter="0" w:footer="0" w:header="0"/>
        </w:sectPr>
      </w:pPr>
    </w:p>
    <w:bookmarkStart w:id="51" w:name="page52"/>
    <w:bookmarkEnd w:id="51"/>
    <w:p>
      <w:pPr>
        <w:jc w:val="both"/>
        <w:ind w:left="1300"/>
        <w:spacing w:after="0" w:line="243" w:lineRule="auto"/>
        <w:rPr>
          <w:sz w:val="20"/>
          <w:szCs w:val="20"/>
          <w:color w:val="auto"/>
        </w:rPr>
      </w:pPr>
      <w:r>
        <w:rPr>
          <w:rFonts w:ascii="Arial" w:cs="Arial" w:eastAsia="Arial" w:hAnsi="Arial"/>
          <w:sz w:val="19"/>
          <w:szCs w:val="19"/>
          <w:color w:val="auto"/>
        </w:rPr>
        <w:t>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w:t>
      </w:r>
    </w:p>
    <w:p>
      <w:pPr>
        <w:spacing w:after="0" w:line="2"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132" w:lineRule="exact"/>
        <w:rPr>
          <w:sz w:val="20"/>
          <w:szCs w:val="20"/>
          <w:color w:val="auto"/>
        </w:rPr>
      </w:pPr>
    </w:p>
    <w:p>
      <w:pPr>
        <w:jc w:val="both"/>
        <w:ind w:left="1300" w:hanging="644"/>
        <w:spacing w:after="0" w:line="297" w:lineRule="auto"/>
        <w:tabs>
          <w:tab w:leader="none" w:pos="13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92"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As used herein, the term “Successor Entity” means the person that is formed by, replaces or otherwise survives the Company as a result of a transaction, series of transaction or restructuring with the effect that the Company ceases to exist.</w:t>
      </w:r>
    </w:p>
    <w:p>
      <w:pPr>
        <w:spacing w:after="0" w:line="131" w:lineRule="exact"/>
        <w:rPr>
          <w:rFonts w:ascii="Arial" w:cs="Arial" w:eastAsia="Arial" w:hAnsi="Arial"/>
          <w:sz w:val="22"/>
          <w:szCs w:val="22"/>
          <w:color w:val="auto"/>
        </w:rPr>
      </w:pPr>
    </w:p>
    <w:p>
      <w:pPr>
        <w:ind w:left="1300" w:hanging="644"/>
        <w:spacing w:after="0"/>
        <w:tabs>
          <w:tab w:leader="none" w:pos="13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Capitalized terms used but not defined in this Agreement shall have the meanings set forth in the 2009 Plan.</w:t>
      </w:r>
    </w:p>
    <w:p>
      <w:pPr>
        <w:spacing w:after="0" w:line="194" w:lineRule="exact"/>
        <w:rPr>
          <w:rFonts w:ascii="Arial" w:cs="Arial" w:eastAsia="Arial" w:hAnsi="Arial"/>
          <w:sz w:val="19"/>
          <w:szCs w:val="19"/>
          <w:color w:val="auto"/>
        </w:rPr>
      </w:pPr>
    </w:p>
    <w:p>
      <w:pPr>
        <w:ind w:left="660" w:hanging="652"/>
        <w:spacing w:after="0"/>
        <w:tabs>
          <w:tab w:leader="none" w:pos="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the event that the Board of Directors amends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rights under this Agreement may not be amended in a way that materially diminishes the value of the award without the Employee’s consent to the amendment.</w:t>
      </w:r>
    </w:p>
    <w:p>
      <w:pPr>
        <w:spacing w:after="0" w:line="8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w:t>
      </w:r>
    </w:p>
    <w:p>
      <w:pPr>
        <w:spacing w:after="0" w:line="17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any provision of this Agreement is held to be unenforceable, then this provision will be deemed amended to the extent necessary to render the otherwise unenforceable provision, and the rest of this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 Section 3, Section 6 Subsection C and Section 8), and its determinations shall be final, binding and conclusive.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8</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1240"/>
          </w:cols>
          <w:pgMar w:left="320" w:top="537" w:right="339" w:bottom="1440" w:gutter="0" w:footer="0" w:header="0"/>
        </w:sectPr>
      </w:pPr>
    </w:p>
    <w:bookmarkStart w:id="52" w:name="page53"/>
    <w:bookmarkEnd w:id="52"/>
    <w:p>
      <w:pPr>
        <w:ind w:left="660" w:hanging="652"/>
        <w:spacing w:after="0"/>
        <w:tabs>
          <w:tab w:leader="none" w:pos="6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72"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125"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The headings of the paragraphs of this Agreement are inserted for convenience only and shall not be deemed a part hereof.</w:t>
      </w:r>
    </w:p>
    <w:p>
      <w:pPr>
        <w:spacing w:after="0" w:line="19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CONFIRMING INFORMATION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accepting this Agreement, either through electronic means or by providing a signed copy, the Employee (i) acknowledges and confirms that he/she has read and understood the 2009 Plan and this Agreement and (ii) acknowledges that acceptance through electronic means is equivalent to doing so by providing a signed copy.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9</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1240"/>
          </w:cols>
          <w:pgMar w:left="320" w:top="558" w:right="339" w:bottom="1440" w:gutter="0" w:footer="0" w:header="0"/>
        </w:sectPr>
      </w:pPr>
    </w:p>
    <w:bookmarkStart w:id="53" w:name="page54"/>
    <w:bookmarkEnd w:id="53"/>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 hereby agree to and accept the terms of this Agreement.</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Attested by: ____________________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10</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1200"/>
          </w:cols>
          <w:pgMar w:left="360" w:top="1440" w:right="339" w:bottom="1440" w:gutter="0" w:footer="0" w:header="0"/>
        </w:sectPr>
      </w:pPr>
    </w:p>
    <w:bookmarkStart w:id="54" w:name="page55"/>
    <w:bookmarkEnd w:id="54"/>
    <w:p>
      <w:pPr>
        <w:ind w:left="506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TO</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Type II RSUs shall be earned and vest in a two-step process:</w:t>
      </w:r>
    </w:p>
    <w:p>
      <w:pPr>
        <w:spacing w:after="0" w:line="220" w:lineRule="exact"/>
        <w:rPr>
          <w:sz w:val="20"/>
          <w:szCs w:val="20"/>
          <w:color w:val="auto"/>
        </w:rPr>
      </w:pPr>
    </w:p>
    <w:p>
      <w:pPr>
        <w:jc w:val="both"/>
        <w:ind w:left="660" w:right="40"/>
        <w:spacing w:after="0" w:line="253" w:lineRule="auto"/>
        <w:rPr>
          <w:sz w:val="20"/>
          <w:szCs w:val="20"/>
          <w:color w:val="auto"/>
        </w:rPr>
      </w:pPr>
      <w:r>
        <w:rPr>
          <w:rFonts w:ascii="Arial" w:cs="Arial" w:eastAsia="Arial" w:hAnsi="Arial"/>
          <w:sz w:val="22"/>
          <w:szCs w:val="22"/>
          <w:u w:val="single" w:color="auto"/>
          <w:color w:val="auto"/>
        </w:rPr>
        <w:t>Step 1</w:t>
      </w:r>
      <w:r>
        <w:rPr>
          <w:rFonts w:ascii="Arial" w:cs="Arial" w:eastAsia="Arial" w:hAnsi="Arial"/>
          <w:sz w:val="22"/>
          <w:szCs w:val="22"/>
          <w:color w:val="auto"/>
        </w:rPr>
        <w:t>: Type II Performance-based RSU awards will be linked to achievement of the adjusted EPS goal during the Performance Period. The initial award amount will be based on the simple average of achievement level vis-à-vis budget for the three years based on the following linear scale:</w:t>
      </w:r>
    </w:p>
    <w:p>
      <w:pPr>
        <w:spacing w:after="0" w:line="328"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1700" w:type="dxa"/>
            <w:vAlign w:val="bottom"/>
            <w:tcBorders>
              <w:left w:val="single" w:sz="8" w:color="7F7F7F"/>
              <w:bottom w:val="single" w:sz="8" w:color="495463"/>
              <w:right w:val="single" w:sz="8" w:color="495463"/>
            </w:tcBorders>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FFFFF"/>
                <w:w w:val="92"/>
              </w:rPr>
              <w:t>Performance Metric</w:t>
            </w:r>
          </w:p>
        </w:tc>
        <w:tc>
          <w:tcPr>
            <w:tcW w:w="1900" w:type="dxa"/>
            <w:vAlign w:val="bottom"/>
            <w:tcBorders>
              <w:bottom w:val="single" w:sz="8" w:color="495463"/>
              <w:right w:val="single" w:sz="8" w:color="495463"/>
            </w:tcBorders>
            <w:shd w:val="clear" w:color="auto" w:fill="495463"/>
          </w:tcPr>
          <w:p>
            <w:pPr>
              <w:spacing w:after="0"/>
              <w:rPr>
                <w:sz w:val="22"/>
                <w:szCs w:val="22"/>
                <w:color w:val="auto"/>
              </w:rPr>
            </w:pPr>
          </w:p>
        </w:tc>
        <w:tc>
          <w:tcPr>
            <w:tcW w:w="5700" w:type="dxa"/>
            <w:vAlign w:val="bottom"/>
            <w:tcBorders>
              <w:bottom w:val="single" w:sz="8" w:color="495463"/>
              <w:right w:val="single" w:sz="8" w:color="495463"/>
            </w:tcBorders>
            <w:gridSpan w:val="3"/>
            <w:shd w:val="clear" w:color="auto" w:fill="495463"/>
          </w:tcPr>
          <w:p>
            <w:pPr>
              <w:jc w:val="center"/>
              <w:spacing w:after="0"/>
              <w:rPr>
                <w:sz w:val="20"/>
                <w:szCs w:val="20"/>
                <w:color w:val="auto"/>
              </w:rPr>
            </w:pPr>
            <w:r>
              <w:rPr>
                <w:rFonts w:ascii="Arial" w:cs="Arial" w:eastAsia="Arial" w:hAnsi="Arial"/>
                <w:sz w:val="18"/>
                <w:szCs w:val="18"/>
                <w:b w:val="1"/>
                <w:bCs w:val="1"/>
                <w:color w:val="FFFFFF"/>
                <w:w w:val="92"/>
              </w:rPr>
              <w:t>Initial award amount determined as % of Award</w:t>
            </w:r>
          </w:p>
        </w:tc>
        <w:tc>
          <w:tcPr>
            <w:tcW w:w="1880" w:type="dxa"/>
            <w:vAlign w:val="bottom"/>
            <w:tcBorders>
              <w:bottom w:val="single" w:sz="8" w:color="495463"/>
            </w:tcBorders>
            <w:shd w:val="clear" w:color="auto" w:fill="495463"/>
          </w:tcPr>
          <w:p>
            <w:pPr>
              <w:spacing w:after="0"/>
              <w:rPr>
                <w:sz w:val="22"/>
                <w:szCs w:val="22"/>
                <w:color w:val="auto"/>
              </w:rPr>
            </w:pPr>
          </w:p>
        </w:tc>
        <w:tc>
          <w:tcPr>
            <w:tcW w:w="20" w:type="dxa"/>
            <w:vAlign w:val="bottom"/>
            <w:tcBorders>
              <w:bottom w:val="single" w:sz="8" w:color="7F7F7F"/>
            </w:tcBorders>
            <w:shd w:val="clear" w:color="auto" w:fill="7F7F7F"/>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700" w:type="dxa"/>
            <w:vAlign w:val="bottom"/>
            <w:tcBorders>
              <w:left w:val="single" w:sz="8" w:color="7F7F7F"/>
              <w:right w:val="single" w:sz="8" w:color="495463"/>
            </w:tcBorders>
            <w:vMerge w:val="continue"/>
            <w:shd w:val="clear" w:color="auto" w:fill="495463"/>
          </w:tcPr>
          <w:p>
            <w:pPr>
              <w:spacing w:after="0"/>
              <w:rPr>
                <w:sz w:val="9"/>
                <w:szCs w:val="9"/>
                <w:color w:val="auto"/>
              </w:rPr>
            </w:pPr>
          </w:p>
        </w:tc>
        <w:tc>
          <w:tcPr>
            <w:tcW w:w="1900" w:type="dxa"/>
            <w:vAlign w:val="bottom"/>
            <w:tcBorders>
              <w:right w:val="single" w:sz="8" w:color="495463"/>
            </w:tcBorders>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FFFFF"/>
                <w:w w:val="90"/>
              </w:rPr>
              <w:t>Award Terminates</w:t>
            </w:r>
          </w:p>
        </w:tc>
        <w:tc>
          <w:tcPr>
            <w:tcW w:w="1900" w:type="dxa"/>
            <w:vAlign w:val="bottom"/>
            <w:tcBorders>
              <w:right w:val="single" w:sz="8" w:color="495463"/>
            </w:tcBorders>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2F2F2"/>
                <w:w w:val="99"/>
              </w:rPr>
              <w:t>50% - 99%</w:t>
            </w:r>
          </w:p>
        </w:tc>
        <w:tc>
          <w:tcPr>
            <w:tcW w:w="1920" w:type="dxa"/>
            <w:vAlign w:val="bottom"/>
            <w:tcBorders>
              <w:right w:val="single" w:sz="8" w:color="495463"/>
            </w:tcBorders>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2F2F2"/>
                <w:w w:val="95"/>
              </w:rPr>
              <w:t>100%</w:t>
            </w:r>
          </w:p>
        </w:tc>
        <w:tc>
          <w:tcPr>
            <w:tcW w:w="1880" w:type="dxa"/>
            <w:vAlign w:val="bottom"/>
            <w:tcBorders>
              <w:right w:val="single" w:sz="8" w:color="495463"/>
            </w:tcBorders>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2F2F2"/>
                <w:w w:val="96"/>
              </w:rPr>
              <w:t>101% - 149%</w:t>
            </w:r>
          </w:p>
        </w:tc>
        <w:tc>
          <w:tcPr>
            <w:tcW w:w="1880" w:type="dxa"/>
            <w:vAlign w:val="bottom"/>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2F2F2"/>
                <w:w w:val="99"/>
              </w:rPr>
              <w:t>150%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700" w:type="dxa"/>
            <w:vAlign w:val="bottom"/>
            <w:tcBorders>
              <w:left w:val="single" w:sz="8" w:color="7F7F7F"/>
              <w:bottom w:val="single" w:sz="8" w:color="495463"/>
              <w:right w:val="single" w:sz="8" w:color="495463"/>
            </w:tcBorders>
            <w:shd w:val="clear" w:color="auto" w:fill="495463"/>
          </w:tcPr>
          <w:p>
            <w:pPr>
              <w:spacing w:after="0"/>
              <w:rPr>
                <w:sz w:val="14"/>
                <w:szCs w:val="14"/>
                <w:color w:val="auto"/>
              </w:rPr>
            </w:pPr>
          </w:p>
        </w:tc>
        <w:tc>
          <w:tcPr>
            <w:tcW w:w="1900" w:type="dxa"/>
            <w:vAlign w:val="bottom"/>
            <w:tcBorders>
              <w:bottom w:val="single" w:sz="8" w:color="495463"/>
              <w:right w:val="single" w:sz="8" w:color="495463"/>
            </w:tcBorders>
            <w:vMerge w:val="continue"/>
            <w:shd w:val="clear" w:color="auto" w:fill="495463"/>
          </w:tcPr>
          <w:p>
            <w:pPr>
              <w:spacing w:after="0"/>
              <w:rPr>
                <w:sz w:val="14"/>
                <w:szCs w:val="14"/>
                <w:color w:val="auto"/>
              </w:rPr>
            </w:pPr>
          </w:p>
        </w:tc>
        <w:tc>
          <w:tcPr>
            <w:tcW w:w="1900" w:type="dxa"/>
            <w:vAlign w:val="bottom"/>
            <w:tcBorders>
              <w:bottom w:val="single" w:sz="8" w:color="495463"/>
              <w:right w:val="single" w:sz="8" w:color="495463"/>
            </w:tcBorders>
            <w:vMerge w:val="continue"/>
            <w:shd w:val="clear" w:color="auto" w:fill="495463"/>
          </w:tcPr>
          <w:p>
            <w:pPr>
              <w:spacing w:after="0"/>
              <w:rPr>
                <w:sz w:val="14"/>
                <w:szCs w:val="14"/>
                <w:color w:val="auto"/>
              </w:rPr>
            </w:pPr>
          </w:p>
        </w:tc>
        <w:tc>
          <w:tcPr>
            <w:tcW w:w="1920" w:type="dxa"/>
            <w:vAlign w:val="bottom"/>
            <w:tcBorders>
              <w:bottom w:val="single" w:sz="8" w:color="495463"/>
              <w:right w:val="single" w:sz="8" w:color="495463"/>
            </w:tcBorders>
            <w:vMerge w:val="continue"/>
            <w:shd w:val="clear" w:color="auto" w:fill="495463"/>
          </w:tcPr>
          <w:p>
            <w:pPr>
              <w:spacing w:after="0"/>
              <w:rPr>
                <w:sz w:val="14"/>
                <w:szCs w:val="14"/>
                <w:color w:val="auto"/>
              </w:rPr>
            </w:pPr>
          </w:p>
        </w:tc>
        <w:tc>
          <w:tcPr>
            <w:tcW w:w="1880" w:type="dxa"/>
            <w:vAlign w:val="bottom"/>
            <w:tcBorders>
              <w:bottom w:val="single" w:sz="8" w:color="495463"/>
              <w:right w:val="single" w:sz="8" w:color="495463"/>
            </w:tcBorders>
            <w:vMerge w:val="continue"/>
            <w:shd w:val="clear" w:color="auto" w:fill="495463"/>
          </w:tcPr>
          <w:p>
            <w:pPr>
              <w:spacing w:after="0"/>
              <w:rPr>
                <w:sz w:val="14"/>
                <w:szCs w:val="14"/>
                <w:color w:val="auto"/>
              </w:rPr>
            </w:pPr>
          </w:p>
        </w:tc>
        <w:tc>
          <w:tcPr>
            <w:tcW w:w="1880" w:type="dxa"/>
            <w:vAlign w:val="bottom"/>
            <w:tcBorders>
              <w:bottom w:val="single" w:sz="8" w:color="495463"/>
            </w:tcBorders>
            <w:vMerge w:val="continue"/>
            <w:shd w:val="clear" w:color="auto" w:fill="49546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700" w:type="dxa"/>
            <w:vAlign w:val="bottom"/>
            <w:tcBorders>
              <w:top w:val="single" w:sz="8" w:color="BFBFBF"/>
              <w:left w:val="single" w:sz="8" w:color="7F7F7F"/>
              <w:right w:val="single" w:sz="8" w:color="BFBFBF"/>
            </w:tcBorders>
          </w:tcPr>
          <w:p>
            <w:pPr>
              <w:spacing w:after="0"/>
              <w:rPr>
                <w:sz w:val="19"/>
                <w:szCs w:val="19"/>
                <w:color w:val="auto"/>
              </w:rPr>
            </w:pPr>
          </w:p>
        </w:tc>
        <w:tc>
          <w:tcPr>
            <w:tcW w:w="1900" w:type="dxa"/>
            <w:vAlign w:val="bottom"/>
            <w:tcBorders>
              <w:top w:val="single" w:sz="8" w:color="BFBFBF"/>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90"/>
              </w:rPr>
              <w:t>Average achievement of</w:t>
            </w:r>
          </w:p>
        </w:tc>
        <w:tc>
          <w:tcPr>
            <w:tcW w:w="1900" w:type="dxa"/>
            <w:vAlign w:val="bottom"/>
            <w:tcBorders>
              <w:top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0"/>
              </w:rPr>
              <w:t>Based on % of linear</w:t>
            </w:r>
          </w:p>
        </w:tc>
        <w:tc>
          <w:tcPr>
            <w:tcW w:w="1920" w:type="dxa"/>
            <w:vAlign w:val="bottom"/>
            <w:tcBorders>
              <w:top w:val="single" w:sz="8" w:color="BFBFBF"/>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91"/>
              </w:rPr>
              <w:t>Achievement at 100% of</w:t>
            </w:r>
          </w:p>
        </w:tc>
        <w:tc>
          <w:tcPr>
            <w:tcW w:w="1880" w:type="dxa"/>
            <w:vAlign w:val="bottom"/>
            <w:tcBorders>
              <w:top w:val="single" w:sz="8" w:color="BFBFBF"/>
              <w:right w:val="single" w:sz="8" w:color="BFBFBF"/>
            </w:tcBorders>
          </w:tcPr>
          <w:p>
            <w:pPr>
              <w:jc w:val="center"/>
              <w:spacing w:after="0"/>
              <w:rPr>
                <w:sz w:val="20"/>
                <w:szCs w:val="20"/>
                <w:color w:val="auto"/>
              </w:rPr>
            </w:pPr>
            <w:r>
              <w:rPr>
                <w:rFonts w:ascii="Arial" w:cs="Arial" w:eastAsia="Arial" w:hAnsi="Arial"/>
                <w:sz w:val="18"/>
                <w:szCs w:val="18"/>
                <w:color w:val="auto"/>
                <w:w w:val="90"/>
              </w:rPr>
              <w:t>Based on % of linear</w:t>
            </w:r>
          </w:p>
        </w:tc>
        <w:tc>
          <w:tcPr>
            <w:tcW w:w="1880" w:type="dxa"/>
            <w:vAlign w:val="bottom"/>
            <w:tcBorders>
              <w:top w:val="single" w:sz="8" w:color="BFBFBF"/>
            </w:tcBorders>
            <w:vMerge w:val="restart"/>
          </w:tcPr>
          <w:p>
            <w:pPr>
              <w:jc w:val="center"/>
              <w:spacing w:after="0"/>
              <w:rPr>
                <w:sz w:val="20"/>
                <w:szCs w:val="20"/>
                <w:color w:val="auto"/>
              </w:rPr>
            </w:pPr>
            <w:r>
              <w:rPr>
                <w:rFonts w:ascii="Arial" w:cs="Arial" w:eastAsia="Arial" w:hAnsi="Arial"/>
                <w:sz w:val="18"/>
                <w:szCs w:val="18"/>
                <w:color w:val="auto"/>
                <w:w w:val="90"/>
              </w:rPr>
              <w:t>Achievement better than</w:t>
            </w:r>
          </w:p>
        </w:tc>
        <w:tc>
          <w:tcPr>
            <w:tcW w:w="20" w:type="dxa"/>
            <w:vAlign w:val="bottom"/>
            <w:tcBorders>
              <w:top w:val="single" w:sz="8" w:color="BFBFBF"/>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00" w:type="dxa"/>
            <w:vAlign w:val="bottom"/>
            <w:tcBorders>
              <w:left w:val="single" w:sz="8" w:color="7F7F7F"/>
              <w:right w:val="single" w:sz="8" w:color="BFBFBF"/>
            </w:tcBorders>
          </w:tcPr>
          <w:p>
            <w:pPr>
              <w:jc w:val="center"/>
              <w:spacing w:after="0" w:line="176" w:lineRule="exact"/>
              <w:rPr>
                <w:sz w:val="20"/>
                <w:szCs w:val="20"/>
                <w:color w:val="auto"/>
              </w:rPr>
            </w:pPr>
            <w:r>
              <w:rPr>
                <w:rFonts w:ascii="Arial" w:cs="Arial" w:eastAsia="Arial" w:hAnsi="Arial"/>
                <w:sz w:val="18"/>
                <w:szCs w:val="18"/>
                <w:color w:val="auto"/>
                <w:w w:val="91"/>
              </w:rPr>
              <w:t>Average level of</w:t>
            </w:r>
          </w:p>
        </w:tc>
        <w:tc>
          <w:tcPr>
            <w:tcW w:w="1900" w:type="dxa"/>
            <w:vAlign w:val="bottom"/>
            <w:tcBorders>
              <w:right w:val="single" w:sz="8" w:color="BFBFBF"/>
            </w:tcBorders>
            <w:vMerge w:val="continue"/>
          </w:tcPr>
          <w:p>
            <w:pPr>
              <w:spacing w:after="0"/>
              <w:rPr>
                <w:sz w:val="15"/>
                <w:szCs w:val="15"/>
                <w:color w:val="auto"/>
              </w:rPr>
            </w:pPr>
          </w:p>
        </w:tc>
        <w:tc>
          <w:tcPr>
            <w:tcW w:w="1900" w:type="dxa"/>
            <w:vAlign w:val="bottom"/>
            <w:tcBorders>
              <w:right w:val="single" w:sz="8" w:color="BFBFBF"/>
            </w:tcBorders>
          </w:tcPr>
          <w:p>
            <w:pPr>
              <w:jc w:val="center"/>
              <w:spacing w:after="0" w:line="176" w:lineRule="exact"/>
              <w:rPr>
                <w:sz w:val="20"/>
                <w:szCs w:val="20"/>
                <w:color w:val="auto"/>
              </w:rPr>
            </w:pPr>
            <w:r>
              <w:rPr>
                <w:rFonts w:ascii="Arial" w:cs="Arial" w:eastAsia="Arial" w:hAnsi="Arial"/>
                <w:sz w:val="18"/>
                <w:szCs w:val="18"/>
                <w:color w:val="auto"/>
                <w:w w:val="89"/>
              </w:rPr>
              <w:t>achievement between</w:t>
            </w:r>
          </w:p>
        </w:tc>
        <w:tc>
          <w:tcPr>
            <w:tcW w:w="1920" w:type="dxa"/>
            <w:vAlign w:val="bottom"/>
            <w:tcBorders>
              <w:right w:val="single" w:sz="8" w:color="BFBFBF"/>
            </w:tcBorders>
            <w:vMerge w:val="continue"/>
          </w:tcPr>
          <w:p>
            <w:pPr>
              <w:spacing w:after="0"/>
              <w:rPr>
                <w:sz w:val="15"/>
                <w:szCs w:val="15"/>
                <w:color w:val="auto"/>
              </w:rPr>
            </w:pPr>
          </w:p>
        </w:tc>
        <w:tc>
          <w:tcPr>
            <w:tcW w:w="1880" w:type="dxa"/>
            <w:vAlign w:val="bottom"/>
            <w:tcBorders>
              <w:right w:val="single" w:sz="8" w:color="BFBFBF"/>
            </w:tcBorders>
          </w:tcPr>
          <w:p>
            <w:pPr>
              <w:jc w:val="center"/>
              <w:spacing w:after="0" w:line="176" w:lineRule="exact"/>
              <w:rPr>
                <w:sz w:val="20"/>
                <w:szCs w:val="20"/>
                <w:color w:val="auto"/>
              </w:rPr>
            </w:pPr>
            <w:r>
              <w:rPr>
                <w:rFonts w:ascii="Arial" w:cs="Arial" w:eastAsia="Arial" w:hAnsi="Arial"/>
                <w:sz w:val="18"/>
                <w:szCs w:val="18"/>
                <w:color w:val="auto"/>
                <w:w w:val="89"/>
              </w:rPr>
              <w:t>achievement between &gt;</w:t>
            </w:r>
          </w:p>
        </w:tc>
        <w:tc>
          <w:tcPr>
            <w:tcW w:w="1880" w:type="dxa"/>
            <w:vAlign w:val="bottom"/>
            <w:vMerge w:val="continue"/>
          </w:tcPr>
          <w:p>
            <w:pPr>
              <w:spacing w:after="0"/>
              <w:rPr>
                <w:sz w:val="15"/>
                <w:szCs w:val="15"/>
                <w:color w:val="auto"/>
              </w:rPr>
            </w:pPr>
          </w:p>
        </w:tc>
        <w:tc>
          <w:tcPr>
            <w:tcW w:w="2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7F7F7F"/>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91"/>
              </w:rPr>
              <w:t>achievement vis-à-vis</w:t>
            </w:r>
          </w:p>
        </w:tc>
        <w:tc>
          <w:tcPr>
            <w:tcW w:w="1900" w:type="dxa"/>
            <w:vAlign w:val="bottom"/>
            <w:tcBorders>
              <w:right w:val="single" w:sz="8" w:color="BFBFBF"/>
            </w:tcBorders>
          </w:tcPr>
          <w:p>
            <w:pPr>
              <w:jc w:val="center"/>
              <w:spacing w:after="0" w:line="148" w:lineRule="exact"/>
              <w:rPr>
                <w:sz w:val="20"/>
                <w:szCs w:val="20"/>
                <w:color w:val="auto"/>
              </w:rPr>
            </w:pPr>
            <w:r>
              <w:rPr>
                <w:rFonts w:ascii="Arial" w:cs="Arial" w:eastAsia="Arial" w:hAnsi="Arial"/>
                <w:sz w:val="17"/>
                <w:szCs w:val="17"/>
                <w:color w:val="auto"/>
                <w:w w:val="94"/>
              </w:rPr>
              <w:t>less than 85% of the</w:t>
            </w:r>
          </w:p>
        </w:tc>
        <w:tc>
          <w:tcPr>
            <w:tcW w:w="190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90"/>
              </w:rPr>
              <w:t>85% and 100% of the</w:t>
            </w:r>
          </w:p>
        </w:tc>
        <w:tc>
          <w:tcPr>
            <w:tcW w:w="1920" w:type="dxa"/>
            <w:vAlign w:val="bottom"/>
            <w:tcBorders>
              <w:right w:val="single" w:sz="8" w:color="BFBFBF"/>
            </w:tcBorders>
          </w:tcPr>
          <w:p>
            <w:pPr>
              <w:jc w:val="center"/>
              <w:spacing w:after="0" w:line="148" w:lineRule="exact"/>
              <w:rPr>
                <w:sz w:val="20"/>
                <w:szCs w:val="20"/>
                <w:color w:val="auto"/>
              </w:rPr>
            </w:pPr>
            <w:r>
              <w:rPr>
                <w:rFonts w:ascii="Arial" w:cs="Arial" w:eastAsia="Arial" w:hAnsi="Arial"/>
                <w:sz w:val="17"/>
                <w:szCs w:val="17"/>
                <w:color w:val="auto"/>
                <w:w w:val="95"/>
              </w:rPr>
              <w:t>the corporate LTIP</w:t>
            </w:r>
          </w:p>
        </w:tc>
        <w:tc>
          <w:tcPr>
            <w:tcW w:w="188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90"/>
              </w:rPr>
              <w:t>100% and 115% of the</w:t>
            </w:r>
          </w:p>
        </w:tc>
        <w:tc>
          <w:tcPr>
            <w:tcW w:w="1880" w:type="dxa"/>
            <w:vAlign w:val="bottom"/>
          </w:tcPr>
          <w:p>
            <w:pPr>
              <w:jc w:val="center"/>
              <w:spacing w:after="0" w:line="148" w:lineRule="exact"/>
              <w:rPr>
                <w:sz w:val="20"/>
                <w:szCs w:val="20"/>
                <w:color w:val="auto"/>
              </w:rPr>
            </w:pPr>
            <w:r>
              <w:rPr>
                <w:rFonts w:ascii="Arial" w:cs="Arial" w:eastAsia="Arial" w:hAnsi="Arial"/>
                <w:sz w:val="17"/>
                <w:szCs w:val="17"/>
                <w:color w:val="auto"/>
                <w:w w:val="95"/>
              </w:rPr>
              <w:t>115% of the corporate</w:t>
            </w:r>
          </w:p>
        </w:tc>
        <w:tc>
          <w:tcPr>
            <w:tcW w:w="2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00" w:type="dxa"/>
            <w:vAlign w:val="bottom"/>
            <w:tcBorders>
              <w:left w:val="single" w:sz="8" w:color="7F7F7F"/>
              <w:right w:val="single" w:sz="8" w:color="BFBFBF"/>
            </w:tcBorders>
            <w:vMerge w:val="continue"/>
          </w:tcPr>
          <w:p>
            <w:pPr>
              <w:spacing w:after="0"/>
              <w:rPr>
                <w:sz w:val="15"/>
                <w:szCs w:val="15"/>
                <w:color w:val="auto"/>
              </w:rPr>
            </w:pPr>
          </w:p>
        </w:tc>
        <w:tc>
          <w:tcPr>
            <w:tcW w:w="1900" w:type="dxa"/>
            <w:vAlign w:val="bottom"/>
            <w:tcBorders>
              <w:right w:val="single" w:sz="8" w:color="BFBFBF"/>
            </w:tcBorders>
          </w:tcPr>
          <w:p>
            <w:pPr>
              <w:jc w:val="center"/>
              <w:spacing w:after="0" w:line="176" w:lineRule="exact"/>
              <w:rPr>
                <w:sz w:val="20"/>
                <w:szCs w:val="20"/>
                <w:color w:val="auto"/>
              </w:rPr>
            </w:pPr>
            <w:r>
              <w:rPr>
                <w:rFonts w:ascii="Arial" w:cs="Arial" w:eastAsia="Arial" w:hAnsi="Arial"/>
                <w:sz w:val="18"/>
                <w:szCs w:val="18"/>
                <w:color w:val="auto"/>
                <w:w w:val="92"/>
              </w:rPr>
              <w:t>corporate LTIP Adjusted</w:t>
            </w:r>
          </w:p>
        </w:tc>
        <w:tc>
          <w:tcPr>
            <w:tcW w:w="1900" w:type="dxa"/>
            <w:vAlign w:val="bottom"/>
            <w:tcBorders>
              <w:right w:val="single" w:sz="8" w:color="BFBFBF"/>
            </w:tcBorders>
            <w:vMerge w:val="continue"/>
          </w:tcPr>
          <w:p>
            <w:pPr>
              <w:spacing w:after="0"/>
              <w:rPr>
                <w:sz w:val="15"/>
                <w:szCs w:val="15"/>
                <w:color w:val="auto"/>
              </w:rPr>
            </w:pPr>
          </w:p>
        </w:tc>
        <w:tc>
          <w:tcPr>
            <w:tcW w:w="1920" w:type="dxa"/>
            <w:vAlign w:val="bottom"/>
            <w:tcBorders>
              <w:right w:val="single" w:sz="8" w:color="BFBFBF"/>
            </w:tcBorders>
          </w:tcPr>
          <w:p>
            <w:pPr>
              <w:jc w:val="center"/>
              <w:spacing w:after="0" w:line="176" w:lineRule="exact"/>
              <w:rPr>
                <w:sz w:val="20"/>
                <w:szCs w:val="20"/>
                <w:color w:val="auto"/>
              </w:rPr>
            </w:pPr>
            <w:r>
              <w:rPr>
                <w:rFonts w:ascii="Arial" w:cs="Arial" w:eastAsia="Arial" w:hAnsi="Arial"/>
                <w:sz w:val="18"/>
                <w:szCs w:val="18"/>
                <w:color w:val="auto"/>
                <w:w w:val="90"/>
              </w:rPr>
              <w:t>Adjusted EPS target</w:t>
            </w:r>
          </w:p>
        </w:tc>
        <w:tc>
          <w:tcPr>
            <w:tcW w:w="1880" w:type="dxa"/>
            <w:vAlign w:val="bottom"/>
            <w:tcBorders>
              <w:right w:val="single" w:sz="8" w:color="BFBFBF"/>
            </w:tcBorders>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Arial" w:cs="Arial" w:eastAsia="Arial" w:hAnsi="Arial"/>
                <w:sz w:val="18"/>
                <w:szCs w:val="18"/>
                <w:color w:val="auto"/>
                <w:w w:val="92"/>
              </w:rPr>
              <w:t>LTIP Adjusted EPS</w:t>
            </w:r>
          </w:p>
        </w:tc>
        <w:tc>
          <w:tcPr>
            <w:tcW w:w="2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7F7F7F"/>
              <w:right w:val="single" w:sz="8" w:color="BFBFBF"/>
            </w:tcBorders>
          </w:tcPr>
          <w:p>
            <w:pPr>
              <w:jc w:val="center"/>
              <w:spacing w:after="0"/>
              <w:rPr>
                <w:sz w:val="20"/>
                <w:szCs w:val="20"/>
                <w:color w:val="auto"/>
              </w:rPr>
            </w:pPr>
            <w:r>
              <w:rPr>
                <w:rFonts w:ascii="Arial" w:cs="Arial" w:eastAsia="Arial" w:hAnsi="Arial"/>
                <w:sz w:val="18"/>
                <w:szCs w:val="18"/>
                <w:color w:val="auto"/>
                <w:w w:val="89"/>
              </w:rPr>
              <w:t>budget during the</w:t>
            </w:r>
          </w:p>
        </w:tc>
        <w:tc>
          <w:tcPr>
            <w:tcW w:w="190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89"/>
              </w:rPr>
              <w:t>EPS target during the</w:t>
            </w:r>
          </w:p>
        </w:tc>
        <w:tc>
          <w:tcPr>
            <w:tcW w:w="190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91"/>
              </w:rPr>
              <w:t>corporate LTIP Adjusted</w:t>
            </w:r>
          </w:p>
        </w:tc>
        <w:tc>
          <w:tcPr>
            <w:tcW w:w="192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90"/>
              </w:rPr>
              <w:t>during the Performance</w:t>
            </w:r>
          </w:p>
        </w:tc>
        <w:tc>
          <w:tcPr>
            <w:tcW w:w="188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91"/>
              </w:rPr>
              <w:t>corporate LTIP Adjusted</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target during the</w:t>
            </w:r>
          </w:p>
        </w:tc>
        <w:tc>
          <w:tcPr>
            <w:tcW w:w="2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7F7F7F"/>
              <w:right w:val="single" w:sz="8" w:color="BFBFBF"/>
            </w:tcBorders>
          </w:tcPr>
          <w:p>
            <w:pPr>
              <w:jc w:val="center"/>
              <w:spacing w:after="0" w:line="148" w:lineRule="exact"/>
              <w:rPr>
                <w:sz w:val="20"/>
                <w:szCs w:val="20"/>
                <w:color w:val="auto"/>
              </w:rPr>
            </w:pPr>
            <w:r>
              <w:rPr>
                <w:rFonts w:ascii="Arial" w:cs="Arial" w:eastAsia="Arial" w:hAnsi="Arial"/>
                <w:sz w:val="17"/>
                <w:szCs w:val="17"/>
                <w:color w:val="auto"/>
                <w:w w:val="95"/>
              </w:rPr>
              <w:t>Performance Period</w:t>
            </w:r>
          </w:p>
        </w:tc>
        <w:tc>
          <w:tcPr>
            <w:tcW w:w="190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89"/>
              </w:rPr>
              <w:t>Performance Period</w:t>
            </w:r>
          </w:p>
        </w:tc>
        <w:tc>
          <w:tcPr>
            <w:tcW w:w="1900" w:type="dxa"/>
            <w:vAlign w:val="bottom"/>
            <w:tcBorders>
              <w:right w:val="single" w:sz="8" w:color="BFBFBF"/>
            </w:tcBorders>
          </w:tcPr>
          <w:p>
            <w:pPr>
              <w:jc w:val="center"/>
              <w:spacing w:after="0" w:line="148" w:lineRule="exact"/>
              <w:rPr>
                <w:sz w:val="20"/>
                <w:szCs w:val="20"/>
                <w:color w:val="auto"/>
              </w:rPr>
            </w:pPr>
            <w:r>
              <w:rPr>
                <w:rFonts w:ascii="Arial" w:cs="Arial" w:eastAsia="Arial" w:hAnsi="Arial"/>
                <w:sz w:val="17"/>
                <w:szCs w:val="17"/>
                <w:color w:val="auto"/>
                <w:w w:val="94"/>
              </w:rPr>
              <w:t>EPS target during the</w:t>
            </w:r>
          </w:p>
        </w:tc>
        <w:tc>
          <w:tcPr>
            <w:tcW w:w="192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88"/>
              </w:rPr>
              <w:t>Period</w:t>
            </w:r>
          </w:p>
        </w:tc>
        <w:tc>
          <w:tcPr>
            <w:tcW w:w="1880" w:type="dxa"/>
            <w:vAlign w:val="bottom"/>
            <w:tcBorders>
              <w:right w:val="single" w:sz="8" w:color="BFBFBF"/>
            </w:tcBorders>
          </w:tcPr>
          <w:p>
            <w:pPr>
              <w:jc w:val="center"/>
              <w:spacing w:after="0" w:line="148" w:lineRule="exact"/>
              <w:rPr>
                <w:sz w:val="20"/>
                <w:szCs w:val="20"/>
                <w:color w:val="auto"/>
              </w:rPr>
            </w:pPr>
            <w:r>
              <w:rPr>
                <w:rFonts w:ascii="Arial" w:cs="Arial" w:eastAsia="Arial" w:hAnsi="Arial"/>
                <w:sz w:val="17"/>
                <w:szCs w:val="17"/>
                <w:color w:val="auto"/>
                <w:w w:val="94"/>
              </w:rPr>
              <w:t>EPS target during the</w:t>
            </w: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89"/>
              </w:rPr>
              <w:t>Performance Period</w:t>
            </w:r>
          </w:p>
        </w:tc>
        <w:tc>
          <w:tcPr>
            <w:tcW w:w="2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00" w:type="dxa"/>
            <w:vAlign w:val="bottom"/>
            <w:tcBorders>
              <w:left w:val="single" w:sz="8" w:color="7F7F7F"/>
              <w:right w:val="single" w:sz="8" w:color="BFBFBF"/>
            </w:tcBorders>
          </w:tcPr>
          <w:p>
            <w:pPr>
              <w:spacing w:after="0"/>
              <w:rPr>
                <w:sz w:val="10"/>
                <w:szCs w:val="10"/>
                <w:color w:val="auto"/>
              </w:rPr>
            </w:pPr>
          </w:p>
        </w:tc>
        <w:tc>
          <w:tcPr>
            <w:tcW w:w="1900" w:type="dxa"/>
            <w:vAlign w:val="bottom"/>
            <w:tcBorders>
              <w:right w:val="single" w:sz="8" w:color="BFBFBF"/>
            </w:tcBorders>
            <w:vMerge w:val="continue"/>
          </w:tcPr>
          <w:p>
            <w:pPr>
              <w:spacing w:after="0"/>
              <w:rPr>
                <w:sz w:val="10"/>
                <w:szCs w:val="10"/>
                <w:color w:val="auto"/>
              </w:rPr>
            </w:pPr>
          </w:p>
        </w:tc>
        <w:tc>
          <w:tcPr>
            <w:tcW w:w="190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89"/>
              </w:rPr>
              <w:t>Performance Period</w:t>
            </w:r>
          </w:p>
        </w:tc>
        <w:tc>
          <w:tcPr>
            <w:tcW w:w="1920" w:type="dxa"/>
            <w:vAlign w:val="bottom"/>
            <w:tcBorders>
              <w:right w:val="single" w:sz="8" w:color="BFBFBF"/>
            </w:tcBorders>
            <w:vMerge w:val="continue"/>
          </w:tcPr>
          <w:p>
            <w:pPr>
              <w:spacing w:after="0"/>
              <w:rPr>
                <w:sz w:val="10"/>
                <w:szCs w:val="10"/>
                <w:color w:val="auto"/>
              </w:rPr>
            </w:pPr>
          </w:p>
        </w:tc>
        <w:tc>
          <w:tcPr>
            <w:tcW w:w="1880" w:type="dxa"/>
            <w:vAlign w:val="bottom"/>
            <w:tcBorders>
              <w:right w:val="single" w:sz="8" w:color="BFBFBF"/>
            </w:tcBorders>
            <w:vMerge w:val="restart"/>
          </w:tcPr>
          <w:p>
            <w:pPr>
              <w:jc w:val="center"/>
              <w:spacing w:after="0"/>
              <w:rPr>
                <w:sz w:val="20"/>
                <w:szCs w:val="20"/>
                <w:color w:val="auto"/>
              </w:rPr>
            </w:pPr>
            <w:r>
              <w:rPr>
                <w:rFonts w:ascii="Arial" w:cs="Arial" w:eastAsia="Arial" w:hAnsi="Arial"/>
                <w:sz w:val="18"/>
                <w:szCs w:val="18"/>
                <w:color w:val="auto"/>
                <w:w w:val="89"/>
              </w:rPr>
              <w:t>Performance Period</w:t>
            </w:r>
          </w:p>
        </w:tc>
        <w:tc>
          <w:tcPr>
            <w:tcW w:w="1880" w:type="dxa"/>
            <w:vAlign w:val="bottom"/>
            <w:vMerge w:val="continue"/>
          </w:tcPr>
          <w:p>
            <w:pPr>
              <w:spacing w:after="0"/>
              <w:rPr>
                <w:sz w:val="10"/>
                <w:szCs w:val="10"/>
                <w:color w:val="auto"/>
              </w:rPr>
            </w:pPr>
          </w:p>
        </w:tc>
        <w:tc>
          <w:tcPr>
            <w:tcW w:w="20" w:type="dxa"/>
            <w:vAlign w:val="bottom"/>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tcBorders>
              <w:left w:val="single" w:sz="8" w:color="7F7F7F"/>
              <w:right w:val="single" w:sz="8" w:color="BFBFBF"/>
            </w:tcBorders>
          </w:tcPr>
          <w:p>
            <w:pPr>
              <w:spacing w:after="0"/>
              <w:rPr>
                <w:sz w:val="9"/>
                <w:szCs w:val="9"/>
                <w:color w:val="auto"/>
              </w:rPr>
            </w:pPr>
          </w:p>
        </w:tc>
        <w:tc>
          <w:tcPr>
            <w:tcW w:w="1900" w:type="dxa"/>
            <w:vAlign w:val="bottom"/>
            <w:tcBorders>
              <w:right w:val="single" w:sz="8" w:color="BFBFBF"/>
            </w:tcBorders>
          </w:tcPr>
          <w:p>
            <w:pPr>
              <w:spacing w:after="0"/>
              <w:rPr>
                <w:sz w:val="9"/>
                <w:szCs w:val="9"/>
                <w:color w:val="auto"/>
              </w:rPr>
            </w:pPr>
          </w:p>
        </w:tc>
        <w:tc>
          <w:tcPr>
            <w:tcW w:w="1900" w:type="dxa"/>
            <w:vAlign w:val="bottom"/>
            <w:tcBorders>
              <w:right w:val="single" w:sz="8" w:color="BFBFBF"/>
            </w:tcBorders>
            <w:vMerge w:val="continue"/>
          </w:tcPr>
          <w:p>
            <w:pPr>
              <w:spacing w:after="0"/>
              <w:rPr>
                <w:sz w:val="9"/>
                <w:szCs w:val="9"/>
                <w:color w:val="auto"/>
              </w:rPr>
            </w:pPr>
          </w:p>
        </w:tc>
        <w:tc>
          <w:tcPr>
            <w:tcW w:w="1920" w:type="dxa"/>
            <w:vAlign w:val="bottom"/>
            <w:tcBorders>
              <w:right w:val="single" w:sz="8" w:color="BFBFBF"/>
            </w:tcBorders>
          </w:tcPr>
          <w:p>
            <w:pPr>
              <w:spacing w:after="0"/>
              <w:rPr>
                <w:sz w:val="9"/>
                <w:szCs w:val="9"/>
                <w:color w:val="auto"/>
              </w:rPr>
            </w:pPr>
          </w:p>
        </w:tc>
        <w:tc>
          <w:tcPr>
            <w:tcW w:w="1880" w:type="dxa"/>
            <w:vAlign w:val="bottom"/>
            <w:tcBorders>
              <w:right w:val="single" w:sz="8" w:color="BFBFBF"/>
            </w:tcBorders>
            <w:vMerge w:val="continue"/>
          </w:tcPr>
          <w:p>
            <w:pPr>
              <w:spacing w:after="0"/>
              <w:rPr>
                <w:sz w:val="9"/>
                <w:szCs w:val="9"/>
                <w:color w:val="auto"/>
              </w:rPr>
            </w:pPr>
          </w:p>
        </w:tc>
        <w:tc>
          <w:tcPr>
            <w:tcW w:w="1880" w:type="dxa"/>
            <w:vAlign w:val="bottom"/>
          </w:tcPr>
          <w:p>
            <w:pPr>
              <w:spacing w:after="0"/>
              <w:rPr>
                <w:sz w:val="9"/>
                <w:szCs w:val="9"/>
                <w:color w:val="auto"/>
              </w:rPr>
            </w:pPr>
          </w:p>
        </w:tc>
        <w:tc>
          <w:tcPr>
            <w:tcW w:w="2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700" w:type="dxa"/>
            <w:vAlign w:val="bottom"/>
            <w:tcBorders>
              <w:left w:val="single" w:sz="8" w:color="7F7F7F"/>
              <w:bottom w:val="single" w:sz="8" w:color="BFBFBF"/>
              <w:right w:val="single" w:sz="8" w:color="BFBFBF"/>
            </w:tcBorders>
          </w:tcPr>
          <w:p>
            <w:pPr>
              <w:spacing w:after="0"/>
              <w:rPr>
                <w:sz w:val="2"/>
                <w:szCs w:val="2"/>
                <w:color w:val="auto"/>
              </w:rPr>
            </w:pPr>
          </w:p>
        </w:tc>
        <w:tc>
          <w:tcPr>
            <w:tcW w:w="1900" w:type="dxa"/>
            <w:vAlign w:val="bottom"/>
            <w:tcBorders>
              <w:bottom w:val="single" w:sz="8" w:color="BFBFBF"/>
              <w:right w:val="single" w:sz="8" w:color="BFBFBF"/>
            </w:tcBorders>
          </w:tcPr>
          <w:p>
            <w:pPr>
              <w:spacing w:after="0"/>
              <w:rPr>
                <w:sz w:val="2"/>
                <w:szCs w:val="2"/>
                <w:color w:val="auto"/>
              </w:rPr>
            </w:pPr>
          </w:p>
        </w:tc>
        <w:tc>
          <w:tcPr>
            <w:tcW w:w="1900" w:type="dxa"/>
            <w:vAlign w:val="bottom"/>
            <w:tcBorders>
              <w:bottom w:val="single" w:sz="8" w:color="BFBFBF"/>
              <w:right w:val="single" w:sz="8" w:color="BFBFBF"/>
            </w:tcBorders>
          </w:tcPr>
          <w:p>
            <w:pPr>
              <w:spacing w:after="0"/>
              <w:rPr>
                <w:sz w:val="2"/>
                <w:szCs w:val="2"/>
                <w:color w:val="auto"/>
              </w:rPr>
            </w:pPr>
          </w:p>
        </w:tc>
        <w:tc>
          <w:tcPr>
            <w:tcW w:w="1920" w:type="dxa"/>
            <w:vAlign w:val="bottom"/>
            <w:tcBorders>
              <w:bottom w:val="single" w:sz="8" w:color="BFBFBF"/>
              <w:right w:val="single" w:sz="8" w:color="BFBFBF"/>
            </w:tcBorders>
          </w:tcPr>
          <w:p>
            <w:pPr>
              <w:spacing w:after="0"/>
              <w:rPr>
                <w:sz w:val="2"/>
                <w:szCs w:val="2"/>
                <w:color w:val="auto"/>
              </w:rPr>
            </w:pPr>
          </w:p>
        </w:tc>
        <w:tc>
          <w:tcPr>
            <w:tcW w:w="1880" w:type="dxa"/>
            <w:vAlign w:val="bottom"/>
            <w:tcBorders>
              <w:bottom w:val="single" w:sz="8" w:color="BFBFBF"/>
              <w:right w:val="single" w:sz="8" w:color="BFBFBF"/>
            </w:tcBorders>
          </w:tcPr>
          <w:p>
            <w:pPr>
              <w:spacing w:after="0"/>
              <w:rPr>
                <w:sz w:val="2"/>
                <w:szCs w:val="2"/>
                <w:color w:val="auto"/>
              </w:rPr>
            </w:pPr>
          </w:p>
        </w:tc>
        <w:tc>
          <w:tcPr>
            <w:tcW w:w="1880" w:type="dxa"/>
            <w:vAlign w:val="bottom"/>
            <w:tcBorders>
              <w:bottom w:val="single" w:sz="8" w:color="BFBFBF"/>
            </w:tcBorders>
          </w:tcPr>
          <w:p>
            <w:pPr>
              <w:spacing w:after="0"/>
              <w:rPr>
                <w:sz w:val="2"/>
                <w:szCs w:val="2"/>
                <w:color w:val="auto"/>
              </w:rPr>
            </w:pPr>
          </w:p>
        </w:tc>
        <w:tc>
          <w:tcPr>
            <w:tcW w:w="20" w:type="dxa"/>
            <w:vAlign w:val="bottom"/>
            <w:tcBorders>
              <w:bottom w:val="single" w:sz="8" w:color="BFBFBF"/>
            </w:tcBorders>
            <w:shd w:val="clear" w:color="auto" w:fill="BFBFBF"/>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Step 2</w:t>
      </w:r>
      <w:r>
        <w:rPr>
          <w:rFonts w:ascii="Arial" w:cs="Arial" w:eastAsia="Arial" w:hAnsi="Arial"/>
          <w:sz w:val="19"/>
          <w:szCs w:val="19"/>
          <w:color w:val="auto"/>
        </w:rPr>
        <w:t>: The amount will be modified based on Total Shareholder Return (“TSR”) compared to Russell 3000 during the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Performance Period based on the following linear scale:</w:t>
      </w: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260" w:type="dxa"/>
            <w:vAlign w:val="bottom"/>
            <w:tcBorders>
              <w:left w:val="single" w:sz="8" w:color="7F7F7F"/>
              <w:bottom w:val="single" w:sz="8" w:color="495463"/>
              <w:right w:val="single" w:sz="8" w:color="495463"/>
            </w:tcBorders>
            <w:shd w:val="clear" w:color="auto" w:fill="495463"/>
          </w:tcPr>
          <w:p>
            <w:pPr>
              <w:spacing w:after="0"/>
              <w:rPr>
                <w:sz w:val="22"/>
                <w:szCs w:val="22"/>
                <w:color w:val="auto"/>
              </w:rPr>
            </w:pPr>
          </w:p>
        </w:tc>
        <w:tc>
          <w:tcPr>
            <w:tcW w:w="1580" w:type="dxa"/>
            <w:vAlign w:val="bottom"/>
            <w:tcBorders>
              <w:bottom w:val="single" w:sz="8" w:color="495463"/>
              <w:right w:val="single" w:sz="8" w:color="495463"/>
            </w:tcBorders>
            <w:shd w:val="clear" w:color="auto" w:fill="495463"/>
          </w:tcPr>
          <w:p>
            <w:pPr>
              <w:spacing w:after="0"/>
              <w:rPr>
                <w:sz w:val="22"/>
                <w:szCs w:val="22"/>
                <w:color w:val="auto"/>
              </w:rPr>
            </w:pPr>
          </w:p>
        </w:tc>
        <w:tc>
          <w:tcPr>
            <w:tcW w:w="2160" w:type="dxa"/>
            <w:vAlign w:val="bottom"/>
            <w:tcBorders>
              <w:bottom w:val="single" w:sz="8" w:color="495463"/>
              <w:right w:val="single" w:sz="8" w:color="495463"/>
            </w:tcBorders>
            <w:shd w:val="clear" w:color="auto" w:fill="495463"/>
          </w:tcPr>
          <w:p>
            <w:pPr>
              <w:spacing w:after="0"/>
              <w:rPr>
                <w:sz w:val="22"/>
                <w:szCs w:val="22"/>
                <w:color w:val="auto"/>
              </w:rPr>
            </w:pPr>
          </w:p>
        </w:tc>
        <w:tc>
          <w:tcPr>
            <w:tcW w:w="1940" w:type="dxa"/>
            <w:vAlign w:val="bottom"/>
            <w:tcBorders>
              <w:bottom w:val="single" w:sz="8" w:color="495463"/>
            </w:tcBorders>
            <w:gridSpan w:val="2"/>
            <w:shd w:val="clear" w:color="auto" w:fill="495463"/>
          </w:tcPr>
          <w:p>
            <w:pPr>
              <w:ind w:left="540"/>
              <w:spacing w:after="0"/>
              <w:rPr>
                <w:sz w:val="20"/>
                <w:szCs w:val="20"/>
                <w:color w:val="auto"/>
              </w:rPr>
            </w:pPr>
            <w:r>
              <w:rPr>
                <w:rFonts w:ascii="Arial" w:cs="Arial" w:eastAsia="Arial" w:hAnsi="Arial"/>
                <w:sz w:val="18"/>
                <w:szCs w:val="18"/>
                <w:b w:val="1"/>
                <w:bCs w:val="1"/>
                <w:color w:val="FFFFFF"/>
                <w:w w:val="91"/>
              </w:rPr>
              <w:t>Vesting Multiplier</w:t>
            </w:r>
          </w:p>
        </w:tc>
        <w:tc>
          <w:tcPr>
            <w:tcW w:w="2300" w:type="dxa"/>
            <w:vAlign w:val="bottom"/>
            <w:tcBorders>
              <w:bottom w:val="single" w:sz="8" w:color="495463"/>
              <w:right w:val="single" w:sz="8" w:color="495463"/>
            </w:tcBorders>
            <w:shd w:val="clear" w:color="auto" w:fill="495463"/>
          </w:tcPr>
          <w:p>
            <w:pPr>
              <w:spacing w:after="0"/>
              <w:rPr>
                <w:sz w:val="22"/>
                <w:szCs w:val="22"/>
                <w:color w:val="auto"/>
              </w:rPr>
            </w:pPr>
          </w:p>
        </w:tc>
        <w:tc>
          <w:tcPr>
            <w:tcW w:w="2000" w:type="dxa"/>
            <w:vAlign w:val="bottom"/>
            <w:tcBorders>
              <w:bottom w:val="single" w:sz="8" w:color="495463"/>
            </w:tcBorders>
            <w:shd w:val="clear" w:color="auto" w:fill="495463"/>
          </w:tcPr>
          <w:p>
            <w:pPr>
              <w:spacing w:after="0"/>
              <w:rPr>
                <w:sz w:val="22"/>
                <w:szCs w:val="22"/>
                <w:color w:val="auto"/>
              </w:rPr>
            </w:pPr>
          </w:p>
        </w:tc>
        <w:tc>
          <w:tcPr>
            <w:tcW w:w="20" w:type="dxa"/>
            <w:vAlign w:val="bottom"/>
            <w:tcBorders>
              <w:bottom w:val="single" w:sz="8" w:color="7F7F7F"/>
            </w:tcBorders>
            <w:shd w:val="clear" w:color="auto" w:fill="7F7F7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260" w:type="dxa"/>
            <w:vAlign w:val="bottom"/>
            <w:tcBorders>
              <w:left w:val="single" w:sz="8" w:color="7F7F7F"/>
              <w:right w:val="single" w:sz="8" w:color="495463"/>
            </w:tcBorders>
            <w:shd w:val="clear" w:color="auto" w:fill="495463"/>
          </w:tcPr>
          <w:p>
            <w:pPr>
              <w:spacing w:after="0"/>
              <w:rPr>
                <w:sz w:val="19"/>
                <w:szCs w:val="19"/>
                <w:color w:val="auto"/>
              </w:rPr>
            </w:pPr>
          </w:p>
        </w:tc>
        <w:tc>
          <w:tcPr>
            <w:tcW w:w="1580" w:type="dxa"/>
            <w:vAlign w:val="bottom"/>
            <w:tcBorders>
              <w:right w:val="single" w:sz="8" w:color="495463"/>
            </w:tcBorders>
            <w:shd w:val="clear" w:color="auto" w:fill="495463"/>
          </w:tcPr>
          <w:p>
            <w:pPr>
              <w:jc w:val="center"/>
              <w:spacing w:after="0"/>
              <w:rPr>
                <w:sz w:val="20"/>
                <w:szCs w:val="20"/>
                <w:color w:val="auto"/>
              </w:rPr>
            </w:pPr>
            <w:r>
              <w:rPr>
                <w:rFonts w:ascii="Arial" w:cs="Arial" w:eastAsia="Arial" w:hAnsi="Arial"/>
                <w:sz w:val="18"/>
                <w:szCs w:val="18"/>
                <w:b w:val="1"/>
                <w:bCs w:val="1"/>
                <w:color w:val="FFFFFF"/>
                <w:w w:val="98"/>
              </w:rPr>
              <w:t>50% of Initial</w:t>
            </w:r>
          </w:p>
        </w:tc>
        <w:tc>
          <w:tcPr>
            <w:tcW w:w="2160" w:type="dxa"/>
            <w:vAlign w:val="bottom"/>
            <w:tcBorders>
              <w:right w:val="single" w:sz="8" w:color="495463"/>
            </w:tcBorders>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FFFFF"/>
                <w:w w:val="97"/>
              </w:rPr>
              <w:t>50% - 99% of Initial</w:t>
            </w:r>
          </w:p>
        </w:tc>
        <w:tc>
          <w:tcPr>
            <w:tcW w:w="1940" w:type="dxa"/>
            <w:vAlign w:val="bottom"/>
            <w:gridSpan w:val="2"/>
            <w:vMerge w:val="restart"/>
            <w:shd w:val="clear" w:color="auto" w:fill="495463"/>
          </w:tcPr>
          <w:p>
            <w:pPr>
              <w:jc w:val="center"/>
              <w:ind w:right="80"/>
              <w:spacing w:after="0"/>
              <w:rPr>
                <w:sz w:val="20"/>
                <w:szCs w:val="20"/>
                <w:color w:val="auto"/>
              </w:rPr>
            </w:pPr>
            <w:r>
              <w:rPr>
                <w:rFonts w:ascii="Arial" w:cs="Arial" w:eastAsia="Arial" w:hAnsi="Arial"/>
                <w:sz w:val="18"/>
                <w:szCs w:val="18"/>
                <w:b w:val="1"/>
                <w:bCs w:val="1"/>
                <w:color w:val="FFFFFF"/>
                <w:w w:val="95"/>
              </w:rPr>
              <w:t>100% of Initial Earned</w:t>
            </w:r>
          </w:p>
        </w:tc>
        <w:tc>
          <w:tcPr>
            <w:tcW w:w="2300" w:type="dxa"/>
            <w:vAlign w:val="bottom"/>
            <w:tcBorders>
              <w:right w:val="single" w:sz="8" w:color="495463"/>
            </w:tcBorders>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FFFFF"/>
                <w:w w:val="96"/>
              </w:rPr>
              <w:t>101% - 149% of Initial</w:t>
            </w:r>
          </w:p>
        </w:tc>
        <w:tc>
          <w:tcPr>
            <w:tcW w:w="2000" w:type="dxa"/>
            <w:vAlign w:val="bottom"/>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FFFFF"/>
                <w:w w:val="95"/>
              </w:rPr>
              <w:t>150% of Initial Earned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7F7F7F"/>
              <w:right w:val="single" w:sz="8" w:color="495463"/>
            </w:tcBorders>
            <w:shd w:val="clear" w:color="auto" w:fill="495463"/>
          </w:tcPr>
          <w:p>
            <w:pPr>
              <w:spacing w:after="0"/>
              <w:rPr>
                <w:sz w:val="9"/>
                <w:szCs w:val="9"/>
                <w:color w:val="auto"/>
              </w:rPr>
            </w:pPr>
          </w:p>
        </w:tc>
        <w:tc>
          <w:tcPr>
            <w:tcW w:w="1580" w:type="dxa"/>
            <w:vAlign w:val="bottom"/>
            <w:tcBorders>
              <w:right w:val="single" w:sz="8" w:color="495463"/>
            </w:tcBorders>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FFFFF"/>
                <w:w w:val="96"/>
              </w:rPr>
              <w:t>Earned Award Will</w:t>
            </w:r>
          </w:p>
        </w:tc>
        <w:tc>
          <w:tcPr>
            <w:tcW w:w="2160" w:type="dxa"/>
            <w:vAlign w:val="bottom"/>
            <w:tcBorders>
              <w:right w:val="single" w:sz="8" w:color="495463"/>
            </w:tcBorders>
            <w:vMerge w:val="continue"/>
            <w:shd w:val="clear" w:color="auto" w:fill="495463"/>
          </w:tcPr>
          <w:p>
            <w:pPr>
              <w:spacing w:after="0"/>
              <w:rPr>
                <w:sz w:val="9"/>
                <w:szCs w:val="9"/>
                <w:color w:val="auto"/>
              </w:rPr>
            </w:pPr>
          </w:p>
        </w:tc>
        <w:tc>
          <w:tcPr>
            <w:tcW w:w="1940" w:type="dxa"/>
            <w:vAlign w:val="bottom"/>
            <w:gridSpan w:val="2"/>
            <w:vMerge w:val="continue"/>
            <w:shd w:val="clear" w:color="auto" w:fill="495463"/>
          </w:tcPr>
          <w:p>
            <w:pPr>
              <w:spacing w:after="0"/>
              <w:rPr>
                <w:sz w:val="9"/>
                <w:szCs w:val="9"/>
                <w:color w:val="auto"/>
              </w:rPr>
            </w:pPr>
          </w:p>
        </w:tc>
        <w:tc>
          <w:tcPr>
            <w:tcW w:w="2300" w:type="dxa"/>
            <w:vAlign w:val="bottom"/>
            <w:tcBorders>
              <w:right w:val="single" w:sz="8" w:color="495463"/>
            </w:tcBorders>
            <w:vMerge w:val="continue"/>
            <w:shd w:val="clear" w:color="auto" w:fill="495463"/>
          </w:tcPr>
          <w:p>
            <w:pPr>
              <w:spacing w:after="0"/>
              <w:rPr>
                <w:sz w:val="9"/>
                <w:szCs w:val="9"/>
                <w:color w:val="auto"/>
              </w:rPr>
            </w:pPr>
          </w:p>
        </w:tc>
        <w:tc>
          <w:tcPr>
            <w:tcW w:w="2000" w:type="dxa"/>
            <w:vAlign w:val="bottom"/>
            <w:vMerge w:val="continue"/>
            <w:shd w:val="clear" w:color="auto" w:fill="49546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260" w:type="dxa"/>
            <w:vAlign w:val="bottom"/>
            <w:tcBorders>
              <w:left w:val="single" w:sz="8" w:color="7F7F7F"/>
              <w:right w:val="single" w:sz="8" w:color="495463"/>
            </w:tcBorders>
            <w:vMerge w:val="restart"/>
            <w:shd w:val="clear" w:color="auto" w:fill="495463"/>
          </w:tcPr>
          <w:p>
            <w:pPr>
              <w:jc w:val="center"/>
              <w:spacing w:after="0"/>
              <w:rPr>
                <w:sz w:val="20"/>
                <w:szCs w:val="20"/>
                <w:color w:val="auto"/>
              </w:rPr>
            </w:pPr>
            <w:r>
              <w:rPr>
                <w:rFonts w:ascii="Arial" w:cs="Arial" w:eastAsia="Arial" w:hAnsi="Arial"/>
                <w:sz w:val="18"/>
                <w:szCs w:val="18"/>
                <w:b w:val="1"/>
                <w:bCs w:val="1"/>
                <w:color w:val="FFFFFF"/>
                <w:w w:val="99"/>
              </w:rPr>
              <w:t>Multiplier</w:t>
            </w:r>
          </w:p>
        </w:tc>
        <w:tc>
          <w:tcPr>
            <w:tcW w:w="1580" w:type="dxa"/>
            <w:vAlign w:val="bottom"/>
            <w:tcBorders>
              <w:right w:val="single" w:sz="8" w:color="495463"/>
            </w:tcBorders>
            <w:vMerge w:val="continue"/>
            <w:shd w:val="clear" w:color="auto" w:fill="495463"/>
          </w:tcPr>
          <w:p>
            <w:pPr>
              <w:spacing w:after="0"/>
              <w:rPr>
                <w:sz w:val="15"/>
                <w:szCs w:val="15"/>
                <w:color w:val="auto"/>
              </w:rPr>
            </w:pPr>
          </w:p>
        </w:tc>
        <w:tc>
          <w:tcPr>
            <w:tcW w:w="2160" w:type="dxa"/>
            <w:vAlign w:val="bottom"/>
            <w:tcBorders>
              <w:right w:val="single" w:sz="8" w:color="495463"/>
            </w:tcBorders>
            <w:shd w:val="clear" w:color="auto" w:fill="495463"/>
          </w:tcPr>
          <w:p>
            <w:pPr>
              <w:jc w:val="center"/>
              <w:spacing w:after="0" w:line="181" w:lineRule="exact"/>
              <w:rPr>
                <w:sz w:val="20"/>
                <w:szCs w:val="20"/>
                <w:color w:val="auto"/>
              </w:rPr>
            </w:pPr>
            <w:r>
              <w:rPr>
                <w:rFonts w:ascii="Arial" w:cs="Arial" w:eastAsia="Arial" w:hAnsi="Arial"/>
                <w:sz w:val="18"/>
                <w:szCs w:val="18"/>
                <w:b w:val="1"/>
                <w:bCs w:val="1"/>
                <w:color w:val="FFFFFF"/>
                <w:w w:val="93"/>
              </w:rPr>
              <w:t>Earned Award Will Vest</w:t>
            </w:r>
          </w:p>
        </w:tc>
        <w:tc>
          <w:tcPr>
            <w:tcW w:w="1940" w:type="dxa"/>
            <w:vAlign w:val="bottom"/>
            <w:gridSpan w:val="2"/>
            <w:shd w:val="clear" w:color="auto" w:fill="495463"/>
          </w:tcPr>
          <w:p>
            <w:pPr>
              <w:jc w:val="center"/>
              <w:ind w:right="80"/>
              <w:spacing w:after="0" w:line="181" w:lineRule="exact"/>
              <w:rPr>
                <w:sz w:val="20"/>
                <w:szCs w:val="20"/>
                <w:color w:val="auto"/>
              </w:rPr>
            </w:pPr>
            <w:r>
              <w:rPr>
                <w:rFonts w:ascii="Arial" w:cs="Arial" w:eastAsia="Arial" w:hAnsi="Arial"/>
                <w:sz w:val="18"/>
                <w:szCs w:val="18"/>
                <w:b w:val="1"/>
                <w:bCs w:val="1"/>
                <w:color w:val="FFFFFF"/>
                <w:w w:val="93"/>
              </w:rPr>
              <w:t>Award Will Vest</w:t>
            </w:r>
          </w:p>
        </w:tc>
        <w:tc>
          <w:tcPr>
            <w:tcW w:w="2300" w:type="dxa"/>
            <w:vAlign w:val="bottom"/>
            <w:tcBorders>
              <w:right w:val="single" w:sz="8" w:color="495463"/>
            </w:tcBorders>
            <w:shd w:val="clear" w:color="auto" w:fill="495463"/>
          </w:tcPr>
          <w:p>
            <w:pPr>
              <w:jc w:val="center"/>
              <w:spacing w:after="0" w:line="181" w:lineRule="exact"/>
              <w:rPr>
                <w:sz w:val="20"/>
                <w:szCs w:val="20"/>
                <w:color w:val="auto"/>
              </w:rPr>
            </w:pPr>
            <w:r>
              <w:rPr>
                <w:rFonts w:ascii="Arial" w:cs="Arial" w:eastAsia="Arial" w:hAnsi="Arial"/>
                <w:sz w:val="18"/>
                <w:szCs w:val="18"/>
                <w:b w:val="1"/>
                <w:bCs w:val="1"/>
                <w:color w:val="FFFFFF"/>
                <w:w w:val="92"/>
              </w:rPr>
              <w:t>Earned Award Will Vest</w:t>
            </w:r>
          </w:p>
        </w:tc>
        <w:tc>
          <w:tcPr>
            <w:tcW w:w="2000" w:type="dxa"/>
            <w:vAlign w:val="bottom"/>
            <w:shd w:val="clear" w:color="auto" w:fill="495463"/>
          </w:tcPr>
          <w:p>
            <w:pPr>
              <w:jc w:val="center"/>
              <w:spacing w:after="0" w:line="181" w:lineRule="exact"/>
              <w:rPr>
                <w:sz w:val="20"/>
                <w:szCs w:val="20"/>
                <w:color w:val="auto"/>
              </w:rPr>
            </w:pPr>
            <w:r>
              <w:rPr>
                <w:rFonts w:ascii="Arial" w:cs="Arial" w:eastAsia="Arial" w:hAnsi="Arial"/>
                <w:sz w:val="18"/>
                <w:szCs w:val="18"/>
                <w:b w:val="1"/>
                <w:bCs w:val="1"/>
                <w:color w:val="FFFFFF"/>
                <w:w w:val="93"/>
              </w:rPr>
              <w:t>Award Will Vest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Borders>
              <w:left w:val="single" w:sz="8" w:color="7F7F7F"/>
              <w:bottom w:val="single" w:sz="8" w:color="BFBFBF"/>
              <w:right w:val="single" w:sz="8" w:color="495463"/>
            </w:tcBorders>
            <w:vMerge w:val="continue"/>
            <w:shd w:val="clear" w:color="auto" w:fill="495463"/>
          </w:tcPr>
          <w:p>
            <w:pPr>
              <w:spacing w:after="0"/>
              <w:rPr>
                <w:sz w:val="16"/>
                <w:szCs w:val="16"/>
                <w:color w:val="auto"/>
              </w:rPr>
            </w:pPr>
          </w:p>
        </w:tc>
        <w:tc>
          <w:tcPr>
            <w:tcW w:w="1580" w:type="dxa"/>
            <w:vAlign w:val="bottom"/>
            <w:tcBorders>
              <w:bottom w:val="single" w:sz="8" w:color="BFBFBF"/>
              <w:right w:val="single" w:sz="8" w:color="495463"/>
            </w:tcBorders>
            <w:shd w:val="clear" w:color="auto" w:fill="495463"/>
          </w:tcPr>
          <w:p>
            <w:pPr>
              <w:jc w:val="center"/>
              <w:spacing w:after="0" w:line="189" w:lineRule="exact"/>
              <w:rPr>
                <w:sz w:val="20"/>
                <w:szCs w:val="20"/>
                <w:color w:val="auto"/>
              </w:rPr>
            </w:pPr>
            <w:r>
              <w:rPr>
                <w:rFonts w:ascii="Arial" w:cs="Arial" w:eastAsia="Arial" w:hAnsi="Arial"/>
                <w:sz w:val="18"/>
                <w:szCs w:val="18"/>
                <w:b w:val="1"/>
                <w:bCs w:val="1"/>
                <w:color w:val="FFFFFF"/>
                <w:w w:val="84"/>
              </w:rPr>
              <w:t>Vest</w:t>
            </w:r>
          </w:p>
        </w:tc>
        <w:tc>
          <w:tcPr>
            <w:tcW w:w="2160" w:type="dxa"/>
            <w:vAlign w:val="bottom"/>
            <w:tcBorders>
              <w:bottom w:val="single" w:sz="8" w:color="BFBFBF"/>
              <w:right w:val="single" w:sz="8" w:color="495463"/>
            </w:tcBorders>
            <w:shd w:val="clear" w:color="auto" w:fill="495463"/>
          </w:tcPr>
          <w:p>
            <w:pPr>
              <w:spacing w:after="0"/>
              <w:rPr>
                <w:sz w:val="16"/>
                <w:szCs w:val="16"/>
                <w:color w:val="auto"/>
              </w:rPr>
            </w:pPr>
          </w:p>
        </w:tc>
        <w:tc>
          <w:tcPr>
            <w:tcW w:w="1900" w:type="dxa"/>
            <w:vAlign w:val="bottom"/>
            <w:tcBorders>
              <w:bottom w:val="single" w:sz="8" w:color="BFBFBF"/>
              <w:right w:val="single" w:sz="8" w:color="495463"/>
            </w:tcBorders>
            <w:shd w:val="clear" w:color="auto" w:fill="495463"/>
          </w:tcPr>
          <w:p>
            <w:pPr>
              <w:spacing w:after="0"/>
              <w:rPr>
                <w:sz w:val="16"/>
                <w:szCs w:val="16"/>
                <w:color w:val="auto"/>
              </w:rPr>
            </w:pPr>
          </w:p>
        </w:tc>
        <w:tc>
          <w:tcPr>
            <w:tcW w:w="40" w:type="dxa"/>
            <w:vAlign w:val="bottom"/>
            <w:tcBorders>
              <w:bottom w:val="single" w:sz="8" w:color="BFBFBF"/>
            </w:tcBorders>
            <w:shd w:val="clear" w:color="auto" w:fill="495463"/>
          </w:tcPr>
          <w:p>
            <w:pPr>
              <w:spacing w:after="0"/>
              <w:rPr>
                <w:sz w:val="16"/>
                <w:szCs w:val="16"/>
                <w:color w:val="auto"/>
              </w:rPr>
            </w:pPr>
          </w:p>
        </w:tc>
        <w:tc>
          <w:tcPr>
            <w:tcW w:w="2300" w:type="dxa"/>
            <w:vAlign w:val="bottom"/>
            <w:tcBorders>
              <w:bottom w:val="single" w:sz="8" w:color="BFBFBF"/>
              <w:right w:val="single" w:sz="8" w:color="495463"/>
            </w:tcBorders>
            <w:shd w:val="clear" w:color="auto" w:fill="495463"/>
          </w:tcPr>
          <w:p>
            <w:pPr>
              <w:spacing w:after="0"/>
              <w:rPr>
                <w:sz w:val="16"/>
                <w:szCs w:val="16"/>
                <w:color w:val="auto"/>
              </w:rPr>
            </w:pPr>
          </w:p>
        </w:tc>
        <w:tc>
          <w:tcPr>
            <w:tcW w:w="2000" w:type="dxa"/>
            <w:vAlign w:val="bottom"/>
            <w:tcBorders>
              <w:bottom w:val="single" w:sz="8" w:color="BFBFBF"/>
            </w:tcBorders>
            <w:shd w:val="clear" w:color="auto" w:fill="495463"/>
          </w:tcPr>
          <w:p>
            <w:pPr>
              <w:spacing w:after="0"/>
              <w:rPr>
                <w:sz w:val="16"/>
                <w:szCs w:val="16"/>
                <w:color w:val="auto"/>
              </w:rPr>
            </w:pPr>
          </w:p>
        </w:tc>
        <w:tc>
          <w:tcPr>
            <w:tcW w:w="20" w:type="dxa"/>
            <w:vAlign w:val="bottom"/>
            <w:tcBorders>
              <w:bottom w:val="single" w:sz="8" w:color="BFBFB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tcBorders>
              <w:left w:val="single" w:sz="8" w:color="7F7F7F"/>
              <w:right w:val="single" w:sz="8" w:color="BFBFBF"/>
            </w:tcBorders>
          </w:tcPr>
          <w:p>
            <w:pPr>
              <w:spacing w:after="0"/>
              <w:rPr>
                <w:sz w:val="19"/>
                <w:szCs w:val="19"/>
                <w:color w:val="auto"/>
              </w:rPr>
            </w:pPr>
          </w:p>
        </w:tc>
        <w:tc>
          <w:tcPr>
            <w:tcW w:w="1580" w:type="dxa"/>
            <w:vAlign w:val="bottom"/>
            <w:tcBorders>
              <w:right w:val="single" w:sz="8" w:color="BFBFBF"/>
            </w:tcBorders>
          </w:tcPr>
          <w:p>
            <w:pPr>
              <w:spacing w:after="0"/>
              <w:rPr>
                <w:sz w:val="19"/>
                <w:szCs w:val="19"/>
                <w:color w:val="auto"/>
              </w:rPr>
            </w:pPr>
          </w:p>
        </w:tc>
        <w:tc>
          <w:tcPr>
            <w:tcW w:w="216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89"/>
              </w:rPr>
              <w:t>TSR between 80% and 99%</w:t>
            </w:r>
          </w:p>
        </w:tc>
        <w:tc>
          <w:tcPr>
            <w:tcW w:w="1900" w:type="dxa"/>
            <w:vAlign w:val="bottom"/>
            <w:tcBorders>
              <w:right w:val="single" w:sz="8" w:color="BFBFBF"/>
            </w:tcBorders>
          </w:tcPr>
          <w:p>
            <w:pPr>
              <w:spacing w:after="0"/>
              <w:rPr>
                <w:sz w:val="19"/>
                <w:szCs w:val="19"/>
                <w:color w:val="auto"/>
              </w:rPr>
            </w:pPr>
          </w:p>
        </w:tc>
        <w:tc>
          <w:tcPr>
            <w:tcW w:w="40" w:type="dxa"/>
            <w:vAlign w:val="bottom"/>
          </w:tcPr>
          <w:p>
            <w:pPr>
              <w:spacing w:after="0"/>
              <w:rPr>
                <w:sz w:val="19"/>
                <w:szCs w:val="19"/>
                <w:color w:val="auto"/>
              </w:rPr>
            </w:pPr>
          </w:p>
        </w:tc>
        <w:tc>
          <w:tcPr>
            <w:tcW w:w="230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89"/>
              </w:rPr>
              <w:t>TSR greater than 100% and up</w:t>
            </w:r>
          </w:p>
        </w:tc>
        <w:tc>
          <w:tcPr>
            <w:tcW w:w="2000" w:type="dxa"/>
            <w:vAlign w:val="bottom"/>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7F7F7F"/>
              <w:right w:val="single" w:sz="8" w:color="BFBFBF"/>
            </w:tcBorders>
          </w:tcPr>
          <w:p>
            <w:pPr>
              <w:jc w:val="center"/>
              <w:spacing w:after="0"/>
              <w:rPr>
                <w:sz w:val="20"/>
                <w:szCs w:val="20"/>
                <w:color w:val="auto"/>
              </w:rPr>
            </w:pPr>
            <w:r>
              <w:rPr>
                <w:rFonts w:ascii="Arial" w:cs="Arial" w:eastAsia="Arial" w:hAnsi="Arial"/>
                <w:sz w:val="18"/>
                <w:szCs w:val="18"/>
                <w:color w:val="auto"/>
                <w:w w:val="88"/>
              </w:rPr>
              <w:t>TSR</w:t>
            </w:r>
          </w:p>
        </w:tc>
        <w:tc>
          <w:tcPr>
            <w:tcW w:w="158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89"/>
              </w:rPr>
              <w:t>TSR less than 80%</w:t>
            </w:r>
          </w:p>
        </w:tc>
        <w:tc>
          <w:tcPr>
            <w:tcW w:w="216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88"/>
              </w:rPr>
              <w:t>based on % of linear</w:t>
            </w:r>
          </w:p>
        </w:tc>
        <w:tc>
          <w:tcPr>
            <w:tcW w:w="190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91"/>
              </w:rPr>
              <w:t>TSR at 100%</w:t>
            </w:r>
          </w:p>
        </w:tc>
        <w:tc>
          <w:tcPr>
            <w:tcW w:w="40" w:type="dxa"/>
            <w:vAlign w:val="bottom"/>
          </w:tcPr>
          <w:p>
            <w:pPr>
              <w:spacing w:after="0"/>
              <w:rPr>
                <w:sz w:val="18"/>
                <w:szCs w:val="18"/>
                <w:color w:val="auto"/>
              </w:rPr>
            </w:pPr>
          </w:p>
        </w:tc>
        <w:tc>
          <w:tcPr>
            <w:tcW w:w="230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90"/>
              </w:rPr>
              <w:t>to 120% based on % of linear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TSR greater than 120%</w:t>
            </w:r>
          </w:p>
        </w:tc>
        <w:tc>
          <w:tcPr>
            <w:tcW w:w="2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Borders>
              <w:left w:val="single" w:sz="8" w:color="7F7F7F"/>
              <w:right w:val="single" w:sz="8" w:color="BFBFBF"/>
            </w:tcBorders>
          </w:tcPr>
          <w:p>
            <w:pPr>
              <w:spacing w:after="0"/>
              <w:rPr>
                <w:sz w:val="20"/>
                <w:szCs w:val="20"/>
                <w:color w:val="auto"/>
              </w:rPr>
            </w:pPr>
          </w:p>
        </w:tc>
        <w:tc>
          <w:tcPr>
            <w:tcW w:w="1580" w:type="dxa"/>
            <w:vAlign w:val="bottom"/>
            <w:tcBorders>
              <w:right w:val="single" w:sz="8" w:color="BFBFBF"/>
            </w:tcBorders>
          </w:tcPr>
          <w:p>
            <w:pPr>
              <w:spacing w:after="0"/>
              <w:rPr>
                <w:sz w:val="20"/>
                <w:szCs w:val="20"/>
                <w:color w:val="auto"/>
              </w:rPr>
            </w:pPr>
          </w:p>
        </w:tc>
        <w:tc>
          <w:tcPr>
            <w:tcW w:w="216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88"/>
              </w:rPr>
              <w:t>achievement</w:t>
            </w:r>
          </w:p>
        </w:tc>
        <w:tc>
          <w:tcPr>
            <w:tcW w:w="1900" w:type="dxa"/>
            <w:vAlign w:val="bottom"/>
            <w:tcBorders>
              <w:right w:val="single" w:sz="8" w:color="BFBFBF"/>
            </w:tcBorders>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tcBorders>
              <w:right w:val="single" w:sz="8" w:color="BFBFBF"/>
            </w:tcBorders>
          </w:tcPr>
          <w:p>
            <w:pPr>
              <w:jc w:val="center"/>
              <w:spacing w:after="0"/>
              <w:rPr>
                <w:sz w:val="20"/>
                <w:szCs w:val="20"/>
                <w:color w:val="auto"/>
              </w:rPr>
            </w:pPr>
            <w:r>
              <w:rPr>
                <w:rFonts w:ascii="Arial" w:cs="Arial" w:eastAsia="Arial" w:hAnsi="Arial"/>
                <w:sz w:val="18"/>
                <w:szCs w:val="18"/>
                <w:color w:val="auto"/>
                <w:w w:val="90"/>
              </w:rPr>
              <w:t>achievement</w:t>
            </w:r>
          </w:p>
        </w:tc>
        <w:tc>
          <w:tcPr>
            <w:tcW w:w="2000" w:type="dxa"/>
            <w:vAlign w:val="bottom"/>
          </w:tcPr>
          <w:p>
            <w:pPr>
              <w:spacing w:after="0"/>
              <w:rPr>
                <w:sz w:val="20"/>
                <w:szCs w:val="20"/>
                <w:color w:val="auto"/>
              </w:rPr>
            </w:pPr>
          </w:p>
        </w:tc>
        <w:tc>
          <w:tcPr>
            <w:tcW w:w="20" w:type="dxa"/>
            <w:vAlign w:val="bottom"/>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60" w:type="dxa"/>
            <w:vAlign w:val="bottom"/>
            <w:tcBorders>
              <w:left w:val="single" w:sz="8" w:color="7F7F7F"/>
              <w:bottom w:val="single" w:sz="8" w:color="BFBFBF"/>
              <w:right w:val="single" w:sz="8" w:color="BFBFBF"/>
            </w:tcBorders>
          </w:tcPr>
          <w:p>
            <w:pPr>
              <w:spacing w:after="0"/>
              <w:rPr>
                <w:sz w:val="2"/>
                <w:szCs w:val="2"/>
                <w:color w:val="auto"/>
              </w:rPr>
            </w:pPr>
          </w:p>
        </w:tc>
        <w:tc>
          <w:tcPr>
            <w:tcW w:w="1580" w:type="dxa"/>
            <w:vAlign w:val="bottom"/>
            <w:tcBorders>
              <w:bottom w:val="single" w:sz="8" w:color="BFBFBF"/>
              <w:right w:val="single" w:sz="8" w:color="BFBFBF"/>
            </w:tcBorders>
          </w:tcPr>
          <w:p>
            <w:pPr>
              <w:spacing w:after="0"/>
              <w:rPr>
                <w:sz w:val="2"/>
                <w:szCs w:val="2"/>
                <w:color w:val="auto"/>
              </w:rPr>
            </w:pPr>
          </w:p>
        </w:tc>
        <w:tc>
          <w:tcPr>
            <w:tcW w:w="2160" w:type="dxa"/>
            <w:vAlign w:val="bottom"/>
            <w:tcBorders>
              <w:bottom w:val="single" w:sz="8" w:color="BFBFBF"/>
              <w:right w:val="single" w:sz="8" w:color="BFBFBF"/>
            </w:tcBorders>
          </w:tcPr>
          <w:p>
            <w:pPr>
              <w:spacing w:after="0"/>
              <w:rPr>
                <w:sz w:val="2"/>
                <w:szCs w:val="2"/>
                <w:color w:val="auto"/>
              </w:rPr>
            </w:pPr>
          </w:p>
        </w:tc>
        <w:tc>
          <w:tcPr>
            <w:tcW w:w="1900" w:type="dxa"/>
            <w:vAlign w:val="bottom"/>
            <w:tcBorders>
              <w:bottom w:val="single" w:sz="8" w:color="BFBFBF"/>
              <w:right w:val="single" w:sz="8" w:color="BFBFBF"/>
            </w:tcBorders>
          </w:tcPr>
          <w:p>
            <w:pPr>
              <w:spacing w:after="0"/>
              <w:rPr>
                <w:sz w:val="2"/>
                <w:szCs w:val="2"/>
                <w:color w:val="auto"/>
              </w:rPr>
            </w:pPr>
          </w:p>
        </w:tc>
        <w:tc>
          <w:tcPr>
            <w:tcW w:w="40" w:type="dxa"/>
            <w:vAlign w:val="bottom"/>
            <w:tcBorders>
              <w:bottom w:val="single" w:sz="8" w:color="BFBFBF"/>
            </w:tcBorders>
          </w:tcPr>
          <w:p>
            <w:pPr>
              <w:spacing w:after="0"/>
              <w:rPr>
                <w:sz w:val="2"/>
                <w:szCs w:val="2"/>
                <w:color w:val="auto"/>
              </w:rPr>
            </w:pPr>
          </w:p>
        </w:tc>
        <w:tc>
          <w:tcPr>
            <w:tcW w:w="2300" w:type="dxa"/>
            <w:vAlign w:val="bottom"/>
            <w:tcBorders>
              <w:bottom w:val="single" w:sz="8" w:color="BFBFBF"/>
              <w:right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0" w:type="dxa"/>
            <w:vAlign w:val="bottom"/>
            <w:tcBorders>
              <w:bottom w:val="single" w:sz="8" w:color="BFBFBF"/>
            </w:tcBorders>
            <w:shd w:val="clear" w:color="auto" w:fill="BFBFBF"/>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828282"/>
        </w:rPr>
        <w:t xml:space="preserve">Page </w:t>
      </w:r>
      <w:r>
        <w:rPr>
          <w:rFonts w:ascii="Arial" w:cs="Arial" w:eastAsia="Arial" w:hAnsi="Arial"/>
          <w:sz w:val="18"/>
          <w:szCs w:val="18"/>
          <w:b w:val="1"/>
          <w:bCs w:val="1"/>
          <w:color w:val="828282"/>
        </w:rPr>
        <w:t>11</w:t>
      </w:r>
      <w:r>
        <w:rPr>
          <w:rFonts w:ascii="Arial" w:cs="Arial" w:eastAsia="Arial" w:hAnsi="Arial"/>
          <w:sz w:val="18"/>
          <w:szCs w:val="18"/>
          <w:color w:val="828282"/>
        </w:rPr>
        <w:t xml:space="preserve"> of </w:t>
      </w:r>
      <w:r>
        <w:rPr>
          <w:rFonts w:ascii="Arial" w:cs="Arial" w:eastAsia="Arial" w:hAnsi="Arial"/>
          <w:sz w:val="18"/>
          <w:szCs w:val="18"/>
          <w:b w:val="1"/>
          <w:bCs w:val="1"/>
          <w:color w:val="828282"/>
        </w:rPr>
        <w:t>11</w:t>
      </w:r>
    </w:p>
    <w:p>
      <w:pPr>
        <w:sectPr>
          <w:pgSz w:w="11900" w:h="16838" w:orient="portrait"/>
          <w:cols w:equalWidth="0" w:num="1">
            <w:col w:w="11260"/>
          </w:cols>
          <w:pgMar w:left="320" w:top="558" w:right="319" w:bottom="1440" w:gutter="0" w:footer="0" w:header="0"/>
        </w:sectPr>
      </w:pPr>
    </w:p>
    <w:bookmarkStart w:id="55" w:name="page56"/>
    <w:bookmarkEnd w:id="55"/>
    <w:p>
      <w:pPr>
        <w:ind w:left="10320"/>
        <w:spacing w:after="0"/>
        <w:rPr>
          <w:sz w:val="20"/>
          <w:szCs w:val="20"/>
          <w:color w:val="auto"/>
        </w:rPr>
      </w:pPr>
      <w:r>
        <w:rPr>
          <w:rFonts w:ascii="Arial" w:cs="Arial" w:eastAsia="Arial" w:hAnsi="Arial"/>
          <w:sz w:val="16"/>
          <w:szCs w:val="16"/>
          <w:b w:val="1"/>
          <w:bCs w:val="1"/>
          <w:color w:val="auto"/>
        </w:rPr>
        <w:t>Exhibit 10.2</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ALTISOURCE’S 2009 EQUITY INCENTIVE PLAN AND</w:t>
      </w:r>
    </w:p>
    <w:p>
      <w:pPr>
        <w:jc w:val="center"/>
        <w:spacing w:after="0"/>
        <w:rPr>
          <w:sz w:val="20"/>
          <w:szCs w:val="20"/>
          <w:color w:val="auto"/>
        </w:rPr>
      </w:pPr>
      <w:r>
        <w:rPr>
          <w:rFonts w:ascii="Arial" w:cs="Arial" w:eastAsia="Arial" w:hAnsi="Arial"/>
          <w:sz w:val="20"/>
          <w:szCs w:val="20"/>
          <w:b w:val="1"/>
          <w:bCs w:val="1"/>
          <w:color w:val="auto"/>
        </w:rPr>
        <w:t>2019 ANNUAL INCENTIVE PLAN</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Altisource Portfolio Solutions S.A.</w:t>
      </w:r>
      <w:r>
        <w:rPr>
          <w:rFonts w:ascii="Arial" w:cs="Arial" w:eastAsia="Arial" w:hAnsi="Arial"/>
          <w:sz w:val="20"/>
          <w:szCs w:val="20"/>
          <w:color w:val="auto"/>
        </w:rPr>
        <w:t>, a Luxembourg société anonyme (together with its subsidiaries and affiliates, “Altisource” or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hereby grants to </w:t>
      </w:r>
      <w:r>
        <w:rPr>
          <w:rFonts w:ascii="Arial" w:cs="Arial" w:eastAsia="Arial" w:hAnsi="Arial"/>
          <w:sz w:val="20"/>
          <w:szCs w:val="20"/>
          <w:b w:val="1"/>
          <w:bCs w:val="1"/>
          <w:color w:val="auto"/>
        </w:rPr>
        <w:t>[Employee Name]</w:t>
      </w:r>
      <w:r>
        <w:rPr>
          <w:rFonts w:ascii="Arial" w:cs="Arial" w:eastAsia="Arial" w:hAnsi="Arial"/>
          <w:sz w:val="20"/>
          <w:szCs w:val="20"/>
          <w:color w:val="auto"/>
        </w:rPr>
        <w:t xml:space="preserve"> (the “Employee”) an award of restricted stock units (the “Restricted Stock Units” or “RSUs”) for shares of Altisource common stock, par value $1.00 per share (“Shares”), on the terms and conditions set forth herein (the "RSU Award”). Each RSU represents a right for Employee to receive one Share, subject to the fulfillment of the vesting conditions and other conditions set forth in the attached Appendix A.</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RSU Award is granted pursuant to Altisource’s 2009 Equity Incentive Plan, as amended (the “2009 Plan”) and the Company’s 2019 Annual Incentive Plan. The RSU Award is subject to all of the terms and conditions contained in this Restricted Stock Unit Award Agreement (the “Agreement”), including the terms and conditions contained in the attached Appendix A as well as the 2009 Plan. Subject to the provisions of Appendix A and of the 2009 Plan, the principal features of this RSU Award are as follows:</w:t>
      </w:r>
    </w:p>
    <w:p>
      <w:pPr>
        <w:sectPr>
          <w:pgSz w:w="11900" w:h="16838" w:orient="portrait"/>
          <w:cols w:equalWidth="0" w:num="1">
            <w:col w:w="11240"/>
          </w:cols>
          <w:pgMar w:left="320" w:top="553" w:right="339" w:bottom="1440" w:gutter="0" w:footer="0" w:header="0"/>
        </w:sectPr>
      </w:pPr>
    </w:p>
    <w:p>
      <w:pPr>
        <w:spacing w:after="0" w:line="332"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Number of RSUs: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14" w:lineRule="exact"/>
        <w:rPr>
          <w:sz w:val="20"/>
          <w:szCs w:val="20"/>
          <w:color w:val="auto"/>
        </w:rPr>
      </w:pPr>
    </w:p>
    <w:p>
      <w:pPr>
        <w:sectPr>
          <w:pgSz w:w="11900" w:h="16838" w:orient="portrait"/>
          <w:cols w:equalWidth="0" w:num="2">
            <w:col w:w="4040" w:space="620"/>
            <w:col w:w="6580"/>
          </w:cols>
          <w:pgMar w:left="320" w:top="553" w:right="339" w:bottom="1440" w:gutter="0" w:footer="0" w:header="0"/>
          <w:type w:val="continuous"/>
        </w:sectPr>
      </w:pPr>
    </w:p>
    <w:p>
      <w:pPr>
        <w:ind w:left="3000"/>
        <w:spacing w:after="0"/>
        <w:rPr>
          <w:sz w:val="20"/>
          <w:szCs w:val="20"/>
          <w:color w:val="auto"/>
        </w:rPr>
      </w:pPr>
      <w:r>
        <w:rPr>
          <w:rFonts w:ascii="Arial" w:cs="Arial" w:eastAsia="Arial" w:hAnsi="Arial"/>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26, 2020</w:t>
      </w:r>
    </w:p>
    <w:p>
      <w:pPr>
        <w:spacing w:after="0" w:line="228" w:lineRule="exact"/>
        <w:rPr>
          <w:sz w:val="20"/>
          <w:szCs w:val="20"/>
          <w:color w:val="auto"/>
        </w:rPr>
      </w:pPr>
    </w:p>
    <w:p>
      <w:pPr>
        <w:sectPr>
          <w:pgSz w:w="11900" w:h="16838" w:orient="portrait"/>
          <w:cols w:equalWidth="0" w:num="2">
            <w:col w:w="4040" w:space="620"/>
            <w:col w:w="6580"/>
          </w:cols>
          <w:pgMar w:left="320" w:top="553" w:right="339" w:bottom="1440" w:gutter="0" w:footer="0" w:header="0"/>
          <w:type w:val="continuous"/>
        </w:sectPr>
      </w:pPr>
    </w:p>
    <w:p>
      <w:pPr>
        <w:spacing w:after="0" w:line="14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50% of the RSU Award will vest on February 26, 2021 and</w:t>
      </w:r>
    </w:p>
    <w:p>
      <w:pPr>
        <w:spacing w:after="0" w:line="16" w:lineRule="exact"/>
        <w:rPr>
          <w:sz w:val="20"/>
          <w:szCs w:val="20"/>
          <w:color w:val="auto"/>
        </w:rPr>
      </w:pPr>
    </w:p>
    <w:p>
      <w:pPr>
        <w:ind w:left="2540"/>
        <w:spacing w:after="0"/>
        <w:tabs>
          <w:tab w:leader="none" w:pos="484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6"/>
          <w:szCs w:val="16"/>
          <w:color w:val="auto"/>
        </w:rPr>
        <w:t>the remaining 50% on February 26, 2022</w:t>
      </w:r>
    </w:p>
    <w:p>
      <w:pPr>
        <w:spacing w:after="0" w:line="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provided in the 2009 Plan and in this Agreement, this RSU Award or a portion thereof may terminate or be forfeited before the scheduled vesting date(s) of the RSU Award upon the occurrence of certain events (for example, if Employee resigns or is terminated before the date this RSU Award is fully vested). Important additional information on vesting and forfeiture of the RSU Award is contained in Section 6 of Appendix A.</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This RSU Award is conditioned upon Employee’s execution of this Agreement. </w:t>
      </w:r>
      <w:r>
        <w:rPr>
          <w:rFonts w:ascii="Arial" w:cs="Arial" w:eastAsia="Arial" w:hAnsi="Arial"/>
          <w:sz w:val="20"/>
          <w:szCs w:val="20"/>
          <w:b w:val="1"/>
          <w:bCs w:val="1"/>
          <w:u w:val="single" w:color="auto"/>
          <w:color w:val="auto"/>
        </w:rPr>
        <w:t>If the Agreement is not executed by Employee by XX,</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2020, the RSU Award will be cancelled, resulting in the forfeiture of the portion of Employee’s 2019 Annual Incentive Compensation Award that was to have been paid in RSUs.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828282"/>
        </w:rPr>
        <w:t>Page 1 of 9</w:t>
      </w:r>
    </w:p>
    <w:p>
      <w:pPr>
        <w:sectPr>
          <w:pgSz w:w="11900" w:h="16838" w:orient="portrait"/>
          <w:cols w:equalWidth="0" w:num="1">
            <w:col w:w="11240"/>
          </w:cols>
          <w:pgMar w:left="320" w:top="553" w:right="339" w:bottom="1440" w:gutter="0" w:footer="0" w:header="0"/>
          <w:type w:val="continuous"/>
        </w:sectPr>
      </w:pPr>
    </w:p>
    <w:bookmarkStart w:id="56" w:name="page57"/>
    <w:bookmarkEnd w:id="56"/>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and Employee have executed this Agreement, to be effective as of the date first above written.</w:t>
      </w:r>
    </w:p>
    <w:p>
      <w:pPr>
        <w:sectPr>
          <w:pgSz w:w="11900" w:h="16838" w:orient="portrait"/>
          <w:cols w:equalWidth="0" w:num="1">
            <w:col w:w="11240"/>
          </w:cols>
          <w:pgMar w:left="320" w:top="1440" w:right="33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Altisource Portfolio Solutions S.A.</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Altisource Portfolio Solutions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24765</wp:posOffset>
            </wp:positionV>
            <wp:extent cx="120015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0" cy="386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20"/>
            <w:col w:w="7560"/>
          </w:cols>
          <w:pgMar w:left="320" w:top="1440"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By: ________________________ William B. Shepro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Attested by: _____________________</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Gregory J. Ritts</w:t>
      </w:r>
    </w:p>
    <w:p>
      <w:pPr>
        <w:ind w:left="420"/>
        <w:spacing w:after="0"/>
        <w:rPr>
          <w:sz w:val="20"/>
          <w:szCs w:val="20"/>
          <w:color w:val="auto"/>
        </w:rPr>
      </w:pPr>
      <w:r>
        <w:rPr>
          <w:rFonts w:ascii="Arial" w:cs="Arial" w:eastAsia="Arial" w:hAnsi="Arial"/>
          <w:sz w:val="20"/>
          <w:szCs w:val="20"/>
          <w:color w:val="auto"/>
        </w:rPr>
        <w:t>Corporate Secretary</w:t>
      </w:r>
    </w:p>
    <w:p>
      <w:pPr>
        <w:spacing w:after="0" w:line="145" w:lineRule="exact"/>
        <w:rPr>
          <w:sz w:val="20"/>
          <w:szCs w:val="20"/>
          <w:color w:val="auto"/>
        </w:rPr>
      </w:pPr>
    </w:p>
    <w:p>
      <w:pPr>
        <w:sectPr>
          <w:pgSz w:w="11900" w:h="16838" w:orient="portrait"/>
          <w:cols w:equalWidth="0" w:num="2">
            <w:col w:w="2720" w:space="20"/>
            <w:col w:w="8500"/>
          </w:cols>
          <w:pgMar w:left="320" w:top="1440" w:right="339" w:bottom="1440" w:gutter="0" w:footer="0" w:header="0"/>
          <w:type w:val="continuous"/>
        </w:sectPr>
      </w:pPr>
    </w:p>
    <w:p>
      <w:pPr>
        <w:spacing w:after="0" w:line="316" w:lineRule="auto"/>
        <w:rPr>
          <w:sz w:val="20"/>
          <w:szCs w:val="20"/>
          <w:color w:val="auto"/>
        </w:rPr>
      </w:pPr>
      <w:r>
        <w:rPr>
          <w:rFonts w:ascii="Arial" w:cs="Arial" w:eastAsia="Arial" w:hAnsi="Arial"/>
          <w:sz w:val="18"/>
          <w:szCs w:val="18"/>
          <w:color w:val="auto"/>
        </w:rPr>
        <w:t>My signature below indicates that I understand that this RSU Award is (1) subject to all of the terms and conditions as indicated in the attached Appendix A and set forth in the 2009 Plan and (2) not considered salary, nor is it a promise for future grants of equity awards.</w:t>
      </w:r>
    </w:p>
    <w:p>
      <w:pPr>
        <w:spacing w:after="0" w:line="7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By signing below, I also confirm my earlier agreement for [ %] of my 2019 Annual Incentive Compensation Award to be paid in RSUs, notwithstanding any term to the contrary in my employment agreement, and I waive any claims related thereto</w:t>
      </w:r>
      <w:r>
        <w:rPr>
          <w:rFonts w:ascii="Arial" w:cs="Arial" w:eastAsia="Arial" w:hAnsi="Arial"/>
          <w:sz w:val="20"/>
          <w:szCs w:val="20"/>
          <w:b w:val="1"/>
          <w:bCs w:val="1"/>
          <w:color w:val="auto"/>
        </w:rPr>
        <w:t>.</w:t>
      </w:r>
    </w:p>
    <w:p>
      <w:pPr>
        <w:spacing w:after="0" w:line="123"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379095</wp:posOffset>
            </wp:positionV>
            <wp:extent cx="3060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Employee Name</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828282"/>
        </w:rPr>
        <w:t>Page 2 of 9</w:t>
      </w:r>
    </w:p>
    <w:p>
      <w:pPr>
        <w:sectPr>
          <w:pgSz w:w="11900" w:h="16838" w:orient="portrait"/>
          <w:cols w:equalWidth="0" w:num="1">
            <w:col w:w="11240"/>
          </w:cols>
          <w:pgMar w:left="320" w:top="1440" w:right="3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20"/>
          <w:szCs w:val="20"/>
          <w:b w:val="1"/>
          <w:bCs w:val="1"/>
          <w:color w:val="auto"/>
        </w:rPr>
        <w:t>APPENDIX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OF RSU AWARD</w:t>
      </w:r>
    </w:p>
    <w:p>
      <w:pPr>
        <w:spacing w:after="0" w:line="362"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Grant of RSU Award.</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hereby grants to the Employee an RSU Award with respect to the number of RSUs set forth on page 1 of this Agreement, subject to all the terms and conditions of this Agreement and the 2009 Plan.</w:t>
      </w:r>
    </w:p>
    <w:p>
      <w:pPr>
        <w:spacing w:after="0" w:line="177"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Vesting Schedule.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set forth on page 1, fifty percent (50%) of the RSUs shall vest on each of the first and second anniversaries of the Grant Date. Except as provided in Section 4 and Section 8 below, RSUs will not vest unless the Employee is, at the time of vesting, an employee of the Company and not under a notice of resignation.</w:t>
      </w:r>
    </w:p>
    <w:p>
      <w:pPr>
        <w:spacing w:after="0" w:line="186" w:lineRule="exact"/>
        <w:rPr>
          <w:sz w:val="20"/>
          <w:szCs w:val="20"/>
          <w:color w:val="auto"/>
        </w:rPr>
      </w:pPr>
    </w:p>
    <w:p>
      <w:pPr>
        <w:ind w:left="660" w:right="7140" w:hanging="652"/>
        <w:spacing w:after="0" w:line="464" w:lineRule="auto"/>
        <w:tabs>
          <w:tab w:leader="none" w:pos="21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 xml:space="preserve">Shareholder Rights; Dividend Equivalent Rights. </w:t>
      </w:r>
      <w:r>
        <w:rPr>
          <w:rFonts w:ascii="Arial" w:cs="Arial" w:eastAsia="Arial" w:hAnsi="Arial"/>
          <w:sz w:val="20"/>
          <w:szCs w:val="20"/>
          <w:i w:val="1"/>
          <w:iCs w:val="1"/>
          <w:color w:val="auto"/>
        </w:rPr>
        <w:t>A. Shareholder Rights.</w:t>
      </w:r>
    </w:p>
    <w:p>
      <w:pPr>
        <w:spacing w:after="0" w:line="2" w:lineRule="exact"/>
        <w:rPr>
          <w:sz w:val="20"/>
          <w:szCs w:val="20"/>
          <w:color w:val="auto"/>
        </w:rPr>
      </w:pPr>
    </w:p>
    <w:p>
      <w:pPr>
        <w:jc w:val="both"/>
        <w:ind w:left="660"/>
        <w:spacing w:after="0" w:line="291" w:lineRule="auto"/>
        <w:rPr>
          <w:sz w:val="20"/>
          <w:szCs w:val="20"/>
          <w:color w:val="auto"/>
        </w:rPr>
      </w:pPr>
      <w:r>
        <w:rPr>
          <w:rFonts w:ascii="Arial" w:cs="Arial" w:eastAsia="Arial" w:hAnsi="Arial"/>
          <w:sz w:val="18"/>
          <w:szCs w:val="18"/>
          <w:color w:val="auto"/>
        </w:rPr>
        <w:t>RSUs are an unfunded promise to deliver Shares (or cash, if so determined pursuant to Section 5 Subsection B) in the future if the requirements of the RSU Award and the 2009 Plan are met. Prior to issuance of Shares, if any, to the Employee in settlement of the RSU Award pursuant to Section 5 below, the Employee has no ownership rights in Shares or shareholder rights.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B. Dividend Equivalents.</w:t>
      </w:r>
    </w:p>
    <w:p>
      <w:pPr>
        <w:spacing w:after="0" w:line="216"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color w:val="auto"/>
        </w:rPr>
        <w:t>Each RSU shall include dividend equivalent rights that entitle the Employee, simultaneously upon the settlement of the RSU pursuant to Section 5 below, to receive a cash payment equal to any dividends declared on a Share (“Dividend Equivalents”) from the Grant Date through the day immediately before the issuance date of the Share in settlement of the RSU. If for any reason, the Employee does not become entitled to receive a Share in settlement of an RSU, the Employee will forfeit the dividend equivalent rights associated with such RSU. Dividend Equivalents shall not accrue interest. For the avoidance of doubt, Employee shall have no right to receive the Dividend Equivalents unless and until the associated RSUs vest.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 Non-Transferability of the RSU Award.</w:t>
      </w:r>
    </w:p>
    <w:p>
      <w:pPr>
        <w:spacing w:after="0" w:line="216"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This RSU Award is nontransferable and neither the RSU Award nor the RSUs may be assigned, transferred, pledged or hypothecated in any way (whether by operation of law or otherwise) and shall not be subject to execution, attachment or similar process. Any attempted assignment, transfer, pledge, hypothecation or other disposition of the RSU Award contrary to the provisions hereof, and the levy of any execution, attachment or similar process upon the RSU Award, shall be null and void and without effect.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 RSUs Are Unfunded and Unsecured.</w:t>
      </w:r>
    </w:p>
    <w:p>
      <w:pPr>
        <w:spacing w:after="0" w:line="216"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RSUs are an unfunded and unsecured promise to deliver Shares in the future (or cash, if so determined pursuant to Section 5 Subsection B), subject to the terms of this Agreement and the 2009 Plan. The Employee’s rights under this Agreement are no greater than an unsecured, general creditor of the Company.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828282"/>
        </w:rPr>
        <w:t>Page 3 of 9</w:t>
      </w:r>
    </w:p>
    <w:p>
      <w:pPr>
        <w:sectPr>
          <w:pgSz w:w="11900" w:h="16838" w:orient="portrait"/>
          <w:cols w:equalWidth="0" w:num="1">
            <w:col w:w="11240"/>
          </w:cols>
          <w:pgMar w:left="320" w:top="765" w:right="339" w:bottom="1440" w:gutter="0" w:footer="0" w:header="0"/>
        </w:sectPr>
      </w:pPr>
    </w:p>
    <w:bookmarkStart w:id="58" w:name="page59"/>
    <w:bookmarkEnd w:id="58"/>
    <w:p>
      <w:pPr>
        <w:ind w:left="200" w:hanging="192"/>
        <w:spacing w:after="0"/>
        <w:tabs>
          <w:tab w:leader="none" w:pos="20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Termination of RSU Awards.</w:t>
      </w:r>
    </w:p>
    <w:p>
      <w:pPr>
        <w:spacing w:after="0" w:line="216" w:lineRule="exact"/>
        <w:rPr>
          <w:sz w:val="20"/>
          <w:szCs w:val="20"/>
          <w:color w:val="auto"/>
        </w:rPr>
      </w:pPr>
    </w:p>
    <w:p>
      <w:pPr>
        <w:ind w:left="240" w:right="20"/>
        <w:spacing w:after="0" w:line="260" w:lineRule="auto"/>
        <w:rPr>
          <w:sz w:val="20"/>
          <w:szCs w:val="20"/>
          <w:color w:val="auto"/>
        </w:rPr>
      </w:pPr>
      <w:r>
        <w:rPr>
          <w:rFonts w:ascii="Arial" w:cs="Arial" w:eastAsia="Arial" w:hAnsi="Arial"/>
          <w:sz w:val="20"/>
          <w:szCs w:val="20"/>
          <w:color w:val="auto"/>
        </w:rPr>
        <w:t>If, prior to vesting of the entire RSU Award, the Employee's employment terminates, the RSU Award shall terminate in accordance with the 2009 Plan except as follows:</w:t>
      </w:r>
    </w:p>
    <w:p>
      <w:pPr>
        <w:spacing w:after="0" w:line="123" w:lineRule="exact"/>
        <w:rPr>
          <w:sz w:val="20"/>
          <w:szCs w:val="20"/>
          <w:color w:val="auto"/>
        </w:rPr>
      </w:pPr>
    </w:p>
    <w:p>
      <w:pPr>
        <w:jc w:val="both"/>
        <w:ind w:left="1300" w:hanging="644"/>
        <w:spacing w:after="0" w:line="342" w:lineRule="auto"/>
        <w:tabs>
          <w:tab w:leader="none" w:pos="1300" w:val="left"/>
        </w:tabs>
        <w:numPr>
          <w:ilvl w:val="1"/>
          <w:numId w:val="47"/>
        </w:numPr>
        <w:rPr>
          <w:rFonts w:ascii="Arial" w:cs="Arial" w:eastAsia="Arial" w:hAnsi="Arial"/>
          <w:sz w:val="15"/>
          <w:szCs w:val="15"/>
          <w:color w:val="auto"/>
        </w:rPr>
      </w:pPr>
      <w:r>
        <w:rPr>
          <w:rFonts w:ascii="Arial" w:cs="Arial" w:eastAsia="Arial" w:hAnsi="Arial"/>
          <w:sz w:val="16"/>
          <w:szCs w:val="16"/>
          <w:color w:val="auto"/>
        </w:rPr>
        <w:t>by the Company for Cause or termination of employment by the Employee (other than by reason of Retirement), then the RSU Award shall terminate and all unvested RSUs shall be forfeited by the Employee as of the date of termination of employment or, in the case of the Employee’s resignation, on the date the Employee provides notice of his or her resignation.</w:t>
      </w:r>
    </w:p>
    <w:p>
      <w:pPr>
        <w:spacing w:after="0" w:line="63" w:lineRule="exact"/>
        <w:rPr>
          <w:rFonts w:ascii="Arial" w:cs="Arial" w:eastAsia="Arial" w:hAnsi="Arial"/>
          <w:sz w:val="15"/>
          <w:szCs w:val="15"/>
          <w:color w:val="auto"/>
        </w:rPr>
      </w:pPr>
    </w:p>
    <w:p>
      <w:pPr>
        <w:ind w:left="1300" w:right="20" w:hanging="644"/>
        <w:spacing w:after="0" w:line="260"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20"/>
          <w:szCs w:val="20"/>
          <w:color w:val="auto"/>
        </w:rPr>
        <w:t>by the Company without Cause or by reason of Retirement, death or Disability of the Employee, then all unvested RSUs shall vest thirty (30) days after the date of such termination of employment.</w:t>
      </w:r>
    </w:p>
    <w:p>
      <w:pPr>
        <w:spacing w:after="0" w:line="122" w:lineRule="exact"/>
        <w:rPr>
          <w:rFonts w:ascii="Arial" w:cs="Arial" w:eastAsia="Arial" w:hAnsi="Arial"/>
          <w:sz w:val="18"/>
          <w:szCs w:val="18"/>
          <w:color w:val="auto"/>
        </w:rPr>
      </w:pPr>
    </w:p>
    <w:p>
      <w:pPr>
        <w:ind w:left="1300" w:hanging="644"/>
        <w:spacing w:after="0" w:line="260"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20"/>
          <w:szCs w:val="20"/>
          <w:color w:val="auto"/>
        </w:rPr>
        <w:t>In no event shall the granting of the RSU Award or its acceptance by the Employee give or be deemed to give the Employee any right to continued employment by the Company.</w:t>
      </w:r>
    </w:p>
    <w:p>
      <w:pPr>
        <w:spacing w:after="0" w:line="122" w:lineRule="exact"/>
        <w:rPr>
          <w:rFonts w:ascii="Arial" w:cs="Arial" w:eastAsia="Arial" w:hAnsi="Arial"/>
          <w:sz w:val="18"/>
          <w:szCs w:val="18"/>
          <w:color w:val="auto"/>
        </w:rPr>
      </w:pPr>
    </w:p>
    <w:p>
      <w:pPr>
        <w:ind w:left="200" w:hanging="192"/>
        <w:spacing w:after="0"/>
        <w:tabs>
          <w:tab w:leader="none" w:pos="2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Settlement of RSUs.</w:t>
      </w:r>
    </w:p>
    <w:p>
      <w:pPr>
        <w:spacing w:after="0" w:line="215"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20"/>
          <w:szCs w:val="20"/>
          <w:color w:val="auto"/>
        </w:rPr>
        <w:t>Subject to Section 7.B, each vested RSU shall be settled in one Share (less applicable tax withholdings), as soon as practicable and no later than the March 15th following the calendar year in which the RSU vests pursuant to Section 2 or 4 of this Agreement.</w:t>
      </w:r>
    </w:p>
    <w:p>
      <w:pPr>
        <w:spacing w:after="0" w:line="131"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8"/>
          <w:szCs w:val="18"/>
          <w:color w:val="auto"/>
        </w:rPr>
        <w:t>Notwithstanding the foregoing or any other provision of this Agreement, and subject in all cases to the terms of the 2009 Plan then in effect, the Company reserves the right to settle the Employee’s RSUs by a lump sum cash payment equal to then fair market value (as determined pursuant to Section 7) of the settled Shares (less applicable tax withholdings).</w:t>
      </w:r>
    </w:p>
    <w:p>
      <w:pPr>
        <w:spacing w:after="0" w:line="97" w:lineRule="exact"/>
        <w:rPr>
          <w:rFonts w:ascii="Arial" w:cs="Arial" w:eastAsia="Arial" w:hAnsi="Arial"/>
          <w:sz w:val="16"/>
          <w:szCs w:val="16"/>
          <w:color w:val="auto"/>
        </w:rPr>
      </w:pPr>
    </w:p>
    <w:p>
      <w:pPr>
        <w:ind w:left="200" w:hanging="192"/>
        <w:spacing w:after="0"/>
        <w:tabs>
          <w:tab w:leader="none" w:pos="2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Conditions upon Termination of Employment; Claw-back Policy.</w:t>
      </w:r>
    </w:p>
    <w:p>
      <w:pPr>
        <w:spacing w:after="0" w:line="215" w:lineRule="exact"/>
        <w:rPr>
          <w:rFonts w:ascii="Arial" w:cs="Arial" w:eastAsia="Arial" w:hAnsi="Arial"/>
          <w:sz w:val="20"/>
          <w:szCs w:val="20"/>
          <w:color w:val="auto"/>
        </w:rPr>
      </w:pPr>
    </w:p>
    <w:p>
      <w:pPr>
        <w:jc w:val="both"/>
        <w:ind w:left="1300" w:hanging="644"/>
        <w:spacing w:after="0" w:line="259"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9"/>
          <w:szCs w:val="19"/>
          <w:color w:val="auto"/>
        </w:rPr>
        <w:t>For the Restrictive Period, the Employee shall not: (i) solicit, directly or indirectly, any employee of the Company to leave the employ of the Company for employment, hire, or engagement as an independent contractor elsewhere, (ii) solicit the sale of competitive goods or services from any customer, supplier, licensee, or business relation of the Company with which Employee had material contact (as that term is defined at O.C.G.A. § 13-8-51(10)) or solicit the aforementioned categories of entities to reduce their relationships with the Company or (iii) share, reveal or utilize any Confidential Information of the Company except as otherwise expressly permitted in writing by the Company.</w:t>
      </w:r>
    </w:p>
    <w:p>
      <w:pPr>
        <w:spacing w:after="0" w:line="124"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9"/>
          <w:szCs w:val="19"/>
          <w:color w:val="auto"/>
        </w:rPr>
        <w:t>For the Restrictive Period, the Employee shall be available at reasonable times to provide information to the Company at the request of the Company’s management with respect to phases of the business with which he/she was actively connected during his/her employment, but such availability shall not be required during usual vacation periods or periods of illness or other incapacity or without reasonable compensation and cost reimbursement.</w:t>
      </w:r>
    </w:p>
    <w:p>
      <w:pPr>
        <w:spacing w:after="0" w:line="122" w:lineRule="exact"/>
        <w:rPr>
          <w:rFonts w:ascii="Arial" w:cs="Arial" w:eastAsia="Arial" w:hAnsi="Arial"/>
          <w:sz w:val="17"/>
          <w:szCs w:val="17"/>
          <w:color w:val="auto"/>
        </w:rPr>
      </w:pPr>
    </w:p>
    <w:p>
      <w:pPr>
        <w:jc w:val="both"/>
        <w:ind w:left="1300" w:hanging="644"/>
        <w:spacing w:after="0" w:line="271"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event that the Employee fails to comply with any of the promises made in this Section 6, then in addition to and not in limitation of any and all other remedies available to the Company at law or in equity (a) RSUs, to the extent then unvested, will be immediately forfeited by the Employee and returned to the Company and (b) the Employee will be required to immediately deliver to the Company an amount (in cash or in Shares) equal to the amount of the market value of any Shares that have been issued to the Employee in settlement of a vested RSU (“Share Value”) at any time (or cash, if applicable) from one hundred eighty (180) days prior to the date of termination of employment to one hundred eighty (180) days after the date when the Company learns that the Employee has not complied with any such promise. The Employee will deliver such Share Value amount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 The Employee acknowledges that in the event that the covenants made in this Section</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828282"/>
        </w:rPr>
        <w:t>Page 4 of 9</w:t>
      </w:r>
    </w:p>
    <w:p>
      <w:pPr>
        <w:sectPr>
          <w:pgSz w:w="11900" w:h="16838" w:orient="portrait"/>
          <w:cols w:equalWidth="0" w:num="1">
            <w:col w:w="11240"/>
          </w:cols>
          <w:pgMar w:left="320" w:top="555" w:right="339" w:bottom="1440" w:gutter="0" w:footer="0" w:header="0"/>
        </w:sectPr>
      </w:pPr>
    </w:p>
    <w:bookmarkStart w:id="59" w:name="page60"/>
    <w:bookmarkEnd w:id="59"/>
    <w:p>
      <w:pPr>
        <w:jc w:val="both"/>
        <w:ind w:left="1300"/>
        <w:spacing w:after="0" w:line="232" w:lineRule="auto"/>
        <w:rPr>
          <w:sz w:val="20"/>
          <w:szCs w:val="20"/>
          <w:color w:val="auto"/>
        </w:rPr>
      </w:pPr>
      <w:r>
        <w:rPr>
          <w:rFonts w:ascii="Arial" w:cs="Arial" w:eastAsia="Arial" w:hAnsi="Arial"/>
          <w:sz w:val="20"/>
          <w:szCs w:val="20"/>
          <w:color w:val="auto"/>
        </w:rPr>
        <w:t>6 are not fulfilled, the damage to the Company would be irreparable. The Company, in addition to any other remedies available to it, including, without limitation, the remedies set forth in this Section 6, shall be entitled to injunctive relief against the Employee’s breach or threatened breach of said covenants. Employee specifically agrees that the subsidiaries and affiliates of Altisource are intended beneficiaries of the restrictions contained in this Section 6 and that those subsidiaries and affiliates have the right to enforce the terms of this Section 6.</w:t>
      </w:r>
    </w:p>
    <w:p>
      <w:pPr>
        <w:spacing w:after="0" w:line="184" w:lineRule="exact"/>
        <w:rPr>
          <w:sz w:val="20"/>
          <w:szCs w:val="20"/>
          <w:color w:val="auto"/>
        </w:rPr>
      </w:pPr>
    </w:p>
    <w:p>
      <w:pPr>
        <w:ind w:left="1300" w:hanging="644"/>
        <w:spacing w:after="0" w:line="24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20"/>
          <w:szCs w:val="20"/>
          <w:color w:val="auto"/>
        </w:rPr>
        <w:t>The Employee acknowledges that the Company would not have awarded the RSUs to the Employee under this Agreement absent the Employee’s agreement to be bound by the covenants made in this Section 6.</w:t>
      </w:r>
    </w:p>
    <w:p>
      <w:pPr>
        <w:spacing w:after="0" w:line="1" w:lineRule="exact"/>
        <w:rPr>
          <w:rFonts w:ascii="Arial" w:cs="Arial" w:eastAsia="Arial" w:hAnsi="Arial"/>
          <w:sz w:val="18"/>
          <w:szCs w:val="18"/>
          <w:color w:val="auto"/>
        </w:rPr>
      </w:pPr>
    </w:p>
    <w:p>
      <w:pPr>
        <w:ind w:left="1300" w:hanging="644"/>
        <w:spacing w:after="0" w:line="24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20"/>
          <w:szCs w:val="20"/>
          <w:color w:val="auto"/>
        </w:rPr>
        <w:t>The RSUs shall be subject to any claw-back policy implemented by the Board of Directors of the Company or any Successor Entity.</w:t>
      </w:r>
    </w:p>
    <w:p>
      <w:pPr>
        <w:spacing w:after="0" w:line="137" w:lineRule="exact"/>
        <w:rPr>
          <w:rFonts w:ascii="Arial" w:cs="Arial" w:eastAsia="Arial" w:hAnsi="Arial"/>
          <w:sz w:val="18"/>
          <w:szCs w:val="18"/>
          <w:color w:val="auto"/>
        </w:rPr>
      </w:pPr>
    </w:p>
    <w:p>
      <w:pPr>
        <w:ind w:left="200" w:hanging="192"/>
        <w:spacing w:after="0"/>
        <w:tabs>
          <w:tab w:leader="none" w:pos="20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Income Taxes.</w:t>
      </w:r>
    </w:p>
    <w:p>
      <w:pPr>
        <w:spacing w:after="0" w:line="215" w:lineRule="exact"/>
        <w:rPr>
          <w:rFonts w:ascii="Arial" w:cs="Arial" w:eastAsia="Arial" w:hAnsi="Arial"/>
          <w:sz w:val="20"/>
          <w:szCs w:val="20"/>
          <w:color w:val="auto"/>
        </w:rPr>
      </w:pPr>
    </w:p>
    <w:p>
      <w:pPr>
        <w:ind w:left="880" w:hanging="224"/>
        <w:spacing w:after="0"/>
        <w:tabs>
          <w:tab w:leader="none" w:pos="880" w:val="left"/>
        </w:tabs>
        <w:numPr>
          <w:ilvl w:val="1"/>
          <w:numId w:val="50"/>
        </w:numPr>
        <w:rPr>
          <w:rFonts w:ascii="Arial" w:cs="Arial" w:eastAsia="Arial" w:hAnsi="Arial"/>
          <w:sz w:val="20"/>
          <w:szCs w:val="20"/>
          <w:i w:val="1"/>
          <w:iCs w:val="1"/>
          <w:color w:val="auto"/>
        </w:rPr>
      </w:pPr>
      <w:r>
        <w:rPr>
          <w:rFonts w:ascii="Arial" w:cs="Arial" w:eastAsia="Arial" w:hAnsi="Arial"/>
          <w:sz w:val="20"/>
          <w:szCs w:val="20"/>
          <w:i w:val="1"/>
          <w:iCs w:val="1"/>
          <w:color w:val="auto"/>
        </w:rPr>
        <w:t>Generally.</w:t>
      </w:r>
    </w:p>
    <w:p>
      <w:pPr>
        <w:spacing w:after="0" w:line="216" w:lineRule="exact"/>
        <w:rPr>
          <w:sz w:val="20"/>
          <w:szCs w:val="20"/>
          <w:color w:val="auto"/>
        </w:rPr>
      </w:pPr>
    </w:p>
    <w:p>
      <w:pPr>
        <w:jc w:val="both"/>
        <w:ind w:left="660"/>
        <w:spacing w:after="0" w:line="254" w:lineRule="auto"/>
        <w:rPr>
          <w:sz w:val="20"/>
          <w:szCs w:val="20"/>
          <w:color w:val="auto"/>
        </w:rPr>
      </w:pPr>
      <w:r>
        <w:rPr>
          <w:rFonts w:ascii="Arial" w:cs="Arial" w:eastAsia="Arial" w:hAnsi="Arial"/>
          <w:sz w:val="19"/>
          <w:szCs w:val="19"/>
          <w:color w:val="auto"/>
        </w:rPr>
        <w:t>Except as provided in the next sentence, the Company shall withhold and/or receive the return of a number of Shares having a fair market value equal to the taxes that the Company determines it is required to withhold under applicable tax laws with respect to the RSUs (with such withholding obligation determined based on any applicable minimum statutory withholding rates), in connection with the vesting of RSUs. In the event the Company cannot (under applicable legal, regulatory, listing or other requirements) satisfy such tax withholding obligation in such method or the parties otherwise agree in writing, then the Company may satisfy such withholding by any one or combination of the following methods: (i) by requiring the Employee to pay such amount by check or wire transfer; (ii) by deducting such amount out of any other compensation otherwise payable to the Employee; and/or (iii) by allowing the Employee to surrender shares of Common Stock of the Company which (a) in the case of shares initially acquired from the Company (upon exercise of a stock option or otherwise), have been owned by the Employee for such period (if any) as may be required to avoid a charge to the Company’s earnings, and (b) have a fair market value on the date of surrender equal to the amount required to be withheld. For these purposes, the fair market value of the Shares to be withheld or repurchased, as applicable, shall be determined using the opening price of the Shares on the date that the amount of tax to be withheld is to be determined or, if such date falls on a day on which the NASDAQ Global Select Market is not open for active trading, using the opening price of the Shares on the next active trading day.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B. Section 409A.</w:t>
      </w:r>
    </w:p>
    <w:p>
      <w:pPr>
        <w:spacing w:after="0" w:line="216" w:lineRule="exact"/>
        <w:rPr>
          <w:sz w:val="20"/>
          <w:szCs w:val="20"/>
          <w:color w:val="auto"/>
        </w:rPr>
      </w:pPr>
    </w:p>
    <w:p>
      <w:pPr>
        <w:jc w:val="both"/>
        <w:ind w:left="660"/>
        <w:spacing w:after="0" w:line="307" w:lineRule="auto"/>
        <w:rPr>
          <w:sz w:val="20"/>
          <w:szCs w:val="20"/>
          <w:color w:val="auto"/>
        </w:rPr>
      </w:pPr>
      <w:r>
        <w:rPr>
          <w:rFonts w:ascii="Arial" w:cs="Arial" w:eastAsia="Arial" w:hAnsi="Arial"/>
          <w:sz w:val="16"/>
          <w:szCs w:val="16"/>
          <w:color w:val="auto"/>
        </w:rPr>
        <w:t>The intent of the parties is that payments and benefits under this Agreement comply with or otherwise be exempt from Section 409A of the Internal Revenue Code of 1986, as amended and the regulations promulgated thereunder (the “Code”), and, accordingly, to the maximum extent permitted, this Agreement shall be interpreted either to be exempt from or in compliance therewith</w:t>
      </w:r>
      <w:r>
        <w:rPr>
          <w:rFonts w:ascii="Arial" w:cs="Arial" w:eastAsia="Arial" w:hAnsi="Arial"/>
          <w:sz w:val="16"/>
          <w:szCs w:val="16"/>
          <w:color w:val="002060"/>
        </w:rPr>
        <w:t>. I</w:t>
      </w:r>
      <w:r>
        <w:rPr>
          <w:rFonts w:ascii="Arial" w:cs="Arial" w:eastAsia="Arial" w:hAnsi="Arial"/>
          <w:sz w:val="16"/>
          <w:szCs w:val="16"/>
          <w:color w:val="auto"/>
        </w:rPr>
        <w:t>f any provision of this Agreement (or any award of compensation or benefits provided under this Agreement) would cause the Employee to incur any additional tax or interest under Section 409A of the Code, the Company may reform such provision to comply with 409A. Notwithstanding the foregoing, Employee is solely responsible for any tax consequences Employee may incur under Code Section 409A and none of Altisource, its subsidiaries or any of their respective directors, officers, employees, agents or shareholders shall have any obligation to indemnify or hold Employee harmless from such taxes. If and to the extent any Shares that become vested and issuable under this RSU Award on account of the Employee’s Retirement constitute deferred compensation subject to Code 409A, such issuance shall occur when the Employee has incurred a “separation from service” within the meaning of Treasury Regulation Section 1.409A-1(h) (“Separation from Service”). Notwithstanding the foregoing, if at the time of the Employee’s Separation from Service, the Employee is a “specified employee” within the meaning of Treasury Regulation Section 1.409A-1(i), such Shares shall be issued to the Employee on the first business day of the seventh month following the Employee’s Separation from Service.</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828282"/>
        </w:rPr>
        <w:t>Page 5 of 9</w:t>
      </w:r>
    </w:p>
    <w:p>
      <w:pPr>
        <w:sectPr>
          <w:pgSz w:w="11900" w:h="16838" w:orient="portrait"/>
          <w:cols w:equalWidth="0" w:num="1">
            <w:col w:w="11240"/>
          </w:cols>
          <w:pgMar w:left="320" w:top="555" w:right="339" w:bottom="1440" w:gutter="0" w:footer="0" w:header="0"/>
        </w:sectPr>
      </w:pPr>
    </w:p>
    <w:bookmarkStart w:id="60" w:name="page61"/>
    <w:bookmarkEnd w:id="60"/>
    <w:p>
      <w:pPr>
        <w:ind w:left="660" w:right="5920" w:hanging="652"/>
        <w:spacing w:after="0" w:line="464" w:lineRule="auto"/>
        <w:tabs>
          <w:tab w:leader="none" w:pos="21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 xml:space="preserve">Corporate Transactions; Change of Control/Restructuring Event. </w:t>
      </w:r>
      <w:r>
        <w:rPr>
          <w:rFonts w:ascii="Arial" w:cs="Arial" w:eastAsia="Arial" w:hAnsi="Arial"/>
          <w:sz w:val="20"/>
          <w:szCs w:val="20"/>
          <w:i w:val="1"/>
          <w:iCs w:val="1"/>
          <w:color w:val="auto"/>
        </w:rPr>
        <w:t>A. Corporate Transactions</w:t>
      </w:r>
    </w:p>
    <w:p>
      <w:pPr>
        <w:spacing w:after="0" w:line="2"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If there shall be any change in the Shares, through merger, consolidation, reorganization, recapitalization, stock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subject to the RSU Award.</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20"/>
          <w:szCs w:val="20"/>
          <w:i w:val="1"/>
          <w:iCs w:val="1"/>
          <w:color w:val="auto"/>
        </w:rPr>
        <w:t>B. Change of Control/Restructuring Event</w:t>
      </w:r>
    </w:p>
    <w:p>
      <w:pPr>
        <w:spacing w:after="0" w:line="216" w:lineRule="exact"/>
        <w:rPr>
          <w:sz w:val="20"/>
          <w:szCs w:val="20"/>
          <w:color w:val="auto"/>
        </w:rPr>
      </w:pPr>
    </w:p>
    <w:p>
      <w:pPr>
        <w:jc w:val="both"/>
        <w:ind w:left="980" w:hanging="419"/>
        <w:spacing w:after="0" w:line="257" w:lineRule="auto"/>
        <w:tabs>
          <w:tab w:leader="none" w:pos="9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If a Change of Control/Restructuring Event occurs, the Board of Directors shall have the right to make appropriate adjustments, including, without limiting the generality of the foregoing, by (i) allowing the RSUs to continue in full force and effect in accordance with the terms hereof, (ii) issuing an award of shares in the Successor Entity of equivalent value and with similar terms and vesting pattern, as reasonably determined by the Board of Directors, (iii) cancelling the award for consideration (as the Board of Directors sees as equitable) which may equal the value of the consideration to be paid in the Change of Control/Restructuring Event to holders of Shares, or (iv) providing for vesting and settlement of the RSUs immediately prior to, and conditioned on consummation, of the Change of Control/Restructuring Event.</w:t>
      </w:r>
    </w:p>
    <w:p>
      <w:pPr>
        <w:spacing w:after="0" w:line="184" w:lineRule="exact"/>
        <w:rPr>
          <w:rFonts w:ascii="Arial" w:cs="Arial" w:eastAsia="Arial" w:hAnsi="Arial"/>
          <w:sz w:val="19"/>
          <w:szCs w:val="19"/>
          <w:color w:val="auto"/>
        </w:rPr>
      </w:pPr>
    </w:p>
    <w:p>
      <w:pPr>
        <w:jc w:val="both"/>
        <w:ind w:left="980" w:hanging="419"/>
        <w:spacing w:after="0" w:line="278"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the extent the Successor Entity allows the RSUs to continue in full force and effect in accordance with the terms hereof, the vesting schedule set forth in Section 2 will continue to apply (subject to the accelerated vesting provisions of Section 4); provided that, in such case, the Compensation Committee shall have the right in its discretion to make appropriate adjustments to avoid an expansion or reduction in the value of the award, including, with the consent of the Successor Entity, equitably converting the consideration to be received upon the vesting of the RSUs to common stock of the Successor Entity.</w:t>
      </w:r>
    </w:p>
    <w:p>
      <w:pPr>
        <w:spacing w:after="0" w:line="164" w:lineRule="exact"/>
        <w:rPr>
          <w:rFonts w:ascii="Arial" w:cs="Arial" w:eastAsia="Arial" w:hAnsi="Arial"/>
          <w:sz w:val="18"/>
          <w:szCs w:val="18"/>
          <w:color w:val="auto"/>
        </w:rPr>
      </w:pPr>
    </w:p>
    <w:p>
      <w:pPr>
        <w:jc w:val="both"/>
        <w:ind w:left="980" w:hanging="419"/>
        <w:spacing w:after="0" w:line="243" w:lineRule="auto"/>
        <w:tabs>
          <w:tab w:leader="none" w:pos="980" w:val="left"/>
        </w:tabs>
        <w:numPr>
          <w:ilvl w:val="1"/>
          <w:numId w:val="52"/>
        </w:numPr>
        <w:rPr>
          <w:rFonts w:ascii="Arial" w:cs="Arial" w:eastAsia="Arial" w:hAnsi="Arial"/>
          <w:sz w:val="20"/>
          <w:szCs w:val="20"/>
          <w:color w:val="auto"/>
        </w:rPr>
      </w:pPr>
      <w:r>
        <w:rPr>
          <w:rFonts w:ascii="Arial" w:cs="Arial" w:eastAsia="Arial" w:hAnsi="Arial"/>
          <w:sz w:val="20"/>
          <w:szCs w:val="20"/>
          <w:color w:val="auto"/>
        </w:rPr>
        <w:t>Notwithstanding any provision of Section 8 Subsection B(1) and B(2) to the contrary, in the event a Change of Control/Restructuring Event occurs, if the RSUs are not assumed or replaced by the Successor Entity on terms deemed by the Compensation Committee to be appropriate, then the Compensation Committee shall have the right to (i) provide for vesting and settlement of the RSUs immediately prior to, and conditioned on consummation, of the Change of Control/Restructuring Event or (ii) to the extent the Successor Entity allows the RSUs to stay in place, to make appropriate adjustments to avoid an expansion or reduction in the value of the award.</w:t>
      </w:r>
    </w:p>
    <w:p>
      <w:pPr>
        <w:spacing w:after="0" w:line="195" w:lineRule="exact"/>
        <w:rPr>
          <w:rFonts w:ascii="Arial" w:cs="Arial" w:eastAsia="Arial" w:hAnsi="Arial"/>
          <w:sz w:val="20"/>
          <w:szCs w:val="20"/>
          <w:color w:val="auto"/>
        </w:rPr>
      </w:pPr>
    </w:p>
    <w:p>
      <w:pPr>
        <w:jc w:val="both"/>
        <w:ind w:left="980" w:hanging="419"/>
        <w:spacing w:after="0" w:line="246" w:lineRule="auto"/>
        <w:tabs>
          <w:tab w:leader="none" w:pos="980" w:val="left"/>
        </w:tabs>
        <w:numPr>
          <w:ilvl w:val="1"/>
          <w:numId w:val="52"/>
        </w:numPr>
        <w:rPr>
          <w:rFonts w:ascii="Arial" w:cs="Arial" w:eastAsia="Arial" w:hAnsi="Arial"/>
          <w:sz w:val="20"/>
          <w:szCs w:val="20"/>
          <w:color w:val="auto"/>
        </w:rPr>
      </w:pPr>
      <w:r>
        <w:rPr>
          <w:rFonts w:ascii="Arial" w:cs="Arial" w:eastAsia="Arial" w:hAnsi="Arial"/>
          <w:sz w:val="20"/>
          <w:szCs w:val="20"/>
          <w:color w:val="auto"/>
        </w:rPr>
        <w:t>For the avoidance of doubt, in the event the Employee remains employed with the Successor Entity for purposes of this Agreement, he/she will be deemed to remain employed as if he/she continued employment with the Company such that the employment termination provisions applicable to the RSU Award shall not be invoked unless and until his/her employment with such Successor Entity shall terminate.</w:t>
      </w:r>
    </w:p>
    <w:p>
      <w:pPr>
        <w:spacing w:after="0" w:line="191" w:lineRule="exact"/>
        <w:rPr>
          <w:rFonts w:ascii="Arial" w:cs="Arial" w:eastAsia="Arial" w:hAnsi="Arial"/>
          <w:sz w:val="20"/>
          <w:szCs w:val="20"/>
          <w:color w:val="auto"/>
        </w:rPr>
      </w:pPr>
    </w:p>
    <w:p>
      <w:pPr>
        <w:ind w:left="200" w:hanging="192"/>
        <w:spacing w:after="0"/>
        <w:tabs>
          <w:tab w:leader="none" w:pos="20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Payment of Expenses and Compliance with Laws.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shall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76"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Additional Conditions</w:t>
      </w:r>
    </w:p>
    <w:p>
      <w:pPr>
        <w:spacing w:after="0" w:line="215" w:lineRule="exact"/>
        <w:rPr>
          <w:rFonts w:ascii="Arial" w:cs="Arial" w:eastAsia="Arial" w:hAnsi="Arial"/>
          <w:sz w:val="20"/>
          <w:szCs w:val="20"/>
          <w:color w:val="auto"/>
        </w:rPr>
      </w:pPr>
    </w:p>
    <w:p>
      <w:pPr>
        <w:jc w:val="both"/>
        <w:ind w:left="1300" w:hanging="644"/>
        <w:spacing w:after="0" w:line="246"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20"/>
          <w:szCs w:val="20"/>
          <w:color w:val="auto"/>
        </w:rPr>
        <w:t>The Employee hereby represents and covenants that (a) any Share acquired upon the vesting of the RSU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828282"/>
        </w:rPr>
        <w:t>Page 6 of 9</w:t>
      </w:r>
    </w:p>
    <w:p>
      <w:pPr>
        <w:sectPr>
          <w:pgSz w:w="11900" w:h="16838" w:orient="portrait"/>
          <w:cols w:equalWidth="0" w:num="1">
            <w:col w:w="11240"/>
          </w:cols>
          <w:pgMar w:left="320" w:top="555" w:right="339" w:bottom="1440" w:gutter="0" w:footer="0" w:header="0"/>
        </w:sectPr>
      </w:pPr>
    </w:p>
    <w:bookmarkStart w:id="61" w:name="page62"/>
    <w:bookmarkEnd w:id="61"/>
    <w:p>
      <w:pPr>
        <w:jc w:val="both"/>
        <w:ind w:left="1300"/>
        <w:spacing w:after="0" w:line="229" w:lineRule="auto"/>
        <w:rPr>
          <w:sz w:val="20"/>
          <w:szCs w:val="20"/>
          <w:color w:val="auto"/>
        </w:rPr>
      </w:pPr>
      <w:r>
        <w:rPr>
          <w:rFonts w:ascii="Arial" w:cs="Arial" w:eastAsia="Arial" w:hAnsi="Arial"/>
          <w:sz w:val="20"/>
          <w:szCs w:val="20"/>
          <w:color w:val="auto"/>
        </w:rPr>
        <w:t>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Employee shall submit a written statement, in form satisfactory to the Company, to the effect that such representation (x) is true and correct as of the date of acquisition of any Shares hereunder or (y) is true and correct as of the date of any sale of any such Shares, as applicable. As a further condition precedent to the delivery to the Employee of any Shares subject to the RSU Award, the Employee shall comply with all regulations and requirements of any regulatory authority having control of or supervision over the issuance of the Shares and, in connection therewith, shall execute any documents which the Company shall in its sole discretion deem necessary or advisable.</w:t>
      </w:r>
    </w:p>
    <w:p>
      <w:pPr>
        <w:spacing w:after="0" w:line="131" w:lineRule="exact"/>
        <w:rPr>
          <w:sz w:val="20"/>
          <w:szCs w:val="20"/>
          <w:color w:val="auto"/>
        </w:rPr>
      </w:pPr>
    </w:p>
    <w:p>
      <w:pPr>
        <w:jc w:val="both"/>
        <w:ind w:left="1300" w:hanging="644"/>
        <w:spacing w:after="0" w:line="24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20"/>
          <w:szCs w:val="20"/>
          <w:color w:val="auto"/>
        </w:rPr>
        <w:t>The RSU Award is subject to the condition that if the listing, registration or qualification of the Shares subject to the RSU Award upon any securities exchange or under any law, or the consent or approval of any governmental body, or the taking of any other action is necessary or desirable as a condition of, or in connection with, the vesting or delivery of the Shares hereunder, the Shares subject to the RSU Award shall not vest or be delivered, in whole or in part, unless such listing, registration, qualification, consent or approval shall have been effected or obtained, free of any conditions not acceptable to the Company. The Company shall use reasonable efforts to effect or obtain any such listing, registration, qualification, consent or approval.</w:t>
      </w:r>
    </w:p>
    <w:p>
      <w:pPr>
        <w:spacing w:after="0" w:line="138" w:lineRule="exact"/>
        <w:rPr>
          <w:rFonts w:ascii="Arial" w:cs="Arial" w:eastAsia="Arial" w:hAnsi="Arial"/>
          <w:sz w:val="18"/>
          <w:szCs w:val="18"/>
          <w:color w:val="auto"/>
        </w:rPr>
      </w:pPr>
    </w:p>
    <w:p>
      <w:pPr>
        <w:ind w:left="300" w:hanging="292"/>
        <w:spacing w:after="0"/>
        <w:tabs>
          <w:tab w:leader="none" w:pos="3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215"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20"/>
          <w:szCs w:val="20"/>
          <w:color w:val="auto"/>
        </w:rPr>
        <w:t>As used herein, the term “Board of Directors” shall mean the Board of Directors or Compensation Committee of Altisource or any Successor Entity, as applicable, and the term “Compensation Committee” shall mean the Compensation Committee of the Board of Directors of Altisource.</w:t>
      </w:r>
    </w:p>
    <w:p>
      <w:pPr>
        <w:spacing w:after="0" w:line="131"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8"/>
          <w:szCs w:val="18"/>
          <w:color w:val="auto"/>
        </w:rPr>
        <w:t xml:space="preserve">As used herein, the term “Cause” shall mean, as reasonably determined by the Board of Directors (excluding the Employee, if he/she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involving fraud or embezzlement, whether or not committed in the course of the Employee’s employment with the Company. For avoidance of doubt, termination of employment as a result of a business reorganization or reduction in force will be deemed termination without Cause for purposes of the RSU Award.</w:t>
      </w:r>
    </w:p>
    <w:p>
      <w:pPr>
        <w:spacing w:after="0" w:line="114" w:lineRule="exact"/>
        <w:rPr>
          <w:rFonts w:ascii="Arial" w:cs="Arial" w:eastAsia="Arial" w:hAnsi="Arial"/>
          <w:sz w:val="16"/>
          <w:szCs w:val="16"/>
          <w:color w:val="auto"/>
        </w:rPr>
      </w:pPr>
    </w:p>
    <w:p>
      <w:pPr>
        <w:jc w:val="both"/>
        <w:ind w:left="1300" w:hanging="644"/>
        <w:spacing w:after="0" w:line="260"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9"/>
          <w:szCs w:val="19"/>
          <w:color w:val="auto"/>
        </w:rPr>
        <w:t>As used herein, “Change of Control/Restructuring Date” shall mean either the date which includes the “closing” of the transaction which makes a Change of Control/Restructuring Event effective if the Change of Control/Restructuring Event is made effective through a transaction which has a “closing” or the date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26" w:lineRule="exact"/>
        <w:rPr>
          <w:rFonts w:ascii="Arial" w:cs="Arial" w:eastAsia="Arial" w:hAnsi="Arial"/>
          <w:sz w:val="17"/>
          <w:szCs w:val="17"/>
          <w:color w:val="auto"/>
        </w:rPr>
      </w:pPr>
    </w:p>
    <w:p>
      <w:pPr>
        <w:jc w:val="both"/>
        <w:ind w:left="1300" w:hanging="644"/>
        <w:spacing w:after="0" w:line="255"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9"/>
          <w:szCs w:val="19"/>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 Notwithstanding anything herein to the contrary, the definition of Change of Control Event set forth herein shall not be broader than the definition of “change in control</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828282"/>
        </w:rPr>
        <w:t>Page 7 of 9</w:t>
      </w:r>
    </w:p>
    <w:p>
      <w:pPr>
        <w:sectPr>
          <w:pgSz w:w="11900" w:h="16838" w:orient="portrait"/>
          <w:cols w:equalWidth="0" w:num="1">
            <w:col w:w="11240"/>
          </w:cols>
          <w:pgMar w:left="320" w:top="555" w:right="339" w:bottom="1440" w:gutter="0" w:footer="0" w:header="0"/>
        </w:sectPr>
      </w:pPr>
    </w:p>
    <w:bookmarkStart w:id="62" w:name="page63"/>
    <w:bookmarkEnd w:id="62"/>
    <w:p>
      <w:pPr>
        <w:jc w:val="both"/>
        <w:ind w:left="1300"/>
        <w:spacing w:after="0" w:line="237" w:lineRule="auto"/>
        <w:rPr>
          <w:sz w:val="20"/>
          <w:szCs w:val="20"/>
          <w:color w:val="auto"/>
        </w:rPr>
      </w:pPr>
      <w:r>
        <w:rPr>
          <w:rFonts w:ascii="Arial" w:cs="Arial" w:eastAsia="Arial" w:hAnsi="Arial"/>
          <w:sz w:val="20"/>
          <w:szCs w:val="20"/>
          <w:color w:val="auto"/>
        </w:rPr>
        <w:t>event” as set forth under Section 409A of the Internal Revenue Code of 1986, as amended, and the guidance promulgated thereunder, and if a transaction or event does not otherwise fall within such definition of change in control event, it shall not be deemed a Change in Control for purposes of this Agreement.</w:t>
      </w:r>
    </w:p>
    <w:p>
      <w:pPr>
        <w:spacing w:after="0" w:line="129" w:lineRule="exact"/>
        <w:rPr>
          <w:sz w:val="20"/>
          <w:szCs w:val="20"/>
          <w:color w:val="auto"/>
        </w:rPr>
      </w:pPr>
    </w:p>
    <w:p>
      <w:pPr>
        <w:jc w:val="both"/>
        <w:ind w:left="1300" w:hanging="644"/>
        <w:spacing w:after="0" w:line="268"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8"/>
          <w:szCs w:val="18"/>
          <w:color w:val="auto"/>
        </w:rPr>
        <w:t>As used herein, “Confidential Information” means all non-public, commercially valuable information relating to Company, including any of its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 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129"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20"/>
          <w:szCs w:val="20"/>
          <w:color w:val="auto"/>
        </w:rPr>
        <w:t>As used here, “Restrictive Period” shall mean a period of one (1) year following the Employee’s departure from the Company; provided however that if the Employee previously executed one or more equity award agreements with the Company containing a longer restrictive period, such restrictive period shall apply.</w:t>
      </w:r>
    </w:p>
    <w:p>
      <w:pPr>
        <w:spacing w:after="0" w:line="131" w:lineRule="exact"/>
        <w:rPr>
          <w:rFonts w:ascii="Arial" w:cs="Arial" w:eastAsia="Arial" w:hAnsi="Arial"/>
          <w:sz w:val="18"/>
          <w:szCs w:val="18"/>
          <w:color w:val="auto"/>
        </w:rPr>
      </w:pPr>
    </w:p>
    <w:p>
      <w:pPr>
        <w:ind w:left="1300" w:right="20" w:hanging="644"/>
        <w:spacing w:after="0" w:line="316"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8"/>
          <w:szCs w:val="18"/>
          <w:color w:val="auto"/>
        </w:rPr>
        <w:t>As used herein, the term “Successor Entity” means the person that is formed by, replaces or otherwise survives the Company as a result of a transaction, series of transaction or restructuring with the effect that the Company ceases to exist.</w:t>
      </w:r>
    </w:p>
    <w:p>
      <w:pPr>
        <w:spacing w:after="0" w:line="75" w:lineRule="exact"/>
        <w:rPr>
          <w:rFonts w:ascii="Arial" w:cs="Arial" w:eastAsia="Arial" w:hAnsi="Arial"/>
          <w:sz w:val="16"/>
          <w:szCs w:val="16"/>
          <w:color w:val="auto"/>
        </w:rPr>
      </w:pPr>
    </w:p>
    <w:p>
      <w:pPr>
        <w:ind w:left="1300" w:hanging="644"/>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20"/>
          <w:szCs w:val="20"/>
          <w:color w:val="auto"/>
        </w:rPr>
        <w:t>Capitalized terms used but not defined in this Agreement shall have the meanings set forth in the 2009 Plan.</w:t>
      </w:r>
    </w:p>
    <w:p>
      <w:pPr>
        <w:spacing w:after="0" w:line="161" w:lineRule="exact"/>
        <w:rPr>
          <w:rFonts w:ascii="Arial" w:cs="Arial" w:eastAsia="Arial" w:hAnsi="Arial"/>
          <w:sz w:val="18"/>
          <w:szCs w:val="18"/>
          <w:color w:val="auto"/>
        </w:rPr>
      </w:pPr>
    </w:p>
    <w:p>
      <w:pPr>
        <w:ind w:left="300" w:hanging="292"/>
        <w:spacing w:after="0"/>
        <w:tabs>
          <w:tab w:leader="none" w:pos="30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Amendment.</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the event that the Board of Directors amends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rights under this Agreement may not be amended in a way that materially diminishes the value of the award without the Employee’s consent to the amendment.</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828282"/>
        </w:rPr>
        <w:t>Page 8 of 9</w:t>
      </w:r>
    </w:p>
    <w:p>
      <w:pPr>
        <w:sectPr>
          <w:pgSz w:w="11900" w:h="16838" w:orient="portrait"/>
          <w:cols w:equalWidth="0" w:num="1">
            <w:col w:w="11240"/>
          </w:cols>
          <w:pgMar w:left="320" w:top="555" w:right="339" w:bottom="1440" w:gutter="0" w:footer="0" w:header="0"/>
        </w:sectPr>
      </w:pPr>
    </w:p>
    <w:bookmarkStart w:id="63" w:name="page64"/>
    <w:bookmarkEnd w:id="63"/>
    <w:p>
      <w:pPr>
        <w:ind w:left="300" w:hanging="292"/>
        <w:spacing w:after="0"/>
        <w:tabs>
          <w:tab w:leader="none" w:pos="30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Construction.</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If any provision of this Agreement is held to be unenforceable, then this provision will be deemed amended to the extent necessary to render the otherwise unenforceable provision, and the rest of this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 Section 3, Section 6 Subsection C and Section 8), and its determinations shall be final, binding and conclusive.</w:t>
      </w:r>
    </w:p>
    <w:p>
      <w:pPr>
        <w:spacing w:after="0" w:line="170"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Entire Agreement.</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186"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Headings.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headings of the paragraphs of this Agreement are inserted for convenience only and shall not be deemed a part hereof.</w:t>
      </w:r>
    </w:p>
    <w:p>
      <w:pPr>
        <w:spacing w:after="0" w:line="216" w:lineRule="exact"/>
        <w:rPr>
          <w:sz w:val="20"/>
          <w:szCs w:val="20"/>
          <w:color w:val="auto"/>
        </w:rPr>
      </w:pPr>
    </w:p>
    <w:p>
      <w:pPr>
        <w:ind w:left="300" w:hanging="292"/>
        <w:spacing w:after="0"/>
        <w:tabs>
          <w:tab w:leader="none" w:pos="30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Confirming Information.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accepting this Agreement, either through electronic means or by providing a signed copy, the Employee (i) acknowledges and confirms that he/she has read and understood the 2009 Plan and this Agreement and (ii) acknowledges that acceptance through electronic means is equivalent to doing so by providing a signed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828282"/>
        </w:rPr>
        <w:t>Page 9 of 9</w:t>
      </w:r>
    </w:p>
    <w:p>
      <w:pPr>
        <w:sectPr>
          <w:pgSz w:w="11900" w:h="16838" w:orient="portrait"/>
          <w:cols w:equalWidth="0" w:num="1">
            <w:col w:w="11240"/>
          </w:cols>
          <w:pgMar w:left="320" w:top="55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60"/>
        <w:spacing w:after="0"/>
        <w:tabs>
          <w:tab w:leader="none" w:pos="6420" w:val="left"/>
          <w:tab w:leader="none" w:pos="688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27774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60"/>
        <w:spacing w:after="0"/>
        <w:tabs>
          <w:tab w:leader="none" w:pos="6420" w:val="left"/>
          <w:tab w:leader="none" w:pos="688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27774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553"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340" w:right="2180"/>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2020</w:t>
      </w: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Altisource Portfolio Solutions S.A. (the “Company”) for the quarterly period ended June 30, 2020,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87"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ind w:left="20"/>
              <w:spacing w:after="0"/>
              <w:rPr>
                <w:sz w:val="20"/>
                <w:szCs w:val="20"/>
                <w:color w:val="auto"/>
              </w:rPr>
            </w:pPr>
            <w:r>
              <w:rPr>
                <w:rFonts w:ascii="Arial" w:cs="Arial" w:eastAsia="Arial" w:hAnsi="Arial"/>
                <w:sz w:val="18"/>
                <w:szCs w:val="18"/>
                <w:color w:val="auto"/>
              </w:rPr>
              <w:t>/s/ William B. Shepro</w:t>
            </w:r>
          </w:p>
        </w:tc>
        <w:tc>
          <w:tcPr>
            <w:tcW w:w="980" w:type="dxa"/>
            <w:vAlign w:val="bottom"/>
          </w:tcPr>
          <w:p>
            <w:pPr>
              <w:ind w:left="460"/>
              <w:spacing w:after="0"/>
              <w:rPr>
                <w:sz w:val="20"/>
                <w:szCs w:val="20"/>
                <w:color w:val="auto"/>
              </w:rPr>
            </w:pPr>
            <w:r>
              <w:rPr>
                <w:rFonts w:ascii="Arial" w:cs="Arial" w:eastAsia="Arial" w:hAnsi="Arial"/>
                <w:sz w:val="18"/>
                <w:szCs w:val="18"/>
                <w:color w:val="auto"/>
              </w:rPr>
              <w:t>By:</w:t>
            </w:r>
          </w:p>
        </w:tc>
        <w:tc>
          <w:tcPr>
            <w:tcW w:w="4720" w:type="dxa"/>
            <w:vAlign w:val="bottom"/>
          </w:tcPr>
          <w:p>
            <w:pPr>
              <w:ind w:left="20"/>
              <w:spacing w:after="0"/>
              <w:rPr>
                <w:sz w:val="20"/>
                <w:szCs w:val="20"/>
                <w:color w:val="auto"/>
              </w:rPr>
            </w:pPr>
            <w:r>
              <w:rPr>
                <w:rFonts w:ascii="Arial" w:cs="Arial" w:eastAsia="Arial" w:hAnsi="Arial"/>
                <w:sz w:val="18"/>
                <w:szCs w:val="18"/>
                <w:color w:val="auto"/>
              </w:rPr>
              <w:t>/s/ Michelle D. Esterman</w:t>
            </w:r>
          </w:p>
        </w:tc>
      </w:tr>
      <w:tr>
        <w:trPr>
          <w:trHeight w:val="27"/>
        </w:trPr>
        <w:tc>
          <w:tcPr>
            <w:tcW w:w="5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98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70"/>
        </w:trPr>
        <w:tc>
          <w:tcPr>
            <w:tcW w:w="5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98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(Principal Financial Officer and</w:t>
            </w:r>
          </w:p>
        </w:tc>
      </w:tr>
      <w:tr>
        <w:trPr>
          <w:trHeight w:val="270"/>
        </w:trPr>
        <w:tc>
          <w:tcPr>
            <w:tcW w:w="5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August 6, 2020</w:t>
            </w:r>
          </w:p>
        </w:tc>
        <w:tc>
          <w:tcPr>
            <w:tcW w:w="98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August 6, 2020</w:t>
            </w: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lowerRoman"/>
      <w:start w:val="2"/>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lowerLetter"/>
      <w:start w:val="1"/>
    </w:lvl>
  </w:abstractNum>
  <w:abstractNum w:abstractNumId="16">
    <w:nsid w:val="153EA438"/>
    <w:multiLevelType w:val="hybridMultilevel"/>
    <w:lvl w:ilvl="0">
      <w:lvlJc w:val="left"/>
      <w:lvlText w:val="%1)"/>
      <w:numFmt w:val="lowerLetter"/>
      <w:start w:val="2"/>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2"/>
    </w:lvl>
  </w:abstractNum>
  <w:abstractNum w:abstractNumId="21">
    <w:nsid w:val="1D4ED43B"/>
    <w:multiLevelType w:val="hybridMultilevel"/>
    <w:lvl w:ilvl="0">
      <w:lvlJc w:val="left"/>
      <w:lvlText w:val="%1."/>
      <w:numFmt w:val="decimal"/>
      <w:start w:val="3"/>
    </w:lvl>
  </w:abstractNum>
  <w:abstractNum w:abstractNumId="22">
    <w:nsid w:val="725A06FB"/>
    <w:multiLevelType w:val="hybridMultilevel"/>
    <w:lvl w:ilvl="0">
      <w:lvlJc w:val="left"/>
      <w:lvlText w:val="%1."/>
      <w:numFmt w:val="upperLetter"/>
      <w:start w:val="1"/>
    </w:lvl>
  </w:abstractNum>
  <w:abstractNum w:abstractNumId="23">
    <w:nsid w:val="2CD89A32"/>
    <w:multiLevelType w:val="hybridMultilevel"/>
    <w:lvl w:ilvl="0">
      <w:lvlJc w:val="left"/>
      <w:lvlText w:val="%1."/>
      <w:numFmt w:val="upperLetter"/>
      <w:start w:val="2"/>
    </w:lvl>
  </w:abstractNum>
  <w:abstractNum w:abstractNumId="24">
    <w:nsid w:val="57E4CCAF"/>
    <w:multiLevelType w:val="hybridMultilevel"/>
    <w:lvl w:ilvl="0">
      <w:lvlJc w:val="left"/>
      <w:lvlText w:val="%1."/>
      <w:numFmt w:val="upperLetter"/>
      <w:start w:val="3"/>
    </w:lvl>
  </w:abstractNum>
  <w:abstractNum w:abstractNumId="25">
    <w:nsid w:val="7A6D8D3C"/>
    <w:multiLevelType w:val="hybridMultilevel"/>
    <w:lvl w:ilvl="0">
      <w:lvlJc w:val="left"/>
      <w:lvlText w:val="%1."/>
      <w:numFmt w:val="upperLetter"/>
      <w:start w:val="4"/>
    </w:lvl>
  </w:abstractNum>
  <w:abstractNum w:abstractNumId="26">
    <w:nsid w:val="4B588F54"/>
    <w:multiLevelType w:val="hybridMultilevel"/>
    <w:lvl w:ilvl="0">
      <w:lvlJc w:val="left"/>
      <w:lvlText w:val="%1."/>
      <w:numFmt w:val="decimal"/>
      <w:start w:val="4"/>
    </w:lvl>
    <w:lvl w:ilvl="1">
      <w:lvlJc w:val="left"/>
      <w:lvlText w:val="%2."/>
      <w:numFmt w:val="upperLetter"/>
      <w:start w:val="1"/>
    </w:lvl>
  </w:abstractNum>
  <w:abstractNum w:abstractNumId="27">
    <w:nsid w:val="542289EC"/>
    <w:multiLevelType w:val="hybridMultilevel"/>
    <w:lvl w:ilvl="0">
      <w:lvlJc w:val="left"/>
      <w:lvlText w:val="%1"/>
      <w:numFmt w:val="decimal"/>
      <w:start w:val="1"/>
    </w:lvl>
    <w:lvl w:ilvl="1">
      <w:lvlJc w:val="left"/>
      <w:lvlText w:val="%2."/>
      <w:numFmt w:val="upperLetter"/>
      <w:start w:val="4"/>
    </w:lvl>
  </w:abstractNum>
  <w:abstractNum w:abstractNumId="28">
    <w:nsid w:val="6DE91B18"/>
    <w:multiLevelType w:val="hybridMultilevel"/>
    <w:lvl w:ilvl="0">
      <w:lvlJc w:val="left"/>
      <w:lvlText w:val="%1."/>
      <w:numFmt w:val="decimal"/>
      <w:start w:val="5"/>
    </w:lvl>
    <w:lvl w:ilvl="1">
      <w:lvlJc w:val="left"/>
      <w:lvlText w:val="%2."/>
      <w:numFmt w:val="upperLetter"/>
      <w:start w:val="1"/>
    </w:lvl>
  </w:abstractNum>
  <w:abstractNum w:abstractNumId="29">
    <w:nsid w:val="38437FDB"/>
    <w:multiLevelType w:val="hybridMultilevel"/>
    <w:lvl w:ilvl="0">
      <w:lvlJc w:val="left"/>
      <w:lvlText w:val="%1"/>
      <w:numFmt w:val="decimal"/>
      <w:start w:val="1"/>
    </w:lvl>
    <w:lvl w:ilvl="1">
      <w:lvlJc w:val="left"/>
      <w:lvlText w:val="%2."/>
      <w:numFmt w:val="upperLetter"/>
      <w:start w:val="4"/>
    </w:lvl>
  </w:abstractNum>
  <w:abstractNum w:abstractNumId="30">
    <w:nsid w:val="7644A45C"/>
    <w:multiLevelType w:val="hybridMultilevel"/>
    <w:lvl w:ilvl="0">
      <w:lvlJc w:val="left"/>
      <w:lvlText w:val="%1."/>
      <w:numFmt w:val="decimal"/>
      <w:start w:val="7"/>
    </w:lvl>
    <w:lvl w:ilvl="1">
      <w:lvlJc w:val="left"/>
      <w:lvlText w:val="%2."/>
      <w:numFmt w:val="upperLetter"/>
      <w:start w:val="1"/>
    </w:lvl>
  </w:abstractNum>
  <w:abstractNum w:abstractNumId="31">
    <w:nsid w:val="32FFF902"/>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lvl w:ilvl="3">
      <w:lvlJc w:val="left"/>
      <w:lvlText w:val="(%4)"/>
      <w:numFmt w:val="lowerRoman"/>
      <w:start w:val="4"/>
    </w:lvl>
  </w:abstractNum>
  <w:abstractNum w:abstractNumId="32">
    <w:nsid w:val="684A481A"/>
    <w:multiLevelType w:val="hybridMultilevel"/>
    <w:lvl w:ilvl="0">
      <w:lvlJc w:val="left"/>
      <w:lvlText w:val="%1"/>
      <w:numFmt w:val="decimal"/>
      <w:start w:val="1"/>
    </w:lvl>
    <w:lvl w:ilvl="1">
      <w:lvlJc w:val="left"/>
      <w:lvlText w:val="(%2)"/>
      <w:numFmt w:val="decimal"/>
      <w:start w:val="4"/>
    </w:lvl>
  </w:abstractNum>
  <w:abstractNum w:abstractNumId="33">
    <w:nsid w:val="579478FE"/>
    <w:multiLevelType w:val="hybridMultilevel"/>
    <w:lvl w:ilvl="0">
      <w:lvlJc w:val="left"/>
      <w:lvlText w:val="%1."/>
      <w:numFmt w:val="decimal"/>
      <w:start w:val="9"/>
    </w:lvl>
    <w:lvl w:ilvl="1">
      <w:lvlJc w:val="left"/>
      <w:lvlText w:val="%2"/>
      <w:numFmt w:val="decimal"/>
      <w:start w:val="1"/>
    </w:lvl>
  </w:abstractNum>
  <w:abstractNum w:abstractNumId="34">
    <w:nsid w:val="749ABB43"/>
    <w:multiLevelType w:val="hybridMultilevel"/>
    <w:lvl w:ilvl="0">
      <w:lvlJc w:val="left"/>
      <w:lvlText w:val="%1."/>
      <w:numFmt w:val="decimal"/>
      <w:start w:val="10"/>
    </w:lvl>
    <w:lvl w:ilvl="1">
      <w:lvlJc w:val="left"/>
      <w:lvlText w:val="%2."/>
      <w:numFmt w:val="upperLetter"/>
      <w:start w:val="1"/>
    </w:lvl>
    <w:lvl w:ilvl="2">
      <w:lvlJc w:val="left"/>
      <w:lvlText w:val="(%3)"/>
      <w:numFmt w:val="lowerLetter"/>
      <w:start w:val="25"/>
    </w:lvl>
  </w:abstractNum>
  <w:abstractNum w:abstractNumId="35">
    <w:nsid w:val="3DC240FB"/>
    <w:multiLevelType w:val="hybridMultilevel"/>
    <w:lvl w:ilvl="0">
      <w:lvlJc w:val="left"/>
      <w:lvlText w:val="%1."/>
      <w:numFmt w:val="upperLetter"/>
      <w:start w:val="2"/>
    </w:lvl>
  </w:abstractNum>
  <w:abstractNum w:abstractNumId="36">
    <w:nsid w:val="1BA026FA"/>
    <w:multiLevelType w:val="hybridMultilevel"/>
    <w:lvl w:ilvl="0">
      <w:lvlJc w:val="left"/>
      <w:lvlText w:val="%1"/>
      <w:numFmt w:val="decimal"/>
      <w:start w:val="1"/>
    </w:lvl>
    <w:lvl w:ilvl="1">
      <w:lvlJc w:val="left"/>
      <w:lvlText w:val="%2."/>
      <w:numFmt w:val="upperLetter"/>
      <w:start w:val="6"/>
    </w:lvl>
  </w:abstractNum>
  <w:abstractNum w:abstractNumId="37">
    <w:nsid w:val="79A1DEAA"/>
    <w:multiLevelType w:val="hybridMultilevel"/>
    <w:lvl w:ilvl="0">
      <w:lvlJc w:val="left"/>
      <w:lvlText w:val="%1."/>
      <w:numFmt w:val="decimal"/>
      <w:start w:val="12"/>
    </w:lvl>
    <w:lvl w:ilvl="1">
      <w:lvlJc w:val="left"/>
      <w:lvlText w:val="%2"/>
      <w:numFmt w:val="upperLetter"/>
      <w:start w:val="1"/>
    </w:lvl>
  </w:abstractNum>
  <w:abstractNum w:abstractNumId="38">
    <w:nsid w:val="75C6C33A"/>
    <w:multiLevelType w:val="hybridMultilevel"/>
    <w:lvl w:ilvl="0">
      <w:lvlJc w:val="left"/>
      <w:lvlText w:val="%1."/>
      <w:numFmt w:val="decimal"/>
      <w:start w:val="13"/>
    </w:lvl>
  </w:abstractNum>
  <w:abstractNum w:abstractNumId="39">
    <w:nsid w:val="12E685FB"/>
    <w:multiLevelType w:val="hybridMultilevel"/>
    <w:lvl w:ilvl="0">
      <w:lvlJc w:val="left"/>
      <w:lvlText w:val="%1."/>
      <w:numFmt w:val="decimal"/>
      <w:start w:val="14"/>
    </w:lvl>
  </w:abstractNum>
  <w:abstractNum w:abstractNumId="40">
    <w:nsid w:val="70C6A529"/>
    <w:multiLevelType w:val="hybridMultilevel"/>
    <w:lvl w:ilvl="0">
      <w:lvlJc w:val="left"/>
      <w:lvlText w:val="%1."/>
      <w:numFmt w:val="decimal"/>
      <w:start w:val="15"/>
    </w:lvl>
  </w:abstractNum>
  <w:abstractNum w:abstractNumId="41">
    <w:nsid w:val="520EEDD1"/>
    <w:multiLevelType w:val="hybridMultilevel"/>
    <w:lvl w:ilvl="0">
      <w:lvlJc w:val="left"/>
      <w:lvlText w:val="%1."/>
      <w:numFmt w:val="decimal"/>
      <w:start w:val="16"/>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2"/>
    </w:lvl>
  </w:abstractNum>
  <w:abstractNum w:abstractNumId="44">
    <w:nsid w:val="23F9C13C"/>
    <w:multiLevelType w:val="hybridMultilevel"/>
    <w:lvl w:ilvl="0">
      <w:lvlJc w:val="left"/>
      <w:lvlText w:val="%1."/>
      <w:numFmt w:val="decimal"/>
      <w:start w:val="3"/>
    </w:lvl>
    <w:lvl w:ilvl="1">
      <w:lvlJc w:val="left"/>
      <w:lvlText w:val="%2"/>
      <w:numFmt w:val="upperLetter"/>
      <w:start w:val="1"/>
    </w:lvl>
  </w:abstractNum>
  <w:abstractNum w:abstractNumId="45">
    <w:nsid w:val="649BB77C"/>
    <w:multiLevelType w:val="hybridMultilevel"/>
    <w:lvl w:ilvl="0">
      <w:lvlJc w:val="left"/>
      <w:lvlText w:val="%1."/>
      <w:numFmt w:val="decimal"/>
      <w:start w:val="4"/>
    </w:lvl>
  </w:abstractNum>
  <w:abstractNum w:abstractNumId="46">
    <w:nsid w:val="275AC794"/>
    <w:multiLevelType w:val="hybridMultilevel"/>
    <w:lvl w:ilvl="0">
      <w:lvlJc w:val="left"/>
      <w:lvlText w:val="%1"/>
      <w:numFmt w:val="decimal"/>
      <w:start w:val="1"/>
    </w:lvl>
    <w:lvl w:ilvl="1">
      <w:lvlJc w:val="left"/>
      <w:lvlText w:val="%2."/>
      <w:numFmt w:val="upperLetter"/>
      <w:start w:val="1"/>
    </w:lvl>
  </w:abstractNum>
  <w:abstractNum w:abstractNumId="47">
    <w:nsid w:val="39386575"/>
    <w:multiLevelType w:val="hybridMultilevel"/>
    <w:lvl w:ilvl="0">
      <w:lvlJc w:val="left"/>
      <w:lvlText w:val="%1."/>
      <w:numFmt w:val="decimal"/>
      <w:start w:val="5"/>
    </w:lvl>
    <w:lvl w:ilvl="1">
      <w:lvlJc w:val="left"/>
      <w:lvlText w:val="%2."/>
      <w:numFmt w:val="upperLetter"/>
      <w:start w:val="1"/>
    </w:lvl>
  </w:abstractNum>
  <w:abstractNum w:abstractNumId="48">
    <w:nsid w:val="1CF10FD8"/>
    <w:multiLevelType w:val="hybridMultilevel"/>
    <w:lvl w:ilvl="0">
      <w:lvlJc w:val="left"/>
      <w:lvlText w:val="%1"/>
      <w:numFmt w:val="decimal"/>
      <w:start w:val="1"/>
    </w:lvl>
    <w:lvl w:ilvl="1">
      <w:lvlJc w:val="left"/>
      <w:lvlText w:val="%2."/>
      <w:numFmt w:val="upperLetter"/>
      <w:start w:val="4"/>
    </w:lvl>
  </w:abstractNum>
  <w:abstractNum w:abstractNumId="49">
    <w:nsid w:val="180115BE"/>
    <w:multiLevelType w:val="hybridMultilevel"/>
    <w:lvl w:ilvl="0">
      <w:lvlJc w:val="left"/>
      <w:lvlText w:val="%1."/>
      <w:numFmt w:val="decimal"/>
      <w:start w:val="7"/>
    </w:lvl>
    <w:lvl w:ilvl="1">
      <w:lvlJc w:val="left"/>
      <w:lvlText w:val="%2."/>
      <w:numFmt w:val="upperLetter"/>
      <w:start w:val="1"/>
    </w:lvl>
  </w:abstractNum>
  <w:abstractNum w:abstractNumId="50">
    <w:nsid w:val="235BA861"/>
    <w:multiLevelType w:val="hybridMultilevel"/>
    <w:lvl w:ilvl="0">
      <w:lvlJc w:val="left"/>
      <w:lvlText w:val="%1."/>
      <w:numFmt w:val="decimal"/>
      <w:start w:val="8"/>
    </w:lvl>
    <w:lvl w:ilvl="1">
      <w:lvlJc w:val="left"/>
      <w:lvlText w:val="%2"/>
      <w:numFmt w:val="upperLetter"/>
      <w:start w:val="1"/>
    </w:lvl>
  </w:abstractNum>
  <w:abstractNum w:abstractNumId="51">
    <w:nsid w:val="47398C89"/>
    <w:multiLevelType w:val="hybridMultilevel"/>
    <w:lvl w:ilvl="0">
      <w:lvlJc w:val="left"/>
      <w:lvlText w:val="%1"/>
      <w:numFmt w:val="decimal"/>
      <w:start w:val="1"/>
    </w:lvl>
    <w:lvl w:ilvl="1">
      <w:lvlJc w:val="left"/>
      <w:lvlText w:val="(%2)"/>
      <w:numFmt w:val="decimal"/>
      <w:start w:val="1"/>
    </w:lvl>
  </w:abstractNum>
  <w:abstractNum w:abstractNumId="52">
    <w:nsid w:val="354FE9F9"/>
    <w:multiLevelType w:val="hybridMultilevel"/>
    <w:lvl w:ilvl="0">
      <w:lvlJc w:val="left"/>
      <w:lvlText w:val="%1."/>
      <w:numFmt w:val="decimal"/>
      <w:start w:val="9"/>
    </w:lvl>
    <w:lvl w:ilvl="1">
      <w:lvlJc w:val="left"/>
      <w:lvlText w:val="%2"/>
      <w:numFmt w:val="decimal"/>
      <w:start w:val="1"/>
    </w:lvl>
  </w:abstractNum>
  <w:abstractNum w:abstractNumId="53">
    <w:nsid w:val="15B5AF5C"/>
    <w:multiLevelType w:val="hybridMultilevel"/>
    <w:lvl w:ilvl="0">
      <w:lvlJc w:val="left"/>
      <w:lvlText w:val="%1."/>
      <w:numFmt w:val="decimal"/>
      <w:start w:val="10"/>
    </w:lvl>
    <w:lvl w:ilvl="1">
      <w:lvlJc w:val="left"/>
      <w:lvlText w:val="%2."/>
      <w:numFmt w:val="upperLetter"/>
      <w:start w:val="1"/>
    </w:lvl>
  </w:abstractNum>
  <w:abstractNum w:abstractNumId="54">
    <w:nsid w:val="741226BB"/>
    <w:multiLevelType w:val="hybridMultilevel"/>
    <w:lvl w:ilvl="0">
      <w:lvlJc w:val="left"/>
      <w:lvlText w:val="%1"/>
      <w:numFmt w:val="decimal"/>
      <w:start w:val="1"/>
    </w:lvl>
    <w:lvl w:ilvl="1">
      <w:lvlJc w:val="left"/>
      <w:lvlText w:val="%2."/>
      <w:numFmt w:val="upperLetter"/>
      <w:start w:val="2"/>
    </w:lvl>
  </w:abstractNum>
  <w:abstractNum w:abstractNumId="55">
    <w:nsid w:val="D34B6A8"/>
    <w:multiLevelType w:val="hybridMultilevel"/>
    <w:lvl w:ilvl="0">
      <w:lvlJc w:val="left"/>
      <w:lvlText w:val="%1."/>
      <w:numFmt w:val="decimal"/>
      <w:start w:val="11"/>
    </w:lvl>
    <w:lvl w:ilvl="1">
      <w:lvlJc w:val="left"/>
      <w:lvlText w:val="%2."/>
      <w:numFmt w:val="upperLetter"/>
      <w:start w:val="1"/>
    </w:lvl>
  </w:abstractNum>
  <w:abstractNum w:abstractNumId="56">
    <w:nsid w:val="10233C99"/>
    <w:multiLevelType w:val="hybridMultilevel"/>
    <w:lvl w:ilvl="0">
      <w:lvlJc w:val="left"/>
      <w:lvlText w:val="%1"/>
      <w:numFmt w:val="decimal"/>
      <w:start w:val="1"/>
    </w:lvl>
    <w:lvl w:ilvl="1">
      <w:lvlJc w:val="left"/>
      <w:lvlText w:val="%2."/>
      <w:numFmt w:val="upperLetter"/>
      <w:start w:val="5"/>
    </w:lvl>
  </w:abstractNum>
  <w:abstractNum w:abstractNumId="57">
    <w:nsid w:val="3F6AB60F"/>
    <w:multiLevelType w:val="hybridMultilevel"/>
    <w:lvl w:ilvl="0">
      <w:lvlJc w:val="left"/>
      <w:lvlText w:val="%1."/>
      <w:numFmt w:val="decimal"/>
      <w:start w:val="12"/>
    </w:lvl>
    <w:lvl w:ilvl="1">
      <w:lvlJc w:val="left"/>
      <w:lvlText w:val="%2"/>
      <w:numFmt w:val="upperLetter"/>
      <w:start w:val="1"/>
    </w:lvl>
  </w:abstractNum>
  <w:abstractNum w:abstractNumId="58">
    <w:nsid w:val="61574095"/>
    <w:multiLevelType w:val="hybridMultilevel"/>
    <w:lvl w:ilvl="0">
      <w:lvlJc w:val="left"/>
      <w:lvlText w:val="%1."/>
      <w:numFmt w:val="decimal"/>
      <w:start w:val="13"/>
    </w:lvl>
  </w:abstractNum>
  <w:abstractNum w:abstractNumId="59">
    <w:nsid w:val="7E0C57B1"/>
    <w:multiLevelType w:val="hybridMultilevel"/>
    <w:lvl w:ilvl="0">
      <w:lvlJc w:val="left"/>
      <w:lvlText w:val="%1."/>
      <w:numFmt w:val="decimal"/>
      <w:start w:val="14"/>
    </w:lvl>
  </w:abstractNum>
  <w:abstractNum w:abstractNumId="60">
    <w:nsid w:val="77AE35EB"/>
    <w:multiLevelType w:val="hybridMultilevel"/>
    <w:lvl w:ilvl="0">
      <w:lvlJc w:val="left"/>
      <w:lvlText w:val="%1."/>
      <w:numFmt w:val="decimal"/>
      <w:start w:val="15"/>
    </w:lvl>
  </w:abstractNum>
  <w:abstractNum w:abstractNumId="61">
    <w:nsid w:val="579BE4F1"/>
    <w:multiLevelType w:val="hybridMultilevel"/>
    <w:lvl w:ilvl="0">
      <w:lvlJc w:val="left"/>
      <w:lvlText w:val="%1."/>
      <w:numFmt w:val="decimal"/>
      <w:start w:val="16"/>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2020-08-06T06:25:01Z</dcterms:created>
  <dcterms:modified xsi:type="dcterms:W3CDTF">2020-08-06T06:25:01Z</dcterms:modified>
</cp:coreProperties>
</file>