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16" w:lineRule="exact"/>
        <w:rPr>
          <w:sz w:val="24"/>
          <w:szCs w:val="24"/>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SCHEDULE 14A INFORMATION</w:t>
      </w:r>
    </w:p>
    <w:p>
      <w:pPr>
        <w:spacing w:after="0" w:line="238"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Proxy Statement Pursuant to Section 14(a) of the</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Securities Exchange Act of 1934</w:t>
      </w:r>
    </w:p>
    <w:p>
      <w:pPr>
        <w:spacing w:after="0" w:line="166"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2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pacing w:after="0" w:line="233" w:lineRule="exact"/>
        <w:rPr>
          <w:sz w:val="24"/>
          <w:szCs w:val="24"/>
          <w:color w:val="auto"/>
        </w:rPr>
      </w:pPr>
    </w:p>
    <w:p>
      <w:pPr>
        <w:ind w:left="1540" w:hanging="395"/>
        <w:spacing w:after="0"/>
        <w:tabs>
          <w:tab w:leader="none" w:pos="1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26" w:lineRule="exact"/>
        <w:rPr>
          <w:sz w:val="24"/>
          <w:szCs w:val="24"/>
          <w:color w:val="auto"/>
        </w:rPr>
      </w:pPr>
    </w:p>
    <w:p>
      <w:pPr>
        <w:ind w:left="1540" w:hanging="395"/>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65" w:lineRule="exact"/>
        <w:rPr>
          <w:rFonts w:ascii="Arial" w:cs="Arial" w:eastAsia="Arial" w:hAnsi="Arial"/>
          <w:sz w:val="16"/>
          <w:szCs w:val="16"/>
          <w:color w:val="auto"/>
        </w:rPr>
      </w:pPr>
    </w:p>
    <w:p>
      <w:pPr>
        <w:ind w:left="1540" w:hanging="395"/>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245" w:lineRule="exact"/>
        <w:rPr>
          <w:rFonts w:ascii="Arial" w:cs="Arial" w:eastAsia="Arial" w:hAnsi="Arial"/>
          <w:sz w:val="16"/>
          <w:szCs w:val="16"/>
          <w:color w:val="auto"/>
        </w:rPr>
      </w:pPr>
    </w:p>
    <w:p>
      <w:pPr>
        <w:ind w:left="1540" w:hanging="395"/>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45" w:lineRule="exact"/>
        <w:rPr>
          <w:rFonts w:ascii="Arial" w:cs="Arial" w:eastAsia="Arial" w:hAnsi="Arial"/>
          <w:sz w:val="16"/>
          <w:szCs w:val="16"/>
          <w:color w:val="auto"/>
        </w:rPr>
      </w:pPr>
    </w:p>
    <w:p>
      <w:pPr>
        <w:ind w:left="1540" w:hanging="395"/>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392"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70485</wp:posOffset>
            </wp:positionV>
            <wp:extent cx="5818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8255"/>
                    </a:xfrm>
                    <a:prstGeom prst="rect">
                      <a:avLst/>
                    </a:prstGeom>
                    <a:noFill/>
                  </pic:spPr>
                </pic:pic>
              </a:graphicData>
            </a:graphic>
          </wp:anchor>
        </w:drawing>
      </w:r>
    </w:p>
    <w:p>
      <w:pPr>
        <w:spacing w:after="0" w:line="18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(Name of Registrant as Specified in its Charter)</w:t>
      </w:r>
    </w:p>
    <w:p>
      <w:pPr>
        <w:spacing w:after="0" w:line="213"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70485</wp:posOffset>
            </wp:positionV>
            <wp:extent cx="5818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8255"/>
                    </a:xfrm>
                    <a:prstGeom prst="rect">
                      <a:avLst/>
                    </a:prstGeom>
                    <a:noFill/>
                  </pic:spPr>
                </pic:pic>
              </a:graphicData>
            </a:graphic>
          </wp:anchor>
        </w:drawing>
      </w:r>
    </w:p>
    <w:p>
      <w:pPr>
        <w:spacing w:after="0" w:line="18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3" w:lineRule="exact"/>
        <w:rPr>
          <w:sz w:val="24"/>
          <w:szCs w:val="24"/>
          <w:color w:val="auto"/>
        </w:rPr>
      </w:pPr>
    </w:p>
    <w:p>
      <w:pPr>
        <w:ind w:left="1540" w:hanging="395"/>
        <w:spacing w:after="0"/>
        <w:tabs>
          <w:tab w:leader="none" w:pos="1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6" w:lineRule="exact"/>
        <w:rPr>
          <w:sz w:val="24"/>
          <w:szCs w:val="24"/>
          <w:color w:val="auto"/>
        </w:rPr>
      </w:pPr>
    </w:p>
    <w:p>
      <w:pPr>
        <w:ind w:left="1540" w:hanging="395"/>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46" w:lineRule="exact"/>
        <w:rPr>
          <w:sz w:val="24"/>
          <w:szCs w:val="24"/>
          <w:color w:val="auto"/>
        </w:rPr>
      </w:pPr>
    </w:p>
    <w:p>
      <w:pPr>
        <w:ind w:left="1920" w:right="4339" w:hanging="775"/>
        <w:spacing w:after="0" w:line="255" w:lineRule="auto"/>
        <w:tabs>
          <w:tab w:leader="none" w:pos="15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N/A</w:t>
      </w:r>
    </w:p>
    <w:p>
      <w:pPr>
        <w:ind w:left="1920" w:right="3999" w:hanging="775"/>
        <w:spacing w:after="0" w:line="255" w:lineRule="auto"/>
        <w:tabs>
          <w:tab w:leader="none" w:pos="15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ind w:left="1540" w:right="399" w:hanging="395"/>
        <w:spacing w:after="0" w:line="247"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920"/>
        <w:spacing w:after="0"/>
        <w:rPr>
          <w:rFonts w:ascii="Arial" w:cs="Arial" w:eastAsia="Arial" w:hAnsi="Arial"/>
          <w:sz w:val="16"/>
          <w:szCs w:val="16"/>
          <w:color w:val="auto"/>
        </w:rPr>
      </w:pPr>
      <w:r>
        <w:rPr>
          <w:rFonts w:ascii="Arial" w:cs="Arial" w:eastAsia="Arial" w:hAnsi="Arial"/>
          <w:sz w:val="16"/>
          <w:szCs w:val="16"/>
          <w:color w:val="auto"/>
        </w:rPr>
        <w:t>N/A</w:t>
      </w:r>
    </w:p>
    <w:p>
      <w:pPr>
        <w:spacing w:after="0" w:line="18" w:lineRule="exact"/>
        <w:rPr>
          <w:rFonts w:ascii="Arial" w:cs="Arial" w:eastAsia="Arial" w:hAnsi="Arial"/>
          <w:sz w:val="16"/>
          <w:szCs w:val="16"/>
          <w:color w:val="auto"/>
        </w:rPr>
      </w:pPr>
    </w:p>
    <w:p>
      <w:pPr>
        <w:ind w:left="1540" w:hanging="395"/>
        <w:spacing w:after="0"/>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979805</wp:posOffset>
            </wp:positionH>
            <wp:positionV relativeFrom="paragraph">
              <wp:posOffset>-744220</wp:posOffset>
            </wp:positionV>
            <wp:extent cx="5546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-495300</wp:posOffset>
            </wp:positionV>
            <wp:extent cx="5546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-126365</wp:posOffset>
            </wp:positionV>
            <wp:extent cx="5546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979805</wp:posOffset>
            </wp:positionH>
            <wp:positionV relativeFrom="paragraph">
              <wp:posOffset>1905</wp:posOffset>
            </wp:positionV>
            <wp:extent cx="5546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ind w:left="1540" w:hanging="395"/>
        <w:spacing w:after="0"/>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1"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oFee paid previously with preliminary materials.</w:t>
      </w:r>
    </w:p>
    <w:p>
      <w:pPr>
        <w:spacing w:after="0" w:line="257" w:lineRule="exact"/>
        <w:rPr>
          <w:sz w:val="24"/>
          <w:szCs w:val="24"/>
          <w:color w:val="auto"/>
        </w:rPr>
      </w:pPr>
    </w:p>
    <w:p>
      <w:pPr>
        <w:jc w:val="both"/>
        <w:ind w:left="2000" w:right="179" w:hanging="451"/>
        <w:spacing w:after="0" w:line="255" w:lineRule="auto"/>
        <w:tabs>
          <w:tab w:leader="none" w:pos="2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9" w:lineRule="exact"/>
        <w:rPr>
          <w:rFonts w:ascii="Arial" w:cs="Arial" w:eastAsia="Arial" w:hAnsi="Arial"/>
          <w:sz w:val="16"/>
          <w:szCs w:val="16"/>
          <w:color w:val="auto"/>
        </w:rPr>
      </w:pPr>
    </w:p>
    <w:p>
      <w:pPr>
        <w:ind w:left="1540" w:hanging="395"/>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979805</wp:posOffset>
            </wp:positionH>
            <wp:positionV relativeFrom="paragraph">
              <wp:posOffset>1905</wp:posOffset>
            </wp:positionV>
            <wp:extent cx="5546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ind w:left="1920" w:right="5259" w:hanging="775"/>
        <w:spacing w:after="0" w:line="255" w:lineRule="auto"/>
        <w:tabs>
          <w:tab w:leader="none" w:pos="1555"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Form, Schedule or Registration Statement No.: N/A</w:t>
      </w:r>
    </w:p>
    <w:p>
      <w:pPr>
        <w:ind w:left="1540" w:hanging="395"/>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979805</wp:posOffset>
            </wp:positionH>
            <wp:positionV relativeFrom="paragraph">
              <wp:posOffset>-126365</wp:posOffset>
            </wp:positionV>
            <wp:extent cx="5546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979805</wp:posOffset>
            </wp:positionH>
            <wp:positionV relativeFrom="paragraph">
              <wp:posOffset>1905</wp:posOffset>
            </wp:positionV>
            <wp:extent cx="5546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ind w:left="1920" w:right="7879" w:hanging="775"/>
        <w:spacing w:after="0" w:line="263" w:lineRule="auto"/>
        <w:tabs>
          <w:tab w:leader="none" w:pos="155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725995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-16510</wp:posOffset>
            </wp:positionV>
            <wp:extent cx="5546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ectPr>
          <w:pgSz w:w="11900" w:h="16838" w:orient="portrait"/>
          <w:cols w:equalWidth="0" w:num="1">
            <w:col w:w="10219"/>
          </w:cols>
          <w:pgMar w:left="240" w:top="649" w:right="1440"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130175</wp:posOffset>
            </wp:positionV>
            <wp:extent cx="1597025" cy="802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702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6"/>
          <w:szCs w:val="16"/>
          <w:color w:val="auto"/>
        </w:rPr>
        <w:t>April [</w:t>
        <w:tab/>
        <w:t>], 2018</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On behalf of the Board of Directors, we cordially invite you to attend the Annual Meeting of Shareholders of Altisource Portfolio Solutions S.A. (the "Annual Meeting"), which will be held at our registered office of the Company located at 40, avenue Monterey, L-2163 Luxembourg City, Grand Duchy of Luxembourg on Tuesday, May 15, 2018, at 9:00 a.m. Central European Time. The accompanying materials provide further details regarding admission to the Annual Meeting as well as the business to be conducted at the meeting.</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of and interest in Altisource Portfolio Solutions 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20"/>
                <w:szCs w:val="20"/>
                <w:color w:val="auto"/>
              </w:rPr>
            </w:pPr>
            <w:r>
              <w:rPr>
                <w:rFonts w:ascii="Arial" w:cs="Arial" w:eastAsia="Arial" w:hAnsi="Arial"/>
                <w:sz w:val="16"/>
                <w:szCs w:val="16"/>
                <w:color w:val="auto"/>
              </w:rPr>
              <w:t>Timo Vättö</w:t>
            </w:r>
          </w:p>
        </w:tc>
        <w:tc>
          <w:tcPr>
            <w:tcW w:w="8380" w:type="dxa"/>
            <w:vAlign w:val="bottom"/>
          </w:tcPr>
          <w:p>
            <w:pPr>
              <w:ind w:left="2680"/>
              <w:spacing w:after="0"/>
              <w:rPr>
                <w:sz w:val="20"/>
                <w:szCs w:val="20"/>
                <w:color w:val="auto"/>
              </w:rPr>
            </w:pPr>
            <w:r>
              <w:rPr>
                <w:rFonts w:ascii="Arial" w:cs="Arial" w:eastAsia="Arial" w:hAnsi="Arial"/>
                <w:sz w:val="16"/>
                <w:szCs w:val="16"/>
                <w:color w:val="auto"/>
              </w:rPr>
              <w:t>William B. Shepro</w:t>
            </w:r>
          </w:p>
        </w:tc>
      </w:tr>
      <w:tr>
        <w:trPr>
          <w:trHeight w:val="197"/>
        </w:trPr>
        <w:tc>
          <w:tcPr>
            <w:tcW w:w="3040" w:type="dxa"/>
            <w:vAlign w:val="bottom"/>
          </w:tcPr>
          <w:p>
            <w:pPr>
              <w:spacing w:after="0"/>
              <w:rPr>
                <w:sz w:val="20"/>
                <w:szCs w:val="20"/>
                <w:color w:val="auto"/>
              </w:rPr>
            </w:pPr>
            <w:r>
              <w:rPr>
                <w:rFonts w:ascii="Arial" w:cs="Arial" w:eastAsia="Arial" w:hAnsi="Arial"/>
                <w:sz w:val="16"/>
                <w:szCs w:val="16"/>
                <w:color w:val="auto"/>
              </w:rPr>
              <w:t>Chairman of the Board of Directors</w:t>
            </w:r>
          </w:p>
        </w:tc>
        <w:tc>
          <w:tcPr>
            <w:tcW w:w="8380" w:type="dxa"/>
            <w:vAlign w:val="bottom"/>
          </w:tcPr>
          <w:p>
            <w:pPr>
              <w:ind w:left="2680"/>
              <w:spacing w:after="0"/>
              <w:rPr>
                <w:sz w:val="20"/>
                <w:szCs w:val="20"/>
                <w:color w:val="auto"/>
              </w:rPr>
            </w:pPr>
            <w:r>
              <w:rPr>
                <w:rFonts w:ascii="Arial" w:cs="Arial" w:eastAsia="Arial" w:hAnsi="Arial"/>
                <w:sz w:val="16"/>
                <w:szCs w:val="16"/>
                <w:color w:val="auto"/>
              </w:rPr>
              <w:t>Chief Executive Officer and Director</w:t>
            </w:r>
          </w:p>
        </w:tc>
      </w:tr>
      <w:tr>
        <w:trPr>
          <w:trHeight w:val="657"/>
        </w:trPr>
        <w:tc>
          <w:tcPr>
            <w:tcW w:w="3040" w:type="dxa"/>
            <w:vAlign w:val="bottom"/>
          </w:tcPr>
          <w:p>
            <w:pPr>
              <w:spacing w:after="0"/>
              <w:rPr>
                <w:sz w:val="24"/>
                <w:szCs w:val="24"/>
                <w:color w:val="auto"/>
              </w:rPr>
            </w:pPr>
          </w:p>
        </w:tc>
        <w:tc>
          <w:tcPr>
            <w:tcW w:w="8380" w:type="dxa"/>
            <w:vAlign w:val="bottom"/>
          </w:tcPr>
          <w:p>
            <w:pPr>
              <w:ind w:left="480"/>
              <w:spacing w:after="0"/>
              <w:rPr>
                <w:sz w:val="20"/>
                <w:szCs w:val="20"/>
                <w:color w:val="auto"/>
              </w:rPr>
            </w:pPr>
            <w:r>
              <w:rPr>
                <w:rFonts w:ascii="Arial" w:cs="Arial" w:eastAsia="Arial" w:hAnsi="Arial"/>
                <w:sz w:val="16"/>
                <w:szCs w:val="16"/>
                <w:color w:val="auto"/>
              </w:rPr>
              <w:t>40, avenue Monterey, L-2163 Luxembourg, +352 2469 7900</w:t>
            </w:r>
          </w:p>
        </w:tc>
      </w:tr>
      <w:tr>
        <w:trPr>
          <w:trHeight w:val="201"/>
        </w:trPr>
        <w:tc>
          <w:tcPr>
            <w:tcW w:w="3040" w:type="dxa"/>
            <w:vAlign w:val="bottom"/>
            <w:tcBorders>
              <w:bottom w:val="single" w:sz="8" w:color="808080"/>
            </w:tcBorders>
          </w:tcPr>
          <w:p>
            <w:pPr>
              <w:spacing w:after="0"/>
              <w:rPr>
                <w:sz w:val="17"/>
                <w:szCs w:val="17"/>
                <w:color w:val="auto"/>
              </w:rPr>
            </w:pPr>
          </w:p>
        </w:tc>
        <w:tc>
          <w:tcPr>
            <w:tcW w:w="83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130175</wp:posOffset>
            </wp:positionV>
            <wp:extent cx="1597025" cy="802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702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ALTISOURCE PORTFOLIO SOLUTIONS S.A.</w:t>
      </w:r>
    </w:p>
    <w:p>
      <w:pPr>
        <w:spacing w:after="0" w:line="195"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PROXY STATEMENT</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7"/>
              </w:rPr>
              <w:t>PAGE</w:t>
            </w:r>
          </w:p>
        </w:tc>
      </w:tr>
      <w:tr>
        <w:trPr>
          <w:trHeight w:val="157"/>
        </w:trPr>
        <w:tc>
          <w:tcPr>
            <w:tcW w:w="7560" w:type="dxa"/>
            <w:vAlign w:val="bottom"/>
            <w:tcBorders>
              <w:bottom w:val="single" w:sz="8" w:color="0000EE"/>
            </w:tcBorders>
            <w:gridSpan w:val="24"/>
          </w:tcPr>
          <w:p>
            <w:pPr>
              <w:spacing w:after="0" w:line="157" w:lineRule="exact"/>
              <w:rPr>
                <w:rFonts w:ascii="Arial" w:cs="Arial" w:eastAsia="Arial" w:hAnsi="Arial"/>
                <w:sz w:val="16"/>
                <w:szCs w:val="16"/>
                <w:color w:val="0000EE"/>
              </w:rPr>
            </w:pPr>
            <w:hyperlink w:anchor="page4">
              <w:r>
                <w:rPr>
                  <w:rFonts w:ascii="Arial" w:cs="Arial" w:eastAsia="Arial" w:hAnsi="Arial"/>
                  <w:sz w:val="16"/>
                  <w:szCs w:val="16"/>
                  <w:color w:val="0000EE"/>
                </w:rPr>
                <w:t>NOTICE OF ANNUAL MEETING OF SHAREHOLDERS AND IMPORTANT NOTICE REGARDING THE</w:t>
              </w:r>
            </w:hyperlink>
          </w:p>
        </w:tc>
        <w:tc>
          <w:tcPr>
            <w:tcW w:w="1000" w:type="dxa"/>
            <w:vAlign w:val="bottom"/>
            <w:gridSpan w:val="5"/>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180" w:type="dxa"/>
            <w:vAlign w:val="bottom"/>
          </w:tcPr>
          <w:p>
            <w:pPr>
              <w:spacing w:after="0"/>
              <w:rPr>
                <w:sz w:val="14"/>
                <w:szCs w:val="14"/>
                <w:color w:val="auto"/>
              </w:rPr>
            </w:pPr>
          </w:p>
        </w:tc>
        <w:tc>
          <w:tcPr>
            <w:tcW w:w="8180" w:type="dxa"/>
            <w:vAlign w:val="bottom"/>
            <w:tcBorders>
              <w:bottom w:val="single" w:sz="8" w:color="0000EE"/>
            </w:tcBorders>
            <w:gridSpan w:val="27"/>
          </w:tcPr>
          <w:p>
            <w:pPr>
              <w:spacing w:after="0" w:line="170" w:lineRule="exact"/>
              <w:rPr>
                <w:rFonts w:ascii="Arial" w:cs="Arial" w:eastAsia="Arial" w:hAnsi="Arial"/>
                <w:sz w:val="16"/>
                <w:szCs w:val="16"/>
                <w:color w:val="0000EE"/>
              </w:rPr>
            </w:pPr>
            <w:hyperlink w:anchor="page4">
              <w:r>
                <w:rPr>
                  <w:rFonts w:ascii="Arial" w:cs="Arial" w:eastAsia="Arial" w:hAnsi="Arial"/>
                  <w:sz w:val="16"/>
                  <w:szCs w:val="16"/>
                  <w:color w:val="0000EE"/>
                </w:rPr>
                <w:t>AVAILABILITY OF PROXY MATERIALS FOR THE ANNUAL MEETING OF SHAREHOLDERS TO BE HELD ON</w:t>
              </w:r>
            </w:hyperlink>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8380" w:type="dxa"/>
            <w:vAlign w:val="bottom"/>
            <w:gridSpan w:val="28"/>
          </w:tcPr>
          <w:p>
            <w:pPr>
              <w:spacing w:after="0" w:line="170" w:lineRule="exact"/>
              <w:rPr>
                <w:rFonts w:ascii="Arial" w:cs="Arial" w:eastAsia="Arial" w:hAnsi="Arial"/>
                <w:sz w:val="16"/>
                <w:szCs w:val="16"/>
                <w:color w:val="0000EE"/>
              </w:rPr>
            </w:pPr>
            <w:hyperlink w:anchor="page4">
              <w:r>
                <w:rPr>
                  <w:rFonts w:ascii="Arial" w:cs="Arial" w:eastAsia="Arial" w:hAnsi="Arial"/>
                  <w:sz w:val="16"/>
                  <w:szCs w:val="16"/>
                  <w:color w:val="0000EE"/>
                </w:rPr>
                <w:t>MAY 15, 2018</w:t>
              </w:r>
            </w:hyperlink>
          </w:p>
        </w:tc>
        <w:tc>
          <w:tcPr>
            <w:tcW w:w="380" w:type="dxa"/>
            <w:vAlign w:val="bottom"/>
            <w:gridSpan w:val="4"/>
          </w:tcPr>
          <w:p>
            <w:pPr>
              <w:jc w:val="right"/>
              <w:ind w:right="40"/>
              <w:spacing w:after="0" w:line="170"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ANNUAL MEETING OF SHAREHOLDERS</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
              <w:r>
                <w:rPr>
                  <w:rFonts w:ascii="Arial" w:cs="Arial" w:eastAsia="Arial" w:hAnsi="Arial"/>
                  <w:sz w:val="16"/>
                  <w:szCs w:val="16"/>
                  <w:color w:val="0000EE"/>
                </w:rPr>
                <w:t>6</w:t>
              </w:r>
            </w:hyperlink>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PROPOSAL ONE: ELECTION OF DIRECTORS</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10">
              <w:r>
                <w:rPr>
                  <w:rFonts w:ascii="Arial" w:cs="Arial" w:eastAsia="Arial" w:hAnsi="Arial"/>
                  <w:sz w:val="16"/>
                  <w:szCs w:val="16"/>
                  <w:color w:val="0000EE"/>
                </w:rPr>
                <w:t>9</w:t>
              </w:r>
            </w:hyperlink>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4560" w:type="dxa"/>
            <w:vAlign w:val="bottom"/>
            <w:tcBorders>
              <w:bottom w:val="single" w:sz="8" w:color="0000EE"/>
            </w:tcBorders>
            <w:gridSpan w:val="15"/>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BOARD OF DIRECTORS AND CORPORATE GOVERNANCE</w:t>
              </w:r>
            </w:hyperlink>
          </w:p>
        </w:tc>
        <w:tc>
          <w:tcPr>
            <w:tcW w:w="400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13</w:t>
              </w:r>
            </w:hyperlink>
          </w:p>
        </w:tc>
        <w:tc>
          <w:tcPr>
            <w:tcW w:w="40" w:type="dxa"/>
            <w:vAlign w:val="bottom"/>
          </w:tcPr>
          <w:p>
            <w:pPr>
              <w:spacing w:after="0"/>
              <w:rPr>
                <w:sz w:val="24"/>
                <w:szCs w:val="24"/>
                <w:color w:val="auto"/>
              </w:rPr>
            </w:pPr>
          </w:p>
        </w:tc>
      </w:tr>
      <w:tr>
        <w:trPr>
          <w:trHeight w:val="372"/>
        </w:trPr>
        <w:tc>
          <w:tcPr>
            <w:tcW w:w="3240" w:type="dxa"/>
            <w:vAlign w:val="bottom"/>
            <w:tcBorders>
              <w:bottom w:val="single" w:sz="8" w:color="0000EE"/>
            </w:tcBorders>
            <w:gridSpan w:val="1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BOARD OF DIRECTORS COMPENSATION</w:t>
              </w:r>
            </w:hyperlink>
          </w:p>
        </w:tc>
        <w:tc>
          <w:tcPr>
            <w:tcW w:w="5320" w:type="dxa"/>
            <w:vAlign w:val="bottom"/>
            <w:gridSpan w:val="19"/>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21</w:t>
              </w:r>
            </w:hyperlink>
          </w:p>
        </w:tc>
        <w:tc>
          <w:tcPr>
            <w:tcW w:w="40" w:type="dxa"/>
            <w:vAlign w:val="bottom"/>
          </w:tcPr>
          <w:p>
            <w:pPr>
              <w:spacing w:after="0"/>
              <w:rPr>
                <w:sz w:val="24"/>
                <w:szCs w:val="24"/>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EXECUTIVE OFFICERS WHO ARE NOT DIRECTORS</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26">
              <w:r>
                <w:rPr>
                  <w:rFonts w:ascii="Arial" w:cs="Arial" w:eastAsia="Arial" w:hAnsi="Arial"/>
                  <w:sz w:val="16"/>
                  <w:szCs w:val="16"/>
                  <w:color w:val="0000EE"/>
                </w:rPr>
                <w:t>25</w:t>
              </w:r>
            </w:hyperlink>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SECURITY OWNERSHIP OF CERTAIN BENEFICIAL OWNERS AND MANAGEMENT</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27">
              <w:r>
                <w:rPr>
                  <w:rFonts w:ascii="Arial" w:cs="Arial" w:eastAsia="Arial" w:hAnsi="Arial"/>
                  <w:sz w:val="16"/>
                  <w:szCs w:val="16"/>
                  <w:color w:val="0000EE"/>
                </w:rPr>
                <w:t>26</w:t>
              </w:r>
            </w:hyperlink>
          </w:p>
        </w:tc>
      </w:tr>
      <w:tr>
        <w:trPr>
          <w:trHeight w:val="372"/>
        </w:trPr>
        <w:tc>
          <w:tcPr>
            <w:tcW w:w="6320" w:type="dxa"/>
            <w:vAlign w:val="bottom"/>
            <w:tcBorders>
              <w:top w:val="single" w:sz="8" w:color="0000EE"/>
            </w:tcBorders>
            <w:gridSpan w:val="18"/>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COMPENSATION DISCUSSION AND ANALYSIS</w:t>
              </w:r>
            </w:hyperlink>
          </w:p>
        </w:tc>
        <w:tc>
          <w:tcPr>
            <w:tcW w:w="22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40" w:type="dxa"/>
            <w:vAlign w:val="bottom"/>
          </w:tcPr>
          <w:p>
            <w:pPr>
              <w:spacing w:after="0"/>
              <w:rPr>
                <w:sz w:val="24"/>
                <w:szCs w:val="24"/>
                <w:color w:val="auto"/>
              </w:rPr>
            </w:pPr>
          </w:p>
        </w:tc>
      </w:tr>
      <w:tr>
        <w:trPr>
          <w:trHeight w:val="372"/>
        </w:trPr>
        <w:tc>
          <w:tcPr>
            <w:tcW w:w="3620" w:type="dxa"/>
            <w:vAlign w:val="bottom"/>
            <w:tcBorders>
              <w:top w:val="single" w:sz="8" w:color="0000EE"/>
            </w:tcBorders>
            <w:gridSpan w:val="12"/>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COMPENSATION COMMITTEE REPORT</w:t>
              </w:r>
            </w:hyperlink>
          </w:p>
        </w:tc>
        <w:tc>
          <w:tcPr>
            <w:tcW w:w="494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52</w:t>
              </w:r>
            </w:hyperlink>
          </w:p>
        </w:tc>
        <w:tc>
          <w:tcPr>
            <w:tcW w:w="40" w:type="dxa"/>
            <w:vAlign w:val="bottom"/>
          </w:tcPr>
          <w:p>
            <w:pPr>
              <w:spacing w:after="0"/>
              <w:rPr>
                <w:sz w:val="24"/>
                <w:szCs w:val="24"/>
                <w:color w:val="auto"/>
              </w:rPr>
            </w:pPr>
          </w:p>
        </w:tc>
      </w:tr>
      <w:tr>
        <w:trPr>
          <w:trHeight w:val="372"/>
        </w:trPr>
        <w:tc>
          <w:tcPr>
            <w:tcW w:w="3140" w:type="dxa"/>
            <w:vAlign w:val="bottom"/>
            <w:tcBorders>
              <w:top w:val="single" w:sz="8" w:color="0000EE"/>
            </w:tcBorders>
            <w:gridSpan w:val="9"/>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EXECUTIVE COMPENSATION</w:t>
              </w:r>
            </w:hyperlink>
          </w:p>
        </w:tc>
        <w:tc>
          <w:tcPr>
            <w:tcW w:w="5420" w:type="dxa"/>
            <w:vAlign w:val="bottom"/>
            <w:gridSpan w:val="20"/>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53</w:t>
              </w:r>
            </w:hyperlink>
          </w:p>
        </w:tc>
        <w:tc>
          <w:tcPr>
            <w:tcW w:w="40" w:type="dxa"/>
            <w:vAlign w:val="bottom"/>
          </w:tcPr>
          <w:p>
            <w:pPr>
              <w:spacing w:after="0"/>
              <w:rPr>
                <w:sz w:val="24"/>
                <w:szCs w:val="24"/>
                <w:color w:val="auto"/>
              </w:rPr>
            </w:pP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PROPOSAL TWO: APPOINTMENT OF INDEPENDENT REGISTERED CERTIFIED PUBLIC ACCOUNTING</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0"/>
        </w:trPr>
        <w:tc>
          <w:tcPr>
            <w:tcW w:w="180" w:type="dxa"/>
            <w:vAlign w:val="bottom"/>
            <w:tcBorders>
              <w:top w:val="single" w:sz="8" w:color="0000EE"/>
            </w:tcBorders>
          </w:tcPr>
          <w:p>
            <w:pPr>
              <w:spacing w:after="0"/>
              <w:rPr>
                <w:sz w:val="14"/>
                <w:szCs w:val="14"/>
                <w:color w:val="auto"/>
              </w:rPr>
            </w:pPr>
          </w:p>
        </w:tc>
        <w:tc>
          <w:tcPr>
            <w:tcW w:w="2480" w:type="dxa"/>
            <w:vAlign w:val="bottom"/>
            <w:tcBorders>
              <w:top w:val="single" w:sz="8" w:color="0000EE"/>
              <w:bottom w:val="single" w:sz="8" w:color="0000EE"/>
            </w:tcBorders>
            <w:gridSpan w:val="5"/>
          </w:tcPr>
          <w:p>
            <w:pPr>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FIRM AND CERTIFIED AUDITOR</w:t>
              </w:r>
            </w:hyperlink>
          </w:p>
        </w:tc>
        <w:tc>
          <w:tcPr>
            <w:tcW w:w="5260" w:type="dxa"/>
            <w:vAlign w:val="bottom"/>
            <w:tcBorders>
              <w:top w:val="single" w:sz="8" w:color="0000EE"/>
            </w:tcBorders>
            <w:gridSpan w:val="20"/>
          </w:tcPr>
          <w:p>
            <w:pPr>
              <w:spacing w:after="0"/>
              <w:rPr>
                <w:sz w:val="14"/>
                <w:szCs w:val="14"/>
                <w:color w:val="auto"/>
              </w:rPr>
            </w:pPr>
          </w:p>
        </w:tc>
        <w:tc>
          <w:tcPr>
            <w:tcW w:w="6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0000EE"/>
            </w:tcBorders>
            <w:gridSpan w:val="2"/>
          </w:tcPr>
          <w:p>
            <w:pPr>
              <w:jc w:val="right"/>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67</w:t>
              </w:r>
            </w:hyperlink>
          </w:p>
        </w:tc>
        <w:tc>
          <w:tcPr>
            <w:tcW w:w="40" w:type="dxa"/>
            <w:vAlign w:val="bottom"/>
          </w:tcPr>
          <w:p>
            <w:pPr>
              <w:spacing w:after="0"/>
              <w:rPr>
                <w:sz w:val="14"/>
                <w:szCs w:val="14"/>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REPORT OF THE AUDIT COMMITTEE</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0">
              <w:r>
                <w:rPr>
                  <w:rFonts w:ascii="Arial" w:cs="Arial" w:eastAsia="Arial" w:hAnsi="Arial"/>
                  <w:sz w:val="16"/>
                  <w:szCs w:val="16"/>
                  <w:color w:val="0000EE"/>
                </w:rPr>
                <w:t>69</w:t>
              </w:r>
            </w:hyperlink>
          </w:p>
        </w:tc>
      </w:tr>
      <w:tr>
        <w:trPr>
          <w:trHeight w:val="372"/>
        </w:trPr>
        <w:tc>
          <w:tcPr>
            <w:tcW w:w="2900" w:type="dxa"/>
            <w:vAlign w:val="bottom"/>
            <w:tcBorders>
              <w:top w:val="single" w:sz="8" w:color="0000EE"/>
            </w:tcBorders>
            <w:gridSpan w:val="7"/>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EXTERNAL AUDITOR FEES</w:t>
              </w:r>
            </w:hyperlink>
          </w:p>
        </w:tc>
        <w:tc>
          <w:tcPr>
            <w:tcW w:w="5660" w:type="dxa"/>
            <w:vAlign w:val="bottom"/>
            <w:gridSpan w:val="22"/>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70</w:t>
              </w:r>
            </w:hyperlink>
          </w:p>
        </w:tc>
        <w:tc>
          <w:tcPr>
            <w:tcW w:w="40" w:type="dxa"/>
            <w:vAlign w:val="bottom"/>
          </w:tcPr>
          <w:p>
            <w:pPr>
              <w:spacing w:after="0"/>
              <w:rPr>
                <w:sz w:val="24"/>
                <w:szCs w:val="24"/>
                <w:color w:val="auto"/>
              </w:rPr>
            </w:pP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PROPOSAL THREE: APPROVAL OF THE COMPANY'S 2017 STATUTORY ACCOUNTS</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3">
              <w:r>
                <w:rPr>
                  <w:rFonts w:ascii="Arial" w:cs="Arial" w:eastAsia="Arial" w:hAnsi="Arial"/>
                  <w:sz w:val="16"/>
                  <w:szCs w:val="16"/>
                  <w:color w:val="0000EE"/>
                </w:rPr>
                <w:t>72</w:t>
              </w:r>
            </w:hyperlink>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PROPOSAL FOUR: RECEIPT AND APPROVAL OF THE DIRECTORS' REPORTS FOR THE LUXEMBOURG</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0"/>
        </w:trPr>
        <w:tc>
          <w:tcPr>
            <w:tcW w:w="180" w:type="dxa"/>
            <w:vAlign w:val="bottom"/>
            <w:tcBorders>
              <w:top w:val="single" w:sz="8" w:color="0000EE"/>
            </w:tcBorders>
          </w:tcPr>
          <w:p>
            <w:pPr>
              <w:spacing w:after="0"/>
              <w:rPr>
                <w:sz w:val="14"/>
                <w:szCs w:val="14"/>
                <w:color w:val="auto"/>
              </w:rPr>
            </w:pPr>
          </w:p>
        </w:tc>
        <w:tc>
          <w:tcPr>
            <w:tcW w:w="7860" w:type="dxa"/>
            <w:vAlign w:val="bottom"/>
            <w:tcBorders>
              <w:top w:val="single" w:sz="8" w:color="0000EE"/>
            </w:tcBorders>
            <w:gridSpan w:val="26"/>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STATUTORY ACCOUNTS AND RECEIPT OF THE SUPERVISORY AUDITOR'S REPORT FOR THE</w:t>
              </w:r>
            </w:hyperlink>
          </w:p>
        </w:tc>
        <w:tc>
          <w:tcPr>
            <w:tcW w:w="5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0"/>
        </w:trPr>
        <w:tc>
          <w:tcPr>
            <w:tcW w:w="180" w:type="dxa"/>
            <w:vAlign w:val="bottom"/>
          </w:tcPr>
          <w:p>
            <w:pPr>
              <w:spacing w:after="0"/>
              <w:rPr>
                <w:sz w:val="14"/>
                <w:szCs w:val="14"/>
                <w:color w:val="auto"/>
              </w:rPr>
            </w:pPr>
          </w:p>
        </w:tc>
        <w:tc>
          <w:tcPr>
            <w:tcW w:w="7360" w:type="dxa"/>
            <w:vAlign w:val="bottom"/>
            <w:tcBorders>
              <w:top w:val="single" w:sz="8" w:color="0000EE"/>
            </w:tcBorders>
            <w:gridSpan w:val="22"/>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LUXEMBOURG ANNUAL ACCOUNTS</w:t>
              </w:r>
            </w:hyperlink>
          </w:p>
        </w:tc>
        <w:tc>
          <w:tcPr>
            <w:tcW w:w="1020" w:type="dxa"/>
            <w:vAlign w:val="bottom"/>
            <w:gridSpan w:val="6"/>
          </w:tcPr>
          <w:p>
            <w:pPr>
              <w:spacing w:after="0"/>
              <w:rPr>
                <w:sz w:val="14"/>
                <w:szCs w:val="14"/>
                <w:color w:val="auto"/>
              </w:rPr>
            </w:pPr>
          </w:p>
        </w:tc>
        <w:tc>
          <w:tcPr>
            <w:tcW w:w="380" w:type="dxa"/>
            <w:vAlign w:val="bottom"/>
            <w:gridSpan w:val="4"/>
          </w:tcPr>
          <w:p>
            <w:pPr>
              <w:jc w:val="right"/>
              <w:ind w:right="40"/>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73</w:t>
              </w:r>
            </w:hyperlink>
          </w:p>
        </w:tc>
      </w:tr>
      <w:tr>
        <w:trPr>
          <w:trHeight w:val="20"/>
        </w:trPr>
        <w:tc>
          <w:tcPr>
            <w:tcW w:w="1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PROPOSAL FIVE: ALLOCATION OF THE RESULTS IN THE LUXEMBOURG ANNUAL ACCOUNTS</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5">
              <w:r>
                <w:rPr>
                  <w:rFonts w:ascii="Arial" w:cs="Arial" w:eastAsia="Arial" w:hAnsi="Arial"/>
                  <w:sz w:val="16"/>
                  <w:szCs w:val="16"/>
                  <w:color w:val="0000EE"/>
                </w:rPr>
                <w:t>74</w:t>
              </w:r>
            </w:hyperlink>
          </w:p>
        </w:tc>
      </w:tr>
      <w:tr>
        <w:trPr>
          <w:trHeight w:val="372"/>
        </w:trPr>
        <w:tc>
          <w:tcPr>
            <w:tcW w:w="6720" w:type="dxa"/>
            <w:vAlign w:val="bottom"/>
            <w:tcBorders>
              <w:top w:val="single" w:sz="8" w:color="0000EE"/>
              <w:bottom w:val="single" w:sz="8" w:color="0000EE"/>
            </w:tcBorders>
            <w:gridSpan w:val="21"/>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PROPOSAL SIX: DISCHARGE OF THE DIRECTORS AND THE SUPERVISORY AUDITOR</w:t>
              </w:r>
            </w:hyperlink>
          </w:p>
        </w:tc>
        <w:tc>
          <w:tcPr>
            <w:tcW w:w="620" w:type="dxa"/>
            <w:vAlign w:val="bottom"/>
            <w:tcBorders>
              <w:top w:val="single" w:sz="8" w:color="0000EE"/>
            </w:tcBorders>
          </w:tcPr>
          <w:p>
            <w:pPr>
              <w:spacing w:after="0"/>
              <w:rPr>
                <w:sz w:val="24"/>
                <w:szCs w:val="24"/>
                <w:color w:val="auto"/>
              </w:rPr>
            </w:pPr>
          </w:p>
        </w:tc>
        <w:tc>
          <w:tcPr>
            <w:tcW w:w="12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rPr>
            </w:pPr>
            <w:hyperlink w:anchor="page76">
              <w:r>
                <w:rPr>
                  <w:rFonts w:ascii="Arial" w:cs="Arial" w:eastAsia="Arial" w:hAnsi="Arial"/>
                  <w:sz w:val="16"/>
                  <w:szCs w:val="16"/>
                  <w:color w:val="0000EE"/>
                </w:rPr>
                <w:t>75</w:t>
              </w:r>
            </w:hyperlink>
          </w:p>
        </w:tc>
        <w:tc>
          <w:tcPr>
            <w:tcW w:w="40" w:type="dxa"/>
            <w:vAlign w:val="bottom"/>
          </w:tcPr>
          <w:p>
            <w:pPr>
              <w:spacing w:after="0"/>
              <w:rPr>
                <w:sz w:val="24"/>
                <w:szCs w:val="24"/>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PROPOSAL SEVEN: RENEWAL OF OUR SHARE REPURCHASE PROGRAM</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7">
              <w:r>
                <w:rPr>
                  <w:rFonts w:ascii="Arial" w:cs="Arial" w:eastAsia="Arial" w:hAnsi="Arial"/>
                  <w:sz w:val="16"/>
                  <w:szCs w:val="16"/>
                  <w:color w:val="0000EE"/>
                </w:rPr>
                <w:t>76</w:t>
              </w:r>
            </w:hyperlink>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8560" w:type="dxa"/>
            <w:vAlign w:val="bottom"/>
            <w:gridSpan w:val="29"/>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PROPOSAL EIGHT: APPROVAL OF CHANGES TO NON-MANAGEMENT DIRECTORS' COMPENSATION</w:t>
              </w:r>
            </w:hyperlink>
          </w:p>
        </w:tc>
        <w:tc>
          <w:tcPr>
            <w:tcW w:w="380" w:type="dxa"/>
            <w:vAlign w:val="bottom"/>
            <w:gridSpan w:val="4"/>
          </w:tcPr>
          <w:p>
            <w:pPr>
              <w:jc w:val="right"/>
              <w:ind w:right="40"/>
              <w:spacing w:after="0"/>
              <w:rPr>
                <w:rFonts w:ascii="Arial" w:cs="Arial" w:eastAsia="Arial" w:hAnsi="Arial"/>
                <w:sz w:val="16"/>
                <w:szCs w:val="16"/>
                <w:color w:val="0000EE"/>
              </w:rPr>
            </w:pPr>
            <w:hyperlink w:anchor="page78">
              <w:r>
                <w:rPr>
                  <w:rFonts w:ascii="Arial" w:cs="Arial" w:eastAsia="Arial" w:hAnsi="Arial"/>
                  <w:sz w:val="16"/>
                  <w:szCs w:val="16"/>
                  <w:color w:val="0000EE"/>
                </w:rPr>
                <w:t>77</w:t>
              </w:r>
            </w:hyperlink>
          </w:p>
        </w:tc>
      </w:tr>
      <w:tr>
        <w:trPr>
          <w:trHeight w:val="372"/>
        </w:trPr>
        <w:tc>
          <w:tcPr>
            <w:tcW w:w="7820" w:type="dxa"/>
            <w:vAlign w:val="bottom"/>
            <w:tcBorders>
              <w:top w:val="single" w:sz="8" w:color="0000EE"/>
            </w:tcBorders>
            <w:gridSpan w:val="25"/>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PROPOSAL NINE: ADVISORY VOTE ON EXECUTIVE COMPENSATION ("SAY-ON-PAY")</w:t>
              </w:r>
            </w:hyperlink>
          </w:p>
        </w:tc>
        <w:tc>
          <w:tcPr>
            <w:tcW w:w="7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78</w:t>
              </w:r>
            </w:hyperlink>
          </w:p>
        </w:tc>
        <w:tc>
          <w:tcPr>
            <w:tcW w:w="40" w:type="dxa"/>
            <w:vAlign w:val="bottom"/>
          </w:tcPr>
          <w:p>
            <w:pPr>
              <w:spacing w:after="0"/>
              <w:rPr>
                <w:sz w:val="24"/>
                <w:szCs w:val="24"/>
                <w:color w:val="auto"/>
              </w:rPr>
            </w:pPr>
          </w:p>
        </w:tc>
      </w:tr>
      <w:tr>
        <w:trPr>
          <w:trHeight w:val="372"/>
        </w:trPr>
        <w:tc>
          <w:tcPr>
            <w:tcW w:w="6640" w:type="dxa"/>
            <w:vAlign w:val="bottom"/>
            <w:tcBorders>
              <w:top w:val="single" w:sz="8" w:color="0000EE"/>
            </w:tcBorders>
            <w:gridSpan w:val="20"/>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BUSINESS RELATIONSHIPS AND RELATED PERSON TRANSACTIONS</w:t>
              </w:r>
            </w:hyperlink>
          </w:p>
        </w:tc>
        <w:tc>
          <w:tcPr>
            <w:tcW w:w="192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c>
          <w:tcPr>
            <w:tcW w:w="40" w:type="dxa"/>
            <w:vAlign w:val="bottom"/>
          </w:tcPr>
          <w:p>
            <w:pPr>
              <w:spacing w:after="0"/>
              <w:rPr>
                <w:sz w:val="24"/>
                <w:szCs w:val="24"/>
                <w:color w:val="auto"/>
              </w:rPr>
            </w:pPr>
          </w:p>
        </w:tc>
      </w:tr>
      <w:tr>
        <w:trPr>
          <w:trHeight w:val="372"/>
        </w:trPr>
        <w:tc>
          <w:tcPr>
            <w:tcW w:w="426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82">
              <w:r>
                <w:rPr>
                  <w:rFonts w:ascii="Arial" w:cs="Arial" w:eastAsia="Arial" w:hAnsi="Arial"/>
                  <w:sz w:val="16"/>
                  <w:szCs w:val="16"/>
                  <w:color w:val="0000EE"/>
                </w:rPr>
                <w:t>SHAREHOLDER PROPOSALS AND ANNUAL REPORTS</w:t>
              </w:r>
            </w:hyperlink>
          </w:p>
        </w:tc>
        <w:tc>
          <w:tcPr>
            <w:tcW w:w="1180" w:type="dxa"/>
            <w:vAlign w:val="bottom"/>
            <w:tcBorders>
              <w:top w:val="single" w:sz="8" w:color="0000EE"/>
            </w:tcBorders>
            <w:gridSpan w:val="2"/>
          </w:tcPr>
          <w:p>
            <w:pPr>
              <w:spacing w:after="0"/>
              <w:rPr>
                <w:sz w:val="24"/>
                <w:szCs w:val="24"/>
                <w:color w:val="auto"/>
              </w:rPr>
            </w:pPr>
          </w:p>
        </w:tc>
        <w:tc>
          <w:tcPr>
            <w:tcW w:w="312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rPr>
            </w:pPr>
            <w:hyperlink w:anchor="page82">
              <w:r>
                <w:rPr>
                  <w:rFonts w:ascii="Arial" w:cs="Arial" w:eastAsia="Arial" w:hAnsi="Arial"/>
                  <w:sz w:val="16"/>
                  <w:szCs w:val="16"/>
                  <w:color w:val="0000EE"/>
                </w:rPr>
                <w:t>81</w:t>
              </w:r>
            </w:hyperlink>
          </w:p>
        </w:tc>
        <w:tc>
          <w:tcPr>
            <w:tcW w:w="40" w:type="dxa"/>
            <w:vAlign w:val="bottom"/>
          </w:tcPr>
          <w:p>
            <w:pPr>
              <w:spacing w:after="0"/>
              <w:rPr>
                <w:sz w:val="24"/>
                <w:szCs w:val="24"/>
                <w:color w:val="auto"/>
              </w:rPr>
            </w:pPr>
          </w:p>
        </w:tc>
      </w:tr>
      <w:tr>
        <w:trPr>
          <w:trHeight w:val="372"/>
        </w:trPr>
        <w:tc>
          <w:tcPr>
            <w:tcW w:w="1400" w:type="dxa"/>
            <w:vAlign w:val="bottom"/>
            <w:tcBorders>
              <w:bottom w:val="single" w:sz="8" w:color="0000EE"/>
            </w:tcBorders>
            <w:gridSpan w:val="3"/>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OTHER MATTERS</w:t>
              </w:r>
            </w:hyperlink>
          </w:p>
        </w:tc>
        <w:tc>
          <w:tcPr>
            <w:tcW w:w="7160" w:type="dxa"/>
            <w:vAlign w:val="bottom"/>
            <w:gridSpan w:val="26"/>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6"/>
                <w:szCs w:val="16"/>
                <w:color w:val="0000EE"/>
              </w:rPr>
            </w:pPr>
            <w:hyperlink w:anchor="page83">
              <w:r>
                <w:rPr>
                  <w:rFonts w:ascii="Arial" w:cs="Arial" w:eastAsia="Arial" w:hAnsi="Arial"/>
                  <w:sz w:val="16"/>
                  <w:szCs w:val="16"/>
                  <w:color w:val="0000EE"/>
                </w:rPr>
                <w:t>82</w:t>
              </w:r>
            </w:hyperlink>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142" w:right="1440" w:bottom="1440" w:gutter="0" w:footer="0" w:header="0"/>
        </w:sectPr>
      </w:pPr>
    </w:p>
    <w:p>
      <w:pPr>
        <w:spacing w:after="0" w:line="1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40, avenue Monterey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L-2163 Luxembourg City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Grand Duchy of Luxembourg</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R.C.S. Luxembourg B 72 391</w:t>
      </w:r>
    </w:p>
    <w:p>
      <w:pPr>
        <w:spacing w:after="0" w:line="377"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NOTICE OF ANNUAL MEETING OF SHAREHOLDERS AND</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FOR THE ANNUAL MEETING OF SHAREHOLDERS TO BE HELD ON MAY 15,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Annual Meeting of Shareholders ("Annual Meeting") will be held:</w:t>
      </w:r>
    </w:p>
    <w:p>
      <w:pPr>
        <w:spacing w:after="0" w:line="39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Tuesday, May 15, 2018</w:t>
      </w:r>
    </w:p>
    <w:p>
      <w:pPr>
        <w:spacing w:after="0" w:line="20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European Time</w:t>
      </w:r>
    </w:p>
    <w:p>
      <w:pPr>
        <w:spacing w:after="0" w:line="20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Altisource Portfolio Solutions S.A.</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40, avenue Monterey</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L-2163 Luxembourg City</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Grand Duchy of Luxembourg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PURPOSE</w:t>
      </w:r>
    </w:p>
    <w:p>
      <w:pPr>
        <w:spacing w:after="0" w:line="228" w:lineRule="exact"/>
        <w:rPr>
          <w:sz w:val="20"/>
          <w:szCs w:val="20"/>
          <w:color w:val="auto"/>
        </w:rPr>
      </w:pPr>
    </w:p>
    <w:p>
      <w:pPr>
        <w:ind w:left="1020" w:hanging="51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elect six (6) Directors until the next annual meeting of shareholders or until their respective successors have been elected and qualified;</w:t>
      </w:r>
    </w:p>
    <w:p>
      <w:pPr>
        <w:spacing w:after="0" w:line="207" w:lineRule="exact"/>
        <w:rPr>
          <w:rFonts w:ascii="Arial" w:cs="Arial" w:eastAsia="Arial" w:hAnsi="Arial"/>
          <w:sz w:val="16"/>
          <w:szCs w:val="16"/>
          <w:color w:val="auto"/>
        </w:rPr>
      </w:pPr>
    </w:p>
    <w:p>
      <w:pPr>
        <w:ind w:left="1020" w:right="440" w:hanging="513"/>
        <w:spacing w:after="0" w:line="26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the appointment of Mayer Hoffman McCann P.C. to be our independent registered certified public accounting firm for the year ending December 31, 2018 and the appointment of Atwell S.à r.l.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65" w:lineRule="exact"/>
        <w:rPr>
          <w:rFonts w:ascii="Arial" w:cs="Arial" w:eastAsia="Arial" w:hAnsi="Arial"/>
          <w:sz w:val="16"/>
          <w:szCs w:val="16"/>
          <w:color w:val="auto"/>
        </w:rPr>
      </w:pPr>
    </w:p>
    <w:p>
      <w:pPr>
        <w:ind w:left="1020" w:right="60" w:hanging="513"/>
        <w:spacing w:after="0" w:line="25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Altisource Portfolio Solutions S.A.'s unconsolidated annual accounts prepared in accordance with accounting principles generally accepted in Luxembourg (the "Luxembourg Annual Accounts") for the year ended December 31, 2017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2017;</w:t>
      </w:r>
    </w:p>
    <w:p>
      <w:pPr>
        <w:spacing w:after="0" w:line="365" w:lineRule="exact"/>
        <w:rPr>
          <w:rFonts w:ascii="Arial" w:cs="Arial" w:eastAsia="Arial" w:hAnsi="Arial"/>
          <w:sz w:val="16"/>
          <w:szCs w:val="16"/>
          <w:color w:val="auto"/>
        </w:rPr>
      </w:pPr>
    </w:p>
    <w:p>
      <w:pPr>
        <w:ind w:left="1020" w:hanging="513"/>
        <w:spacing w:after="0" w:line="26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receive and approve the Directors' reports for the Luxembourg Statutory Accounts for the year ended December 31, 2017 and to receive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same period;</w:t>
      </w:r>
    </w:p>
    <w:p>
      <w:pPr>
        <w:spacing w:after="0" w:line="178" w:lineRule="exact"/>
        <w:rPr>
          <w:rFonts w:ascii="Arial" w:cs="Arial" w:eastAsia="Arial" w:hAnsi="Arial"/>
          <w:sz w:val="16"/>
          <w:szCs w:val="16"/>
          <w:color w:val="auto"/>
        </w:rPr>
      </w:pPr>
    </w:p>
    <w:p>
      <w:pPr>
        <w:ind w:left="1020" w:hanging="51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allocate the results in the Luxembourg Annual Accounts for the year ended December 31, 2017;</w:t>
      </w:r>
    </w:p>
    <w:p>
      <w:pPr>
        <w:spacing w:after="0" w:line="195" w:lineRule="exact"/>
        <w:rPr>
          <w:rFonts w:ascii="Arial" w:cs="Arial" w:eastAsia="Arial" w:hAnsi="Arial"/>
          <w:sz w:val="16"/>
          <w:szCs w:val="16"/>
          <w:color w:val="auto"/>
        </w:rPr>
      </w:pPr>
    </w:p>
    <w:p>
      <w:pPr>
        <w:ind w:left="1020" w:right="660" w:hanging="513"/>
        <w:spacing w:after="0" w:line="26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discharge each of the Directors of Altisource Portfolio Solutions S.A. for the performance of their mandates for the year ended December 31, 2017 and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same period;</w:t>
      </w:r>
    </w:p>
    <w:p>
      <w:pPr>
        <w:spacing w:after="0" w:line="165" w:lineRule="exact"/>
        <w:rPr>
          <w:rFonts w:ascii="Arial" w:cs="Arial" w:eastAsia="Arial" w:hAnsi="Arial"/>
          <w:sz w:val="16"/>
          <w:szCs w:val="16"/>
          <w:color w:val="auto"/>
        </w:rPr>
      </w:pPr>
    </w:p>
    <w:p>
      <w:pPr>
        <w:ind w:left="1020" w:right="140" w:hanging="513"/>
        <w:spacing w:after="0" w:line="25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renew our share repurchase program such that Altisource Portfolio Solutions S.A. is authorized, for a period of five years from the date of the Annual Meeting, to repurchase up to twenty-five percent (25%) of the outstanding shares of its common stock (as of the close of business on the date of the Annual Meeting) at a minimum price of one dollar ($1.00) per share and a maximum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price of five hundred dollars ($500.00) per share, with the maximum price to be adjusted for any stock splits and reverse stock splits;</w:t>
      </w:r>
    </w:p>
    <w:p>
      <w:pPr>
        <w:spacing w:after="0" w:line="208" w:lineRule="exact"/>
        <w:rPr>
          <w:sz w:val="20"/>
          <w:szCs w:val="20"/>
          <w:color w:val="auto"/>
        </w:rPr>
      </w:pPr>
    </w:p>
    <w:p>
      <w:pPr>
        <w:ind w:left="1020" w:hanging="51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changes to non-management Directors' compensation;</w:t>
      </w:r>
    </w:p>
    <w:p>
      <w:pPr>
        <w:spacing w:after="0" w:line="207" w:lineRule="exact"/>
        <w:rPr>
          <w:rFonts w:ascii="Arial" w:cs="Arial" w:eastAsia="Arial" w:hAnsi="Arial"/>
          <w:sz w:val="16"/>
          <w:szCs w:val="16"/>
          <w:color w:val="auto"/>
        </w:rPr>
      </w:pPr>
    </w:p>
    <w:p>
      <w:pPr>
        <w:ind w:left="1020" w:right="20" w:hanging="513"/>
        <w:spacing w:after="0" w:line="26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on an advisory (non-binding) basis, the compensation of Altisource's named executive officers as disclosed in the proxy statement ("Say-on-Pay"); and</w:t>
      </w:r>
    </w:p>
    <w:p>
      <w:pPr>
        <w:spacing w:after="0" w:line="165" w:lineRule="exact"/>
        <w:rPr>
          <w:rFonts w:ascii="Arial" w:cs="Arial" w:eastAsia="Arial" w:hAnsi="Arial"/>
          <w:sz w:val="16"/>
          <w:szCs w:val="16"/>
          <w:color w:val="auto"/>
        </w:rPr>
      </w:pPr>
    </w:p>
    <w:p>
      <w:pPr>
        <w:ind w:left="1020" w:hanging="51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PROCEDURES</w:t>
      </w:r>
    </w:p>
    <w:p>
      <w:pPr>
        <w:spacing w:after="0" w:line="228" w:lineRule="exact"/>
        <w:rPr>
          <w:sz w:val="20"/>
          <w:szCs w:val="20"/>
          <w:color w:val="auto"/>
        </w:rPr>
      </w:pPr>
    </w:p>
    <w:p>
      <w:pPr>
        <w:ind w:left="1020" w:hanging="513"/>
        <w:spacing w:after="0" w:line="26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has fixed March 21, 2018 as the record date for the determination of shareholders entitled to notice of and to vote at the Annual Meeting.</w:t>
      </w:r>
    </w:p>
    <w:p>
      <w:pPr>
        <w:spacing w:after="0" w:line="178" w:lineRule="exact"/>
        <w:rPr>
          <w:rFonts w:ascii="Arial" w:cs="Arial" w:eastAsia="Arial" w:hAnsi="Arial"/>
          <w:sz w:val="16"/>
          <w:szCs w:val="16"/>
          <w:color w:val="auto"/>
        </w:rPr>
      </w:pPr>
    </w:p>
    <w:p>
      <w:pPr>
        <w:ind w:left="1020" w:right="60" w:hanging="513"/>
        <w:spacing w:after="0" w:line="250"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6"/>
          <w:szCs w:val="16"/>
          <w:b w:val="1"/>
          <w:bCs w:val="1"/>
          <w:color w:val="auto"/>
        </w:rPr>
        <w:t>Even if you plan to attend the Annual Meeting, we recommend that you vote your shares in advance of the</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pursuant to the instructions listed in the accompanying materials so that your vote will be counted if you are unable to attend the Annual Meeting.</w:t>
      </w:r>
    </w:p>
    <w:p>
      <w:pPr>
        <w:spacing w:after="0" w:line="177" w:lineRule="exact"/>
        <w:rPr>
          <w:rFonts w:ascii="Arial" w:cs="Arial" w:eastAsia="Arial" w:hAnsi="Arial"/>
          <w:sz w:val="16"/>
          <w:szCs w:val="16"/>
          <w:color w:val="auto"/>
        </w:rPr>
      </w:pPr>
    </w:p>
    <w:p>
      <w:pPr>
        <w:ind w:left="1020" w:right="20" w:hanging="513"/>
        <w:spacing w:after="0" w:line="25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proxy statement for our Annual Meeting and our annual report to shareholders on Form 10-K for the year ended December 31, 2017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accordance with Securities and Exchange Commission ("SEC") rules, you may also access our proxy statement and annual report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a website that does not identify or track visitors to the site, by entering the Control Number found on your Notice and Access Card, your proxy card or your email notification, as applicable, in the space provided.</w:t>
      </w:r>
    </w:p>
    <w:p>
      <w:pPr>
        <w:spacing w:after="0" w:line="175" w:lineRule="exact"/>
        <w:rPr>
          <w:rFonts w:ascii="Arial" w:cs="Arial" w:eastAsia="Arial" w:hAnsi="Arial"/>
          <w:sz w:val="16"/>
          <w:szCs w:val="16"/>
          <w:color w:val="auto"/>
        </w:rPr>
      </w:pPr>
    </w:p>
    <w:p>
      <w:pPr>
        <w:ind w:left="1020" w:right="80" w:hanging="513"/>
        <w:spacing w:after="0" w:line="22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issued and outstanding shares of common stock able to be voted, represented in person or by proxy, will constitute a quorum for the transaction of business at the Annual Meeting.</w:t>
      </w:r>
    </w:p>
    <w:p>
      <w:pPr>
        <w:spacing w:after="0" w:line="181" w:lineRule="exact"/>
        <w:rPr>
          <w:rFonts w:ascii="Arial" w:cs="Arial" w:eastAsia="Arial" w:hAnsi="Arial"/>
          <w:sz w:val="16"/>
          <w:szCs w:val="16"/>
          <w:color w:val="auto"/>
        </w:rPr>
      </w:pPr>
    </w:p>
    <w:p>
      <w:pPr>
        <w:jc w:val="both"/>
        <w:ind w:left="1020" w:right="20" w:hanging="513"/>
        <w:spacing w:after="0" w:line="259"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Luxembourg Statutory Accounts, the Directors' reports for the Luxembourg Statutory Accounts, the report of the certified auditor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w:t>
      </w:r>
      <w:r>
        <w:rPr>
          <w:rFonts w:ascii="Arial" w:cs="Arial" w:eastAsia="Arial" w:hAnsi="Arial"/>
          <w:sz w:val="16"/>
          <w:szCs w:val="16"/>
          <w:color w:val="auto"/>
        </w:rPr>
        <w:t>) on the Consolidated Accounts and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on the Luxembourg Annual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will be available for inspection at our registered office from May 5, 2018 until the conclusion of the Annual Meeting. Beginning May 5, 2018, copies will also be available to any shareholder who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1020"/>
        <w:spacing w:after="0" w:line="263" w:lineRule="auto"/>
        <w:rPr>
          <w:sz w:val="20"/>
          <w:szCs w:val="20"/>
          <w:color w:val="auto"/>
        </w:rPr>
      </w:pPr>
      <w:r>
        <w:rPr>
          <w:rFonts w:ascii="Arial" w:cs="Arial" w:eastAsia="Arial" w:hAnsi="Arial"/>
          <w:sz w:val="16"/>
          <w:szCs w:val="16"/>
          <w:color w:val="auto"/>
        </w:rPr>
        <w:t>requests them by writing to our Corporate Secretary at Altisource Portfolio Solutions S.A., 40, avenue Monterey, L-2163 Luxembourg City, Grand Duchy of Luxembourg.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Kevin J. Wilcox</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April [</w:t>
        <w:tab/>
        <w:t>], 2018</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Luxembourg City, Grand Duchy of Luxembourg</w:t>
      </w:r>
    </w:p>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000"/>
          </w:cols>
          <w:pgMar w:left="240" w:top="142" w:right="6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Altisource Portfolio Solutions S.A.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255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2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We have made this proxy statement available to you on or about April [ ], 2018 as a holder of common stock of Altisource Portfolio Solutions S.A. ("Altisource" or the "Company") because our Board of Directors is soliciting your proxy to be used at our 2018 Annual Meeting, and any adjournment or postponement thereof. The Annual Meeting will be held at our registered office located at 40, avenue Monterey, L-2163 Luxembourg City, Grand Duchy of Luxembourg on Tuesday, May 15, 2018 at 9:00 a.m. Central European Time for the purposes listed in the Notice of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in prior years, we are using the "Notice and Access" method of furnishing proxy materials to our beneficial shareholders via the Internet, instead of mailing printed copies of those materials to each shareholder. By doing so, we reduce the environmental impact of our Annual Meeting and save costs. On April [ ], 2018,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will receive a paper copy of the proxy materials by mail unless they previously requested delivery of proxy materials electronically.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proxy card included with the proxy materials contains instructions on how to request electronic delivery of future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w:t>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You are entitled to vote at the Annual Meeting, and any adjournment or postponement thereof, if you are a holder of our common stock at the close of business on March 21, 2018. At the close of business on March 21, 2018, there were 17,399,792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Procedures</w:t>
      </w:r>
    </w:p>
    <w:p>
      <w:pPr>
        <w:spacing w:after="0" w:line="228" w:lineRule="exact"/>
        <w:rPr>
          <w:sz w:val="20"/>
          <w:szCs w:val="20"/>
          <w:color w:val="auto"/>
        </w:rPr>
      </w:pPr>
    </w:p>
    <w:p>
      <w:pPr>
        <w:ind w:right="780"/>
        <w:spacing w:after="0" w:line="263" w:lineRule="auto"/>
        <w:rPr>
          <w:sz w:val="20"/>
          <w:szCs w:val="20"/>
          <w:color w:val="auto"/>
        </w:rPr>
      </w:pPr>
      <w:r>
        <w:rPr>
          <w:rFonts w:ascii="Arial" w:cs="Arial" w:eastAsia="Arial" w:hAnsi="Arial"/>
          <w:sz w:val="16"/>
          <w:szCs w:val="16"/>
          <w:color w:val="auto"/>
        </w:rPr>
        <w:t>If you are a shareholder of record, which means you hold your shares through an account with our transfer agent, American Stock Transfer &amp; Trust Company, LLC, you may vote by one of the following three options for voting before the Annual Meeting:</w:t>
      </w:r>
    </w:p>
    <w:p>
      <w:pPr>
        <w:spacing w:after="0" w:line="178" w:lineRule="exact"/>
        <w:rPr>
          <w:sz w:val="20"/>
          <w:szCs w:val="20"/>
          <w:color w:val="auto"/>
        </w:rPr>
      </w:pPr>
    </w:p>
    <w:p>
      <w:pPr>
        <w:ind w:left="1020" w:hanging="51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Over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by following the instructions on your proxy card or the instructions that you received by email;</w:t>
      </w:r>
    </w:p>
    <w:p>
      <w:pPr>
        <w:spacing w:after="0" w:line="207" w:lineRule="exact"/>
        <w:rPr>
          <w:rFonts w:ascii="Arial" w:cs="Arial" w:eastAsia="Arial" w:hAnsi="Arial"/>
          <w:sz w:val="16"/>
          <w:szCs w:val="16"/>
          <w:color w:val="auto"/>
        </w:rPr>
      </w:pPr>
    </w:p>
    <w:p>
      <w:pPr>
        <w:ind w:left="1020" w:hanging="51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telephone; or</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completing, dating, signing and returning a proxy card by mail.</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If you plan to vote over the Internet or by telephone, your voting instructions must be received no later than 9:59 p.m. Central European Time (3:59 p.m.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Eastern Time) on Monday, May 14, 2018 in order to allow sufficient time to tabulate the votes prior to the start of the meeting.</w:t>
      </w:r>
    </w:p>
    <w:p>
      <w:pPr>
        <w:spacing w:after="0" w:line="208"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Shareholders may also vote in person at the Annual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65"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 Proxy Works</w:t>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37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our annual accounts and our share repurchase program are expected to be "non-routine" proposals; therefore, if you do not instruct your bank or broker how to vote your shares with respect to these proposals, your shares will not be counted.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Revoke a Proxy</w:t>
      </w:r>
    </w:p>
    <w:p>
      <w:pPr>
        <w:spacing w:after="0" w:line="22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78" w:lineRule="exact"/>
        <w:rPr>
          <w:sz w:val="20"/>
          <w:szCs w:val="20"/>
          <w:color w:val="auto"/>
        </w:rPr>
      </w:pPr>
    </w:p>
    <w:p>
      <w:pPr>
        <w:ind w:left="1020" w:hanging="51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delivering written notice to our Corporate Secretary at the following address prior to the Annual Meeting:</w:t>
      </w:r>
    </w:p>
    <w:p>
      <w:pPr>
        <w:spacing w:after="0" w:line="20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Kevin J. Wilcox, Corporate Secretary</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Altisource Portfolio Solutions S.A.</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40, avenue Monterey</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L-2163 Luxembourg City</w:t>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Grand Duchy of Luxembourg;</w:t>
      </w:r>
    </w:p>
    <w:p>
      <w:pPr>
        <w:spacing w:after="0" w:line="220" w:lineRule="exact"/>
        <w:rPr>
          <w:sz w:val="20"/>
          <w:szCs w:val="20"/>
          <w:color w:val="auto"/>
        </w:rPr>
      </w:pPr>
    </w:p>
    <w:p>
      <w:pPr>
        <w:ind w:left="1020" w:hanging="51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submitting a properly executed proxy bearing a later date prior to the Annual Meeting; or</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appearing at the Annual Meeting and giving the Corporate Secretary notice of your intention to vote in person.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and Voting Information</w:t>
      </w:r>
    </w:p>
    <w:p>
      <w:pPr>
        <w:spacing w:after="0" w:line="228"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issued and outstanding shares of common stock able to be voted, represented in person or by proxy, will constitute a quorum for the transaction of business at the Annual Meeting.</w:t>
      </w:r>
    </w:p>
    <w:p>
      <w:pPr>
        <w:spacing w:after="0" w:line="178" w:lineRule="exact"/>
        <w:rPr>
          <w:sz w:val="20"/>
          <w:szCs w:val="20"/>
          <w:color w:val="auto"/>
        </w:rPr>
      </w:pPr>
    </w:p>
    <w:p>
      <w:pPr>
        <w:jc w:val="both"/>
        <w:ind w:right="320"/>
        <w:spacing w:after="0" w:line="263" w:lineRule="auto"/>
        <w:rPr>
          <w:sz w:val="20"/>
          <w:szCs w:val="20"/>
          <w:color w:val="auto"/>
        </w:rPr>
      </w:pPr>
      <w:r>
        <w:rPr>
          <w:rFonts w:ascii="Arial" w:cs="Arial" w:eastAsia="Arial" w:hAnsi="Arial"/>
          <w:sz w:val="16"/>
          <w:szCs w:val="16"/>
          <w:color w:val="auto"/>
        </w:rPr>
        <w:t>Assuming a quorum, the six (6)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2018 and Atwell S.à r.l. ("Atwell")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all statutory accounts as required by Luxembourg law for the same period; the proposal to approve the Luxembourg Statutory Accounts as of and for the year ended December 31, 2017; the proposal to receive and approve the Directors' reports for the Luxembourg Statutory Accounts for the year ended December 31, 2017 and to receive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same period; the proposal to allocate the results in the Luxembourg Annual Accounts for the year ended December 31, 2017; the proposal to approve the discharge of each of the Directors of Altisource Portfolio Solutions S.A. for the performance of their mandate during the year ended December 31, 2017 and of the supervisory auditor (</w:t>
      </w:r>
      <w:r>
        <w:rPr>
          <w:rFonts w:ascii="Arial" w:cs="Arial" w:eastAsia="Arial" w:hAnsi="Arial"/>
          <w:sz w:val="16"/>
          <w:szCs w:val="16"/>
          <w:i w:val="1"/>
          <w:iCs w:val="1"/>
          <w:color w:val="auto"/>
        </w:rPr>
        <w:t>Commissaire aux</w:t>
      </w:r>
      <w:r>
        <w:rPr>
          <w:rFonts w:ascii="Arial" w:cs="Arial" w:eastAsia="Arial" w:hAnsi="Arial"/>
          <w:sz w:val="16"/>
          <w:szCs w:val="16"/>
          <w:color w:val="auto"/>
        </w:rPr>
        <w:t xml:space="preserve"> </w:t>
      </w:r>
      <w:r>
        <w:rPr>
          <w:rFonts w:ascii="Arial" w:cs="Arial" w:eastAsia="Arial" w:hAnsi="Arial"/>
          <w:sz w:val="16"/>
          <w:szCs w:val="16"/>
          <w:i w:val="1"/>
          <w:iCs w:val="1"/>
          <w:color w:val="auto"/>
        </w:rPr>
        <w:t>Comptes</w:t>
      </w:r>
      <w:r>
        <w:rPr>
          <w:rFonts w:ascii="Arial" w:cs="Arial" w:eastAsia="Arial" w:hAnsi="Arial"/>
          <w:sz w:val="16"/>
          <w:szCs w:val="16"/>
          <w:color w:val="auto"/>
        </w:rPr>
        <w:t>) for the performance of her mandate for the same period; the proposal to approve the renewal of our share repurchase program whereby Altisource</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Solutions S.A. is authorized, for a period of five years, to repurchase up to twenty-five percent (25%) of the outstanding shares of its common stock (as of the close of business on the date of the Annual Meeting) at a minimum price of one dollar ($1) per share and a maximum price of five hundred dollars ($500) per share, with the maximum price to be adjusted for any stock splits and reverse stock splits; the proposal to approve changes to non-management Directors' compensation; the advisory vote to approve the compensation of Altisource's named executive officers as disclosed in the Proxy Statement ("Say-on-Pay"); and any other matter properly submitted for your consideration at the Annual Meeting. While our Board of Directors intends to carefully consider the shareholder votes resulting from the Say-on-Pay proposal, the final vote will not be binding on us and is advisory in nature.</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Any other matter properly submitted for your consideration will be approved with such vote as required by Luxembourg law. Abstentions will not be counted in determining the votes cast in connection with the proposals in the agenda of the Annual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130175</wp:posOffset>
            </wp:positionV>
            <wp:extent cx="105918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9180"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Our Articles of Incorporation provide that our Board of Directors shall consist of no less than three (3) and no more than seven (7) members, with the exact number to be decided by our shareholders.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are proposing the six (6)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All nominees currently serve as our Directors. There are no arrangements or understandings between any nominee and any other person for selection as a nominee.</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each of our nominees for Director:</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Nomination/</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Age</w:t>
            </w:r>
            <w:r>
              <w:rPr>
                <w:rFonts w:ascii="Arial" w:cs="Arial" w:eastAsia="Arial" w:hAnsi="Arial"/>
                <w:sz w:val="27"/>
                <w:szCs w:val="27"/>
                <w:b w:val="1"/>
                <w:bCs w:val="1"/>
                <w:color w:val="auto"/>
                <w:w w:val="87"/>
                <w:vertAlign w:val="superscript"/>
              </w:rPr>
              <w:t>(1)</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Director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Executive</w:t>
            </w:r>
          </w:p>
        </w:tc>
        <w:tc>
          <w:tcPr>
            <w:tcW w:w="100" w:type="dxa"/>
            <w:vAlign w:val="bottom"/>
          </w:tcPr>
          <w:p>
            <w:pPr>
              <w:spacing w:after="0"/>
              <w:rPr>
                <w:sz w:val="16"/>
                <w:szCs w:val="16"/>
                <w:color w:val="auto"/>
              </w:rPr>
            </w:pPr>
          </w:p>
        </w:tc>
        <w:tc>
          <w:tcPr>
            <w:tcW w:w="860" w:type="dxa"/>
            <w:vAlign w:val="bottom"/>
          </w:tcPr>
          <w:p>
            <w:pPr>
              <w:ind w:left="220"/>
              <w:spacing w:after="0"/>
              <w:rPr>
                <w:sz w:val="20"/>
                <w:szCs w:val="20"/>
                <w:color w:val="auto"/>
              </w:rPr>
            </w:pPr>
            <w:r>
              <w:rPr>
                <w:rFonts w:ascii="Arial" w:cs="Arial" w:eastAsia="Arial" w:hAnsi="Arial"/>
                <w:sz w:val="16"/>
                <w:szCs w:val="16"/>
                <w:b w:val="1"/>
                <w:bCs w:val="1"/>
                <w:color w:val="auto"/>
              </w:rPr>
              <w:t>Audit</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Compensation</w:t>
            </w: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Compliance</w:t>
            </w: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Governance</w:t>
            </w:r>
          </w:p>
        </w:tc>
        <w:tc>
          <w:tcPr>
            <w:tcW w:w="0" w:type="dxa"/>
            <w:vAlign w:val="bottom"/>
          </w:tcPr>
          <w:p>
            <w:pPr>
              <w:spacing w:after="0"/>
              <w:rPr>
                <w:sz w:val="1"/>
                <w:szCs w:val="1"/>
                <w:color w:val="auto"/>
              </w:rPr>
            </w:pPr>
          </w:p>
        </w:tc>
      </w:tr>
      <w:tr>
        <w:trPr>
          <w:trHeight w:val="207"/>
        </w:trPr>
        <w:tc>
          <w:tcPr>
            <w:tcW w:w="2460" w:type="dxa"/>
            <w:vAlign w:val="bottom"/>
          </w:tcPr>
          <w:p>
            <w:pPr>
              <w:ind w:left="10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Since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10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Committee</w:t>
            </w: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Committee</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Committee</w:t>
            </w: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220"/>
        </w:trPr>
        <w:tc>
          <w:tcPr>
            <w:tcW w:w="2460" w:type="dxa"/>
            <w:vAlign w:val="bottom"/>
            <w:tcBorders>
              <w:top w:val="single" w:sz="8" w:color="auto"/>
            </w:tcBorders>
            <w:shd w:val="clear" w:color="auto" w:fill="CCEEFF"/>
          </w:tcPr>
          <w:p>
            <w:pPr>
              <w:spacing w:after="0" w:line="220" w:lineRule="exact"/>
              <w:rPr>
                <w:sz w:val="20"/>
                <w:szCs w:val="20"/>
                <w:color w:val="auto"/>
              </w:rPr>
            </w:pPr>
            <w:r>
              <w:rPr>
                <w:rFonts w:ascii="Arial" w:cs="Arial" w:eastAsia="Arial" w:hAnsi="Arial"/>
                <w:sz w:val="15"/>
                <w:szCs w:val="15"/>
                <w:color w:val="auto"/>
              </w:rPr>
              <w:t>Timo Vättö</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60"/>
              <w:spacing w:after="0" w:line="220"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0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520"/>
              <w:spacing w:after="0" w:line="220"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0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Orin S. Kramer</w:t>
            </w:r>
          </w:p>
        </w:tc>
        <w:tc>
          <w:tcPr>
            <w:tcW w:w="580" w:type="dxa"/>
            <w:vAlign w:val="bottom"/>
            <w:gridSpan w:val="2"/>
          </w:tcPr>
          <w:p>
            <w:pPr>
              <w:jc w:val="center"/>
              <w:ind w:left="38"/>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X</w:t>
            </w: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W. Michael Linn</w:t>
            </w:r>
          </w:p>
        </w:tc>
        <w:tc>
          <w:tcPr>
            <w:tcW w:w="580" w:type="dxa"/>
            <w:vAlign w:val="bottom"/>
            <w:gridSpan w:val="2"/>
            <w:shd w:val="clear" w:color="auto" w:fill="CCEEFF"/>
          </w:tcPr>
          <w:p>
            <w:pPr>
              <w:jc w:val="center"/>
              <w:ind w:left="38"/>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00"/>
              <w:spacing w:after="0" w:line="227"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(3)</w:t>
            </w:r>
          </w:p>
        </w:tc>
        <w:tc>
          <w:tcPr>
            <w:tcW w:w="1180" w:type="dxa"/>
            <w:vAlign w:val="bottom"/>
            <w:gridSpan w:val="2"/>
            <w:shd w:val="clear" w:color="auto" w:fill="CCEEFF"/>
          </w:tcPr>
          <w:p>
            <w:pPr>
              <w:ind w:left="420"/>
              <w:spacing w:after="0" w:line="227"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6"/>
                <w:szCs w:val="16"/>
                <w:color w:val="auto"/>
              </w:rPr>
              <w:t>Joseph L. Morettini</w:t>
            </w:r>
          </w:p>
        </w:tc>
        <w:tc>
          <w:tcPr>
            <w:tcW w:w="580" w:type="dxa"/>
            <w:vAlign w:val="bottom"/>
            <w:gridSpan w:val="2"/>
          </w:tcPr>
          <w:p>
            <w:pPr>
              <w:jc w:val="center"/>
              <w:ind w:left="38"/>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ind w:left="360"/>
              <w:spacing w:after="0" w:line="227"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400"/>
              <w:spacing w:after="0" w:line="227"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(4)</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Roland Müller-Ineichen</w:t>
            </w:r>
          </w:p>
        </w:tc>
        <w:tc>
          <w:tcPr>
            <w:tcW w:w="580" w:type="dxa"/>
            <w:vAlign w:val="bottom"/>
            <w:gridSpan w:val="2"/>
            <w:shd w:val="clear" w:color="auto" w:fill="CCEEFF"/>
          </w:tcPr>
          <w:p>
            <w:pPr>
              <w:jc w:val="center"/>
              <w:ind w:left="38"/>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360"/>
              <w:spacing w:after="0" w:line="227" w:lineRule="exact"/>
              <w:rPr>
                <w:sz w:val="20"/>
                <w:szCs w:val="20"/>
                <w:color w:val="auto"/>
              </w:rPr>
            </w:pPr>
            <w:r>
              <w:rPr>
                <w:rFonts w:ascii="Arial" w:cs="Arial" w:eastAsia="Arial" w:hAnsi="Arial"/>
                <w:sz w:val="26"/>
                <w:szCs w:val="26"/>
                <w:color w:val="auto"/>
                <w:vertAlign w:val="subscript"/>
              </w:rPr>
              <w:t>X</w:t>
            </w:r>
            <w:r>
              <w:rPr>
                <w:rFonts w:ascii="Arial" w:cs="Arial" w:eastAsia="Arial" w:hAnsi="Arial"/>
                <w:sz w:val="12"/>
                <w:szCs w:val="12"/>
                <w:color w:val="auto"/>
              </w:rPr>
              <w:t>(3)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X</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460" w:type="dxa"/>
            <w:vAlign w:val="bottom"/>
          </w:tcPr>
          <w:p>
            <w:pPr>
              <w:spacing w:after="0"/>
              <w:rPr>
                <w:sz w:val="20"/>
                <w:szCs w:val="20"/>
                <w:color w:val="auto"/>
              </w:rPr>
            </w:pPr>
            <w:r>
              <w:rPr>
                <w:rFonts w:ascii="Arial" w:cs="Arial" w:eastAsia="Arial" w:hAnsi="Arial"/>
                <w:sz w:val="16"/>
                <w:szCs w:val="16"/>
                <w:color w:val="auto"/>
              </w:rPr>
              <w:t>William B. Shepro</w:t>
            </w:r>
          </w:p>
        </w:tc>
        <w:tc>
          <w:tcPr>
            <w:tcW w:w="580" w:type="dxa"/>
            <w:vAlign w:val="bottom"/>
            <w:gridSpan w:val="2"/>
          </w:tcPr>
          <w:p>
            <w:pPr>
              <w:jc w:val="center"/>
              <w:ind w:left="38"/>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40" w:hanging="496"/>
        <w:spacing w:after="0"/>
        <w:tabs>
          <w:tab w:leader="none" w:pos="16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As of March 21, 2018</w:t>
      </w:r>
    </w:p>
    <w:p>
      <w:pPr>
        <w:spacing w:after="0" w:line="5" w:lineRule="exact"/>
        <w:rPr>
          <w:rFonts w:ascii="Arial" w:cs="Arial" w:eastAsia="Arial" w:hAnsi="Arial"/>
          <w:sz w:val="27"/>
          <w:szCs w:val="27"/>
          <w:color w:val="auto"/>
          <w:vertAlign w:val="superscript"/>
        </w:rPr>
      </w:pPr>
    </w:p>
    <w:p>
      <w:pPr>
        <w:ind w:left="1640" w:hanging="496"/>
        <w:spacing w:after="0" w:line="188" w:lineRule="auto"/>
        <w:tabs>
          <w:tab w:leader="none" w:pos="16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Chairman of the Board of Directors</w:t>
      </w:r>
    </w:p>
    <w:p>
      <w:pPr>
        <w:ind w:left="1640" w:hanging="496"/>
        <w:spacing w:after="0" w:line="188" w:lineRule="auto"/>
        <w:tabs>
          <w:tab w:leader="none" w:pos="164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Committee Chairman for 2017</w:t>
      </w:r>
    </w:p>
    <w:p>
      <w:pPr>
        <w:ind w:left="1640" w:hanging="496"/>
        <w:spacing w:after="0" w:line="186" w:lineRule="auto"/>
        <w:tabs>
          <w:tab w:leader="none" w:pos="164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Committee member effective May 17, 2017, the date of his initial election of the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principal occupation for the last five (5) years and additional biographical information of each nominee for Director are set forth below.</w:t>
      </w:r>
    </w:p>
    <w:p>
      <w:pPr>
        <w:spacing w:after="0" w:line="208"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All nominees for Director bring a wealth of leadership experience derived from their service in executive and managerial roles as well as extensive board experience.</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Timo Vättö. </w:t>
      </w:r>
      <w:r>
        <w:rPr>
          <w:rFonts w:ascii="Arial" w:cs="Arial" w:eastAsia="Arial" w:hAnsi="Arial"/>
          <w:sz w:val="16"/>
          <w:szCs w:val="16"/>
          <w:color w:val="auto"/>
        </w:rPr>
        <w:t>Mr. Vättö was appointed to the Board of Directors of Altisource in August 2009, as Lead Independent Director in May 2014 and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in January 2015. He is the founder and owner of Cundo Management AG, a provider of independent corporate advisory services, which was founded in November 2008. Mr. Vättö serves as Chairman of the Board of Directors of Evalueserve Ltd, a privately held global professional services provider offering research, analytics and data management services. He also serves on the Board of Directors of IHAG Holding AG, a family-owned company that holds a diversified portfolio of majority and minority shareholdings in a variety of sectors, on the Board of Directors of Rettig Group, a privately held investment company, and as Chairman of the Board of Directors of KYC Exchange Net AG, a privately held company that provides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130175</wp:posOffset>
            </wp:positionV>
            <wp:extent cx="1059180"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918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Committee, of Citibank (Switzerland) AG, part of Citigroup's Wealth Management Business. Mr. Vättö holds a Master of Science in Economics and Business Administration from the University of Tampere in Finland.</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Mr. Vättö's experience with Cundo Management AG and Citigroup makes him financially literate and qualifies him as a financial expert as defined by NASDAQ listing standards and SEC rules, and his knowledge of the financial services industry provides the Board of Directors with subject matter expertise. Through his eight plus years of service on our Board of Directors, Mr. Vättö has developed a thorough understanding of our business and industry.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 xml:space="preserve">Orin S. Kramer. </w:t>
      </w:r>
      <w:r>
        <w:rPr>
          <w:rFonts w:ascii="Arial" w:cs="Arial" w:eastAsia="Arial" w:hAnsi="Arial"/>
          <w:sz w:val="16"/>
          <w:szCs w:val="16"/>
          <w:color w:val="auto"/>
        </w:rPr>
        <w:t>Mr. Kramer was appointed to the Board of Directors of Altisource in August 2016. Mr. Kramer manages Boston Provident, L.P., a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 founded in 1992. He has served as Chairman of the New Jersey State Investment Council from 2002 to 2010, Chairman of the Robert F. Kennedy Center from 2009 to 2013, and in his region as Chairman of the Community Chest from 1998 to 2007. Mr. Kramer serves on the Board of the National Park Foundation and on the Board of the Climate Reality Project, chaired by former Vice President Gore, since 2004. Mr. Kramer has also served on the boards of a number of financial services firms, both public and private.</w:t>
      </w:r>
    </w:p>
    <w:p>
      <w:pPr>
        <w:spacing w:after="0" w:line="185"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2011, Mr. Kramer was appointed to the New York State Council of Economic and Fiscal Advisors by Governor Cuomo. In 2007, he was appointed by the Pennsylvania State Treasurer as a member of the 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19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 from Columbia Law School.</w:t>
      </w:r>
    </w:p>
    <w:p>
      <w:pPr>
        <w:spacing w:after="0" w:line="188"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Mr. Kramer has over thirty-five years of experience in various public sector roles in the financial services industry. With his extensive experience in business advisory services and investment activity and his deep knowledge of the financial services industry, Mr. Kramer offers both financial expertise and a valuable perspective on government, regulation and risk management.</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Directors of Altisource in May 2011. Mr. Linn also serves as a Board member of Panua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Hope, a charitable 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Financial Corporation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130175</wp:posOffset>
            </wp:positionV>
            <wp:extent cx="1059180" cy="152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918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defined by NASDAQ listing standards and SEC rules. Through his six plus years of service on our Board of Directors, Mr. Linn has developed a thorough understanding of our business and industry.</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b w:val="1"/>
          <w:bCs w:val="1"/>
          <w:i w:val="1"/>
          <w:iCs w:val="1"/>
          <w:color w:val="auto"/>
        </w:rPr>
        <w:t xml:space="preserve">Joseph L. Morettini. </w:t>
      </w:r>
      <w:r>
        <w:rPr>
          <w:rFonts w:ascii="Arial" w:cs="Arial" w:eastAsia="Arial" w:hAnsi="Arial"/>
          <w:sz w:val="16"/>
          <w:szCs w:val="16"/>
          <w:color w:val="auto"/>
        </w:rPr>
        <w:t>Mr. Morettini was appointed to the Board of Directors of Altisource in May 2017. Mr. Morettini served as Partner of Deloitte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Bank 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trading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eight plus years of service on our Board of Directors, Mr. Müller-Ineichen has developed a thorough understanding of our business and industry.</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President and Chief Operating Officer of Ocwen Solutions, a business unit of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130175</wp:posOffset>
            </wp:positionV>
            <wp:extent cx="1059180" cy="152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918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of Altisource's subsidiaries. He holds a Bachelor of Science in Business from Skidmore College and a Juris Doctor from the Florida State University College of Law.</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Shepro's day-to-day leadership and intimate knowledge of our business and operations provide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354"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THAT YOU VOTE "FOR" EACH OF THE NOMINEES FOR DIRECTOR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2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Board of Directors met thirteen (13) times in 2017. The average attendance of all incumbent Directors at Board and Committee meetings in 2017 was ninety-eight percent (98%), and each Director attended at least seventy-five percent (75%) of the total number of meetings of the Board and the Committees on which they served.</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Although we do not have a formal policy regarding Director attendance at our annual meetings of shareholders, our Directors generally attend. All of our director nominees for 2017 attended our 2017 annual meeting of shareholders, except Mr. Kramer who was unable to attend due to a personal matter.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Our Corporate Governance Guidelines provide that a majority of our Directors must qualify as independent Directors under NASDAQ listing standards and applicable law.</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78" w:lineRule="exact"/>
        <w:rPr>
          <w:sz w:val="20"/>
          <w:szCs w:val="20"/>
          <w:color w:val="auto"/>
        </w:rPr>
      </w:pPr>
    </w:p>
    <w:p>
      <w:pPr>
        <w:ind w:right="740"/>
        <w:spacing w:after="0" w:line="263" w:lineRule="auto"/>
        <w:rPr>
          <w:sz w:val="20"/>
          <w:szCs w:val="20"/>
          <w:color w:val="auto"/>
        </w:rPr>
      </w:pPr>
      <w:r>
        <w:rPr>
          <w:rFonts w:ascii="Arial" w:cs="Arial" w:eastAsia="Arial" w:hAnsi="Arial"/>
          <w:sz w:val="16"/>
          <w:szCs w:val="16"/>
          <w:color w:val="auto"/>
        </w:rPr>
        <w:t>Our Corporate Governance Guidelines also provide that the Board may appoint a lead independent director unless the Chairman of the Board is an independent director. Mr. Vättö, an independent Director, is the Chairman and, as a result, we do not currently have a lead independent director.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Independent Directors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Directors met in executive session of the Board of Directors without management five (5) times in 2017.</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2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Board of Directors currently believes that separating the positions of Chief Executive Officer and Chairman is the appropriate structure for the Company's needs. The Board periodically reviews the leadership structure and may make changes in the future as it deems to be in the best interests of the Company and our shareholders at such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 We currently believe that the leadership structure now in place appropriately serves the Board's ability to carry out its roles and responsibilities on behalf of the shareholders and allows the Chief Executive Officer to focus his time and energy on operating and managing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2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certified public accounting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certified auditor;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in which a "Related Person" (as defined by SEC Regulation S-K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 The Audit Committee is also empowered to retain, at the Company's expense, such independent counsel or other advisors as it deems necessary in connection with its responsibilities.</w:t>
      </w:r>
    </w:p>
    <w:p>
      <w:pPr>
        <w:spacing w:after="0" w:line="38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members of the Audit Committee for 2017 were Messrs. Müller-Ineichen, Morettini,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2018. The Audit Committee met fourteen (14) times and took action pursuant to written consent two (2) times in 2017. The Audit Committee met in executive session with both the Company's internal and external auditors five (5) times, solely with the Company's internal auditors three (3) times and solely with the Company's external auditors five (5) times in 2017.</w:t>
      </w:r>
    </w:p>
    <w:p>
      <w:pPr>
        <w:spacing w:after="0" w:line="168" w:lineRule="exact"/>
        <w:rPr>
          <w:sz w:val="20"/>
          <w:szCs w:val="20"/>
          <w:color w:val="auto"/>
        </w:rPr>
      </w:pPr>
    </w:p>
    <w:p>
      <w:pPr>
        <w:jc w:val="both"/>
        <w:ind w:right="640"/>
        <w:spacing w:after="0" w:line="26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practices. Our Compensation Committee also evaluates and makes recommendations to our Board of Directors for compensation and other human resources matters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the 2009 Equity Incentive Plan.</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2017, our Compensation Committee engaged Exequity to conduct a peer group analysis, review the compensation levels for Directors and executive officers and review the design of awards granted pursuant to our Long-Term Incentive Plan for our executive officers and other key employees. Please see "Role of Compensation Consultant" in our Compensation Discussion and Analysis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Compensation Committee during 2017 were Messrs. Vättö, Müller-Ineichen and Kramer, with Mr. Vättö serving as the Chairman.</w:t>
      </w:r>
    </w:p>
    <w:p>
      <w:pPr>
        <w:spacing w:after="0" w:line="20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2018. The Compensation Committee met eight (8) times in 2017.</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 officer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of the Company, and no member has nor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2017 fiscal year.</w:t>
      </w:r>
    </w:p>
    <w:p>
      <w:pPr>
        <w:spacing w:after="0" w:line="16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with the development, monitoring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 of the Company's compliance function, including its compliance management system, and the Company's compliance with applicable laws, rules and regulations governing its businesses. The Compliance Committee performs such other duties as may be prescribed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pursuant to its charter. The members of the Compliance Committee for 2017 were Messrs. Linn, Morettini, Müller-Ineichen and Kramer, with Mr. Linn serving as the Chairman. Each member of the Compliance Committee is independent as defined by NASDAQ listing standards.</w:t>
      </w:r>
    </w:p>
    <w:p>
      <w:pPr>
        <w:spacing w:after="0" w:line="17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2018. The Compliance Committee met five (5) times in 2017.</w:t>
      </w:r>
    </w:p>
    <w:p>
      <w:pPr>
        <w:spacing w:after="0" w:line="168"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85"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The members of the Nomination/Governance Committee during 2017 were Messrs. Linn, Vättö and Kramer, with Mr. Linn serving as the Chairman. Each member of the Nomination/Governance Committee is independent as defined by NASDAQ listing standards.</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2018. The Nomination/Governance Committee met five (5) times in 2017.</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 origin, cultural background, disability, religion and sexual orientation. In February 2018, the Board of Directors amended our Board Diversity Policy to further emphasize the Company's commitment to diversity in connection with appointments to the Board. The Nomination/Governance Committee assesses the effectiveness of our Board Diversity Policy as part of its annual review of Board composition and considers the results of this assessment when evaluating director nominees. Our Board Diversity Policy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w:t>
      </w:r>
    </w:p>
    <w:p>
      <w:pPr>
        <w:spacing w:after="0" w:line="188" w:lineRule="exact"/>
        <w:rPr>
          <w:sz w:val="20"/>
          <w:szCs w:val="20"/>
          <w:color w:val="auto"/>
        </w:rPr>
      </w:pPr>
    </w:p>
    <w:p>
      <w:pPr>
        <w:ind w:right="480"/>
        <w:spacing w:after="0" w:line="255" w:lineRule="auto"/>
        <w:rPr>
          <w:sz w:val="20"/>
          <w:szCs w:val="20"/>
          <w:color w:val="auto"/>
        </w:rPr>
      </w:pPr>
      <w:r>
        <w:rPr>
          <w:rFonts w:ascii="Arial" w:cs="Arial" w:eastAsia="Arial" w:hAnsi="Arial"/>
          <w:sz w:val="16"/>
          <w:szCs w:val="16"/>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laws, regulations and Nasdaq listing standards, (iii) the balance of management and independent Directors, (iv) the need for Audit Committee expertise and (v) the evaluation of other prospective nominees.</w:t>
      </w:r>
    </w:p>
    <w:p>
      <w:pPr>
        <w:spacing w:after="0" w:line="17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8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To date, we have not received any shareholder proposals relating to Director nominees for the Annual Meeting. Please see the "Shareholder Proposals" section for additional information regarding shareholder proposals.</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February 2017, in conducting its annual assessment of the size and makeup of our Board of Directors, our Nomination/Governance Committee determined to add an additional Board member. Therefore, following the recommendation of the Nomination/Governance Committee, the Board of Directors nominated Mr. Joseph L. Morettini for election at the 2017 annual meeting of shareholders. Mr. Morettini was elected to the Board by our shareholders on May 17, 2017 and the size of the Board was increased to six (6) Directors. In selecting Mr. Morettini to serve on our Board, the Board determined that his qualifications, experience and abilities would bring valuable insights to our Board. With two new Directors on-boarding in the last two years, our Board's composition represents a balanced approach to Director tenure, allowing the Board to benefit from the experience of longer-serving Directors combined with fresh perspectives from newer Directors.</w:t>
      </w:r>
    </w:p>
    <w:p>
      <w:pPr>
        <w:spacing w:after="0" w:line="379"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In the first quarter of 2018, the Nomination/Governance Committee reviewed the size and makeup of our Board of Directors and determined that the current Board composition was appropriate and that the current Directors should be re-nominated for election at the Annual Meeting.</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and to otherwise assist the Board in handling matters that, in the opinion of the Chairman of the Board, should not be postponed until the next scheduled meeting of the Board. The members of the Executive Committee during 2017 were Messrs. Vättö and Shepro, with Mr. Vättö serving as the Chairman.</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Our Executive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2018. The Executive Committee took no formal actions in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228"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The Corporate Governance Guidelines adopted by our Board of Directors provide guidelines for effective corporate governance and to promote the effective functioning of the Board and its Committees.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Corporate Governance Guidelines cover topics such as Director qualification standards, Board of Directors and committee composition, Director responsibilities, minimum stock ownership requirements for our non-management Directors and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2018. Our Corporate Governance Guidelines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governance policies and practices that serve the interests of the Company and its shareholders in accordance with Luxembourg law.</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some of our policies and practices that provide rights to our shareholders:</w:t>
      </w:r>
    </w:p>
    <w:p>
      <w:pPr>
        <w:spacing w:after="0" w:line="192" w:lineRule="exact"/>
        <w:rPr>
          <w:sz w:val="20"/>
          <w:szCs w:val="20"/>
          <w:color w:val="auto"/>
        </w:rPr>
      </w:pPr>
    </w:p>
    <w:p>
      <w:pPr>
        <w:ind w:left="1020" w:hanging="51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Majority Voting: </w:t>
      </w:r>
      <w:r>
        <w:rPr>
          <w:rFonts w:ascii="Arial" w:cs="Arial" w:eastAsia="Arial" w:hAnsi="Arial"/>
          <w:sz w:val="16"/>
          <w:szCs w:val="16"/>
          <w:color w:val="auto"/>
        </w:rPr>
        <w:t>Directors are elected by the majority of votes cast.</w:t>
      </w:r>
    </w:p>
    <w:p>
      <w:pPr>
        <w:spacing w:after="0" w:line="28" w:lineRule="exact"/>
        <w:rPr>
          <w:rFonts w:ascii="Arial" w:cs="Arial" w:eastAsia="Arial" w:hAnsi="Arial"/>
          <w:sz w:val="16"/>
          <w:szCs w:val="16"/>
          <w:color w:val="auto"/>
        </w:rPr>
      </w:pPr>
    </w:p>
    <w:p>
      <w:pPr>
        <w:ind w:left="1020" w:hanging="51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Annual Elections: </w:t>
      </w:r>
      <w:r>
        <w:rPr>
          <w:rFonts w:ascii="Arial" w:cs="Arial" w:eastAsia="Arial" w:hAnsi="Arial"/>
          <w:sz w:val="16"/>
          <w:szCs w:val="16"/>
          <w:color w:val="auto"/>
        </w:rPr>
        <w:t>All Directors are elected annually. Altisource does not have a staggered board.</w:t>
      </w:r>
    </w:p>
    <w:p>
      <w:pPr>
        <w:spacing w:after="0" w:line="11" w:lineRule="exact"/>
        <w:rPr>
          <w:rFonts w:ascii="Arial" w:cs="Arial" w:eastAsia="Arial" w:hAnsi="Arial"/>
          <w:sz w:val="16"/>
          <w:szCs w:val="16"/>
          <w:color w:val="auto"/>
        </w:rPr>
      </w:pPr>
    </w:p>
    <w:p>
      <w:pPr>
        <w:ind w:left="1020" w:right="20" w:hanging="513"/>
        <w:spacing w:after="0" w:line="247"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Proposals: </w:t>
      </w:r>
      <w:r>
        <w:rPr>
          <w:rFonts w:ascii="Arial" w:cs="Arial" w:eastAsia="Arial" w:hAnsi="Arial"/>
          <w:sz w:val="16"/>
          <w:szCs w:val="16"/>
          <w:color w:val="auto"/>
        </w:rPr>
        <w:t>Shareholders representing individually or jointly at least ten percent (10%) of the Company's share capital are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nominate candidates for election to the Altisource Board and make other proposals for inclusion in the proxy statement, subject to completing certain formalities. Please see the "Shareholder Proposals" section for additional information.</w:t>
      </w:r>
    </w:p>
    <w:p>
      <w:pPr>
        <w:ind w:left="1020" w:right="100" w:hanging="513"/>
        <w:spacing w:after="0" w:line="251"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A special meeting of shareholders may be called at any time by the holders of at least ten percent (10%)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entitled to be voted at such meeting.</w:t>
      </w:r>
    </w:p>
    <w:p>
      <w:pPr>
        <w:spacing w:after="0" w:line="1" w:lineRule="exact"/>
        <w:rPr>
          <w:rFonts w:ascii="Arial" w:cs="Arial" w:eastAsia="Arial" w:hAnsi="Arial"/>
          <w:sz w:val="16"/>
          <w:szCs w:val="16"/>
          <w:color w:val="auto"/>
        </w:rPr>
      </w:pPr>
    </w:p>
    <w:p>
      <w:pPr>
        <w:ind w:left="1020" w:hanging="51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 Shareholder Rights Plan: </w:t>
      </w:r>
      <w:r>
        <w:rPr>
          <w:rFonts w:ascii="Arial" w:cs="Arial" w:eastAsia="Arial" w:hAnsi="Arial"/>
          <w:sz w:val="16"/>
          <w:szCs w:val="16"/>
          <w:color w:val="auto"/>
        </w:rPr>
        <w:t>Altisource does not maintain a shareholder rights plan (sometimes called a "poison pill").</w:t>
      </w:r>
    </w:p>
    <w:p>
      <w:pPr>
        <w:spacing w:after="0" w:line="213" w:lineRule="exact"/>
        <w:rPr>
          <w:sz w:val="20"/>
          <w:szCs w:val="20"/>
          <w:color w:val="auto"/>
        </w:rPr>
      </w:pPr>
    </w:p>
    <w:p>
      <w:pPr>
        <w:ind w:right="680"/>
        <w:spacing w:after="0" w:line="263" w:lineRule="auto"/>
        <w:rPr>
          <w:sz w:val="20"/>
          <w:szCs w:val="20"/>
          <w:color w:val="auto"/>
        </w:rPr>
      </w:pPr>
      <w:r>
        <w:rPr>
          <w:rFonts w:ascii="Arial" w:cs="Arial" w:eastAsia="Arial" w:hAnsi="Arial"/>
          <w:sz w:val="16"/>
          <w:szCs w:val="16"/>
          <w:color w:val="auto"/>
        </w:rPr>
        <w:t>The Board of Directors and its Committees monitor developments in governance best practices to assure that it continues to meet its commitment to represent shareholder interests.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2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Engagement with our shareholders helps us gain useful feedback on a wide variety of topics, including corporate governance, compensation practices, Board diversity, capital structure, business performance and the operation of the Company. This feedback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Altisource interacts and communicates with shareholders in a number of forums, including quarterly earnings presentations, SEC filings, investor conferences and press releases. In addition, Altisource has a practice of directly engaging with shareholders by phone or in person throughout the year to obtain their input. Such discussions typically include our Chief Executive Officer, our Chief Financial Officer and/or the Chairman of the Board of Directors. In 2017 and in the early part of 2018, we had discussions with shareholders collectively owning more than a majority of our issued and outstanding shares regarding, among other topics, strategy and financial results.</w:t>
      </w:r>
    </w:p>
    <w:p>
      <w:pPr>
        <w:spacing w:after="0" w:line="188"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 xml:space="preserve">Shareholder feedback is thoughtfully considered and has led to modifications in our governance practices and disclosures. At the 2017 annual meeting of shareholders, the Board recommended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after considering feedback from shareholders and that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enables our shareholders to provide timely input on executive compensation matters. In February 2018, in line 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the Board's longstanding view and based in part on shareholder encouragement, we amended our Board Diversity Policy to further emphasize our commitment to diversity, and disclosed this policy on our website. In addition, the Nomination/Governance Committee has taken steps to establish a more diverse pool of director candidates as part of its ongoing succession planning process.</w:t>
      </w:r>
    </w:p>
    <w:p>
      <w:pPr>
        <w:spacing w:after="0" w:line="18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corporate.secretary@altisource.lu. Relevant communications received in writing are distributed to our Board of Directors or to individual Directors, as appropriate, depending on the facts and circumstances outlined in the communication received.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2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Executive Vice President, Finance and Chief Accounting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2018.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or otherwise disclosed in accordance with such rules.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Oversight Process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its Committees play a key role in the oversight of the Company's risk management.</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90"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 compliance, reputational, technology, privacy, data security (including cybersecurity), strategic and other risks that could adversely affect our business.</w:t>
      </w:r>
    </w:p>
    <w:p>
      <w:pPr>
        <w:spacing w:after="0" w:line="18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130175</wp:posOffset>
            </wp:positionV>
            <wp:extent cx="3114040" cy="152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404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37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role of the Board of Directors in risk oversight is consistent with the Company's leadership structure, with the Chief Executive Officer, Chief Administration and Risk Officer and other members of management having responsibility for assessing and managing the Company's risk exposure, and our Chairman, the Board of Directors and its Committees providing oversight of the management of these risks.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 and Sustainability</w:t>
      </w:r>
    </w:p>
    <w:p>
      <w:pPr>
        <w:spacing w:after="0" w:line="22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88"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2017, Altisource employees dedicated over 4,400 hours to community-service activities, which is approximately twice the number of hours dedicated in 2016. These activities included helping to build or renovate homes in nine U.S. metropolitan areas as part of the Company's alliance with Habitat, participating in the building of homes, schools and sanitation infrastructure in India, helping to create shelter for low-income families in Uruguay and repainting an elementary school in the Philippines. The Company also donated over $700,000 in support of activities including home-building in the U.S., India and Uruguay and assistance in Texas, Florida and the United States Virgin Islands following the 2017 hurricanes that affected those areas.</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color w:val="auto"/>
        </w:rPr>
        <w:t>In addition, in 2017, Altisource's Corporate Responsibility program began studying how to expand the Company's sustainability efforts, including waste reduction and energy efficiency, and developing a framework for reporting on these efforts. We currently anticipate finalizing this framework in 2018.</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provides oversight of our Corporate Responsibility program and receives regular updates on the effectiveness of this program.</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Arrangements for Non-Management Directors</w:t>
      </w:r>
    </w:p>
    <w:p>
      <w:pPr>
        <w:spacing w:after="0" w:line="228"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of $110,000, as approved by our shareholders at our 2016 annual meeting. We determine the number of shares to be granted by dividing the award value by the average of the high and low prices of our common stock as reported on the NASDAQ Global Select Market on the first day of the service year.</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For the 2016 to 2017 service year, all of our non-management Directors attended at least seventy-five percent (75%) of all meetings of the Board of Directors and Committees on which they served and all of the non-management Directors who served as Directors during the service year, other than Mr. Kramer, received an award of 4,126 shares of our common stock at the end of the service year based on an award value of $110,000. For the 2016 to 2017 service year, Mr. Kramer, having served on the Board of Directors less than a full service year, received 2,627 shares based on an award value of $81,972 ($110,000 prorated to his election date). Mr. Morettini did not receive a service award for the 2016 to 2017 service year, having been elected to the Board beginning in the 2017 to 2018 service year.</w:t>
      </w:r>
    </w:p>
    <w:p>
      <w:pPr>
        <w:spacing w:after="0" w:line="19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For the 2017 to 2018 service year, our non-management Directors who have served on the Board of Directors for the full service year and have attended at least seventy-five percent (75%) of all meetings of the Board of Directors and Committees on which they serve will receive 5,762 shares of our common stock at the end of the service year, based on an award value of $110,000 divided by the average of the high and low prices of the common stock as reported on the NASDAQ Global Select Market on the first day of the 2017 to 2018 service year.</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in line with our philosophy that the interests of our Directors should be aligned with those of our shareholders, new non-management Directors are granted a one-time award of 500 shares of common stock, which are scheduled to vest in four equal installments, with the initial portion vesting on the date of the annual meeting following the award and vesting continuing on the dates of the next three (3) annual meetings. Accordingly, on the date of our 2017 annual meeting, Mr. Morettini received a one-time award of 500 shares of common stock which will vest in four equal installments each year on the date of our annual meeting, subject to his continued service on the Board.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Each non-management member of our Board of Directors also receives the following annual cash compensation, in quarterly installments:</w:t>
      </w:r>
    </w:p>
    <w:p>
      <w:pPr>
        <w:spacing w:after="0" w:line="208" w:lineRule="exact"/>
        <w:rPr>
          <w:sz w:val="20"/>
          <w:szCs w:val="20"/>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retainer of $54,000;</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$100,000 to the Chairman of the Board of Directors;</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$25,000 to the Audit Committee Chairman;</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$17,500 to the Compliance Committee Chairman;</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$15,000 to the Compensation Committee Chairman;</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$12,500 to the Nomination/Governance Committee Chairman;</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additional $10,000 to all Audit Committee members (other than the Audit Committee Chairman);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130175</wp:posOffset>
            </wp:positionV>
            <wp:extent cx="2247265" cy="152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726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hanging="51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$10,000 to all Compliance Committee members (other than the Compliance Committee chairman);</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$7,500 to all Compensation Committee members (other than the Compensation Committee Chairman); and</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additional $5,000 to all Nomination/Governance Committee members (other than the Nomination/Governance Committee Chairman)</w:t>
      </w:r>
    </w:p>
    <w:p>
      <w:pPr>
        <w:spacing w:after="0" w:line="20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The Company also pays for, or reimburses our Directors for, their reasonable travel, lodging, food and other expenses related to their attendance at Board, Committee or shareholder meetings or other corporate functions.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Non-Management Director Compensation for 2017</w:t>
      </w:r>
    </w:p>
    <w:p>
      <w:pPr>
        <w:spacing w:after="0" w:line="22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following table summarizes (i) cash compensation earned by each non-management member of our Board of Directors who served as a Director during 2017, (ii) stock awards made to our non-management Directors in 2017 for their service in the 2016 to 2017 service year and (iii) any other compensation received in 2017. Our management Director does not receive an annual retainer or any other compensation for his service on the Board of Directors.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Fees Earned</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6"/>
              </w:rPr>
              <w:t>Stock Awards</w:t>
            </w:r>
            <w:r>
              <w:rPr>
                <w:rFonts w:ascii="Arial" w:cs="Arial" w:eastAsia="Arial" w:hAnsi="Arial"/>
                <w:sz w:val="27"/>
                <w:szCs w:val="27"/>
                <w:b w:val="1"/>
                <w:bCs w:val="1"/>
                <w:color w:val="auto"/>
                <w:w w:val="96"/>
                <w:vertAlign w:val="superscript"/>
              </w:rPr>
              <w:t>(2)</w:t>
            </w: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Other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20" w:type="dxa"/>
            <w:vAlign w:val="bottom"/>
          </w:tcPr>
          <w:p>
            <w:pPr>
              <w:ind w:left="680"/>
              <w:spacing w:after="0"/>
              <w:rPr>
                <w:sz w:val="20"/>
                <w:szCs w:val="20"/>
                <w:color w:val="auto"/>
              </w:rPr>
            </w:pPr>
            <w:r>
              <w:rPr>
                <w:rFonts w:ascii="Arial" w:cs="Arial" w:eastAsia="Arial" w:hAnsi="Arial"/>
                <w:sz w:val="16"/>
                <w:szCs w:val="16"/>
                <w:b w:val="1"/>
                <w:bCs w:val="1"/>
                <w:color w:val="auto"/>
              </w:rPr>
              <w:t>Name</w:t>
            </w:r>
          </w:p>
        </w:tc>
        <w:tc>
          <w:tcPr>
            <w:tcW w:w="2160" w:type="dxa"/>
            <w:vAlign w:val="bottom"/>
          </w:tcPr>
          <w:p>
            <w:pPr>
              <w:spacing w:after="0"/>
              <w:rPr>
                <w:sz w:val="19"/>
                <w:szCs w:val="19"/>
                <w:color w:val="auto"/>
              </w:rPr>
            </w:pPr>
          </w:p>
        </w:tc>
        <w:tc>
          <w:tcPr>
            <w:tcW w:w="1560" w:type="dxa"/>
            <w:vAlign w:val="bottom"/>
            <w:gridSpan w:val="2"/>
          </w:tcPr>
          <w:p>
            <w:pPr>
              <w:jc w:val="center"/>
              <w:ind w:right="200"/>
              <w:spacing w:after="0" w:line="227" w:lineRule="exact"/>
              <w:rPr>
                <w:sz w:val="20"/>
                <w:szCs w:val="20"/>
                <w:color w:val="auto"/>
              </w:rPr>
            </w:pPr>
            <w:r>
              <w:rPr>
                <w:rFonts w:ascii="Arial" w:cs="Arial" w:eastAsia="Arial" w:hAnsi="Arial"/>
                <w:sz w:val="16"/>
                <w:szCs w:val="16"/>
                <w:b w:val="1"/>
                <w:bCs w:val="1"/>
                <w:color w:val="auto"/>
                <w:w w:val="98"/>
              </w:rPr>
              <w:t>or Paid in Cash</w:t>
            </w:r>
            <w:r>
              <w:rPr>
                <w:rFonts w:ascii="Arial" w:cs="Arial" w:eastAsia="Arial" w:hAnsi="Arial"/>
                <w:sz w:val="26"/>
                <w:szCs w:val="26"/>
                <w:b w:val="1"/>
                <w:bCs w:val="1"/>
                <w:color w:val="auto"/>
                <w:w w:val="98"/>
                <w:vertAlign w:val="superscript"/>
              </w:rPr>
              <w:t>(1)</w:t>
            </w:r>
          </w:p>
        </w:tc>
        <w:tc>
          <w:tcPr>
            <w:tcW w:w="1460" w:type="dxa"/>
            <w:vAlign w:val="bottom"/>
            <w:gridSpan w:val="2"/>
            <w:vMerge w:val="continue"/>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Compensation</w:t>
            </w:r>
          </w:p>
        </w:tc>
        <w:tc>
          <w:tcPr>
            <w:tcW w:w="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Timo Vättö</w:t>
            </w:r>
            <w:r>
              <w:rPr>
                <w:rFonts w:ascii="Arial" w:cs="Arial" w:eastAsia="Arial" w:hAnsi="Arial"/>
                <w:sz w:val="25"/>
                <w:szCs w:val="25"/>
                <w:color w:val="auto"/>
                <w:vertAlign w:val="superscript"/>
              </w:rPr>
              <w:t>(3)</w:t>
            </w:r>
          </w:p>
        </w:tc>
        <w:tc>
          <w:tcPr>
            <w:tcW w:w="2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$184,000</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$81,179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$265,179</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20"/>
                <w:szCs w:val="20"/>
                <w:color w:val="auto"/>
              </w:rPr>
            </w:pPr>
            <w:r>
              <w:rPr>
                <w:rFonts w:ascii="Arial" w:cs="Arial" w:eastAsia="Arial" w:hAnsi="Arial"/>
                <w:sz w:val="16"/>
                <w:szCs w:val="16"/>
                <w:color w:val="auto"/>
              </w:rPr>
              <w:t>Orin S. Kramer</w:t>
            </w:r>
          </w:p>
        </w:tc>
        <w:tc>
          <w:tcPr>
            <w:tcW w:w="3520" w:type="dxa"/>
            <w:vAlign w:val="bottom"/>
            <w:gridSpan w:val="2"/>
          </w:tcPr>
          <w:p>
            <w:pPr>
              <w:jc w:val="right"/>
              <w:ind w:right="199"/>
              <w:spacing w:after="0"/>
              <w:rPr>
                <w:sz w:val="20"/>
                <w:szCs w:val="20"/>
                <w:color w:val="auto"/>
              </w:rPr>
            </w:pPr>
            <w:r>
              <w:rPr>
                <w:rFonts w:ascii="Arial" w:cs="Arial" w:eastAsia="Arial" w:hAnsi="Arial"/>
                <w:sz w:val="16"/>
                <w:szCs w:val="16"/>
                <w:color w:val="auto"/>
              </w:rPr>
              <w:t>$76,500</w:t>
            </w:r>
          </w:p>
        </w:tc>
        <w:tc>
          <w:tcPr>
            <w:tcW w:w="20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$51,686</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$128,186</w:t>
            </w: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W. Michael Linn</w:t>
            </w:r>
          </w:p>
        </w:tc>
        <w:tc>
          <w:tcPr>
            <w:tcW w:w="3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$94,000</w:t>
            </w: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$81,179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$175,179</w:t>
            </w:r>
          </w:p>
        </w:tc>
        <w:tc>
          <w:tcPr>
            <w:tcW w:w="0" w:type="dxa"/>
            <w:vAlign w:val="bottom"/>
          </w:tcPr>
          <w:p>
            <w:pPr>
              <w:spacing w:after="0"/>
              <w:rPr>
                <w:sz w:val="1"/>
                <w:szCs w:val="1"/>
                <w:color w:val="auto"/>
              </w:rPr>
            </w:pPr>
          </w:p>
        </w:tc>
      </w:tr>
      <w:tr>
        <w:trPr>
          <w:trHeight w:val="228"/>
        </w:trPr>
        <w:tc>
          <w:tcPr>
            <w:tcW w:w="1820" w:type="dxa"/>
            <w:vAlign w:val="bottom"/>
          </w:tcPr>
          <w:p>
            <w:pPr>
              <w:spacing w:after="0" w:line="227" w:lineRule="exact"/>
              <w:rPr>
                <w:sz w:val="20"/>
                <w:szCs w:val="20"/>
                <w:color w:val="auto"/>
              </w:rPr>
            </w:pPr>
            <w:r>
              <w:rPr>
                <w:rFonts w:ascii="Arial" w:cs="Arial" w:eastAsia="Arial" w:hAnsi="Arial"/>
                <w:sz w:val="16"/>
                <w:szCs w:val="16"/>
                <w:color w:val="auto"/>
              </w:rPr>
              <w:t>Joseph L. Morettini</w:t>
            </w:r>
            <w:r>
              <w:rPr>
                <w:rFonts w:ascii="Arial" w:cs="Arial" w:eastAsia="Arial" w:hAnsi="Arial"/>
                <w:sz w:val="26"/>
                <w:szCs w:val="26"/>
                <w:color w:val="auto"/>
                <w:vertAlign w:val="superscript"/>
              </w:rPr>
              <w:t>(4)</w:t>
            </w:r>
          </w:p>
        </w:tc>
        <w:tc>
          <w:tcPr>
            <w:tcW w:w="3520" w:type="dxa"/>
            <w:vAlign w:val="bottom"/>
            <w:gridSpan w:val="2"/>
          </w:tcPr>
          <w:p>
            <w:pPr>
              <w:jc w:val="right"/>
              <w:ind w:right="199"/>
              <w:spacing w:after="0"/>
              <w:rPr>
                <w:sz w:val="20"/>
                <w:szCs w:val="20"/>
                <w:color w:val="auto"/>
              </w:rPr>
            </w:pPr>
            <w:r>
              <w:rPr>
                <w:rFonts w:ascii="Arial" w:cs="Arial" w:eastAsia="Arial" w:hAnsi="Arial"/>
                <w:sz w:val="16"/>
                <w:szCs w:val="16"/>
                <w:color w:val="auto"/>
              </w:rPr>
              <w:t>$45,945</w:t>
            </w:r>
          </w:p>
        </w:tc>
        <w:tc>
          <w:tcPr>
            <w:tcW w:w="200" w:type="dxa"/>
            <w:vAlign w:val="bottom"/>
          </w:tcPr>
          <w:p>
            <w:pPr>
              <w:spacing w:after="0"/>
              <w:rPr>
                <w:sz w:val="19"/>
                <w:szCs w:val="19"/>
                <w:color w:val="auto"/>
              </w:rPr>
            </w:pPr>
          </w:p>
        </w:tc>
        <w:tc>
          <w:tcPr>
            <w:tcW w:w="1460" w:type="dxa"/>
            <w:vAlign w:val="bottom"/>
            <w:gridSpan w:val="2"/>
          </w:tcPr>
          <w:p>
            <w:pPr>
              <w:jc w:val="right"/>
              <w:ind w:right="20"/>
              <w:spacing w:after="0" w:line="227" w:lineRule="exact"/>
              <w:rPr>
                <w:sz w:val="20"/>
                <w:szCs w:val="20"/>
                <w:color w:val="auto"/>
              </w:rPr>
            </w:pPr>
            <w:r>
              <w:rPr>
                <w:rFonts w:ascii="Arial" w:cs="Arial" w:eastAsia="Arial" w:hAnsi="Arial"/>
                <w:sz w:val="16"/>
                <w:szCs w:val="16"/>
                <w:color w:val="auto"/>
              </w:rPr>
              <w:t>$9,838</w:t>
            </w:r>
            <w:r>
              <w:rPr>
                <w:rFonts w:ascii="Arial" w:cs="Arial" w:eastAsia="Arial" w:hAnsi="Arial"/>
                <w:sz w:val="26"/>
                <w:szCs w:val="26"/>
                <w:color w:val="auto"/>
                <w:vertAlign w:val="superscript"/>
              </w:rPr>
              <w:t>(5)</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$55,783</w:t>
            </w: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Roland Müller-</w:t>
            </w:r>
          </w:p>
        </w:tc>
        <w:tc>
          <w:tcPr>
            <w:tcW w:w="2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shd w:val="clear" w:color="auto" w:fill="CCEEFF"/>
          </w:tcPr>
          <w:p>
            <w:pPr>
              <w:ind w:left="180"/>
              <w:spacing w:after="0" w:line="225" w:lineRule="exact"/>
              <w:rPr>
                <w:sz w:val="20"/>
                <w:szCs w:val="20"/>
                <w:color w:val="auto"/>
              </w:rPr>
            </w:pPr>
            <w:r>
              <w:rPr>
                <w:rFonts w:ascii="Arial" w:cs="Arial" w:eastAsia="Arial" w:hAnsi="Arial"/>
                <w:sz w:val="16"/>
                <w:szCs w:val="16"/>
                <w:color w:val="auto"/>
              </w:rPr>
              <w:t>Ineichen</w:t>
            </w:r>
            <w:r>
              <w:rPr>
                <w:rFonts w:ascii="Arial" w:cs="Arial" w:eastAsia="Arial" w:hAnsi="Arial"/>
                <w:sz w:val="26"/>
                <w:szCs w:val="26"/>
                <w:color w:val="auto"/>
                <w:vertAlign w:val="superscript"/>
              </w:rPr>
              <w:t>(6)</w:t>
            </w:r>
          </w:p>
        </w:tc>
        <w:tc>
          <w:tcPr>
            <w:tcW w:w="3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$96,500</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$81,179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$177,679</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640" w:right="40" w:hanging="496"/>
        <w:spacing w:after="0" w:line="223" w:lineRule="auto"/>
        <w:tabs>
          <w:tab w:leader="none" w:pos="16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2017, including amounts earned for service in the fourth quarter of 2017 and paid in the first quarter of 2018.</w:t>
      </w:r>
    </w:p>
    <w:p>
      <w:pPr>
        <w:spacing w:after="0" w:line="196" w:lineRule="exact"/>
        <w:rPr>
          <w:rFonts w:ascii="Arial" w:cs="Arial" w:eastAsia="Arial" w:hAnsi="Arial"/>
          <w:sz w:val="27"/>
          <w:szCs w:val="27"/>
          <w:color w:val="auto"/>
          <w:vertAlign w:val="superscript"/>
        </w:rPr>
      </w:pPr>
    </w:p>
    <w:p>
      <w:pPr>
        <w:ind w:left="1640" w:hanging="496"/>
        <w:spacing w:after="0" w:line="219" w:lineRule="auto"/>
        <w:tabs>
          <w:tab w:leader="none" w:pos="16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Non-management Directors who attended at least seventy-five percent (75%) of all meetings of the Board of Directors and Committees on which they served for the 2016 to 2017 service year were entitled to receive an award of Altisource common stock at the end of such service year. The number of shares of common stock was determined by dividing $110,000 by the average of the high and low prices of the common stock as reported on the NASDAQ Global Select Market on the first day of the service year. This table shows the aggregate award date fair value of such shares on the date received in May 2017.</w:t>
      </w:r>
    </w:p>
    <w:p>
      <w:pPr>
        <w:spacing w:after="0" w:line="182" w:lineRule="exact"/>
        <w:rPr>
          <w:rFonts w:ascii="Arial" w:cs="Arial" w:eastAsia="Arial" w:hAnsi="Arial"/>
          <w:sz w:val="27"/>
          <w:szCs w:val="27"/>
          <w:color w:val="auto"/>
          <w:vertAlign w:val="superscript"/>
        </w:rPr>
      </w:pPr>
    </w:p>
    <w:p>
      <w:pPr>
        <w:ind w:left="1640" w:right="160" w:hanging="496"/>
        <w:spacing w:after="0" w:line="219" w:lineRule="auto"/>
        <w:tabs>
          <w:tab w:leader="none" w:pos="16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Mr. Vättö's cash compensation was paid in euros, using the following exchange rates that were in effect on the 15th day of the last month of the quarter for which payment was made: for the first quarter, an exchange rate of 0.94050 euros to the U.S. dollar; for the second quarter, an exchange rate of 0.89415 euros to the U.S. dollar; for the third quarter, an exchange rate of 0.83761 euros to the U.S. dollar and for the fourth quarter, an exchange rate of 0.84894 euros to the U.S. dollar. The amounts reported in the table above are the U.S. dollar amounts prior to conversion to euros.</w:t>
      </w:r>
    </w:p>
    <w:p>
      <w:pPr>
        <w:spacing w:after="0" w:line="182" w:lineRule="exact"/>
        <w:rPr>
          <w:rFonts w:ascii="Arial" w:cs="Arial" w:eastAsia="Arial" w:hAnsi="Arial"/>
          <w:sz w:val="27"/>
          <w:szCs w:val="27"/>
          <w:color w:val="auto"/>
          <w:vertAlign w:val="superscript"/>
        </w:rPr>
      </w:pPr>
    </w:p>
    <w:p>
      <w:pPr>
        <w:ind w:left="1640" w:hanging="496"/>
        <w:spacing w:after="0" w:line="187" w:lineRule="auto"/>
        <w:tabs>
          <w:tab w:leader="none" w:pos="1640"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Mr. Morettini joined the Board of Directors effective May 18, 2017 and was appointed by the Board of Directors to the Audit Committee and the Compliance Committee, effective May 18, 2017. These amounts reflect compensation for service from those dates.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130175</wp:posOffset>
            </wp:positionV>
            <wp:extent cx="2247265" cy="152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726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40" w:right="20" w:hanging="496"/>
        <w:spacing w:after="0" w:line="203" w:lineRule="auto"/>
        <w:tabs>
          <w:tab w:leader="none" w:pos="1640"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On the date of his initial election, Mr. Morettini received a one-time grant of 500 shares of common stock, with an aggregate fair market value of $9,838. This award vests in four (4) equal installments beginning on the date of the Annual Meeting and continuing on the dates of the next three (3) annual meetings of shareholders, subject to his continued service on the Board.</w:t>
      </w:r>
    </w:p>
    <w:p>
      <w:pPr>
        <w:spacing w:after="0" w:line="197" w:lineRule="exact"/>
        <w:rPr>
          <w:rFonts w:ascii="Arial" w:cs="Arial" w:eastAsia="Arial" w:hAnsi="Arial"/>
          <w:sz w:val="27"/>
          <w:szCs w:val="27"/>
          <w:color w:val="auto"/>
          <w:vertAlign w:val="superscript"/>
        </w:rPr>
      </w:pPr>
    </w:p>
    <w:p>
      <w:pPr>
        <w:ind w:left="1640" w:right="160" w:hanging="496"/>
        <w:spacing w:after="0" w:line="223" w:lineRule="auto"/>
        <w:tabs>
          <w:tab w:leader="none" w:pos="1640" w:val="left"/>
        </w:tabs>
        <w:numPr>
          <w:ilvl w:val="0"/>
          <w:numId w:val="21"/>
        </w:numPr>
        <w:rPr>
          <w:rFonts w:ascii="Arial" w:cs="Arial" w:eastAsia="Arial" w:hAnsi="Arial"/>
          <w:sz w:val="27"/>
          <w:szCs w:val="27"/>
          <w:color w:val="auto"/>
          <w:vertAlign w:val="superscript"/>
        </w:rPr>
      </w:pPr>
      <w:r>
        <w:rPr>
          <w:rFonts w:ascii="Arial" w:cs="Arial" w:eastAsia="Arial" w:hAnsi="Arial"/>
          <w:sz w:val="16"/>
          <w:szCs w:val="16"/>
          <w:color w:val="auto"/>
        </w:rPr>
        <w:t>Mr. Müller-Ineichen's cash compensation was paid in euros for the first and second quarters and in Swiss francs for the third and fourth quarters, using the following exchange rates that were in effect on the 15th day of the last month of the quarter for which payment was made: for the first quarter, an exchange rate of 0.94050 euros to the U.S. dollar; for the second quarter, an exchange rate of 0.89415 euros to the U.S. dollar; for the third quarter, an exchange rate of 0.96090 Swiss francs to the U.S. dollar and for the fourth quarter, an exchange rate of 0.98934 Swiss francs to the U.S. dollar. The amounts reported in the table above are the U.S. dollar amounts prior to conversion to euros or Swiss francs.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Requirements</w:t>
      </w:r>
    </w:p>
    <w:p>
      <w:pPr>
        <w:spacing w:after="0" w:line="22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To further align our non-management Directors' interests with those of our shareholders, in February 2018, the Board of Directors adopted minimum stock ownership requirements for non-management Directors. Pursuant to these ownership requirements, each non-management Director is required to attain and maintain stock ownership at a level equal to three times his or her annual cash retainer. Each non-management Director has two years from the effective date of his or her initial appointment or from the date on which he or she first becomes subject to the policy, whichever is later, to comply with these requirements.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Chief Executive Officer are set forth in our Corporate Governance Guidelines, which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Change in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Under Luxembourg law, Director compensation is subject to review and adjustment by the shareholders.</w:t>
      </w:r>
    </w:p>
    <w:p>
      <w:pPr>
        <w:spacing w:after="0" w:line="20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Compensation Committee believes it is important to review Director compensation from time to time to help ensure that the compensation levels of our Directors are aligned with those of our peer companies, so that we may attract and retain the best possible candidates to serve on our Board of Directors. The last compensation increase for our non-management Directors was approved by our shareholders at our 2016 annual meeting.</w:t>
      </w:r>
    </w:p>
    <w:p>
      <w:pPr>
        <w:spacing w:after="0" w:line="18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the fourth quarter of 2017, the Compensation Committee engaged Exequity to assist in conducting a pay study analyzing the competitiveness of the Company's pay levels for non-management Directors. The pay study revealed that the total cash and equity compensation for our management Directors is approximately thirteen percent (13%) below the peer group median, based on a review of publicly available peer group data. Please see "Role of Compensation Consultant" in our Compensation Discussion and Analysis for further information relating to the peer group companies used in the analysis.</w:t>
      </w:r>
    </w:p>
    <w:p>
      <w:pPr>
        <w:spacing w:after="0" w:line="18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Based on the findings of the pay study, the Compensation Committee recommended submitting a proposal to our shareholders to increase the award value of the annual award of shares of common stock to non-management Directors who attend at least seventy-five percent (75%) of Board and committee meetings from $110,000 to $120,000 beginning in the 2018 to 2019 service year. As in prior years, the number of shares of common stock would be determined by dividing the award value by the average of the high and low prices of the common stock to be reported on the NASDAQ Global Select Market on the</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130175</wp:posOffset>
            </wp:positionV>
            <wp:extent cx="2247265" cy="152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4726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first day of the service year. No other changes would be made to the current compensation program for our non-management Directors.</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proposed changes to the pay structure would bring overall non-management Director compensation closer to the peer group median and would further align the interests of our non-management Directors with our shareholders through increased equity ownership. Following this change, the equity compensation of our non-management Directors would comprise approximately sixty percent (60%) of total Director compensation, compared to approximately fifty-three percent (53%) for our peer group. In evaluating the appropriate level of non-management Director compensation, the Compensation Committee considered, among other things, the valuable financial, operational and strategic expertise that our existing non-management Directors bring to the Company.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jc w:val="both"/>
        <w:ind w:right="100"/>
        <w:spacing w:after="0" w:line="255"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340" w:type="dxa"/>
            <w:vAlign w:val="bottom"/>
          </w:tcPr>
          <w:p>
            <w:pPr>
              <w:spacing w:after="0"/>
              <w:rPr>
                <w:sz w:val="24"/>
                <w:szCs w:val="24"/>
                <w:color w:val="auto"/>
              </w:rPr>
            </w:pPr>
          </w:p>
        </w:tc>
        <w:tc>
          <w:tcPr>
            <w:tcW w:w="5080" w:type="dxa"/>
            <w:vAlign w:val="bottom"/>
          </w:tcPr>
          <w:p>
            <w:pPr>
              <w:ind w:left="216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Age</w:t>
            </w:r>
            <w:r>
              <w:rPr>
                <w:rFonts w:ascii="Arial" w:cs="Arial" w:eastAsia="Arial" w:hAnsi="Arial"/>
                <w:sz w:val="27"/>
                <w:szCs w:val="27"/>
                <w:b w:val="1"/>
                <w:bCs w:val="1"/>
                <w:color w:val="auto"/>
                <w:w w:val="87"/>
                <w:vertAlign w:val="superscript"/>
              </w:rPr>
              <w:t>(1)</w:t>
            </w:r>
          </w:p>
        </w:tc>
        <w:tc>
          <w:tcPr>
            <w:tcW w:w="2840" w:type="dxa"/>
            <w:vAlign w:val="bottom"/>
          </w:tcPr>
          <w:p>
            <w:pPr>
              <w:ind w:left="1100"/>
              <w:spacing w:after="0"/>
              <w:rPr>
                <w:sz w:val="20"/>
                <w:szCs w:val="20"/>
                <w:color w:val="auto"/>
              </w:rPr>
            </w:pPr>
            <w:r>
              <w:rPr>
                <w:rFonts w:ascii="Arial" w:cs="Arial" w:eastAsia="Arial" w:hAnsi="Arial"/>
                <w:sz w:val="16"/>
                <w:szCs w:val="16"/>
                <w:b w:val="1"/>
                <w:bCs w:val="1"/>
                <w:color w:val="auto"/>
              </w:rPr>
              <w:t>Position</w:t>
            </w:r>
          </w:p>
        </w:tc>
      </w:tr>
      <w:tr>
        <w:trPr>
          <w:trHeight w:val="182"/>
        </w:trPr>
        <w:tc>
          <w:tcPr>
            <w:tcW w:w="542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Kevin J. Wilcox</w:t>
            </w:r>
          </w:p>
        </w:tc>
        <w:tc>
          <w:tcPr>
            <w:tcW w:w="20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5"/>
                <w:szCs w:val="15"/>
                <w:color w:val="auto"/>
              </w:rPr>
            </w:pPr>
          </w:p>
        </w:tc>
        <w:tc>
          <w:tcPr>
            <w:tcW w:w="28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Chief Administration and Risk Officer</w:t>
            </w:r>
          </w:p>
        </w:tc>
      </w:tr>
      <w:tr>
        <w:trPr>
          <w:trHeight w:val="190"/>
        </w:trPr>
        <w:tc>
          <w:tcPr>
            <w:tcW w:w="5420" w:type="dxa"/>
            <w:vAlign w:val="bottom"/>
            <w:gridSpan w:val="2"/>
          </w:tcPr>
          <w:p>
            <w:pPr>
              <w:spacing w:after="0"/>
              <w:rPr>
                <w:sz w:val="20"/>
                <w:szCs w:val="20"/>
                <w:color w:val="auto"/>
              </w:rPr>
            </w:pPr>
            <w:r>
              <w:rPr>
                <w:rFonts w:ascii="Arial" w:cs="Arial" w:eastAsia="Arial" w:hAnsi="Arial"/>
                <w:sz w:val="16"/>
                <w:szCs w:val="16"/>
                <w:color w:val="auto"/>
              </w:rPr>
              <w:t>Indroneel Chatterjee</w:t>
            </w:r>
          </w:p>
        </w:tc>
        <w:tc>
          <w:tcPr>
            <w:tcW w:w="680" w:type="dxa"/>
            <w:vAlign w:val="bottom"/>
            <w:gridSpan w:val="2"/>
          </w:tcPr>
          <w:p>
            <w:pPr>
              <w:jc w:val="center"/>
              <w:ind w:left="138"/>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190"/>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A. Davila</w:t>
            </w:r>
          </w:p>
        </w:tc>
        <w:tc>
          <w:tcPr>
            <w:tcW w:w="680" w:type="dxa"/>
            <w:vAlign w:val="bottom"/>
            <w:gridSpan w:val="2"/>
            <w:shd w:val="clear" w:color="auto" w:fill="CCEEFF"/>
          </w:tcPr>
          <w:p>
            <w:pPr>
              <w:jc w:val="center"/>
              <w:ind w:left="138"/>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Servicer Solutions</w:t>
            </w:r>
          </w:p>
        </w:tc>
      </w:tr>
      <w:tr>
        <w:trPr>
          <w:trHeight w:val="200"/>
        </w:trPr>
        <w:tc>
          <w:tcPr>
            <w:tcW w:w="542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680" w:type="dxa"/>
            <w:vAlign w:val="bottom"/>
            <w:gridSpan w:val="2"/>
          </w:tcPr>
          <w:p>
            <w:pPr>
              <w:jc w:val="center"/>
              <w:ind w:left="138"/>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Chief Legal and Compliance Officer</w:t>
            </w:r>
          </w:p>
        </w:tc>
      </w:tr>
      <w:tr>
        <w:trPr>
          <w:trHeight w:val="392"/>
        </w:trPr>
        <w:tc>
          <w:tcPr>
            <w:tcW w:w="340" w:type="dxa"/>
            <w:vAlign w:val="bottom"/>
          </w:tcPr>
          <w:p>
            <w:pPr>
              <w:spacing w:after="0"/>
              <w:rPr>
                <w:sz w:val="20"/>
                <w:szCs w:val="20"/>
                <w:color w:val="auto"/>
              </w:rPr>
            </w:pPr>
            <w:r>
              <w:rPr>
                <w:rFonts w:ascii="Arial" w:cs="Arial" w:eastAsia="Arial" w:hAnsi="Arial"/>
                <w:sz w:val="14"/>
                <w:szCs w:val="14"/>
                <w:color w:val="auto"/>
              </w:rPr>
              <w:t>(1)</w:t>
            </w:r>
          </w:p>
        </w:tc>
        <w:tc>
          <w:tcPr>
            <w:tcW w:w="5080" w:type="dxa"/>
            <w:vAlign w:val="bottom"/>
          </w:tcPr>
          <w:p>
            <w:pPr>
              <w:ind w:left="160"/>
              <w:spacing w:after="0"/>
              <w:rPr>
                <w:sz w:val="20"/>
                <w:szCs w:val="20"/>
                <w:color w:val="auto"/>
              </w:rPr>
            </w:pPr>
            <w:r>
              <w:rPr>
                <w:rFonts w:ascii="Arial" w:cs="Arial" w:eastAsia="Arial" w:hAnsi="Arial"/>
                <w:sz w:val="16"/>
                <w:szCs w:val="16"/>
                <w:color w:val="auto"/>
              </w:rPr>
              <w:t>As of March 21, 2018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The principal occupation for the last five (5) years, as well as certain other biographical information, for each of our executive officers that is not a Director is set forth below.</w:t>
      </w:r>
    </w:p>
    <w:p>
      <w:pPr>
        <w:spacing w:after="0" w:line="158"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b w:val="1"/>
          <w:bCs w:val="1"/>
          <w:i w:val="1"/>
          <w:iCs w:val="1"/>
          <w:color w:val="auto"/>
        </w:rPr>
        <w:t xml:space="preserve">Kevin J. Wilcox. </w:t>
      </w:r>
      <w:r>
        <w:rPr>
          <w:rFonts w:ascii="Arial" w:cs="Arial" w:eastAsia="Arial" w:hAnsi="Arial"/>
          <w:sz w:val="16"/>
          <w:szCs w:val="16"/>
          <w:color w:val="auto"/>
        </w:rPr>
        <w:t>Mr. Wilcox serves as Chief Administration and Risk Officer of Altisource. Mr. Wilcox has served as Chief Administration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2009 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 xml:space="preserve">Indroneel Chatterjee. </w:t>
      </w:r>
      <w:r>
        <w:rPr>
          <w:rFonts w:ascii="Arial" w:cs="Arial" w:eastAsia="Arial" w:hAnsi="Arial"/>
          <w:sz w:val="16"/>
          <w:szCs w:val="16"/>
          <w:color w:val="auto"/>
        </w:rPr>
        <w:t>Mr. Chatterjee serves as Chief Financial Officer of Altisource. Before joining Altisource in October 2017, he served as Head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Global Markets at Nomura Securities, an investment banking firm, from January 2017 to September 2017 and as Executive Director on the fixed income trading desk at Nomura from August 2014. Mr. Chatterjee also held the positions of Investment Analyst, Absolute Return Income Fund for Perry Capital from March 2013 to April 2014, Executive Director for UBS Securities LLC from November 2009 to March 2013 and Vice President, High Yield Research for AIG Global Investment Group from October 2006 to November 2009. He holds a Bachelor of Science in Economics from the Wharton School of Business at the University of Pennsylvania.</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i w:val="1"/>
          <w:iCs w:val="1"/>
          <w:color w:val="auto"/>
        </w:rPr>
        <w:t xml:space="preserve">Joseph A. Davila. </w:t>
      </w:r>
      <w:r>
        <w:rPr>
          <w:rFonts w:ascii="Arial" w:cs="Arial" w:eastAsia="Arial" w:hAnsi="Arial"/>
          <w:sz w:val="16"/>
          <w:szCs w:val="16"/>
          <w:color w:val="auto"/>
        </w:rPr>
        <w:t>Mr. Davila serves as President, Servicer Solutions of Altisource. Mr. Davila previously served as President, Mortgage Services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2013 to May 2016 and as Senior Vice President, Real Estate Services from July 2011 to February 2013. Before joining Altisource, he served as Vice President of Operations of Capital One Financial Corporation beginning in 2007. Mr. Davila began his career as a consultant with Price Waterhouse and, subsequently, Bain &amp; Company. He holds a Bachelor of Science from Southern Methodist University and a Master of Business Administration from the Kellogg School of Management at Northwestern University.</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serves as Chief Legal and Compliance Officer of Altisource since February 2018 and has served as General Counsel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by:</w:t>
      </w:r>
    </w:p>
    <w:p>
      <w:pPr>
        <w:spacing w:after="0" w:line="208" w:lineRule="exact"/>
        <w:rPr>
          <w:sz w:val="20"/>
          <w:szCs w:val="20"/>
          <w:color w:val="auto"/>
        </w:rPr>
      </w:pPr>
    </w:p>
    <w:p>
      <w:pPr>
        <w:ind w:left="1020" w:hanging="51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persons known by Altisource to beneficially own five percent (5%) or more of the outstanding common stock;</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Director and Named Executive Officer (as defined in "Compensation Discussion and Analysis") of Altisource; and</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Directors and executive officers of Altisource as a group.</w:t>
      </w:r>
    </w:p>
    <w:p>
      <w:pPr>
        <w:spacing w:after="0" w:line="20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(the "Exchange Act") and is based on an aggregate of 17,399,792 shares issued and outstanding as of March 21, 2018. Unless otherwise indicated in the footnotes below, the information is provided as of the record date, March 21, 2018.</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Unless otherwise noted, the address of all persons below is: Altisource Portfolio Solutions S.A., 40, avenue Monterey, L-2163 Luxembourg City, Grand Duchy of Luxembourg.</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366"/>
        </w:trPr>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60" w:type="dxa"/>
            <w:vAlign w:val="bottom"/>
          </w:tcPr>
          <w:p>
            <w:pPr>
              <w:ind w:left="220"/>
              <w:spacing w:after="0"/>
              <w:rPr>
                <w:sz w:val="20"/>
                <w:szCs w:val="20"/>
                <w:color w:val="auto"/>
              </w:rPr>
            </w:pPr>
            <w:r>
              <w:rPr>
                <w:rFonts w:ascii="Arial" w:cs="Arial" w:eastAsia="Arial" w:hAnsi="Arial"/>
                <w:sz w:val="16"/>
                <w:szCs w:val="16"/>
                <w:b w:val="1"/>
                <w:bCs w:val="1"/>
                <w:color w:val="auto"/>
              </w:rPr>
              <w:t>Shares Beneficially Owned</w:t>
            </w:r>
            <w:r>
              <w:rPr>
                <w:rFonts w:ascii="Arial" w:cs="Arial" w:eastAsia="Arial" w:hAnsi="Arial"/>
                <w:sz w:val="27"/>
                <w:szCs w:val="27"/>
                <w:b w:val="1"/>
                <w:bCs w:val="1"/>
                <w:color w:val="auto"/>
                <w:vertAlign w:val="superscript"/>
              </w:rPr>
              <w:t>(1)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7"/>
        </w:trPr>
        <w:tc>
          <w:tcPr>
            <w:tcW w:w="7360" w:type="dxa"/>
            <w:vAlign w:val="bottom"/>
            <w:gridSpan w:val="4"/>
          </w:tcPr>
          <w:p>
            <w:pPr>
              <w:spacing w:after="0"/>
              <w:rPr>
                <w:sz w:val="20"/>
                <w:szCs w:val="20"/>
                <w:color w:val="auto"/>
              </w:rPr>
            </w:pPr>
            <w:r>
              <w:rPr>
                <w:rFonts w:ascii="Arial" w:cs="Arial" w:eastAsia="Arial" w:hAnsi="Arial"/>
                <w:sz w:val="16"/>
                <w:szCs w:val="16"/>
                <w:b w:val="1"/>
                <w:bCs w:val="1"/>
                <w:color w:val="auto"/>
              </w:rPr>
              <w:t>Name of Beneficial Owner: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Percent</w:t>
            </w: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0"/>
        </w:trPr>
        <w:tc>
          <w:tcPr>
            <w:tcW w:w="208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William C. Erbey</w:t>
            </w:r>
            <w:r>
              <w:rPr>
                <w:rFonts w:ascii="Arial" w:cs="Arial" w:eastAsia="Arial" w:hAnsi="Arial"/>
                <w:sz w:val="25"/>
                <w:szCs w:val="25"/>
                <w:color w:val="auto"/>
                <w:vertAlign w:val="superscript"/>
              </w:rPr>
              <w:t>(2)</w:t>
            </w:r>
          </w:p>
        </w:tc>
        <w:tc>
          <w:tcPr>
            <w:tcW w:w="5280" w:type="dxa"/>
            <w:vAlign w:val="bottom"/>
            <w:gridSpan w:val="2"/>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6,000,709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34.49%</w:t>
            </w: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Putnam Investments, LLC</w:t>
            </w:r>
            <w:r>
              <w:rPr>
                <w:rFonts w:ascii="Arial" w:cs="Arial" w:eastAsia="Arial" w:hAnsi="Arial"/>
                <w:sz w:val="26"/>
                <w:szCs w:val="26"/>
                <w:color w:val="auto"/>
                <w:vertAlign w:val="superscript"/>
              </w:rPr>
              <w:t>(3)</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2,867,507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16.48%</w:t>
            </w: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Deer Park Road Management Company, LP</w:t>
            </w:r>
            <w:r>
              <w:rPr>
                <w:rFonts w:ascii="Arial" w:cs="Arial" w:eastAsia="Arial" w:hAnsi="Arial"/>
                <w:sz w:val="26"/>
                <w:szCs w:val="26"/>
                <w:color w:val="auto"/>
                <w:vertAlign w:val="superscript"/>
              </w:rPr>
              <w:t>(4)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2,843,768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16.34%</w:t>
            </w: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Leon G. Cooperman</w:t>
            </w:r>
            <w:r>
              <w:rPr>
                <w:rFonts w:ascii="Arial" w:cs="Arial" w:eastAsia="Arial" w:hAnsi="Arial"/>
                <w:sz w:val="26"/>
                <w:szCs w:val="26"/>
                <w:color w:val="auto"/>
                <w:vertAlign w:val="superscript"/>
              </w:rPr>
              <w:t>(5)</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1,279,540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7.35%</w:t>
            </w: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6"/>
                <w:szCs w:val="26"/>
                <w:color w:val="auto"/>
                <w:vertAlign w:val="superscript"/>
              </w:rPr>
              <w:t>(6)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916,846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5.27%</w:t>
            </w:r>
          </w:p>
        </w:tc>
      </w:tr>
      <w:tr>
        <w:trPr>
          <w:trHeight w:val="372"/>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4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William B. Shepro</w:t>
            </w:r>
            <w:r>
              <w:rPr>
                <w:rFonts w:ascii="Arial" w:cs="Arial" w:eastAsia="Arial" w:hAnsi="Arial"/>
                <w:sz w:val="26"/>
                <w:szCs w:val="26"/>
                <w:color w:val="auto"/>
                <w:vertAlign w:val="superscript"/>
              </w:rPr>
              <w:t>(7)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690,894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3.90%</w:t>
            </w: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Kevin J. Wilcox</w:t>
            </w:r>
            <w:r>
              <w:rPr>
                <w:rFonts w:ascii="Arial" w:cs="Arial" w:eastAsia="Arial" w:hAnsi="Arial"/>
                <w:sz w:val="26"/>
                <w:szCs w:val="26"/>
                <w:color w:val="auto"/>
                <w:vertAlign w:val="superscript"/>
              </w:rPr>
              <w:t>(8)</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364,626</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2.08%</w:t>
            </w: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Orin S. Kramer</w:t>
            </w:r>
            <w:r>
              <w:rPr>
                <w:rFonts w:ascii="Arial" w:cs="Arial" w:eastAsia="Arial" w:hAnsi="Arial"/>
                <w:sz w:val="26"/>
                <w:szCs w:val="26"/>
                <w:color w:val="auto"/>
                <w:vertAlign w:val="superscript"/>
              </w:rPr>
              <w:t>(9)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144,985</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Michelle D. Esterman</w:t>
            </w:r>
            <w:r>
              <w:rPr>
                <w:rFonts w:ascii="Arial" w:cs="Arial" w:eastAsia="Arial" w:hAnsi="Arial"/>
                <w:sz w:val="26"/>
                <w:szCs w:val="26"/>
                <w:color w:val="auto"/>
                <w:vertAlign w:val="superscript"/>
              </w:rPr>
              <w:t>(10)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76,203</w:t>
            </w:r>
          </w:p>
        </w:tc>
        <w:tc>
          <w:tcPr>
            <w:tcW w:w="6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Joseph A. Davila</w:t>
            </w:r>
            <w:r>
              <w:rPr>
                <w:rFonts w:ascii="Arial" w:cs="Arial" w:eastAsia="Arial" w:hAnsi="Arial"/>
                <w:sz w:val="26"/>
                <w:szCs w:val="26"/>
                <w:color w:val="auto"/>
                <w:vertAlign w:val="superscript"/>
              </w:rPr>
              <w:t>(11)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47,544</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r>
      <w:tr>
        <w:trPr>
          <w:trHeight w:val="190"/>
        </w:trPr>
        <w:tc>
          <w:tcPr>
            <w:tcW w:w="7360" w:type="dxa"/>
            <w:vAlign w:val="bottom"/>
            <w:gridSpan w:val="4"/>
          </w:tcPr>
          <w:p>
            <w:pPr>
              <w:spacing w:after="0"/>
              <w:rPr>
                <w:sz w:val="20"/>
                <w:szCs w:val="20"/>
                <w:color w:val="auto"/>
              </w:rPr>
            </w:pPr>
            <w:r>
              <w:rPr>
                <w:rFonts w:ascii="Arial" w:cs="Arial" w:eastAsia="Arial" w:hAnsi="Arial"/>
                <w:sz w:val="16"/>
                <w:szCs w:val="16"/>
                <w:color w:val="auto"/>
              </w:rPr>
              <w:t>Roland Müller-Ineichen</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23,117</w:t>
            </w:r>
          </w:p>
        </w:tc>
        <w:tc>
          <w:tcPr>
            <w:tcW w:w="6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W. Michael Linn</w:t>
            </w:r>
            <w:r>
              <w:rPr>
                <w:rFonts w:ascii="Arial" w:cs="Arial" w:eastAsia="Arial" w:hAnsi="Arial"/>
                <w:sz w:val="26"/>
                <w:szCs w:val="26"/>
                <w:color w:val="auto"/>
                <w:vertAlign w:val="superscript"/>
              </w:rPr>
              <w:t>(12)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22,768</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Gregory J. Ritts</w:t>
            </w:r>
            <w:r>
              <w:rPr>
                <w:rFonts w:ascii="Arial" w:cs="Arial" w:eastAsia="Arial" w:hAnsi="Arial"/>
                <w:sz w:val="26"/>
                <w:szCs w:val="26"/>
                <w:color w:val="auto"/>
                <w:vertAlign w:val="superscript"/>
              </w:rPr>
              <w:t>(13)</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18,948</w:t>
            </w:r>
          </w:p>
        </w:tc>
        <w:tc>
          <w:tcPr>
            <w:tcW w:w="6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190"/>
        </w:trPr>
        <w:tc>
          <w:tcPr>
            <w:tcW w:w="7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Timo Vättö</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18,417</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r>
      <w:tr>
        <w:trPr>
          <w:trHeight w:val="228"/>
        </w:trPr>
        <w:tc>
          <w:tcPr>
            <w:tcW w:w="7360" w:type="dxa"/>
            <w:vAlign w:val="bottom"/>
            <w:gridSpan w:val="4"/>
          </w:tcPr>
          <w:p>
            <w:pPr>
              <w:spacing w:after="0" w:line="227" w:lineRule="exact"/>
              <w:rPr>
                <w:sz w:val="20"/>
                <w:szCs w:val="20"/>
                <w:color w:val="auto"/>
              </w:rPr>
            </w:pPr>
            <w:r>
              <w:rPr>
                <w:rFonts w:ascii="Arial" w:cs="Arial" w:eastAsia="Arial" w:hAnsi="Arial"/>
                <w:sz w:val="16"/>
                <w:szCs w:val="16"/>
                <w:color w:val="auto"/>
              </w:rPr>
              <w:t>Indroneel Chatterjee</w:t>
            </w:r>
            <w:r>
              <w:rPr>
                <w:rFonts w:ascii="Arial" w:cs="Arial" w:eastAsia="Arial" w:hAnsi="Arial"/>
                <w:sz w:val="26"/>
                <w:szCs w:val="26"/>
                <w:color w:val="auto"/>
                <w:vertAlign w:val="superscript"/>
              </w:rPr>
              <w:t>(14)</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1,200</w:t>
            </w:r>
          </w:p>
        </w:tc>
        <w:tc>
          <w:tcPr>
            <w:tcW w:w="6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r>
      <w:tr>
        <w:trPr>
          <w:trHeight w:val="228"/>
        </w:trPr>
        <w:tc>
          <w:tcPr>
            <w:tcW w:w="7360" w:type="dxa"/>
            <w:vAlign w:val="bottom"/>
            <w:gridSpan w:val="4"/>
            <w:shd w:val="clear" w:color="auto" w:fill="CCEEFF"/>
          </w:tcPr>
          <w:p>
            <w:pPr>
              <w:spacing w:after="0" w:line="227" w:lineRule="exact"/>
              <w:rPr>
                <w:sz w:val="20"/>
                <w:szCs w:val="20"/>
                <w:color w:val="auto"/>
              </w:rPr>
            </w:pPr>
            <w:r>
              <w:rPr>
                <w:rFonts w:ascii="Arial" w:cs="Arial" w:eastAsia="Arial" w:hAnsi="Arial"/>
                <w:sz w:val="16"/>
                <w:szCs w:val="16"/>
                <w:color w:val="auto"/>
              </w:rPr>
              <w:t>Joseph L. Morettini</w:t>
            </w:r>
            <w:r>
              <w:rPr>
                <w:rFonts w:ascii="Arial" w:cs="Arial" w:eastAsia="Arial" w:hAnsi="Arial"/>
                <w:sz w:val="26"/>
                <w:szCs w:val="26"/>
                <w:color w:val="auto"/>
                <w:vertAlign w:val="superscript"/>
              </w:rPr>
              <w:t>(15)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r>
      <w:tr>
        <w:trPr>
          <w:trHeight w:val="200"/>
        </w:trPr>
        <w:tc>
          <w:tcPr>
            <w:tcW w:w="7360" w:type="dxa"/>
            <w:vAlign w:val="bottom"/>
            <w:gridSpan w:val="4"/>
          </w:tcPr>
          <w:p>
            <w:pPr>
              <w:spacing w:after="0"/>
              <w:rPr>
                <w:sz w:val="20"/>
                <w:szCs w:val="20"/>
                <w:color w:val="auto"/>
              </w:rPr>
            </w:pPr>
            <w:r>
              <w:rPr>
                <w:rFonts w:ascii="Arial" w:cs="Arial" w:eastAsia="Arial" w:hAnsi="Arial"/>
                <w:sz w:val="16"/>
                <w:szCs w:val="16"/>
                <w:color w:val="auto"/>
              </w:rPr>
              <w:t>All Directors and Executive Officers as a Group (11 persons)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1,408,827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7.83%</w:t>
            </w:r>
          </w:p>
        </w:tc>
      </w:tr>
      <w:tr>
        <w:trPr>
          <w:trHeight w:val="392"/>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rPr>
              <w:t>Less than one percent (1%)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5" w:lineRule="exact"/>
        <w:rPr>
          <w:sz w:val="20"/>
          <w:szCs w:val="20"/>
          <w:color w:val="auto"/>
        </w:rPr>
      </w:pPr>
    </w:p>
    <w:p>
      <w:pPr>
        <w:ind w:left="1640" w:right="80" w:hanging="496"/>
        <w:spacing w:after="0" w:line="219" w:lineRule="auto"/>
        <w:tabs>
          <w:tab w:leader="none" w:pos="1640" w:val="left"/>
        </w:tabs>
        <w:numPr>
          <w:ilvl w:val="0"/>
          <w:numId w:val="23"/>
        </w:numPr>
        <w:rPr>
          <w:rFonts w:ascii="Arial" w:cs="Arial" w:eastAsia="Arial" w:hAnsi="Arial"/>
          <w:sz w:val="27"/>
          <w:szCs w:val="27"/>
          <w:color w:val="auto"/>
          <w:vertAlign w:val="superscript"/>
        </w:rPr>
      </w:pPr>
      <w:r>
        <w:rPr>
          <w:rFonts w:ascii="Arial" w:cs="Arial" w:eastAsia="Arial" w:hAnsi="Arial"/>
          <w:sz w:val="16"/>
          <w:szCs w:val="16"/>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21, 2018. Therefore, the table includes options to acquire shares of our common stock that are currently exercisable or will become exercisable within such 60 day period and restricted shares that vest within 60 days. It does not include restricted shares that do not vest within such 60 day period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130175</wp:posOffset>
            </wp:positionV>
            <wp:extent cx="426974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697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right="340"/>
        <w:spacing w:after="0" w:line="255" w:lineRule="auto"/>
        <w:rPr>
          <w:sz w:val="20"/>
          <w:szCs w:val="20"/>
          <w:color w:val="auto"/>
        </w:rPr>
      </w:pPr>
      <w:r>
        <w:rPr>
          <w:rFonts w:ascii="Arial" w:cs="Arial" w:eastAsia="Arial" w:hAnsi="Arial"/>
          <w:sz w:val="16"/>
          <w:szCs w:val="16"/>
          <w:color w:val="auto"/>
        </w:rPr>
        <w:t>under which the holder has no voting rights until vested. With respect to shares, unless otherwise indicated, an individual has sole voting power and sole investment power with respect to the indicated shares. No shares have been pledged as security for indebtedness by the Named Executive Officers or Directors.</w:t>
      </w:r>
    </w:p>
    <w:p>
      <w:pPr>
        <w:spacing w:after="0" w:line="185" w:lineRule="exact"/>
        <w:rPr>
          <w:sz w:val="20"/>
          <w:szCs w:val="20"/>
          <w:color w:val="auto"/>
        </w:rPr>
      </w:pPr>
    </w:p>
    <w:p>
      <w:pPr>
        <w:ind w:left="1640" w:right="60" w:hanging="496"/>
        <w:spacing w:after="0" w:line="230" w:lineRule="auto"/>
        <w:tabs>
          <w:tab w:leader="none" w:pos="16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13D/A filed with the SEC on December 1, 2017. Consists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Erbey's business address is P.O. Box 25437, Christiansted, United States Virgin Islands 00824.</w:t>
      </w:r>
    </w:p>
    <w:p>
      <w:pPr>
        <w:spacing w:after="0" w:line="200" w:lineRule="exact"/>
        <w:rPr>
          <w:rFonts w:ascii="Arial" w:cs="Arial" w:eastAsia="Arial" w:hAnsi="Arial"/>
          <w:sz w:val="27"/>
          <w:szCs w:val="27"/>
          <w:color w:val="auto"/>
          <w:vertAlign w:val="superscript"/>
        </w:rPr>
      </w:pPr>
    </w:p>
    <w:p>
      <w:pPr>
        <w:ind w:left="1640" w:hanging="496"/>
        <w:spacing w:after="0" w:line="226" w:lineRule="auto"/>
        <w:tabs>
          <w:tab w:leader="none" w:pos="16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February 7, 2018, jointly by Putnam Investments, LLC d/b/a Putnam Investments ("PI"); two of its wholly-owned subsidiaries, Putnam Investment Management, LLC ("PIM") and The Putnam Advisory Company, LLC ("PAC"); and Putnam Equity Spectrum Fund and Putnam Capital Spectrum Fund. Consists of 2,867,507 shares held by PIM, as to which sole dispositive power is claimed. The shares held by PIM consist of 1,926,606 shares held by Putnam Equity Spectrum Fund as to which sole dispositive power is claimed, and 940,901 shares held by Putnam Capital Spectrum Fund, as to which sole dispositive power is claimed. The business address of PI, PIM, PAC, Putnam Equity Spectrum Fund and Putnam Capital Spectrum Fund is One Post Office Square, Boston, Massachusetts 02109.</w:t>
      </w:r>
    </w:p>
    <w:p>
      <w:pPr>
        <w:spacing w:after="0" w:line="184" w:lineRule="exact"/>
        <w:rPr>
          <w:rFonts w:ascii="Arial" w:cs="Arial" w:eastAsia="Arial" w:hAnsi="Arial"/>
          <w:sz w:val="27"/>
          <w:szCs w:val="27"/>
          <w:color w:val="auto"/>
          <w:vertAlign w:val="superscript"/>
        </w:rPr>
      </w:pPr>
    </w:p>
    <w:p>
      <w:pPr>
        <w:ind w:left="1640" w:right="180" w:hanging="496"/>
        <w:spacing w:after="0" w:line="226" w:lineRule="auto"/>
        <w:tabs>
          <w:tab w:leader="none" w:pos="16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March 8, 2018 by Deer Park Road Management Company, LP ("Deer Park"), a limited partnership, on behalf of itself and Deer Park Road Management GP, LLC, Deer Park Road Corporation, Michael David Craig-Scheckman, AgateCreek LLC and Scott Edward Burg (collectively, the "Deer Park Reporting Persons"). Consists of 2,843,768 shares held for the account of the STS Master Fund, Ltd. ("STS Master Fund"). Based on information set forth in the Schedule 13G/A, the Deer Park Reporting Persons share voting and dispositive power. Deer Park serves as investment adviser to STS Master Fund, an exempted company organized under the laws of the Cayman Islands. The business address of Deer Park Reporting Persons is 1195 Bangtail Way, Steamboat Springs, Colorado 80487.</w:t>
      </w:r>
    </w:p>
    <w:p>
      <w:pPr>
        <w:spacing w:after="0" w:line="184" w:lineRule="exact"/>
        <w:rPr>
          <w:rFonts w:ascii="Arial" w:cs="Arial" w:eastAsia="Arial" w:hAnsi="Arial"/>
          <w:sz w:val="27"/>
          <w:szCs w:val="27"/>
          <w:color w:val="auto"/>
          <w:vertAlign w:val="superscript"/>
        </w:rPr>
      </w:pPr>
    </w:p>
    <w:p>
      <w:pPr>
        <w:ind w:left="1640" w:hanging="496"/>
        <w:spacing w:after="0" w:line="235" w:lineRule="auto"/>
        <w:tabs>
          <w:tab w:leader="none" w:pos="1640"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February 14, 2018. Mr. Cooperman is the ultimate controlling person of Associates, Capital LP, Investors LP, Equity LP, Overseas and Advisors (each as defined below and, collectively, the "Omega Entities"). Mr. Cooperman is the managing member of Omega Associates, L.L.C. ("Associates"), a private investment firm formed to invest in and act as general partner of investment partnerships or similar investment vehicles. Associates is the general partner of limited partnerships known as Omega Capital Partners, L.P. ("Capital LP"), Omega Capital Investors, L.P. ("Investors LP") and Omega Equity Investors, L.P. ("Equity LP"). Mr. Cooperman is the President, Chief Executive Officer, and sole stockholder of Omega Advisors, Inc. ("Advisors"), a corporation engaged in providing investment management services, and Mr. Cooperman controls said entity. Advisors serves as the investment manager to Omega Overseas Partners, Ltd. ("Overseas"), a Cayman Island exempted company, and as a discretionary investment advisor to a limited number of institutional clients (the "Managed Accounts"). Consists of 50,000 shares owned by Mr. Cooperman; 504,101 shares owned by Capital LP as to which sole dispositive and voting power is claimed; 131,385 shares owned by Investors LP as to which sole dispositive and voting power is claimed; 294,489 shares owned by Equity LP as to which sole dispositive and voting power is claimed; 256,700 shares owned by Overseas as to which sole dispositive and voting power is claimed; and 42,865 shares owned by Managed Accounts as to which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130175</wp:posOffset>
            </wp:positionV>
            <wp:extent cx="4269740" cy="16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697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right="240"/>
        <w:spacing w:after="0" w:line="255" w:lineRule="auto"/>
        <w:rPr>
          <w:sz w:val="20"/>
          <w:szCs w:val="20"/>
          <w:color w:val="auto"/>
        </w:rPr>
      </w:pPr>
      <w:r>
        <w:rPr>
          <w:rFonts w:ascii="Arial" w:cs="Arial" w:eastAsia="Arial" w:hAnsi="Arial"/>
          <w:sz w:val="16"/>
          <w:szCs w:val="16"/>
          <w:color w:val="auto"/>
        </w:rPr>
        <w:t>shared dispositive and voting power is claimed. Mr. Cooperman's address is St. Andrew's Country Club, 7118 Melrose Castle Lane, Boca Raton, Florida 33496. The business address of the Omega Entities is 810 Seventh Avenue, 33rd Floor, New York, New York 10019.</w:t>
      </w:r>
    </w:p>
    <w:p>
      <w:pPr>
        <w:spacing w:after="0" w:line="185" w:lineRule="exact"/>
        <w:rPr>
          <w:sz w:val="20"/>
          <w:szCs w:val="20"/>
          <w:color w:val="auto"/>
        </w:rPr>
      </w:pPr>
    </w:p>
    <w:p>
      <w:pPr>
        <w:ind w:left="1640" w:hanging="496"/>
        <w:spacing w:after="0" w:line="226" w:lineRule="auto"/>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Based on information contained in a Schedule 13G/A filed with the SEC on February 8, 2018 by The Vanguard Group, Inc. on behalf of itself and of Vanguard Fiduciary Trust Company and Vanguard Investments Australia, Ltd. (the "Vanguard Entities"). Includes 21,397 shares as to which sole voting power is claimed; 900 shares as to which shared voting power is claimed; 895,249 shares as to which sole dispositive power is claimed; and 21,597 shares as to which shared dispositive power is claimed. 20,697 shares are beneficially owned by Vanguard Fiduciary Trust Company, and 1,600 shares are beneficially owned by Vanguard Investments Australia, Ltd., each of which is a wholly-owned subsidiary of The Vanguard Group, Inc. The business address of The Vanguard Group, Inc. is 100 Vanguard Blvd, Malvern, Pennsylvania 19355.</w:t>
      </w:r>
    </w:p>
    <w:p>
      <w:pPr>
        <w:spacing w:after="0" w:line="197" w:lineRule="exact"/>
        <w:rPr>
          <w:rFonts w:ascii="Arial" w:cs="Arial" w:eastAsia="Arial" w:hAnsi="Arial"/>
          <w:sz w:val="27"/>
          <w:szCs w:val="27"/>
          <w:color w:val="auto"/>
          <w:vertAlign w:val="superscript"/>
        </w:rPr>
      </w:pPr>
    </w:p>
    <w:p>
      <w:pPr>
        <w:ind w:left="1640" w:right="80" w:hanging="496"/>
        <w:spacing w:after="0" w:line="230" w:lineRule="auto"/>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Consists of options to acquire 292,400 shares exercisable on or within 60 days after March 21, 2018; 23,175 restricted shares scheduled to vest on or within 60 days after March 21, 2018; and 375,319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acquired as a result of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acquired by the exercise of options on September 1, 2017 and 168,751 were acquired by the exercise of options on February 9, 2018.</w:t>
      </w:r>
    </w:p>
    <w:p>
      <w:pPr>
        <w:spacing w:after="0" w:line="187" w:lineRule="exact"/>
        <w:rPr>
          <w:rFonts w:ascii="Arial" w:cs="Arial" w:eastAsia="Arial" w:hAnsi="Arial"/>
          <w:sz w:val="27"/>
          <w:szCs w:val="27"/>
          <w:color w:val="auto"/>
          <w:vertAlign w:val="superscript"/>
        </w:rPr>
      </w:pPr>
    </w:p>
    <w:p>
      <w:pPr>
        <w:ind w:left="1640" w:right="60" w:hanging="496"/>
        <w:spacing w:after="0" w:line="223" w:lineRule="auto"/>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Consists of options to acquire 139,000 shares exercisable on or within 60 days after March 21, 2018; 7,839 restricted shares scheduled to vest on or within 60 days after March 21, 2018 and 217,787 shares, of which 18,000 were purchased in the open market on April 29, 2015, 8,130 were purchased as a result of a stock option exercise on March 30, 2016, 1,700 were purchased in the open market on May 2, 2016, 22,999 were acquired as a result of a stock option exercise on August 19, 2016, 3,610 were acquired pursuant to the vesting of a restricted share award on April 15, 2017, 39,167 were acquired by the exercise of options on September 1, 2017 and 117,501 were acquired by the exercise of options on February 9, 2018.</w:t>
      </w:r>
    </w:p>
    <w:p>
      <w:pPr>
        <w:spacing w:after="0" w:line="183" w:lineRule="exact"/>
        <w:rPr>
          <w:rFonts w:ascii="Arial" w:cs="Arial" w:eastAsia="Arial" w:hAnsi="Arial"/>
          <w:sz w:val="27"/>
          <w:szCs w:val="27"/>
          <w:color w:val="auto"/>
          <w:vertAlign w:val="superscript"/>
        </w:rPr>
      </w:pPr>
    </w:p>
    <w:p>
      <w:pPr>
        <w:ind w:left="1640" w:right="120" w:hanging="496"/>
        <w:spacing w:after="0"/>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Includes 142,108 shares held by Boston Provident Partners, L.P., a private investment fund managed by Mr. Kramer, of which 25,000 were purchased in the open market on February 24, 2017, 20,000 were purchased in the open market on August 30, 2017; 5,000 were purchased in the open market on August 31, 2017; and 125 restricted shares scheduled to vest within 60 days after March 21, 2018.</w:t>
      </w:r>
    </w:p>
    <w:p>
      <w:pPr>
        <w:spacing w:after="0" w:line="282" w:lineRule="exact"/>
        <w:rPr>
          <w:rFonts w:ascii="Arial" w:cs="Arial" w:eastAsia="Arial" w:hAnsi="Arial"/>
          <w:sz w:val="27"/>
          <w:szCs w:val="27"/>
          <w:color w:val="auto"/>
          <w:vertAlign w:val="superscript"/>
        </w:rPr>
      </w:pPr>
    </w:p>
    <w:p>
      <w:pPr>
        <w:ind w:left="1640" w:right="20" w:hanging="496"/>
        <w:spacing w:after="0" w:line="203" w:lineRule="auto"/>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Consists of options to acquire 68,213 shares exercisable on or within 60 days after March 21, 2018; 5,437 restricted shares scheduled to vest on or within 60 days after March 21, 2018; and 2,553 shares held jointly by Ms. Esterman and her spouse, Gregory F. Esterman, which were acquired pursuant to the vesting of a restricted share award on April 15, 2017.</w:t>
      </w:r>
    </w:p>
    <w:p>
      <w:pPr>
        <w:spacing w:after="0" w:line="184" w:lineRule="exact"/>
        <w:rPr>
          <w:rFonts w:ascii="Arial" w:cs="Arial" w:eastAsia="Arial" w:hAnsi="Arial"/>
          <w:sz w:val="27"/>
          <w:szCs w:val="27"/>
          <w:color w:val="auto"/>
          <w:vertAlign w:val="superscript"/>
        </w:rPr>
      </w:pPr>
    </w:p>
    <w:p>
      <w:pPr>
        <w:ind w:left="1640" w:right="20" w:hanging="496"/>
        <w:spacing w:after="0" w:line="213" w:lineRule="auto"/>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Consists of options to acquire 40,138 shares exercisable on or within 60 days after March 21, 2018; 2,369 restricted shares scheduled to vest on or within 60 days after March 21, 2018; and 5,037 shares, of which 1,100 were acquired as a result of a stock option exercise on September 6, 2017, 2,950 were purchased in the open market on May 11, 2015 and 987 were acquired pursuant to the vesting of a restricted share award on April 15, 2017.</w:t>
      </w:r>
    </w:p>
    <w:p>
      <w:pPr>
        <w:spacing w:after="0" w:line="61" w:lineRule="exact"/>
        <w:rPr>
          <w:rFonts w:ascii="Arial" w:cs="Arial" w:eastAsia="Arial" w:hAnsi="Arial"/>
          <w:sz w:val="27"/>
          <w:szCs w:val="27"/>
          <w:color w:val="auto"/>
          <w:vertAlign w:val="superscript"/>
        </w:rPr>
      </w:pPr>
    </w:p>
    <w:p>
      <w:pPr>
        <w:ind w:left="1640" w:hanging="496"/>
        <w:spacing w:after="0"/>
        <w:tabs>
          <w:tab w:leader="none" w:pos="164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Includes 2,070 shares held by the W. M. Linn Trust, 580 shares held by S &amp; S Agriculture &amp; Oil, LP, a limited partnership in which</w:t>
      </w:r>
    </w:p>
    <w:p>
      <w:pPr>
        <w:ind w:left="1640" w:right="20"/>
        <w:spacing w:after="0" w:line="263" w:lineRule="auto"/>
        <w:rPr>
          <w:rFonts w:ascii="Arial" w:cs="Arial" w:eastAsia="Arial" w:hAnsi="Arial"/>
          <w:sz w:val="27"/>
          <w:szCs w:val="27"/>
          <w:color w:val="auto"/>
          <w:vertAlign w:val="superscript"/>
        </w:rPr>
      </w:pPr>
      <w:r>
        <w:rPr>
          <w:rFonts w:ascii="Arial" w:cs="Arial" w:eastAsia="Arial" w:hAnsi="Arial"/>
          <w:sz w:val="16"/>
          <w:szCs w:val="16"/>
          <w:color w:val="auto"/>
        </w:rPr>
        <w:t>Mr. Linn shares voting and dispositive power, 1,500 shares held by the William Michael Linn, Roth IRA and 233 shares held by William M. Linn, Simple IRA.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130175</wp:posOffset>
            </wp:positionV>
            <wp:extent cx="4269740" cy="16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6974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hanging="496"/>
        <w:spacing w:after="0" w:line="203" w:lineRule="auto"/>
        <w:tabs>
          <w:tab w:leader="none" w:pos="1640" w:val="left"/>
        </w:tabs>
        <w:numPr>
          <w:ilvl w:val="0"/>
          <w:numId w:val="26"/>
        </w:numPr>
        <w:rPr>
          <w:rFonts w:ascii="Arial" w:cs="Arial" w:eastAsia="Arial" w:hAnsi="Arial"/>
          <w:sz w:val="27"/>
          <w:szCs w:val="27"/>
          <w:color w:val="auto"/>
          <w:vertAlign w:val="superscript"/>
        </w:rPr>
      </w:pPr>
      <w:r>
        <w:rPr>
          <w:rFonts w:ascii="Arial" w:cs="Arial" w:eastAsia="Arial" w:hAnsi="Arial"/>
          <w:sz w:val="16"/>
          <w:szCs w:val="16"/>
          <w:color w:val="auto"/>
        </w:rPr>
        <w:t>Consists of options to acquire 15,092 shares exercisable on or within 60 days after March 21, 2018, 2,369 restricted shares scheduled to vest on or within 60 days after March 21, 2018 and 1,487 shares, of which 500 were purchased in the open market on March 21, 2016 and 987 were acquired pursuant to the vesting of a restricted share award on April 15, 2017.</w:t>
      </w:r>
    </w:p>
    <w:p>
      <w:pPr>
        <w:spacing w:after="0" w:line="83" w:lineRule="exact"/>
        <w:rPr>
          <w:rFonts w:ascii="Arial" w:cs="Arial" w:eastAsia="Arial" w:hAnsi="Arial"/>
          <w:sz w:val="27"/>
          <w:szCs w:val="27"/>
          <w:color w:val="auto"/>
          <w:vertAlign w:val="superscript"/>
        </w:rPr>
      </w:pPr>
    </w:p>
    <w:p>
      <w:pPr>
        <w:ind w:left="1640" w:hanging="496"/>
        <w:spacing w:after="0"/>
        <w:tabs>
          <w:tab w:leader="none" w:pos="1640" w:val="left"/>
        </w:tabs>
        <w:numPr>
          <w:ilvl w:val="0"/>
          <w:numId w:val="26"/>
        </w:numPr>
        <w:rPr>
          <w:rFonts w:ascii="Arial" w:cs="Arial" w:eastAsia="Arial" w:hAnsi="Arial"/>
          <w:sz w:val="27"/>
          <w:szCs w:val="27"/>
          <w:color w:val="auto"/>
          <w:vertAlign w:val="superscript"/>
        </w:rPr>
      </w:pPr>
      <w:r>
        <w:rPr>
          <w:rFonts w:ascii="Arial" w:cs="Arial" w:eastAsia="Arial" w:hAnsi="Arial"/>
          <w:sz w:val="16"/>
          <w:szCs w:val="16"/>
          <w:color w:val="auto"/>
        </w:rPr>
        <w:t>Consists of 1,200 shares purchased in the open market by Mr. Chatterjee's spouse, Valeriya Chatterjee, on October 31, 2017.</w:t>
      </w:r>
    </w:p>
    <w:p>
      <w:pPr>
        <w:spacing w:after="0" w:line="139" w:lineRule="exact"/>
        <w:rPr>
          <w:rFonts w:ascii="Arial" w:cs="Arial" w:eastAsia="Arial" w:hAnsi="Arial"/>
          <w:sz w:val="27"/>
          <w:szCs w:val="27"/>
          <w:color w:val="auto"/>
          <w:vertAlign w:val="superscript"/>
        </w:rPr>
      </w:pPr>
    </w:p>
    <w:p>
      <w:pPr>
        <w:ind w:left="1640" w:hanging="496"/>
        <w:spacing w:after="0" w:line="184" w:lineRule="auto"/>
        <w:tabs>
          <w:tab w:leader="none" w:pos="1640" w:val="left"/>
        </w:tabs>
        <w:numPr>
          <w:ilvl w:val="0"/>
          <w:numId w:val="26"/>
        </w:numPr>
        <w:rPr>
          <w:rFonts w:ascii="Arial" w:cs="Arial" w:eastAsia="Arial" w:hAnsi="Arial"/>
          <w:sz w:val="27"/>
          <w:szCs w:val="27"/>
          <w:color w:val="auto"/>
          <w:vertAlign w:val="superscript"/>
        </w:rPr>
      </w:pPr>
      <w:r>
        <w:rPr>
          <w:rFonts w:ascii="Arial" w:cs="Arial" w:eastAsia="Arial" w:hAnsi="Arial"/>
          <w:sz w:val="16"/>
          <w:szCs w:val="16"/>
          <w:color w:val="auto"/>
        </w:rPr>
        <w:t>Consists of 125 restricted shares scheduled to vest within 60 days after March 21, 2018.</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500"/>
        <w:spacing w:after="0"/>
        <w:rPr>
          <w:sz w:val="20"/>
          <w:szCs w:val="20"/>
          <w:color w:val="auto"/>
        </w:rPr>
      </w:pPr>
      <w:r>
        <w:rPr>
          <w:rFonts w:ascii="Arial" w:cs="Arial" w:eastAsia="Arial" w:hAnsi="Arial"/>
          <w:sz w:val="16"/>
          <w:szCs w:val="16"/>
          <w:b w:val="1"/>
          <w:bCs w:val="1"/>
          <w:color w:val="auto"/>
        </w:rPr>
        <w:t>Plan</w:t>
      </w:r>
    </w:p>
    <w:p>
      <w:pPr>
        <w:spacing w:after="0" w:line="26" w:lineRule="exact"/>
        <w:rPr>
          <w:sz w:val="20"/>
          <w:szCs w:val="20"/>
          <w:color w:val="auto"/>
        </w:rPr>
      </w:pPr>
    </w:p>
    <w:p>
      <w:pPr>
        <w:jc w:val="center"/>
        <w:ind w:left="1500"/>
        <w:spacing w:after="0"/>
        <w:rPr>
          <w:sz w:val="20"/>
          <w:szCs w:val="20"/>
          <w:color w:val="auto"/>
        </w:rPr>
      </w:pPr>
      <w:r>
        <w:rPr>
          <w:rFonts w:ascii="Arial" w:cs="Arial" w:eastAsia="Arial" w:hAnsi="Arial"/>
          <w:sz w:val="16"/>
          <w:szCs w:val="16"/>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1905</wp:posOffset>
            </wp:positionV>
            <wp:extent cx="20707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70735" cy="8255"/>
                    </a:xfrm>
                    <a:prstGeom prst="rect">
                      <a:avLst/>
                    </a:prstGeom>
                    <a:noFill/>
                  </pic:spPr>
                </pic:pic>
              </a:graphicData>
            </a:graphic>
          </wp:anchor>
        </w:drawing>
      </w:r>
    </w:p>
    <w:p>
      <w:pPr>
        <w:ind w:left="1140"/>
        <w:spacing w:after="0" w:line="263" w:lineRule="auto"/>
        <w:rPr>
          <w:sz w:val="20"/>
          <w:szCs w:val="20"/>
          <w:color w:val="auto"/>
        </w:rPr>
      </w:pPr>
      <w:r>
        <w:rPr>
          <w:rFonts w:ascii="Arial" w:cs="Arial" w:eastAsia="Arial" w:hAnsi="Arial"/>
          <w:sz w:val="16"/>
          <w:szCs w:val="16"/>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Number of securities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0"/>
        </w:trPr>
        <w:tc>
          <w:tcPr>
            <w:tcW w:w="1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to be issued upon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0"/>
        </w:trPr>
        <w:tc>
          <w:tcPr>
            <w:tcW w:w="1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r>
      <w:tr>
        <w:trPr>
          <w:trHeight w:val="190"/>
        </w:trPr>
        <w:tc>
          <w:tcPr>
            <w:tcW w:w="17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of outstanding</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r>
      <w:tr>
        <w:trPr>
          <w:trHeight w:val="190"/>
        </w:trPr>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warrants and</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r>
      <w:tr>
        <w:trPr>
          <w:trHeight w:val="207"/>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equity compensation plans</w:t>
            </w:r>
          </w:p>
        </w:tc>
      </w:tr>
      <w:tr>
        <w:trPr>
          <w:trHeight w:val="281"/>
        </w:trPr>
        <w:tc>
          <w:tcPr>
            <w:tcW w:w="1640" w:type="dxa"/>
            <w:vAlign w:val="bottom"/>
          </w:tcPr>
          <w:p>
            <w:pPr>
              <w:jc w:val="center"/>
              <w:spacing w:after="0"/>
              <w:rPr>
                <w:sz w:val="20"/>
                <w:szCs w:val="20"/>
                <w:color w:val="auto"/>
              </w:rPr>
            </w:pPr>
            <w:r>
              <w:rPr>
                <w:rFonts w:ascii="Arial" w:cs="Arial" w:eastAsia="Arial" w:hAnsi="Arial"/>
                <w:sz w:val="16"/>
                <w:szCs w:val="16"/>
                <w:color w:val="auto"/>
              </w:rPr>
              <w:t>1,745,906</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$28.20</w:t>
            </w:r>
          </w:p>
        </w:tc>
        <w:tc>
          <w:tcPr>
            <w:tcW w:w="2220" w:type="dxa"/>
            <w:vAlign w:val="bottom"/>
            <w:gridSpan w:val="2"/>
          </w:tcPr>
          <w:p>
            <w:pPr>
              <w:jc w:val="center"/>
              <w:spacing w:after="0"/>
              <w:rPr>
                <w:sz w:val="20"/>
                <w:szCs w:val="20"/>
                <w:color w:val="auto"/>
              </w:rPr>
            </w:pPr>
            <w:r>
              <w:rPr>
                <w:rFonts w:ascii="Arial" w:cs="Arial" w:eastAsia="Arial" w:hAnsi="Arial"/>
                <w:sz w:val="16"/>
                <w:szCs w:val="16"/>
                <w:color w:val="auto"/>
              </w:rPr>
              <w:t>1,450,799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-182245</wp:posOffset>
            </wp:positionV>
            <wp:extent cx="5842635" cy="240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635" cy="24066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4060" w:space="440"/>
            <w:col w:w="6900"/>
          </w:cols>
          <w:pgMar w:left="240" w:top="14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2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2017.</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provides information regarding each of the following:</w:t>
      </w:r>
    </w:p>
    <w:p>
      <w:pPr>
        <w:spacing w:after="0" w:line="208" w:lineRule="exact"/>
        <w:rPr>
          <w:sz w:val="20"/>
          <w:szCs w:val="20"/>
          <w:color w:val="auto"/>
        </w:rPr>
      </w:pPr>
    </w:p>
    <w:p>
      <w:pPr>
        <w:ind w:left="1020" w:hanging="51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compensation philosophy and the overall objectives of our executive compensation program;</w:t>
      </w:r>
    </w:p>
    <w:p>
      <w:pPr>
        <w:spacing w:after="0" w:line="207" w:lineRule="exact"/>
        <w:rPr>
          <w:rFonts w:ascii="Arial" w:cs="Arial" w:eastAsia="Arial" w:hAnsi="Arial"/>
          <w:sz w:val="16"/>
          <w:szCs w:val="16"/>
          <w:color w:val="auto"/>
        </w:rPr>
      </w:pPr>
    </w:p>
    <w:p>
      <w:pPr>
        <w:ind w:left="1020" w:hanging="51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compensation governance practices;</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executive compensation review process;</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elements of our executive compensation program; and</w:t>
      </w:r>
    </w:p>
    <w:p>
      <w:pPr>
        <w:spacing w:after="0" w:line="207" w:lineRule="exact"/>
        <w:rPr>
          <w:rFonts w:ascii="Arial" w:cs="Arial" w:eastAsia="Arial" w:hAnsi="Arial"/>
          <w:sz w:val="16"/>
          <w:szCs w:val="16"/>
          <w:color w:val="auto"/>
        </w:rPr>
      </w:pPr>
    </w:p>
    <w:p>
      <w:pPr>
        <w:ind w:left="1020" w:right="280" w:hanging="513"/>
        <w:spacing w:after="0" w:line="263"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decisions made in 2017 and the first quarter of 2018 with respect to the compensation of each of the named executive officers identified below (the "Named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gridSpan w:val="2"/>
          </w:tcPr>
          <w:p>
            <w:pPr>
              <w:spacing w:after="0"/>
              <w:rPr>
                <w:sz w:val="20"/>
                <w:szCs w:val="20"/>
                <w:color w:val="auto"/>
              </w:rPr>
            </w:pPr>
            <w:r>
              <w:rPr>
                <w:rFonts w:ascii="Arial" w:cs="Arial" w:eastAsia="Arial" w:hAnsi="Arial"/>
                <w:sz w:val="16"/>
                <w:szCs w:val="16"/>
                <w:color w:val="auto"/>
              </w:rPr>
              <w:t>Our Named Executive Officers for 2017 are:</w:t>
            </w:r>
          </w:p>
        </w:tc>
        <w:tc>
          <w:tcPr>
            <w:tcW w:w="200" w:type="dxa"/>
            <w:vAlign w:val="bottom"/>
          </w:tcPr>
          <w:p>
            <w:pPr>
              <w:spacing w:after="0"/>
              <w:rPr>
                <w:sz w:val="17"/>
                <w:szCs w:val="17"/>
                <w:color w:val="auto"/>
              </w:rPr>
            </w:pPr>
          </w:p>
        </w:tc>
        <w:tc>
          <w:tcPr>
            <w:tcW w:w="6520" w:type="dxa"/>
            <w:vAlign w:val="bottom"/>
          </w:tcPr>
          <w:p>
            <w:pPr>
              <w:spacing w:after="0"/>
              <w:rPr>
                <w:sz w:val="17"/>
                <w:szCs w:val="17"/>
                <w:color w:val="auto"/>
              </w:rPr>
            </w:pPr>
          </w:p>
        </w:tc>
      </w:tr>
      <w:tr>
        <w:trPr>
          <w:trHeight w:val="382"/>
        </w:trPr>
        <w:tc>
          <w:tcPr>
            <w:tcW w:w="1140" w:type="dxa"/>
            <w:vAlign w:val="bottom"/>
          </w:tcPr>
          <w:p>
            <w:pPr>
              <w:spacing w:after="0"/>
              <w:rPr>
                <w:sz w:val="24"/>
                <w:szCs w:val="24"/>
                <w:color w:val="auto"/>
              </w:rPr>
            </w:pPr>
          </w:p>
        </w:tc>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520" w:type="dxa"/>
            <w:vAlign w:val="bottom"/>
            <w:tcBorders>
              <w:bottom w:val="single" w:sz="8" w:color="auto"/>
            </w:tcBorders>
          </w:tcPr>
          <w:p>
            <w:pPr>
              <w:ind w:left="2940"/>
              <w:spacing w:after="0"/>
              <w:rPr>
                <w:sz w:val="20"/>
                <w:szCs w:val="20"/>
                <w:color w:val="auto"/>
              </w:rPr>
            </w:pPr>
            <w:r>
              <w:rPr>
                <w:rFonts w:ascii="Arial" w:cs="Arial" w:eastAsia="Arial" w:hAnsi="Arial"/>
                <w:sz w:val="16"/>
                <w:szCs w:val="16"/>
                <w:b w:val="1"/>
                <w:bCs w:val="1"/>
                <w:color w:val="auto"/>
              </w:rPr>
              <w:t>Position</w:t>
            </w:r>
          </w:p>
        </w:tc>
      </w:tr>
      <w:tr>
        <w:trPr>
          <w:trHeight w:val="182"/>
        </w:trPr>
        <w:tc>
          <w:tcPr>
            <w:tcW w:w="1140" w:type="dxa"/>
            <w:vAlign w:val="bottom"/>
          </w:tcPr>
          <w:p>
            <w:pPr>
              <w:spacing w:after="0"/>
              <w:rPr>
                <w:sz w:val="15"/>
                <w:szCs w:val="15"/>
                <w:color w:val="auto"/>
              </w:rPr>
            </w:pPr>
          </w:p>
        </w:tc>
        <w:tc>
          <w:tcPr>
            <w:tcW w:w="24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William B. Shepro</w:t>
            </w:r>
          </w:p>
        </w:tc>
        <w:tc>
          <w:tcPr>
            <w:tcW w:w="200" w:type="dxa"/>
            <w:vAlign w:val="bottom"/>
            <w:shd w:val="clear" w:color="auto" w:fill="CCEEFF"/>
          </w:tcPr>
          <w:p>
            <w:pPr>
              <w:spacing w:after="0"/>
              <w:rPr>
                <w:sz w:val="15"/>
                <w:szCs w:val="15"/>
                <w:color w:val="auto"/>
              </w:rPr>
            </w:pPr>
          </w:p>
        </w:tc>
        <w:tc>
          <w:tcPr>
            <w:tcW w:w="65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Chief Executive Officer</w:t>
            </w:r>
          </w:p>
        </w:tc>
      </w:tr>
      <w:tr>
        <w:trPr>
          <w:trHeight w:val="190"/>
        </w:trPr>
        <w:tc>
          <w:tcPr>
            <w:tcW w:w="114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Kevin J. Wilcox</w:t>
            </w:r>
          </w:p>
        </w:tc>
        <w:tc>
          <w:tcPr>
            <w:tcW w:w="200" w:type="dxa"/>
            <w:vAlign w:val="bottom"/>
          </w:tcPr>
          <w:p>
            <w:pPr>
              <w:spacing w:after="0"/>
              <w:rPr>
                <w:sz w:val="16"/>
                <w:szCs w:val="16"/>
                <w:color w:val="auto"/>
              </w:rPr>
            </w:pPr>
          </w:p>
        </w:tc>
        <w:tc>
          <w:tcPr>
            <w:tcW w:w="6520" w:type="dxa"/>
            <w:vAlign w:val="bottom"/>
          </w:tcPr>
          <w:p>
            <w:pPr>
              <w:ind w:left="20"/>
              <w:spacing w:after="0"/>
              <w:rPr>
                <w:sz w:val="20"/>
                <w:szCs w:val="20"/>
                <w:color w:val="auto"/>
              </w:rPr>
            </w:pPr>
            <w:r>
              <w:rPr>
                <w:rFonts w:ascii="Arial" w:cs="Arial" w:eastAsia="Arial" w:hAnsi="Arial"/>
                <w:sz w:val="16"/>
                <w:szCs w:val="16"/>
                <w:color w:val="auto"/>
              </w:rPr>
              <w:t>Chief Administration and Risk Officer</w:t>
            </w:r>
          </w:p>
        </w:tc>
      </w:tr>
      <w:tr>
        <w:trPr>
          <w:trHeight w:val="228"/>
        </w:trPr>
        <w:tc>
          <w:tcPr>
            <w:tcW w:w="114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Indroneel Chatterjee</w:t>
            </w:r>
          </w:p>
        </w:tc>
        <w:tc>
          <w:tcPr>
            <w:tcW w:w="200" w:type="dxa"/>
            <w:vAlign w:val="bottom"/>
            <w:shd w:val="clear" w:color="auto" w:fill="CCEEFF"/>
          </w:tcPr>
          <w:p>
            <w:pPr>
              <w:spacing w:after="0"/>
              <w:rPr>
                <w:sz w:val="19"/>
                <w:szCs w:val="19"/>
                <w:color w:val="auto"/>
              </w:rPr>
            </w:pPr>
          </w:p>
        </w:tc>
        <w:tc>
          <w:tcPr>
            <w:tcW w:w="6520" w:type="dxa"/>
            <w:vAlign w:val="bottom"/>
            <w:shd w:val="clear" w:color="auto" w:fill="CCEEFF"/>
          </w:tcPr>
          <w:p>
            <w:pPr>
              <w:ind w:left="20"/>
              <w:spacing w:after="0" w:line="227" w:lineRule="exact"/>
              <w:rPr>
                <w:sz w:val="20"/>
                <w:szCs w:val="20"/>
                <w:color w:val="auto"/>
              </w:rPr>
            </w:pPr>
            <w:r>
              <w:rPr>
                <w:rFonts w:ascii="Arial" w:cs="Arial" w:eastAsia="Arial" w:hAnsi="Arial"/>
                <w:sz w:val="16"/>
                <w:szCs w:val="16"/>
                <w:color w:val="auto"/>
              </w:rPr>
              <w:t>Chief Financial Officer</w:t>
            </w:r>
            <w:r>
              <w:rPr>
                <w:rFonts w:ascii="Arial" w:cs="Arial" w:eastAsia="Arial" w:hAnsi="Arial"/>
                <w:sz w:val="26"/>
                <w:szCs w:val="26"/>
                <w:color w:val="auto"/>
                <w:vertAlign w:val="superscript"/>
              </w:rPr>
              <w:t>(1)</w:t>
            </w:r>
          </w:p>
        </w:tc>
      </w:tr>
      <w:tr>
        <w:trPr>
          <w:trHeight w:val="228"/>
        </w:trPr>
        <w:tc>
          <w:tcPr>
            <w:tcW w:w="114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Michelle D. Esterman</w:t>
            </w:r>
          </w:p>
        </w:tc>
        <w:tc>
          <w:tcPr>
            <w:tcW w:w="200" w:type="dxa"/>
            <w:vAlign w:val="bottom"/>
          </w:tcPr>
          <w:p>
            <w:pPr>
              <w:spacing w:after="0"/>
              <w:rPr>
                <w:sz w:val="19"/>
                <w:szCs w:val="19"/>
                <w:color w:val="auto"/>
              </w:rPr>
            </w:pPr>
          </w:p>
        </w:tc>
        <w:tc>
          <w:tcPr>
            <w:tcW w:w="6520" w:type="dxa"/>
            <w:vAlign w:val="bottom"/>
          </w:tcPr>
          <w:p>
            <w:pPr>
              <w:ind w:left="20"/>
              <w:spacing w:after="0" w:line="227" w:lineRule="exact"/>
              <w:rPr>
                <w:sz w:val="20"/>
                <w:szCs w:val="20"/>
                <w:color w:val="auto"/>
              </w:rPr>
            </w:pPr>
            <w:r>
              <w:rPr>
                <w:rFonts w:ascii="Arial" w:cs="Arial" w:eastAsia="Arial" w:hAnsi="Arial"/>
                <w:sz w:val="16"/>
                <w:szCs w:val="16"/>
                <w:color w:val="auto"/>
              </w:rPr>
              <w:t>Executive Vice President, Finance (former Chief Financial Officer)</w:t>
            </w:r>
            <w:r>
              <w:rPr>
                <w:rFonts w:ascii="Arial" w:cs="Arial" w:eastAsia="Arial" w:hAnsi="Arial"/>
                <w:sz w:val="26"/>
                <w:szCs w:val="26"/>
                <w:color w:val="auto"/>
                <w:vertAlign w:val="superscript"/>
              </w:rPr>
              <w:t>(2)</w:t>
            </w:r>
          </w:p>
        </w:tc>
      </w:tr>
      <w:tr>
        <w:trPr>
          <w:trHeight w:val="190"/>
        </w:trPr>
        <w:tc>
          <w:tcPr>
            <w:tcW w:w="114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Joseph A. Davila</w:t>
            </w:r>
          </w:p>
        </w:tc>
        <w:tc>
          <w:tcPr>
            <w:tcW w:w="200" w:type="dxa"/>
            <w:vAlign w:val="bottom"/>
            <w:shd w:val="clear" w:color="auto" w:fill="CCEEFF"/>
          </w:tcPr>
          <w:p>
            <w:pPr>
              <w:spacing w:after="0"/>
              <w:rPr>
                <w:sz w:val="16"/>
                <w:szCs w:val="16"/>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Servicer Solutions</w:t>
            </w:r>
          </w:p>
        </w:tc>
      </w:tr>
      <w:tr>
        <w:trPr>
          <w:trHeight w:val="200"/>
        </w:trPr>
        <w:tc>
          <w:tcPr>
            <w:tcW w:w="114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Gregory J. Ritts</w:t>
            </w:r>
          </w:p>
        </w:tc>
        <w:tc>
          <w:tcPr>
            <w:tcW w:w="200" w:type="dxa"/>
            <w:vAlign w:val="bottom"/>
          </w:tcPr>
          <w:p>
            <w:pPr>
              <w:spacing w:after="0"/>
              <w:rPr>
                <w:sz w:val="17"/>
                <w:szCs w:val="17"/>
                <w:color w:val="auto"/>
              </w:rPr>
            </w:pPr>
          </w:p>
        </w:tc>
        <w:tc>
          <w:tcPr>
            <w:tcW w:w="6520" w:type="dxa"/>
            <w:vAlign w:val="bottom"/>
          </w:tcPr>
          <w:p>
            <w:pPr>
              <w:ind w:left="20"/>
              <w:spacing w:after="0"/>
              <w:rPr>
                <w:sz w:val="20"/>
                <w:szCs w:val="20"/>
                <w:color w:val="auto"/>
              </w:rPr>
            </w:pPr>
            <w:r>
              <w:rPr>
                <w:rFonts w:ascii="Arial" w:cs="Arial" w:eastAsia="Arial" w:hAnsi="Arial"/>
                <w:sz w:val="16"/>
                <w:szCs w:val="16"/>
                <w:color w:val="auto"/>
              </w:rPr>
              <w:t>Chief Legal and Compliance Officer</w:t>
            </w:r>
          </w:p>
        </w:tc>
      </w:tr>
    </w:tbl>
    <w:p>
      <w:pPr>
        <w:spacing w:after="0" w:line="81" w:lineRule="exact"/>
        <w:rPr>
          <w:sz w:val="20"/>
          <w:szCs w:val="20"/>
          <w:color w:val="auto"/>
        </w:rPr>
      </w:pPr>
    </w:p>
    <w:p>
      <w:pPr>
        <w:ind w:left="1640" w:hanging="496"/>
        <w:spacing w:after="0"/>
        <w:tabs>
          <w:tab w:leader="none" w:pos="1640" w:val="left"/>
        </w:tabs>
        <w:numPr>
          <w:ilvl w:val="0"/>
          <w:numId w:val="28"/>
        </w:numPr>
        <w:rPr>
          <w:rFonts w:ascii="Arial" w:cs="Arial" w:eastAsia="Arial" w:hAnsi="Arial"/>
          <w:sz w:val="27"/>
          <w:szCs w:val="27"/>
          <w:color w:val="auto"/>
          <w:vertAlign w:val="superscript"/>
        </w:rPr>
      </w:pPr>
      <w:r>
        <w:rPr>
          <w:rFonts w:ascii="Arial" w:cs="Arial" w:eastAsia="Arial" w:hAnsi="Arial"/>
          <w:sz w:val="16"/>
          <w:szCs w:val="16"/>
          <w:color w:val="auto"/>
        </w:rPr>
        <w:t>Mr. Chatterjee joined the Company as Chief Financial Officer effective October 5, 2017</w:t>
      </w:r>
    </w:p>
    <w:p>
      <w:pPr>
        <w:spacing w:after="0" w:line="182" w:lineRule="exact"/>
        <w:rPr>
          <w:rFonts w:ascii="Arial" w:cs="Arial" w:eastAsia="Arial" w:hAnsi="Arial"/>
          <w:sz w:val="27"/>
          <w:szCs w:val="27"/>
          <w:color w:val="auto"/>
          <w:vertAlign w:val="superscript"/>
        </w:rPr>
      </w:pPr>
    </w:p>
    <w:p>
      <w:pPr>
        <w:ind w:left="1640" w:right="600" w:hanging="496"/>
        <w:spacing w:after="0" w:line="187" w:lineRule="auto"/>
        <w:tabs>
          <w:tab w:leader="none" w:pos="1640" w:val="left"/>
        </w:tabs>
        <w:numPr>
          <w:ilvl w:val="0"/>
          <w:numId w:val="28"/>
        </w:numPr>
        <w:rPr>
          <w:rFonts w:ascii="Arial" w:cs="Arial" w:eastAsia="Arial" w:hAnsi="Arial"/>
          <w:sz w:val="27"/>
          <w:szCs w:val="27"/>
          <w:color w:val="auto"/>
          <w:vertAlign w:val="superscript"/>
        </w:rPr>
      </w:pPr>
      <w:r>
        <w:rPr>
          <w:rFonts w:ascii="Arial" w:cs="Arial" w:eastAsia="Arial" w:hAnsi="Arial"/>
          <w:sz w:val="16"/>
          <w:szCs w:val="16"/>
          <w:color w:val="auto"/>
        </w:rPr>
        <w:t>Ms. Esterman held the position of Chief Financial Officer through October 4, 2017 and assumed the position of Executive Vice President, Finance effective October 5,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and Objectives</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To achieve these objectives, we generally believe executive compensation packages should include both cash and equity-based compensation that rewards performance measured against established goals.</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determining executive compensation for fiscal year 2017, our Compensation Committee considered the overwhelming shareholder support that the "Say-on-Pay" proposal received at our 2017 annual meeting of shareholders, with approximately ninety-two percent (92%) of voted shares supporting the Company's executive compensation structure, and continued to apply the same effective principles and philosophy it has used in previous years, including pay-for-performance and the use of compensation programs designed to motivate the creation of shareholder value. In furtherance of these principles, our Compensation Committee has approved certain compensation changes, including (i) moving toward a more regular annual equity grant practice for our executive officers, (ii) changing the payout methodology of our annual incentive plan beginning in 2018 to reduce the cash component and replace it with an equity component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and (iii) granting equity more broadly across our organization to motivate and align employees with the success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Governance Practices</w:t>
      </w:r>
    </w:p>
    <w:p>
      <w:pPr>
        <w:spacing w:after="0" w:line="228"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Key features of our compensation program and practices include:</w:t>
      </w:r>
    </w:p>
    <w:p>
      <w:pPr>
        <w:spacing w:after="0" w:line="192" w:lineRule="exact"/>
        <w:rPr>
          <w:sz w:val="20"/>
          <w:szCs w:val="20"/>
          <w:color w:val="auto"/>
        </w:rPr>
      </w:pPr>
    </w:p>
    <w:p>
      <w:pPr>
        <w:ind w:left="1020" w:hanging="513"/>
        <w:spacing w:after="0" w:line="25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Pay is highly linked to performance. Our 2017 incentive cash compensation awards make up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cash compensation for each of our Named Executive Officers, including the majority of the compensation for our Chief Executive Officer, and are based on financial goals (e.g., service revenue, pre-tax income and/or earnings per share ("EPS") targets), strategic initiatives and individual performance goals. In addition, the 2017 and 2018 awards issued pursuant to our Long Term Incentive Plan have a significant performance component.</w:t>
      </w:r>
    </w:p>
    <w:p>
      <w:pPr>
        <w:spacing w:after="0" w:line="168" w:lineRule="exact"/>
        <w:rPr>
          <w:rFonts w:ascii="Arial" w:cs="Arial" w:eastAsia="Arial" w:hAnsi="Arial"/>
          <w:sz w:val="16"/>
          <w:szCs w:val="16"/>
          <w:color w:val="auto"/>
        </w:rPr>
      </w:pPr>
    </w:p>
    <w:p>
      <w:pPr>
        <w:ind w:left="1020" w:right="180" w:hanging="513"/>
        <w:spacing w:after="0" w:line="28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We use an independent compensation consultant to review, analyze and provide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executive compensation.</w:t>
      </w:r>
    </w:p>
    <w:p>
      <w:pPr>
        <w:spacing w:after="0" w:line="133" w:lineRule="exact"/>
        <w:rPr>
          <w:rFonts w:ascii="Arial" w:cs="Arial" w:eastAsia="Arial" w:hAnsi="Arial"/>
          <w:sz w:val="16"/>
          <w:szCs w:val="16"/>
          <w:color w:val="auto"/>
        </w:rPr>
      </w:pPr>
    </w:p>
    <w:p>
      <w:pPr>
        <w:jc w:val="both"/>
        <w:ind w:left="1020" w:right="100" w:hanging="513"/>
        <w:spacing w:after="0" w:line="26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Minimum Stock Ownership Requirement for the Chief Executive Officer. </w:t>
      </w:r>
      <w:r>
        <w:rPr>
          <w:rFonts w:ascii="Arial" w:cs="Arial" w:eastAsia="Arial" w:hAnsi="Arial"/>
          <w:sz w:val="16"/>
          <w:szCs w:val="16"/>
          <w:color w:val="auto"/>
        </w:rPr>
        <w:t>In February 2018, the Board of Directors instituted a minimum stock</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requirement for our Chief Executive Officer requiring that he beneficially own Altisource stock equal to at least three times his base salary.</w:t>
      </w:r>
    </w:p>
    <w:p>
      <w:pPr>
        <w:spacing w:after="0" w:line="146" w:lineRule="exact"/>
        <w:rPr>
          <w:rFonts w:ascii="Arial" w:cs="Arial" w:eastAsia="Arial" w:hAnsi="Arial"/>
          <w:sz w:val="16"/>
          <w:szCs w:val="16"/>
          <w:color w:val="auto"/>
        </w:rPr>
      </w:pPr>
    </w:p>
    <w:p>
      <w:pPr>
        <w:ind w:left="1020" w:right="160" w:hanging="513"/>
        <w:spacing w:after="0" w:line="26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In February 2018, we voluntarily adopted a claw-back policy that provides that, in the event of an accounting restatement,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seek to recoup incentive compensation paid to one or more executive officers to the extent that their fraud or intentional misconduct caused the restatement.</w:t>
      </w:r>
    </w:p>
    <w:p>
      <w:pPr>
        <w:spacing w:after="0" w:line="159" w:lineRule="exact"/>
        <w:rPr>
          <w:rFonts w:ascii="Arial" w:cs="Arial" w:eastAsia="Arial" w:hAnsi="Arial"/>
          <w:sz w:val="16"/>
          <w:szCs w:val="16"/>
          <w:color w:val="auto"/>
        </w:rPr>
      </w:pPr>
    </w:p>
    <w:p>
      <w:pPr>
        <w:ind w:left="1020" w:right="60" w:hanging="513"/>
        <w:spacing w:after="0" w:line="28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With respect to equity grants made after January 1, 2013, we have the right to cancel outstanding equity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recover realized gains if an executive breaches certain restrictive covenants within two years following his or her departure from the Company.</w:t>
      </w:r>
    </w:p>
    <w:p>
      <w:pPr>
        <w:spacing w:after="0" w:line="133" w:lineRule="exact"/>
        <w:rPr>
          <w:rFonts w:ascii="Arial" w:cs="Arial" w:eastAsia="Arial" w:hAnsi="Arial"/>
          <w:sz w:val="16"/>
          <w:szCs w:val="16"/>
          <w:color w:val="auto"/>
        </w:rPr>
      </w:pPr>
    </w:p>
    <w:p>
      <w:pPr>
        <w:ind w:left="1020" w:hanging="51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Golden Parachute Excise Tax Protection. </w:t>
      </w:r>
      <w:r>
        <w:rPr>
          <w:rFonts w:ascii="Arial" w:cs="Arial" w:eastAsia="Arial" w:hAnsi="Arial"/>
          <w:sz w:val="16"/>
          <w:szCs w:val="16"/>
          <w:color w:val="auto"/>
        </w:rPr>
        <w:t>We do not provide golden parachute excise tax gross-up protection for our executives.</w:t>
      </w:r>
    </w:p>
    <w:p>
      <w:pPr>
        <w:spacing w:after="0" w:line="195" w:lineRule="exact"/>
        <w:rPr>
          <w:rFonts w:ascii="Arial" w:cs="Arial" w:eastAsia="Arial" w:hAnsi="Arial"/>
          <w:sz w:val="16"/>
          <w:szCs w:val="16"/>
          <w:color w:val="auto"/>
        </w:rPr>
      </w:pPr>
    </w:p>
    <w:p>
      <w:pPr>
        <w:ind w:left="1020" w:right="100" w:hanging="513"/>
        <w:spacing w:after="0" w:line="259"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Anti-Hedging and Anti-Pledging Policies. </w:t>
      </w:r>
      <w:r>
        <w:rPr>
          <w:rFonts w:ascii="Arial" w:cs="Arial" w:eastAsia="Arial" w:hAnsi="Arial"/>
          <w:sz w:val="16"/>
          <w:szCs w:val="16"/>
          <w:color w:val="auto"/>
        </w:rPr>
        <w:t>Our Corporate Governance Guidelines prohibit our executive officers and directors from pledging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encumbering shares of the 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Executive Compensation Review Process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Our Compensation Committee</w:t>
      </w:r>
    </w:p>
    <w:p>
      <w:pPr>
        <w:spacing w:after="0" w:line="228"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The Compensation Committee is responsible for overseeing our executive compensation programs, including base salaries, annual non-equity incentive compensation, equity awards and executive benefits. The Compensation Committee determines the compensation of our Chief Executive Officer and approves the compensation of other executive officers.</w:t>
      </w:r>
    </w:p>
    <w:p>
      <w:pPr>
        <w:spacing w:after="0" w:line="185"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The Compensation Committee reviews the compensation of our Chief Executive Officer and other executive officers periodically to determine whether compensation changes are appropriate and may make changes 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target total compensation opportunities from time to time. To make decisions that are informed by marketplace practices, the Compensation Committee, in consultation with its independent compensation consultant, conducts benchmarking analyses among peer companies of comparable size, industry and similar attributes that may compete with Altisource for qualified management talent. The Compensation Committee also considers additional factors, such as the executive's performance against pre-set targets for the year, the Company's overall performance against its pre-set targets in the environment in which the Company is operating, the executive's experience and expertise, the executive's scope of responsibility and other factors such as retention.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Executive Officers in Compensation Decisions</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Our Chief Executive Officer and Chief Administration and Risk Officer generally attend Compensation Committee meetings, except that they are not present during any voting or deliberations on their own compensation. These executives actively participate in performance reviews and compensation discussions for other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The Compensation Committee generally delegates executive compensation matters to the Chief Executive Officer and the Chief Administration and Risk Officer for further development and execution following approval by the Committee.</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addition, the Compensation Committee has delegated authority to the Chief Executive Officer and the Chief Administration and Risk Officer to approve equity awards of up to 5,000 stock options, with an exercise price of up to $50 per share, or 5,000 restricted shares (or similar equity instrument) for employees (other than executive officers), with an aggregate amount of up to 75,000 stock options or restricted shares (or similar equity instrument) per year. Awards approved by these executives pursuant to this delegation are reported to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2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88"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2017, the Compensation Committee engaged its compensation consultant, Exequity, to conduct an in-depth review of the companies in its peer group.</w:t>
      </w:r>
    </w:p>
    <w:p>
      <w:pPr>
        <w:spacing w:after="0" w:line="18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As part of this review, Exequity provided research related to potential peer group companies for Altisource, taking into consideration many factors, including known competitors for executive talent, participants within Altisource's industry sectors, as well as companies in adjacent industries, comparability of business models and organizational complexity, geographic footprint and comparability of business scale (primarily focused on revenues and market capitalizations). Exequity worked with Altisource's management and human resources function to identify companies that compete with the Company for executive talent in each of its four strategic businesses, Servicer Solutions, Origination Solutions, Consumer Real Estate Solutions and Real Estate Investor Solutions. Exequity also provided research to identify which existing peer group companies were no longer appropriate benchmarking peers due to tenuous business comparability and/or company scale.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Pursuant to Exequity's recommendations, and to better align our peer group with our current business model, the Compensation Committee determined to remove five companies (Equifax, Inc., PRGX Global, Inc., Sykes Enterprises Incorporated, Syntel, Inc. and Walter Investment Management Corp.) and to add seven companies (CoStar Group, Inc., Ellie Mae, Inc., Marcus &amp; Millichap, Inc., Radian Group, RealPage, Inc., Redfin Corporation and Zillow Group, Inc.) to its peer group.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resulting group of 19 peer companies consists of:</w:t>
      </w:r>
    </w:p>
    <w:p>
      <w:pPr>
        <w:spacing w:after="0" w:line="208" w:lineRule="exact"/>
        <w:rPr>
          <w:sz w:val="20"/>
          <w:szCs w:val="20"/>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Black Knight Financial Services,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CoreLogic,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CoStar Group,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Ellie Mae,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Everi Holdings,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ExlService Holdings,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FleetCor Technologies,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Genpact Ltd.</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Jack Henry &amp; Associates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Marcus &amp; Millichap,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Nationstar Mortgage Holdings,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PennyMac Financial Services,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RealPage, Inc.</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Redfin Corporation</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Stewart Information Services Corp.</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Virtusa Corp.</w:t>
      </w:r>
    </w:p>
    <w:p>
      <w:pPr>
        <w:spacing w:after="0" w:line="5"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WEX, Inc.</w:t>
      </w:r>
    </w:p>
    <w:p>
      <w:pPr>
        <w:spacing w:after="0" w:line="18" w:lineRule="exact"/>
        <w:rPr>
          <w:rFonts w:ascii="Arial" w:cs="Arial" w:eastAsia="Arial" w:hAnsi="Arial"/>
          <w:sz w:val="16"/>
          <w:szCs w:val="16"/>
          <w:color w:val="auto"/>
        </w:rPr>
      </w:pPr>
    </w:p>
    <w:p>
      <w:pPr>
        <w:ind w:left="1020" w:hanging="51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Zillow Group, Inc.</w:t>
      </w:r>
    </w:p>
    <w:p>
      <w:pPr>
        <w:spacing w:after="0" w:line="208"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Based on the research provided by Exequity, and the factors noted above, the Compensation Committee determined that the revised peer group is appropriate for use in future director and executive pay studies. This revised peer group was used to conduct benchmarking analyses for the director and executive pay studies described below.</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also engaged Exequity to conduct a director pay benchmarking study relative to the above-listed companies. The pay study concluded that the total compensation (cash and equity) for our non-management Directors is below the peer group median. Based on these findings and other factors, the Compensation Committee recommended submitting a proposal to our shareholders to increase the value of the annual equity award made to our non-management Directors from $110,000 to $120,000. Please see "Proposed Change in Compensation" in the "Board of Directors Compensation" section above for further information relating to this pay study and the proposed compensation change.</w:t>
      </w:r>
    </w:p>
    <w:p>
      <w:pPr>
        <w:spacing w:after="0" w:line="18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Utilizing a similar analysis, in the first quarter of 2018, Exequity conducted a pay study to analyze the competitiveness of Altisource's executive pay levels relative to the pay levels for the companies in its peer group. In conducting its analysis, Exequity compared Altisource's positions to peer benchmarks in terms of base salary, target annual cash incentive opportunity, total target cash compensation, long-term incentive compensation and total direct compensation (target total cash compensation plus long-term incentives). Following its pay study, Exequity concluded that the total direct compensation for each of Altisource's top five executive officers was below the peer group's median level for comparable roles at peer-group companies, primarily as a result of lower equity compensation. The Compensation Committee considered the results of this pay study in determining the size of the 2018 equity grants awarded to these executives under the Company's 2017 Long-Term Incentive Plan. Please see "2018 Long-Term Incentive Plan Awards" in the "Equity Compensation" section below for further information regarding these grants.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In 2017, the Company also sought input from Exequity with regard to the design of the 2017 and 2018 awards issued under our Long-Term Incentive Plan and the September 2017 compensation increase for the Chief Administration and Risk Officer, which are described further in subsequent sections of this Compensation Discussion and Analysis.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current annual compensation package for our Named Executive Officers primarily consists of three elements:</w:t>
      </w:r>
    </w:p>
    <w:p>
      <w:pPr>
        <w:spacing w:after="0" w:line="192" w:lineRule="exact"/>
        <w:rPr>
          <w:sz w:val="20"/>
          <w:szCs w:val="20"/>
          <w:color w:val="auto"/>
        </w:rPr>
      </w:pPr>
    </w:p>
    <w:p>
      <w:pPr>
        <w:ind w:left="1020" w:right="80" w:hanging="513"/>
        <w:spacing w:after="0" w:line="28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salary is intended to attract executives and to provide fixed compensation that is commensurate with the executive's scope</w:t>
      </w:r>
      <w:r>
        <w:rPr>
          <w:rFonts w:ascii="Arial" w:cs="Arial" w:eastAsia="Arial" w:hAnsi="Arial"/>
          <w:sz w:val="16"/>
          <w:szCs w:val="16"/>
          <w:i w:val="1"/>
          <w:iCs w:val="1"/>
          <w:color w:val="auto"/>
        </w:rPr>
        <w:t xml:space="preserve"> </w:t>
      </w:r>
      <w:r>
        <w:rPr>
          <w:rFonts w:ascii="Arial" w:cs="Arial" w:eastAsia="Arial" w:hAnsi="Arial"/>
          <w:sz w:val="16"/>
          <w:szCs w:val="16"/>
          <w:color w:val="auto"/>
        </w:rPr>
        <w:t>of responsibility and effectiveness.</w:t>
      </w:r>
    </w:p>
    <w:p>
      <w:pPr>
        <w:spacing w:after="0" w:line="145" w:lineRule="exact"/>
        <w:rPr>
          <w:rFonts w:ascii="Arial" w:cs="Arial" w:eastAsia="Arial" w:hAnsi="Arial"/>
          <w:sz w:val="16"/>
          <w:szCs w:val="16"/>
          <w:color w:val="auto"/>
        </w:rPr>
      </w:pPr>
    </w:p>
    <w:p>
      <w:pPr>
        <w:ind w:left="1020" w:hanging="513"/>
        <w:spacing w:after="0" w:line="26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Annual cash incentive compensation. </w:t>
      </w:r>
      <w:r>
        <w:rPr>
          <w:rFonts w:ascii="Arial" w:cs="Arial" w:eastAsia="Arial" w:hAnsi="Arial"/>
          <w:sz w:val="16"/>
          <w:szCs w:val="16"/>
          <w:color w:val="auto"/>
        </w:rPr>
        <w:t>Altisource's annual cash incentive is based on the achievement of Company performance targets and an</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of the executive's individual performance, and is designed to align the executive's compensation with the Company's business goals and increase shareholder value.</w:t>
      </w:r>
    </w:p>
    <w:p>
      <w:pPr>
        <w:spacing w:after="0" w:line="146" w:lineRule="exact"/>
        <w:rPr>
          <w:rFonts w:ascii="Arial" w:cs="Arial" w:eastAsia="Arial" w:hAnsi="Arial"/>
          <w:sz w:val="16"/>
          <w:szCs w:val="16"/>
          <w:color w:val="auto"/>
        </w:rPr>
      </w:pPr>
    </w:p>
    <w:p>
      <w:pPr>
        <w:ind w:left="1020" w:right="360" w:hanging="513"/>
        <w:spacing w:after="0" w:line="28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w:t>
      </w:r>
      <w:r>
        <w:rPr>
          <w:rFonts w:ascii="Arial" w:cs="Arial" w:eastAsia="Arial" w:hAnsi="Arial"/>
          <w:sz w:val="16"/>
          <w:szCs w:val="16"/>
          <w:color w:val="auto"/>
        </w:rPr>
        <w:t>Long-term equity compensation focuses on the retention of high-performing executives and incenting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strategic business objectives designed to increase shareholder value.</w:t>
      </w:r>
    </w:p>
    <w:p>
      <w:pPr>
        <w:spacing w:after="0" w:line="16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believe that this compensation mix supports our objective of having a large portion of compensation that is "at risk" based on Company performance. These elements of compensation are also designed to be consistent with competitive market practices and to attract and retain highly talented executives. Going forward, we expect to further emphasize the long-term equity compensation element because of (i) the direct link that equity compensation provides between shareholder interests and the interests of our executives, and (ii) the retention characteristics that equity compensation provides considering our industry and business environment.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28"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8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Base salaries for our Named Executive Officers are reviewed periodically with adjustments made based on market information, internal review of the Named Executive Officer's compensation in relation to other executives, individual performance and corporate performance. Salary levels are also considered upon a relocation, a promotion or other change in job responsibility. Please refer to "Other Compensation Decisions for our Named Executive Officers" below for additional information relating to base salary changes approved by the Compensation Committee for our Named Executive Officers in 2017.</w:t>
      </w:r>
    </w:p>
    <w:p>
      <w:pPr>
        <w:spacing w:after="0" w:line="188"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In addition, under article L.223-1 of the Luxembourg Labor Code, all compensation owed pursuant to an employment agreement is required to be adapted based upon the cost of living index in the Grand Duchy of Luxembourg. As previously disclosed, effective January 1, 2017, there was a required two and a half percent (2.5%) increase in compensation pursuant to this law. The base salaries for our Named Executive Officers and the incentive compensation targets for the Chief Executive Officer and the Chief Administration and Risk Officer were adjusted accordingly.</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Base salaries for our Named Executive Officers are set in U.S. dollars and paid in euros. Please see the Summary Compensation Table under "Executive Compensation" for additional information regarding the base salaries of our Named Executive Officers.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Incentive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Overview</w:t>
      </w:r>
    </w:p>
    <w:p>
      <w:pPr>
        <w:spacing w:after="0" w:line="208"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Pursuant to an annual incentive plan, a participant earns cash incentive compensation as determined by the Compensation Committee. The plan provides the Compensation Committee and our management with the authority to establish incentive award guidelines, which are further discussed below.</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In 2017, consistent with prior years, each Named Executive Officer (other than Mr. Chatterjee</w:t>
      </w:r>
      <w:r>
        <w:rPr>
          <w:rFonts w:ascii="Arial" w:cs="Arial" w:eastAsia="Arial" w:hAnsi="Arial"/>
          <w:sz w:val="27"/>
          <w:szCs w:val="27"/>
          <w:color w:val="auto"/>
          <w:vertAlign w:val="superscript"/>
        </w:rPr>
        <w:t>(1)</w:t>
      </w:r>
      <w:r>
        <w:rPr>
          <w:rFonts w:ascii="Arial" w:cs="Arial" w:eastAsia="Arial" w:hAnsi="Arial"/>
          <w:sz w:val="16"/>
          <w:szCs w:val="16"/>
          <w:color w:val="auto"/>
        </w:rPr>
        <w:t>) had a targeted annual cash incentive award that is expressed as a percentage of his or her annual cash total target compensation. Incentive compensation awards made up a significant portion of the annual cash compensation for each of our Named Executive Officers, including the majority of the compensation for our Chief Executive Officer. In 2017, thirty-four percent (34%) to sixty percent (60%) of total annual cash target compensation of our Named Executive Officers was payable only upon achievement of certain minimum Company and individual performance levels. The appropriate targeted percentage is assigned to our Named Executive Officers based upon the nature and scope of their responsibilities.</w:t>
      </w:r>
    </w:p>
    <w:p>
      <w:pPr>
        <w:spacing w:after="0" w:line="199"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table below reflects the percentage of each executive's target total annual cash compensation that was allocated to each of base salary and annual incentive compensation in 2017 and the percentage of actual total annual cash compensation for each executive that was allocated to each of base salary and annual incentive compensation in 2017:</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Annual</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Annual</w:t>
            </w:r>
          </w:p>
        </w:tc>
      </w:t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Incentive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Incentive</w:t>
            </w:r>
          </w:p>
        </w:tc>
      </w:t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Base Salary %</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Compensation %</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Base Salary %</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Compensation %</w:t>
            </w:r>
          </w:p>
        </w:tc>
      </w:t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of Target Total</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of Target Total</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of Actual Total</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of Actual Total</w:t>
            </w:r>
          </w:p>
        </w:tc>
      </w:t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Annual Cash</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Annual Cash</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Annual Cash</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Annual Cash</w:t>
            </w:r>
          </w:p>
        </w:tc>
      </w:tr>
      <w:tr>
        <w:trPr>
          <w:trHeight w:val="190"/>
        </w:trPr>
        <w:tc>
          <w:tcPr>
            <w:tcW w:w="1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Compensation</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Compensation</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Compensation</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Compensation</w:t>
            </w:r>
          </w:p>
        </w:tc>
      </w:tr>
      <w:tr>
        <w:trPr>
          <w:trHeight w:val="207"/>
        </w:trPr>
        <w:tc>
          <w:tcPr>
            <w:tcW w:w="17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Name</w:t>
            </w:r>
          </w:p>
        </w:tc>
        <w:tc>
          <w:tcPr>
            <w:tcW w:w="17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2017</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2017</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2017</w:t>
            </w: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2017</w:t>
            </w:r>
          </w:p>
        </w:tc>
        <w:tc>
          <w:tcPr>
            <w:tcW w:w="220" w:type="dxa"/>
            <w:vAlign w:val="bottom"/>
          </w:tcPr>
          <w:p>
            <w:pPr>
              <w:spacing w:after="0"/>
              <w:rPr>
                <w:sz w:val="17"/>
                <w:szCs w:val="17"/>
                <w:color w:val="auto"/>
              </w:rPr>
            </w:pPr>
          </w:p>
        </w:tc>
      </w:tr>
      <w:tr>
        <w:trPr>
          <w:trHeight w:val="182"/>
        </w:trPr>
        <w:tc>
          <w:tcPr>
            <w:tcW w:w="17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William B. Shepro</w:t>
            </w:r>
          </w:p>
        </w:tc>
        <w:tc>
          <w:tcPr>
            <w:tcW w:w="2920" w:type="dxa"/>
            <w:vAlign w:val="bottom"/>
            <w:gridSpan w:val="2"/>
            <w:shd w:val="clear" w:color="auto" w:fill="CCEEFF"/>
          </w:tcPr>
          <w:p>
            <w:pPr>
              <w:jc w:val="center"/>
              <w:ind w:left="1678"/>
              <w:spacing w:after="0" w:line="182" w:lineRule="exact"/>
              <w:rPr>
                <w:sz w:val="20"/>
                <w:szCs w:val="20"/>
                <w:color w:val="auto"/>
              </w:rPr>
            </w:pPr>
            <w:r>
              <w:rPr>
                <w:rFonts w:ascii="Arial" w:cs="Arial" w:eastAsia="Arial" w:hAnsi="Arial"/>
                <w:sz w:val="16"/>
                <w:szCs w:val="16"/>
                <w:color w:val="auto"/>
                <w:w w:val="99"/>
              </w:rPr>
              <w:t>40%</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9"/>
              </w:rPr>
              <w:t>60%</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9"/>
              </w:rPr>
              <w:t>33%</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9"/>
              </w:rPr>
              <w:t>67%</w:t>
            </w:r>
          </w:p>
        </w:tc>
        <w:tc>
          <w:tcPr>
            <w:tcW w:w="220" w:type="dxa"/>
            <w:vAlign w:val="bottom"/>
            <w:shd w:val="clear" w:color="auto" w:fill="CCEEFF"/>
          </w:tcPr>
          <w:p>
            <w:pPr>
              <w:spacing w:after="0"/>
              <w:rPr>
                <w:sz w:val="15"/>
                <w:szCs w:val="15"/>
                <w:color w:val="auto"/>
              </w:rPr>
            </w:pP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Kevin J. Wilcox</w:t>
            </w:r>
          </w:p>
        </w:tc>
        <w:tc>
          <w:tcPr>
            <w:tcW w:w="2920" w:type="dxa"/>
            <w:vAlign w:val="bottom"/>
            <w:gridSpan w:val="2"/>
          </w:tcPr>
          <w:p>
            <w:pPr>
              <w:jc w:val="center"/>
              <w:ind w:left="1678"/>
              <w:spacing w:after="0"/>
              <w:rPr>
                <w:sz w:val="20"/>
                <w:szCs w:val="20"/>
                <w:color w:val="auto"/>
              </w:rPr>
            </w:pPr>
            <w:r>
              <w:rPr>
                <w:rFonts w:ascii="Arial" w:cs="Arial" w:eastAsia="Arial" w:hAnsi="Arial"/>
                <w:sz w:val="16"/>
                <w:szCs w:val="16"/>
                <w:color w:val="auto"/>
                <w:w w:val="99"/>
              </w:rPr>
              <w:t>50%</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220" w:type="dxa"/>
            <w:vAlign w:val="bottom"/>
          </w:tcPr>
          <w:p>
            <w:pPr>
              <w:spacing w:after="0"/>
              <w:rPr>
                <w:sz w:val="16"/>
                <w:szCs w:val="16"/>
                <w:color w:val="auto"/>
              </w:rPr>
            </w:pPr>
          </w:p>
        </w:tc>
      </w:tr>
      <w:tr>
        <w:trPr>
          <w:trHeight w:val="190"/>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Michelle D. Esterman</w:t>
            </w:r>
          </w:p>
        </w:tc>
        <w:tc>
          <w:tcPr>
            <w:tcW w:w="2920" w:type="dxa"/>
            <w:vAlign w:val="bottom"/>
            <w:gridSpan w:val="2"/>
            <w:shd w:val="clear" w:color="auto" w:fill="CCEEFF"/>
          </w:tcPr>
          <w:p>
            <w:pPr>
              <w:jc w:val="center"/>
              <w:ind w:left="1678"/>
              <w:spacing w:after="0"/>
              <w:rPr>
                <w:sz w:val="20"/>
                <w:szCs w:val="20"/>
                <w:color w:val="auto"/>
              </w:rPr>
            </w:pPr>
            <w:r>
              <w:rPr>
                <w:rFonts w:ascii="Arial" w:cs="Arial" w:eastAsia="Arial" w:hAnsi="Arial"/>
                <w:sz w:val="16"/>
                <w:szCs w:val="16"/>
                <w:color w:val="auto"/>
                <w:w w:val="99"/>
              </w:rPr>
              <w:t>61%</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220" w:type="dxa"/>
            <w:vAlign w:val="bottom"/>
            <w:shd w:val="clear" w:color="auto" w:fill="CCEEFF"/>
          </w:tcPr>
          <w:p>
            <w:pPr>
              <w:spacing w:after="0"/>
              <w:rPr>
                <w:sz w:val="16"/>
                <w:szCs w:val="16"/>
                <w:color w:val="auto"/>
              </w:rPr>
            </w:pP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Joseph A. Davila</w:t>
            </w:r>
          </w:p>
        </w:tc>
        <w:tc>
          <w:tcPr>
            <w:tcW w:w="2920" w:type="dxa"/>
            <w:vAlign w:val="bottom"/>
            <w:gridSpan w:val="2"/>
          </w:tcPr>
          <w:p>
            <w:pPr>
              <w:jc w:val="center"/>
              <w:ind w:left="1678"/>
              <w:spacing w:after="0"/>
              <w:rPr>
                <w:sz w:val="20"/>
                <w:szCs w:val="20"/>
                <w:color w:val="auto"/>
              </w:rPr>
            </w:pPr>
            <w:r>
              <w:rPr>
                <w:rFonts w:ascii="Arial" w:cs="Arial" w:eastAsia="Arial" w:hAnsi="Arial"/>
                <w:sz w:val="16"/>
                <w:szCs w:val="16"/>
                <w:color w:val="auto"/>
                <w:w w:val="99"/>
              </w:rPr>
              <w:t>57%</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43%</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54%</w:t>
            </w:r>
          </w:p>
        </w:tc>
        <w:tc>
          <w:tcPr>
            <w:tcW w:w="200" w:type="dxa"/>
            <w:vAlign w:val="bottom"/>
          </w:tcPr>
          <w:p>
            <w:pPr>
              <w:spacing w:after="0"/>
              <w:rPr>
                <w:sz w:val="16"/>
                <w:szCs w:val="16"/>
                <w:color w:val="auto"/>
              </w:rPr>
            </w:pPr>
          </w:p>
        </w:tc>
        <w:tc>
          <w:tcPr>
            <w:tcW w:w="1340" w:type="dxa"/>
            <w:vAlign w:val="bottom"/>
          </w:tcPr>
          <w:p>
            <w:pPr>
              <w:jc w:val="right"/>
              <w:ind w:right="240"/>
              <w:spacing w:after="0" w:line="190" w:lineRule="exact"/>
              <w:rPr>
                <w:sz w:val="20"/>
                <w:szCs w:val="20"/>
                <w:color w:val="auto"/>
              </w:rPr>
            </w:pPr>
            <w:r>
              <w:rPr>
                <w:rFonts w:ascii="Arial" w:cs="Arial" w:eastAsia="Arial" w:hAnsi="Arial"/>
                <w:sz w:val="13"/>
                <w:szCs w:val="13"/>
                <w:color w:val="auto"/>
              </w:rPr>
              <w:t>46%</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r>
      <w:tr>
        <w:trPr>
          <w:trHeight w:val="190"/>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Gregory J. Ritts</w:t>
            </w:r>
          </w:p>
        </w:tc>
        <w:tc>
          <w:tcPr>
            <w:tcW w:w="2920" w:type="dxa"/>
            <w:vAlign w:val="bottom"/>
            <w:gridSpan w:val="2"/>
            <w:shd w:val="clear" w:color="auto" w:fill="CCEEFF"/>
          </w:tcPr>
          <w:p>
            <w:pPr>
              <w:jc w:val="center"/>
              <w:ind w:left="1678"/>
              <w:spacing w:after="0"/>
              <w:rPr>
                <w:sz w:val="20"/>
                <w:szCs w:val="20"/>
                <w:color w:val="auto"/>
              </w:rPr>
            </w:pPr>
            <w:r>
              <w:rPr>
                <w:rFonts w:ascii="Arial" w:cs="Arial" w:eastAsia="Arial" w:hAnsi="Arial"/>
                <w:sz w:val="16"/>
                <w:szCs w:val="16"/>
                <w:color w:val="auto"/>
                <w:w w:val="99"/>
              </w:rPr>
              <w:t>66%</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40"/>
              <w:spacing w:after="0" w:line="190" w:lineRule="exact"/>
              <w:rPr>
                <w:sz w:val="20"/>
                <w:szCs w:val="20"/>
                <w:color w:val="auto"/>
              </w:rPr>
            </w:pPr>
            <w:r>
              <w:rPr>
                <w:rFonts w:ascii="Arial" w:cs="Arial" w:eastAsia="Arial" w:hAnsi="Arial"/>
                <w:sz w:val="13"/>
                <w:szCs w:val="13"/>
                <w:color w:val="auto"/>
              </w:rPr>
              <w:t>37%</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297180</wp:posOffset>
            </wp:positionV>
            <wp:extent cx="19018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right="60" w:hanging="499"/>
        <w:spacing w:after="0" w:line="223" w:lineRule="auto"/>
        <w:tabs>
          <w:tab w:leader="none" w:pos="500"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Mr. Chatterjee joined the Company in October 2017 and did not participate in the 2017 annual incentive plan. However, pursuant to the terms of his employment agreement, to compensate for the lost incentive opportunity from his prior employer, Mr. Chatterjee was provided the opportunity to earn an incentive compensation award of $485,000, subject to meeting performance criteria. In November 2017, the Compensation Committee approved the performance criteria for Mr. Chatterjee which pertained to (i) amending our Senior Secured Term Loan ("SSTL"), (ii) continuing to develop shareholder communications and (iii) supporting other corporate initiatives. In the first quarter of 2018, the Committee determined that Mr. Chatterjee met these performance expectations and Mr. Chatterjee received an award of $485,000.</w:t>
      </w:r>
    </w:p>
    <w:p>
      <w:pPr>
        <w:spacing w:after="0" w:line="196" w:lineRule="exact"/>
        <w:rPr>
          <w:rFonts w:ascii="Arial" w:cs="Arial" w:eastAsia="Arial" w:hAnsi="Arial"/>
          <w:sz w:val="27"/>
          <w:szCs w:val="27"/>
          <w:color w:val="auto"/>
          <w:vertAlign w:val="superscript"/>
        </w:rPr>
      </w:pPr>
    </w:p>
    <w:p>
      <w:pPr>
        <w:ind w:left="500" w:right="20" w:hanging="499"/>
        <w:spacing w:after="0" w:line="203" w:lineRule="auto"/>
        <w:tabs>
          <w:tab w:leader="none" w:pos="500"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The executive's Incentive Compensation includes a one-time discretionary award of $31,486 to reflect the executive's efforts and accomplishments leading our Servicer Solutions business and revenue diversification efforts to position it for continued growth, and contribution to the completion of our Cooperative Brokerage Agreement with New Residential Investment Corp. ("NRZ").</w:t>
      </w:r>
    </w:p>
    <w:p>
      <w:pPr>
        <w:spacing w:after="0" w:line="184" w:lineRule="exact"/>
        <w:rPr>
          <w:rFonts w:ascii="Arial" w:cs="Arial" w:eastAsia="Arial" w:hAnsi="Arial"/>
          <w:sz w:val="27"/>
          <w:szCs w:val="27"/>
          <w:color w:val="auto"/>
          <w:vertAlign w:val="superscript"/>
        </w:rPr>
      </w:pPr>
    </w:p>
    <w:p>
      <w:pPr>
        <w:ind w:left="500" w:right="40" w:hanging="499"/>
        <w:spacing w:after="0" w:line="203" w:lineRule="auto"/>
        <w:tabs>
          <w:tab w:leader="none" w:pos="500"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The executive's Incentive Compensation includes a one-time discretionary award of $23,125 to reflect the executive's significant contributions to our strategic initiatives, including the amendment of the SSTL and the completion of the Luxembourg subsidiary restructuring as well as the completion of our Cooperative Brokerage Agreement with NRZ.</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Our annual incentive compensation is structured in a manner that is intended to motivate executives to achieve pre-established key performance indicators by rewarding executives for such achievement. As in prior years, this was accomplished in 2017 by utilizing a scorecard methodology which incorporates multiple financial and non-financial performance indicators (with a majority being financial performance indicators) developed through our annual strategic planning process and designed to enhance Company performance and long-term shareholder value. Typically, thirty-five percent (35%) to fifty-five percent (55%) of the total incentive award opportunity for our Named Executive Officers is tied to the achievement of financial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prior years, in 2017, the annual cash incentive award for our Chief Executive Officer and other Named Executive Officers was based on</w:t>
      </w:r>
    </w:p>
    <w:p>
      <w:pPr>
        <w:spacing w:after="0" w:line="6" w:lineRule="exact"/>
        <w:rPr>
          <w:sz w:val="20"/>
          <w:szCs w:val="20"/>
          <w:color w:val="auto"/>
        </w:rPr>
      </w:pPr>
    </w:p>
    <w:p>
      <w:pPr>
        <w:ind w:firstLine="1"/>
        <w:spacing w:after="0" w:line="511" w:lineRule="auto"/>
        <w:tabs>
          <w:tab w:leader="none" w:pos="1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executive's performance against goals established per their scorecards (eighty percent (80%)) and (ii) a performance appraisal (twenty percent (20%)). </w:t>
      </w:r>
      <w:r>
        <w:rPr>
          <w:rFonts w:ascii="Arial" w:cs="Arial" w:eastAsia="Arial" w:hAnsi="Arial"/>
          <w:sz w:val="16"/>
          <w:szCs w:val="16"/>
          <w:u w:val="single" w:color="auto"/>
          <w:color w:val="auto"/>
        </w:rPr>
        <w:t>Personal Scorecards of our Named Executive Officers</w:t>
      </w:r>
    </w:p>
    <w:p>
      <w:pPr>
        <w:ind w:right="120"/>
        <w:spacing w:after="0" w:line="250" w:lineRule="auto"/>
        <w:rPr>
          <w:sz w:val="20"/>
          <w:szCs w:val="20"/>
          <w:color w:val="auto"/>
        </w:rPr>
      </w:pPr>
      <w:r>
        <w:rPr>
          <w:rFonts w:ascii="Arial" w:cs="Arial" w:eastAsia="Arial" w:hAnsi="Arial"/>
          <w:sz w:val="16"/>
          <w:szCs w:val="16"/>
          <w:color w:val="auto"/>
        </w:rPr>
        <w:t>The corporate scorecard is approved annually by the Board of Directors and is utilized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considers the level of difficulty associated with the attainment of each goal in the corporate scorecard. The intent of the Board is to establish target levels in the scorecard that are ambitious but achievable. Certain amendments/exceptions to the corporate scorecard may be approved at subsequent Board of Directors meetings. Typically, these amendments/exceptions to the corporate scorecard reflect adjustments deemed by the Board of Directors to be appropriate in light of changes to the business or other relevant factors during the year.</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Chief Executive Officer's personal scorecard is based on corporate level goals (comprising financial objectives and strategic initiatives) established in the corporate scorecard, while the scorecards for other Named Executive Officers are generally based on performance within their respective corporate, business unit or support unit.</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2017, the components in each scorecard of our Named Executive Officers were weighted individually based on relevance to the ultimate financial performance of the Company and the importance of their achievement to the success of our corporate strategy. Within each component of the scorecard, there were three (3) established levels of achievement: threshold, target and outstanding. Each level of achievement was typically tied to a relative point on a percentage scale which indicates the level of goal achievement within each component of the scorecard. Generally, achieving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 An achievement below the threshold level would generally not entitle the executive to compensation for the associated goal.</w:t>
      </w:r>
    </w:p>
    <w:p>
      <w:pPr>
        <w:spacing w:after="0" w:line="19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2017, the corporate scorecard goals were cascaded down through the organization to incentive-eligible employees in their personal scorecards, which are also linked to corporate profitability and the achievement of our strategic initiatives. The scorecards were communicated to all incentive-eligible employees and were made available to them. Performance against such scorecards is generally reviewed with management periodically through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2017 corporate scorecard was approved by the Board of Directors at its meeting on November 15, 2016. Certain amendments to the corporate scorecard were approved at subsequent Board of Directors meetings. These amendments to the corporate scorecard reflected adjustments deemed by the Board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40"/>
        <w:spacing w:after="0" w:line="252" w:lineRule="auto"/>
        <w:rPr>
          <w:sz w:val="20"/>
          <w:szCs w:val="20"/>
          <w:color w:val="auto"/>
        </w:rPr>
      </w:pPr>
      <w:r>
        <w:rPr>
          <w:rFonts w:ascii="Arial" w:cs="Arial" w:eastAsia="Arial" w:hAnsi="Arial"/>
          <w:sz w:val="16"/>
          <w:szCs w:val="16"/>
          <w:color w:val="auto"/>
        </w:rPr>
        <w:t>Directors to be appropriate in light of changes to the business or other relevant factors during the year. Such factors included, by way of illustration, (i) 2017 industry-wide loan origination volumes, which were significantly lower than anticipated, and (ii) a change in the business strategy of one of our large clients. In evaluating whether to approve an amendment to the corporate scorecard, the Board of Directors considered the effect that such amendment would have on our Named Executive Officers' personal scorecards, and whether the rationale for the amendment was due to factor(s) beyond their control.</w:t>
      </w:r>
    </w:p>
    <w:p>
      <w:pPr>
        <w:spacing w:after="0" w:line="187" w:lineRule="exact"/>
        <w:rPr>
          <w:sz w:val="20"/>
          <w:szCs w:val="20"/>
          <w:color w:val="auto"/>
        </w:rPr>
      </w:pPr>
    </w:p>
    <w:p>
      <w:pPr>
        <w:jc w:val="both"/>
        <w:ind w:right="480"/>
        <w:spacing w:after="0" w:line="194" w:lineRule="auto"/>
        <w:rPr>
          <w:sz w:val="20"/>
          <w:szCs w:val="20"/>
          <w:color w:val="auto"/>
        </w:rPr>
      </w:pPr>
      <w:r>
        <w:rPr>
          <w:rFonts w:ascii="Arial" w:cs="Arial" w:eastAsia="Arial" w:hAnsi="Arial"/>
          <w:sz w:val="16"/>
          <w:szCs w:val="16"/>
          <w:color w:val="auto"/>
        </w:rPr>
        <w:t>Consistent with prior years, the Company's corporate scorecard for 2017 included achieving consolidated service revenue and adjusted diluted EPS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targets and achieving growth initiatives or business segment specific service revenue and adjusted pre-tax income</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targets. In addition, the corporate scorecard provided for execution against our strategic initiatives.</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Overall, the Company achieved a majority of its 2017 corporate scorecard goals including those tied to consolidated service revenue, adjusted diluted EPS, compliance, customer experience and other strategic initiatives. With respect to the other strategic initiatives, the Company successfully (i) established a direct relationship with NRZ by entering into a Cooperative Brokerage Agreement and related letter agreement and a non-binding Letter of Intent to enter into a Services Agreement, (ii) completed a restructuring of its Luxembourg subsidiaries to simplify the Company's corporate structure and allow it to operate more efficiently, resulting in a net operating loss carryforward of $300.9 million and (iii) amended its SSTL to allow the Company to make open market share purchases and complete the Luxembourg restructuring. The Company also won several new large customer mandates, expanded key existing relationships and continued to develop the sales pipeline, positioning Altisource to grow non-Ocwen revenue in 2018 and beyond and further diversifying its revenue base.</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Company also made significant progress positioning its Consumer Real Estate Solutions business for long-term success by achieving goals related to improving the conversion of Owners.com leads to showings. Further, the Company achieved its goal related to the advancement of its marketplace strategy.</w:t>
      </w:r>
    </w:p>
    <w:p>
      <w:pPr>
        <w:spacing w:after="0" w:line="178"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Among the goals applicable to our Named Executive Officers, the Company did not achieve (i) the company-wide diversified service revenue goal and (ii) the adjusted pretax income goal for certain Servicer Solutions businesses</w:t>
      </w:r>
      <w:r>
        <w:rPr>
          <w:rFonts w:ascii="Arial" w:cs="Arial" w:eastAsia="Arial" w:hAnsi="Arial"/>
          <w:sz w:val="27"/>
          <w:szCs w:val="27"/>
          <w:color w:val="auto"/>
          <w:vertAlign w:val="superscript"/>
        </w:rPr>
        <w:t>(3)</w:t>
      </w:r>
      <w:r>
        <w:rPr>
          <w:rFonts w:ascii="Arial" w:cs="Arial" w:eastAsia="Arial" w:hAnsi="Arial"/>
          <w:sz w:val="16"/>
          <w:szCs w:val="16"/>
          <w:color w:val="auto"/>
        </w:rPr>
        <w:t>. With respect to our diversified service revenue goal, we believe that there was a slowing of our growth primarily due to the decision of some of our current and prospective clients to perform additional due diligence on Altisource following the April 2017 announcements of regulatory actions against Ocwen and the uncertainty associated with NRZ's May 2017 announcement of its agreement in principal to acquire certain mortgage servicing rights from Ocwen. We believe this additional diligence largely affected timing, not wins of new business, as evidenced by our recent successes at winning new business and expanding business with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19018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right="20" w:hanging="499"/>
        <w:spacing w:after="0" w:line="213" w:lineRule="auto"/>
        <w:tabs>
          <w:tab w:leader="none" w:pos="500"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Adjusted diluted EPS (a non-GAAP measure) is calculated by dividing net income attributable to Altisource plus intangible asset amortization expense (net of tax), and adding or deducting certain income tax related items relating to the Luxembourg subsidiary merger, other income tax rate changes in Luxembourg and the United States and an increase in foreign income tax reserves (and related interest), by the weighted average number of diluted shares.</w:t>
      </w:r>
    </w:p>
    <w:p>
      <w:pPr>
        <w:spacing w:after="0" w:line="195" w:lineRule="exact"/>
        <w:rPr>
          <w:rFonts w:ascii="Arial" w:cs="Arial" w:eastAsia="Arial" w:hAnsi="Arial"/>
          <w:sz w:val="27"/>
          <w:szCs w:val="27"/>
          <w:color w:val="auto"/>
          <w:vertAlign w:val="superscript"/>
        </w:rPr>
      </w:pPr>
    </w:p>
    <w:p>
      <w:pPr>
        <w:ind w:left="500" w:right="180" w:hanging="499"/>
        <w:spacing w:after="0" w:line="187" w:lineRule="auto"/>
        <w:tabs>
          <w:tab w:leader="none" w:pos="500"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Adjusted pre-tax income is calculated by adding intangible assets amortization expense, to, and deducting net income attributable to non-controlling interests from, income before income taxes and non-controlling interests.</w:t>
      </w:r>
    </w:p>
    <w:p>
      <w:pPr>
        <w:spacing w:after="0" w:line="183" w:lineRule="exact"/>
        <w:rPr>
          <w:rFonts w:ascii="Arial" w:cs="Arial" w:eastAsia="Arial" w:hAnsi="Arial"/>
          <w:sz w:val="27"/>
          <w:szCs w:val="27"/>
          <w:color w:val="auto"/>
          <w:vertAlign w:val="superscript"/>
        </w:rPr>
      </w:pPr>
    </w:p>
    <w:p>
      <w:pPr>
        <w:ind w:left="500" w:right="280" w:hanging="499"/>
        <w:spacing w:after="0" w:line="187" w:lineRule="auto"/>
        <w:tabs>
          <w:tab w:leader="none" w:pos="500"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For purposes of this section, references to the "Servicer Solutions" business(es) exclude certain servicer technology businesses and the mortgage charge-off collection business.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corporate scorecard for 2017, as amended, and corresponding achievement levels for our Named Executive Officers (other than Mr. Chatterjee who did not participate in the 2017 annual incentive plan) are detailed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2017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2555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Levels of Achievement</w:t>
            </w:r>
          </w:p>
        </w:tc>
        <w:tc>
          <w:tcPr>
            <w:tcW w:w="80" w:type="dxa"/>
            <w:vAlign w:val="bottom"/>
          </w:tcPr>
          <w:p>
            <w:pPr>
              <w:spacing w:after="0"/>
              <w:rPr>
                <w:sz w:val="17"/>
                <w:szCs w:val="17"/>
                <w:color w:val="auto"/>
              </w:rPr>
            </w:pPr>
          </w:p>
        </w:tc>
        <w:tc>
          <w:tcPr>
            <w:tcW w:w="1260" w:type="dxa"/>
            <w:vAlign w:val="bottom"/>
          </w:tcPr>
          <w:p>
            <w:pPr>
              <w:ind w:left="60"/>
              <w:spacing w:after="0"/>
              <w:rPr>
                <w:sz w:val="20"/>
                <w:szCs w:val="20"/>
                <w:color w:val="auto"/>
              </w:rPr>
            </w:pPr>
            <w:r>
              <w:rPr>
                <w:rFonts w:ascii="Arial" w:cs="Arial" w:eastAsia="Arial" w:hAnsi="Arial"/>
                <w:sz w:val="16"/>
                <w:szCs w:val="16"/>
                <w:b w:val="1"/>
                <w:bCs w:val="1"/>
                <w:color w:val="auto"/>
              </w:rPr>
              <w:t>Actual Level of</w:t>
            </w:r>
          </w:p>
        </w:tc>
      </w:tr>
      <w:tr>
        <w:trPr>
          <w:trHeight w:val="182"/>
        </w:trPr>
        <w:tc>
          <w:tcPr>
            <w:tcW w:w="60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Element</w:t>
            </w:r>
          </w:p>
        </w:tc>
        <w:tc>
          <w:tcPr>
            <w:tcW w:w="80" w:type="dxa"/>
            <w:vAlign w:val="bottom"/>
          </w:tcPr>
          <w:p>
            <w:pPr>
              <w:spacing w:after="0"/>
              <w:rPr>
                <w:sz w:val="15"/>
                <w:szCs w:val="15"/>
                <w:color w:val="auto"/>
              </w:rPr>
            </w:pPr>
          </w:p>
        </w:tc>
        <w:tc>
          <w:tcPr>
            <w:tcW w:w="1260" w:type="dxa"/>
            <w:vAlign w:val="bottom"/>
            <w:tcBorders>
              <w:bottom w:val="single" w:sz="8" w:color="auto"/>
            </w:tcBorders>
          </w:tcPr>
          <w:p>
            <w:pPr>
              <w:ind w:left="240"/>
              <w:spacing w:after="0" w:line="182" w:lineRule="exact"/>
              <w:rPr>
                <w:sz w:val="20"/>
                <w:szCs w:val="20"/>
                <w:color w:val="auto"/>
              </w:rPr>
            </w:pPr>
            <w:r>
              <w:rPr>
                <w:rFonts w:ascii="Arial" w:cs="Arial" w:eastAsia="Arial" w:hAnsi="Arial"/>
                <w:sz w:val="16"/>
                <w:szCs w:val="16"/>
                <w:b w:val="1"/>
                <w:bCs w:val="1"/>
                <w:color w:val="auto"/>
              </w:rPr>
              <w:t>Threshold</w:t>
            </w:r>
          </w:p>
        </w:tc>
        <w:tc>
          <w:tcPr>
            <w:tcW w:w="8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8"/>
              </w:rPr>
              <w:t>Target</w:t>
            </w:r>
          </w:p>
        </w:tc>
        <w:tc>
          <w:tcPr>
            <w:tcW w:w="80" w:type="dxa"/>
            <w:vAlign w:val="bottom"/>
          </w:tcPr>
          <w:p>
            <w:pPr>
              <w:spacing w:after="0"/>
              <w:rPr>
                <w:sz w:val="15"/>
                <w:szCs w:val="15"/>
                <w:color w:val="auto"/>
              </w:rPr>
            </w:pPr>
          </w:p>
        </w:tc>
        <w:tc>
          <w:tcPr>
            <w:tcW w:w="1260" w:type="dxa"/>
            <w:vAlign w:val="bottom"/>
            <w:tcBorders>
              <w:bottom w:val="single" w:sz="8" w:color="auto"/>
            </w:tcBorders>
          </w:tcPr>
          <w:p>
            <w:pPr>
              <w:ind w:left="160"/>
              <w:spacing w:after="0" w:line="182" w:lineRule="exact"/>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5"/>
                <w:szCs w:val="15"/>
                <w:color w:val="auto"/>
              </w:rPr>
            </w:pPr>
          </w:p>
        </w:tc>
        <w:tc>
          <w:tcPr>
            <w:tcW w:w="1260" w:type="dxa"/>
            <w:vAlign w:val="bottom"/>
            <w:tcBorders>
              <w:bottom w:val="single" w:sz="8" w:color="auto"/>
            </w:tcBorders>
          </w:tcPr>
          <w:p>
            <w:pPr>
              <w:ind w:left="120"/>
              <w:spacing w:after="0" w:line="182" w:lineRule="exact"/>
              <w:rPr>
                <w:sz w:val="20"/>
                <w:szCs w:val="20"/>
                <w:color w:val="auto"/>
              </w:rPr>
            </w:pPr>
            <w:r>
              <w:rPr>
                <w:rFonts w:ascii="Arial" w:cs="Arial" w:eastAsia="Arial" w:hAnsi="Arial"/>
                <w:sz w:val="16"/>
                <w:szCs w:val="16"/>
                <w:b w:val="1"/>
                <w:bCs w:val="1"/>
                <w:color w:val="auto"/>
              </w:rPr>
              <w:t>Achievement</w:t>
            </w:r>
          </w:p>
        </w:tc>
      </w:tr>
      <w:tr>
        <w:trPr>
          <w:trHeight w:val="220"/>
        </w:trPr>
        <w:tc>
          <w:tcPr>
            <w:tcW w:w="61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Achieve Service Revenue Targets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420"/>
        </w:trPr>
        <w:tc>
          <w:tcPr>
            <w:tcW w:w="6140" w:type="dxa"/>
            <w:vAlign w:val="bottom"/>
            <w:gridSpan w:val="2"/>
          </w:tcPr>
          <w:p>
            <w:pPr>
              <w:ind w:left="80"/>
              <w:spacing w:after="0"/>
              <w:rPr>
                <w:sz w:val="20"/>
                <w:szCs w:val="20"/>
                <w:color w:val="auto"/>
              </w:rPr>
            </w:pPr>
            <w:r>
              <w:rPr>
                <w:rFonts w:ascii="Arial" w:cs="Arial" w:eastAsia="Arial" w:hAnsi="Arial"/>
                <w:sz w:val="16"/>
                <w:szCs w:val="16"/>
                <w:color w:val="auto"/>
              </w:rPr>
              <w:t>i. Altisource Consolidated (applicable to the Chief Executive Officer ("CEO"), the</w:t>
            </w:r>
          </w:p>
        </w:tc>
        <w:tc>
          <w:tcPr>
            <w:tcW w:w="1260" w:type="dxa"/>
            <w:vAlign w:val="bottom"/>
          </w:tcPr>
          <w:p>
            <w:pPr>
              <w:ind w:left="80"/>
              <w:spacing w:after="0"/>
              <w:rPr>
                <w:sz w:val="20"/>
                <w:szCs w:val="20"/>
                <w:color w:val="auto"/>
              </w:rPr>
            </w:pPr>
            <w:r>
              <w:rPr>
                <w:rFonts w:ascii="Arial" w:cs="Arial" w:eastAsia="Arial" w:hAnsi="Arial"/>
                <w:sz w:val="16"/>
                <w:szCs w:val="16"/>
                <w:color w:val="auto"/>
              </w:rPr>
              <w:t>i. $820.4 million</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$866.0 million</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$957.2 million</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$899.6 million</w:t>
            </w:r>
          </w:p>
        </w:tc>
      </w:tr>
      <w:tr>
        <w:trPr>
          <w:trHeight w:val="190"/>
        </w:trPr>
        <w:tc>
          <w:tcPr>
            <w:tcW w:w="6140" w:type="dxa"/>
            <w:vAlign w:val="bottom"/>
            <w:gridSpan w:val="2"/>
          </w:tcPr>
          <w:p>
            <w:pPr>
              <w:ind w:left="240"/>
              <w:spacing w:after="0"/>
              <w:rPr>
                <w:sz w:val="20"/>
                <w:szCs w:val="20"/>
                <w:color w:val="auto"/>
              </w:rPr>
            </w:pPr>
            <w:r>
              <w:rPr>
                <w:rFonts w:ascii="Arial" w:cs="Arial" w:eastAsia="Arial" w:hAnsi="Arial"/>
                <w:sz w:val="16"/>
                <w:szCs w:val="16"/>
                <w:color w:val="auto"/>
              </w:rPr>
              <w:t>Chief Administration and Risk Officer ("CARO") and the Executive Vice</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Target</w:t>
            </w:r>
          </w:p>
        </w:tc>
      </w:tr>
      <w:tr>
        <w:trPr>
          <w:trHeight w:val="187"/>
        </w:trPr>
        <w:tc>
          <w:tcPr>
            <w:tcW w:w="6140" w:type="dxa"/>
            <w:vAlign w:val="bottom"/>
            <w:gridSpan w:val="2"/>
          </w:tcPr>
          <w:p>
            <w:pPr>
              <w:ind w:left="240"/>
              <w:spacing w:after="0"/>
              <w:rPr>
                <w:sz w:val="20"/>
                <w:szCs w:val="20"/>
                <w:color w:val="auto"/>
              </w:rPr>
            </w:pPr>
            <w:r>
              <w:rPr>
                <w:rFonts w:ascii="Arial" w:cs="Arial" w:eastAsia="Arial" w:hAnsi="Arial"/>
                <w:sz w:val="16"/>
                <w:szCs w:val="16"/>
                <w:color w:val="auto"/>
              </w:rPr>
              <w:t>President, Finance ("EVP Finance"))</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20"/>
        </w:trPr>
        <w:tc>
          <w:tcPr>
            <w:tcW w:w="61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ii. Servicer Solutions business (applicable to the President, Servicer Solutions and</w:t>
            </w: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ii. $550.3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ii. $647.4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ii. $744.5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ii. $649.8 million</w:t>
            </w:r>
          </w:p>
        </w:tc>
      </w:tr>
      <w:tr>
        <w:trPr>
          <w:trHeight w:val="187"/>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the Chief Legal and Compliance Officer ("CLCO"))</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Target</w:t>
            </w:r>
          </w:p>
        </w:tc>
      </w:tr>
      <w:tr>
        <w:trPr>
          <w:trHeight w:val="42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iii. Origination Solutions business (applicable to the CLCO)</w:t>
            </w:r>
          </w:p>
        </w:tc>
        <w:tc>
          <w:tcPr>
            <w:tcW w:w="1260" w:type="dxa"/>
            <w:vAlign w:val="bottom"/>
          </w:tcPr>
          <w:p>
            <w:pPr>
              <w:ind w:left="20"/>
              <w:spacing w:after="0"/>
              <w:rPr>
                <w:sz w:val="20"/>
                <w:szCs w:val="20"/>
                <w:color w:val="auto"/>
              </w:rPr>
            </w:pPr>
            <w:r>
              <w:rPr>
                <w:rFonts w:ascii="Arial" w:cs="Arial" w:eastAsia="Arial" w:hAnsi="Arial"/>
                <w:sz w:val="16"/>
                <w:szCs w:val="16"/>
                <w:color w:val="auto"/>
              </w:rPr>
              <w:t>iii. $45.4 million</w:t>
            </w:r>
          </w:p>
        </w:tc>
        <w:tc>
          <w:tcPr>
            <w:tcW w:w="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iii. $53.5 million</w:t>
            </w:r>
          </w:p>
        </w:tc>
        <w:tc>
          <w:tcPr>
            <w:tcW w:w="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iii. $61.5 million</w:t>
            </w:r>
          </w:p>
        </w:tc>
        <w:tc>
          <w:tcPr>
            <w:tcW w:w="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iii. $49.2 million</w:t>
            </w:r>
          </w:p>
        </w:tc>
      </w:tr>
      <w:tr>
        <w:trPr>
          <w:trHeight w:val="187"/>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Threshold</w:t>
            </w:r>
          </w:p>
        </w:tc>
      </w:tr>
      <w:tr>
        <w:trPr>
          <w:trHeight w:val="420"/>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 Consumer Real Estate Solutions business (applicable to the CLCO)</w:t>
            </w: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$4.0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$4.7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$5.3 million</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$4.7 million</w:t>
            </w:r>
          </w:p>
        </w:tc>
      </w:tr>
      <w:tr>
        <w:trPr>
          <w:trHeight w:val="187"/>
        </w:trPr>
        <w:tc>
          <w:tcPr>
            <w:tcW w:w="6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Target</w:t>
            </w:r>
          </w:p>
        </w:tc>
      </w:tr>
      <w:tr>
        <w:trPr>
          <w:trHeight w:val="420"/>
        </w:trPr>
        <w:tc>
          <w:tcPr>
            <w:tcW w:w="6140" w:type="dxa"/>
            <w:vAlign w:val="bottom"/>
            <w:gridSpan w:val="2"/>
          </w:tcPr>
          <w:p>
            <w:pPr>
              <w:ind w:left="40"/>
              <w:spacing w:after="0"/>
              <w:rPr>
                <w:sz w:val="20"/>
                <w:szCs w:val="20"/>
                <w:color w:val="auto"/>
              </w:rPr>
            </w:pPr>
            <w:r>
              <w:rPr>
                <w:rFonts w:ascii="Arial" w:cs="Arial" w:eastAsia="Arial" w:hAnsi="Arial"/>
                <w:sz w:val="16"/>
                <w:szCs w:val="16"/>
                <w:color w:val="auto"/>
              </w:rPr>
              <w:t>v. Real Estate Investor Solutions business (applicable to the CLCO)</w:t>
            </w:r>
          </w:p>
        </w:tc>
        <w:tc>
          <w:tcPr>
            <w:tcW w:w="1260" w:type="dxa"/>
            <w:vAlign w:val="bottom"/>
          </w:tcPr>
          <w:p>
            <w:pPr>
              <w:ind w:left="60"/>
              <w:spacing w:after="0"/>
              <w:rPr>
                <w:sz w:val="20"/>
                <w:szCs w:val="20"/>
                <w:color w:val="auto"/>
              </w:rPr>
            </w:pPr>
            <w:r>
              <w:rPr>
                <w:rFonts w:ascii="Arial" w:cs="Arial" w:eastAsia="Arial" w:hAnsi="Arial"/>
                <w:sz w:val="16"/>
                <w:szCs w:val="16"/>
                <w:color w:val="auto"/>
              </w:rPr>
              <w:t>v. $77.7 million</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6"/>
                <w:szCs w:val="16"/>
                <w:color w:val="auto"/>
              </w:rPr>
              <w:t>v. $86.6 million</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6"/>
                <w:szCs w:val="16"/>
                <w:color w:val="auto"/>
              </w:rPr>
              <w:t>v. $95.5 million</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6"/>
                <w:szCs w:val="16"/>
                <w:color w:val="auto"/>
              </w:rPr>
              <w:t>v. $82.1 million</w:t>
            </w:r>
          </w:p>
        </w:tc>
      </w:tr>
      <w:tr>
        <w:trPr>
          <w:trHeight w:val="187"/>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Threshold</w:t>
            </w:r>
          </w:p>
        </w:tc>
      </w:tr>
      <w:tr>
        <w:trPr>
          <w:trHeight w:val="417"/>
        </w:trPr>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Achieve Income Targets</w:t>
            </w:r>
            <w:r>
              <w:rPr>
                <w:rFonts w:ascii="Arial" w:cs="Arial" w:eastAsia="Arial" w:hAnsi="Arial"/>
                <w:sz w:val="27"/>
                <w:szCs w:val="27"/>
                <w:color w:val="auto"/>
                <w:vertAlign w:val="superscript"/>
              </w:rPr>
              <w:t>(1)</w:t>
            </w:r>
            <w:r>
              <w:rPr>
                <w:rFonts w:ascii="Arial" w:cs="Arial" w:eastAsia="Arial" w:hAnsi="Arial"/>
                <w:sz w:val="16"/>
                <w:szCs w:val="16"/>
                <w:color w:val="auto"/>
              </w:rPr>
              <w:t>:</w:t>
            </w: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420"/>
        </w:trPr>
        <w:tc>
          <w:tcPr>
            <w:tcW w:w="6140" w:type="dxa"/>
            <w:vAlign w:val="bottom"/>
            <w:gridSpan w:val="2"/>
          </w:tcPr>
          <w:p>
            <w:pPr>
              <w:jc w:val="center"/>
              <w:ind w:right="40"/>
              <w:spacing w:after="0"/>
              <w:rPr>
                <w:sz w:val="20"/>
                <w:szCs w:val="20"/>
                <w:color w:val="auto"/>
              </w:rPr>
            </w:pPr>
            <w:r>
              <w:rPr>
                <w:rFonts w:ascii="Arial" w:cs="Arial" w:eastAsia="Arial" w:hAnsi="Arial"/>
                <w:sz w:val="16"/>
                <w:szCs w:val="16"/>
                <w:color w:val="auto"/>
              </w:rPr>
              <w:t>i. Altisource Consolidated: Adjusted Diluted Earnings Per Share ("Adjusted EPS")</w:t>
            </w:r>
          </w:p>
        </w:tc>
        <w:tc>
          <w:tcPr>
            <w:tcW w:w="1260" w:type="dxa"/>
            <w:vAlign w:val="bottom"/>
          </w:tcPr>
          <w:p>
            <w:pPr>
              <w:ind w:left="80"/>
              <w:spacing w:after="0"/>
              <w:rPr>
                <w:sz w:val="20"/>
                <w:szCs w:val="20"/>
                <w:color w:val="auto"/>
              </w:rPr>
            </w:pPr>
            <w:r>
              <w:rPr>
                <w:rFonts w:ascii="Arial" w:cs="Arial" w:eastAsia="Arial" w:hAnsi="Arial"/>
                <w:sz w:val="16"/>
                <w:szCs w:val="16"/>
                <w:color w:val="auto"/>
              </w:rPr>
              <w:t>i. $2.38</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$2.51</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$2.78</w:t>
            </w:r>
          </w:p>
        </w:tc>
        <w:tc>
          <w:tcPr>
            <w:tcW w:w="8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6"/>
                <w:szCs w:val="16"/>
                <w:color w:val="auto"/>
              </w:rPr>
              <w:t>i. $2.80</w:t>
            </w:r>
          </w:p>
        </w:tc>
      </w:tr>
      <w:tr>
        <w:trPr>
          <w:trHeight w:val="197"/>
        </w:trPr>
        <w:tc>
          <w:tcPr>
            <w:tcW w:w="6140" w:type="dxa"/>
            <w:vAlign w:val="bottom"/>
            <w:gridSpan w:val="2"/>
          </w:tcPr>
          <w:p>
            <w:pPr>
              <w:ind w:left="240"/>
              <w:spacing w:after="0"/>
              <w:rPr>
                <w:sz w:val="20"/>
                <w:szCs w:val="20"/>
                <w:color w:val="auto"/>
              </w:rPr>
            </w:pPr>
            <w:r>
              <w:rPr>
                <w:rFonts w:ascii="Arial" w:cs="Arial" w:eastAsia="Arial" w:hAnsi="Arial"/>
                <w:sz w:val="16"/>
                <w:szCs w:val="16"/>
                <w:color w:val="auto"/>
              </w:rPr>
              <w:t>(applicable to the CEO, the CARO and the EVP Finance)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255510" cy="385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5510" cy="38544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20" w:lineRule="exact"/>
        <w:rPr>
          <w:sz w:val="20"/>
          <w:szCs w:val="20"/>
          <w:color w:val="auto"/>
        </w:rPr>
      </w:pPr>
    </w:p>
    <w:p>
      <w:pPr>
        <w:ind w:left="240" w:right="70" w:hanging="193"/>
        <w:spacing w:after="0" w:line="263" w:lineRule="auto"/>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Servicer Solutions business: Adjusted Pretax Income (applicable to the President, Servicer Solutions)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Successfully complete the key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Strategic Initiatives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19018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210" w:hanging="4210"/>
        <w:spacing w:after="0" w:line="263" w:lineRule="auto"/>
        <w:tabs>
          <w:tab w:leader="none" w:pos="1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$188.7 million ii. $222.0 million ii. $255.3 million ii. $205.9 million Threshold</w:t>
      </w:r>
    </w:p>
    <w:p>
      <w:pPr>
        <w:spacing w:after="0" w:line="203" w:lineRule="exact"/>
        <w:rPr>
          <w:sz w:val="20"/>
          <w:szCs w:val="20"/>
          <w:color w:val="auto"/>
        </w:rPr>
      </w:pPr>
    </w:p>
    <w:p>
      <w:pPr>
        <w:jc w:val="center"/>
        <w:ind w:left="10" w:right="30"/>
        <w:spacing w:after="0" w:line="263" w:lineRule="auto"/>
        <w:rPr>
          <w:sz w:val="20"/>
          <w:szCs w:val="20"/>
          <w:color w:val="auto"/>
        </w:rPr>
      </w:pPr>
      <w:r>
        <w:rPr>
          <w:rFonts w:ascii="Arial" w:cs="Arial" w:eastAsia="Arial" w:hAnsi="Arial"/>
          <w:sz w:val="16"/>
          <w:szCs w:val="16"/>
          <w:color w:val="auto"/>
        </w:rPr>
        <w:t>See Strategic    See Strategic    See Strategic    See Strategic Initiatives below  Initiatives below  Initiatives below  Initiatives below</w:t>
      </w:r>
    </w:p>
    <w:p>
      <w:pPr>
        <w:spacing w:after="0" w:line="200" w:lineRule="exact"/>
        <w:rPr>
          <w:sz w:val="20"/>
          <w:szCs w:val="20"/>
          <w:color w:val="auto"/>
        </w:rPr>
      </w:pPr>
    </w:p>
    <w:p>
      <w:pPr>
        <w:sectPr>
          <w:pgSz w:w="11900" w:h="16838" w:orient="portrait"/>
          <w:cols w:equalWidth="0" w:num="2">
            <w:col w:w="5470" w:space="720"/>
            <w:col w:w="5230"/>
          </w:cols>
          <w:pgMar w:left="240" w:top="143" w:right="239" w:bottom="1440" w:gutter="0" w:footer="0" w:header="0"/>
          <w:type w:val="continuous"/>
        </w:sectPr>
      </w:pPr>
    </w:p>
    <w:p>
      <w:pPr>
        <w:spacing w:after="0" w:line="92" w:lineRule="exact"/>
        <w:rPr>
          <w:sz w:val="20"/>
          <w:szCs w:val="20"/>
          <w:color w:val="auto"/>
        </w:rPr>
      </w:pPr>
    </w:p>
    <w:p>
      <w:pPr>
        <w:ind w:left="500" w:right="360" w:hanging="499"/>
        <w:spacing w:after="0" w:line="187" w:lineRule="auto"/>
        <w:tabs>
          <w:tab w:leader="none" w:pos="500" w:val="left"/>
        </w:tabs>
        <w:numPr>
          <w:ilvl w:val="0"/>
          <w:numId w:val="37"/>
        </w:numPr>
        <w:rPr>
          <w:rFonts w:ascii="Arial" w:cs="Arial" w:eastAsia="Arial" w:hAnsi="Arial"/>
          <w:sz w:val="27"/>
          <w:szCs w:val="27"/>
          <w:color w:val="auto"/>
          <w:vertAlign w:val="superscript"/>
        </w:rPr>
      </w:pPr>
      <w:r>
        <w:rPr>
          <w:rFonts w:ascii="Arial" w:cs="Arial" w:eastAsia="Arial" w:hAnsi="Arial"/>
          <w:sz w:val="16"/>
          <w:szCs w:val="16"/>
          <w:color w:val="auto"/>
        </w:rPr>
        <w:t>The business segment goals are generally established such that the sum of all business goals is equal to the corresponding goal at the Altisource consolidated corporate level.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elements of our strategic initiatives and actual levels of achievements of our Named Executive Officers against such initiatives are set forth below. We do not disclose all of our specific performance measures and targets for these initiatives as they contain highly sensitive data related to our business operations and strategy. We believe that the disclosure of such performance measures and targets would result in competitive harm.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2017 Strategic Initiatives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0" w:type="dxa"/>
            <w:vAlign w:val="bottom"/>
            <w:tcBorders>
              <w:top w:val="single" w:sz="8" w:color="auto"/>
            </w:tcBorders>
          </w:tcPr>
          <w:p>
            <w:pPr>
              <w:spacing w:after="0"/>
              <w:rPr>
                <w:sz w:val="14"/>
                <w:szCs w:val="14"/>
                <w:color w:val="auto"/>
              </w:rPr>
            </w:pPr>
          </w:p>
        </w:tc>
        <w:tc>
          <w:tcPr>
            <w:tcW w:w="869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tcPr>
          <w:p>
            <w:pPr>
              <w:ind w:left="580"/>
              <w:spacing w:after="0" w:line="169" w:lineRule="exact"/>
              <w:rPr>
                <w:sz w:val="20"/>
                <w:szCs w:val="20"/>
                <w:color w:val="auto"/>
              </w:rPr>
            </w:pPr>
            <w:r>
              <w:rPr>
                <w:rFonts w:ascii="Arial" w:cs="Arial" w:eastAsia="Arial" w:hAnsi="Arial"/>
                <w:sz w:val="16"/>
                <w:szCs w:val="16"/>
                <w:b w:val="1"/>
                <w:bCs w:val="1"/>
                <w:color w:val="auto"/>
              </w:rPr>
              <w:t>Actual Level of</w:t>
            </w:r>
          </w:p>
        </w:tc>
      </w:tr>
      <w:tr>
        <w:trPr>
          <w:trHeight w:val="241"/>
        </w:trPr>
        <w:tc>
          <w:tcPr>
            <w:tcW w:w="230" w:type="dxa"/>
            <w:vAlign w:val="bottom"/>
            <w:tcBorders>
              <w:bottom w:val="single" w:sz="8" w:color="auto"/>
            </w:tcBorders>
          </w:tcPr>
          <w:p>
            <w:pPr>
              <w:spacing w:after="0"/>
              <w:rPr>
                <w:sz w:val="20"/>
                <w:szCs w:val="20"/>
                <w:color w:val="auto"/>
              </w:rPr>
            </w:pPr>
          </w:p>
        </w:tc>
        <w:tc>
          <w:tcPr>
            <w:tcW w:w="8690" w:type="dxa"/>
            <w:vAlign w:val="bottom"/>
            <w:tcBorders>
              <w:bottom w:val="single" w:sz="8" w:color="auto"/>
            </w:tcBorders>
          </w:tcPr>
          <w:p>
            <w:pPr>
              <w:ind w:left="3870"/>
              <w:spacing w:after="0"/>
              <w:rPr>
                <w:sz w:val="20"/>
                <w:szCs w:val="20"/>
                <w:color w:val="auto"/>
              </w:rPr>
            </w:pPr>
            <w:r>
              <w:rPr>
                <w:rFonts w:ascii="Arial" w:cs="Arial" w:eastAsia="Arial" w:hAnsi="Arial"/>
                <w:sz w:val="16"/>
                <w:szCs w:val="16"/>
                <w:b w:val="1"/>
                <w:bCs w:val="1"/>
                <w:color w:val="auto"/>
              </w:rPr>
              <w:t>Elements</w:t>
            </w:r>
          </w:p>
        </w:tc>
        <w:tc>
          <w:tcPr>
            <w:tcW w:w="200" w:type="dxa"/>
            <w:vAlign w:val="bottom"/>
          </w:tcPr>
          <w:p>
            <w:pPr>
              <w:spacing w:after="0"/>
              <w:rPr>
                <w:sz w:val="20"/>
                <w:szCs w:val="20"/>
                <w:color w:val="auto"/>
              </w:rPr>
            </w:pPr>
          </w:p>
        </w:tc>
        <w:tc>
          <w:tcPr>
            <w:tcW w:w="2300" w:type="dxa"/>
            <w:vAlign w:val="bottom"/>
            <w:tcBorders>
              <w:bottom w:val="single" w:sz="8" w:color="auto"/>
            </w:tcBorders>
          </w:tcPr>
          <w:p>
            <w:pPr>
              <w:ind w:left="460"/>
              <w:spacing w:after="0" w:line="241" w:lineRule="exact"/>
              <w:rPr>
                <w:sz w:val="20"/>
                <w:szCs w:val="20"/>
                <w:color w:val="auto"/>
              </w:rPr>
            </w:pPr>
            <w:r>
              <w:rPr>
                <w:rFonts w:ascii="Arial" w:cs="Arial" w:eastAsia="Arial" w:hAnsi="Arial"/>
                <w:sz w:val="16"/>
                <w:szCs w:val="16"/>
                <w:b w:val="1"/>
                <w:bCs w:val="1"/>
                <w:color w:val="auto"/>
              </w:rPr>
              <w:t>Achievement</w:t>
            </w:r>
            <w:r>
              <w:rPr>
                <w:rFonts w:ascii="Arial" w:cs="Arial" w:eastAsia="Arial" w:hAnsi="Arial"/>
                <w:sz w:val="27"/>
                <w:szCs w:val="27"/>
                <w:b w:val="1"/>
                <w:bCs w:val="1"/>
                <w:color w:val="auto"/>
                <w:vertAlign w:val="superscript"/>
              </w:rPr>
              <w:t>(1),(2)</w:t>
            </w:r>
          </w:p>
        </w:tc>
      </w:tr>
      <w:tr>
        <w:trPr>
          <w:trHeight w:val="182"/>
        </w:trPr>
        <w:tc>
          <w:tcPr>
            <w:tcW w:w="230" w:type="dxa"/>
            <w:vAlign w:val="bottom"/>
            <w:shd w:val="clear" w:color="auto" w:fill="CCEEFF"/>
          </w:tcPr>
          <w:p>
            <w:pPr>
              <w:jc w:val="right"/>
              <w:ind w:right="8"/>
              <w:spacing w:after="0" w:line="182" w:lineRule="exact"/>
              <w:rPr>
                <w:sz w:val="20"/>
                <w:szCs w:val="20"/>
                <w:color w:val="auto"/>
              </w:rPr>
            </w:pPr>
            <w:r>
              <w:rPr>
                <w:rFonts w:ascii="Arial" w:cs="Arial" w:eastAsia="Arial" w:hAnsi="Arial"/>
                <w:sz w:val="16"/>
                <w:szCs w:val="16"/>
                <w:color w:val="auto"/>
                <w:w w:val="89"/>
              </w:rPr>
              <w:t>1.</w:t>
            </w:r>
          </w:p>
        </w:tc>
        <w:tc>
          <w:tcPr>
            <w:tcW w:w="8690" w:type="dxa"/>
            <w:vAlign w:val="bottom"/>
            <w:shd w:val="clear" w:color="auto" w:fill="CCEEFF"/>
          </w:tcPr>
          <w:p>
            <w:pPr>
              <w:ind w:left="30"/>
              <w:spacing w:after="0" w:line="182" w:lineRule="exact"/>
              <w:rPr>
                <w:sz w:val="20"/>
                <w:szCs w:val="20"/>
                <w:color w:val="auto"/>
              </w:rPr>
            </w:pPr>
            <w:r>
              <w:rPr>
                <w:rFonts w:ascii="Arial" w:cs="Arial" w:eastAsia="Arial" w:hAnsi="Arial"/>
                <w:sz w:val="16"/>
                <w:szCs w:val="16"/>
                <w:color w:val="auto"/>
              </w:rPr>
              <w:t>Grow Servicer Solutions business</w:t>
            </w:r>
          </w:p>
        </w:tc>
        <w:tc>
          <w:tcPr>
            <w:tcW w:w="2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President, Servicer Solutions—</w:t>
            </w:r>
          </w:p>
        </w:tc>
      </w:tr>
      <w:tr>
        <w:trPr>
          <w:trHeight w:val="228"/>
        </w:trPr>
        <w:tc>
          <w:tcPr>
            <w:tcW w:w="230" w:type="dxa"/>
            <w:vAlign w:val="bottom"/>
            <w:shd w:val="clear" w:color="auto" w:fill="CCEEFF"/>
          </w:tcPr>
          <w:p>
            <w:pPr>
              <w:spacing w:after="0"/>
              <w:rPr>
                <w:sz w:val="19"/>
                <w:szCs w:val="19"/>
                <w:color w:val="auto"/>
              </w:rPr>
            </w:pPr>
          </w:p>
        </w:tc>
        <w:tc>
          <w:tcPr>
            <w:tcW w:w="8690" w:type="dxa"/>
            <w:vAlign w:val="bottom"/>
            <w:shd w:val="clear" w:color="auto" w:fill="CCEEFF"/>
          </w:tcPr>
          <w:p>
            <w:pPr>
              <w:ind w:left="310"/>
              <w:spacing w:after="0"/>
              <w:rPr>
                <w:sz w:val="20"/>
                <w:szCs w:val="20"/>
                <w:color w:val="auto"/>
              </w:rPr>
            </w:pPr>
            <w:r>
              <w:rPr>
                <w:rFonts w:ascii="Arial" w:cs="Arial" w:eastAsia="Arial" w:hAnsi="Arial"/>
                <w:sz w:val="16"/>
                <w:szCs w:val="16"/>
                <w:color w:val="auto"/>
              </w:rPr>
              <w:t>a.  Achieve REO liquidation rate Targets</w:t>
            </w: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Threshold at 55.0%</w:t>
            </w:r>
            <w:r>
              <w:rPr>
                <w:rFonts w:ascii="Arial" w:cs="Arial" w:eastAsia="Arial" w:hAnsi="Arial"/>
                <w:sz w:val="26"/>
                <w:szCs w:val="26"/>
                <w:color w:val="auto"/>
                <w:vertAlign w:val="superscript"/>
              </w:rPr>
              <w:t>(3)</w:t>
            </w:r>
            <w:r>
              <w:rPr>
                <w:rFonts w:ascii="Arial" w:cs="Arial" w:eastAsia="Arial" w:hAnsi="Arial"/>
                <w:sz w:val="16"/>
                <w:szCs w:val="16"/>
                <w:color w:val="auto"/>
              </w:rPr>
              <w:t>,</w:t>
            </w:r>
          </w:p>
        </w:tc>
      </w:tr>
      <w:tr>
        <w:trPr>
          <w:trHeight w:val="190"/>
        </w:trPr>
        <w:tc>
          <w:tcPr>
            <w:tcW w:w="230" w:type="dxa"/>
            <w:vAlign w:val="bottom"/>
            <w:shd w:val="clear" w:color="auto" w:fill="CCEEFF"/>
          </w:tcPr>
          <w:p>
            <w:pPr>
              <w:spacing w:after="0"/>
              <w:rPr>
                <w:sz w:val="16"/>
                <w:szCs w:val="16"/>
                <w:color w:val="auto"/>
              </w:rPr>
            </w:pPr>
          </w:p>
        </w:tc>
        <w:tc>
          <w:tcPr>
            <w:tcW w:w="8690" w:type="dxa"/>
            <w:vAlign w:val="bottom"/>
            <w:shd w:val="clear" w:color="auto" w:fill="CCEEFF"/>
          </w:tcPr>
          <w:p>
            <w:pPr>
              <w:ind w:left="310"/>
              <w:spacing w:after="0"/>
              <w:rPr>
                <w:sz w:val="20"/>
                <w:szCs w:val="20"/>
                <w:color w:val="auto"/>
              </w:rPr>
            </w:pPr>
            <w:r>
              <w:rPr>
                <w:rFonts w:ascii="Arial" w:cs="Arial" w:eastAsia="Arial" w:hAnsi="Arial"/>
                <w:sz w:val="16"/>
                <w:szCs w:val="16"/>
                <w:color w:val="auto"/>
              </w:rPr>
              <w:t>b.  Achieve diversified Service Revenue Target</w:t>
            </w:r>
          </w:p>
        </w:tc>
        <w:tc>
          <w:tcPr>
            <w:tcW w:w="2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CLCO—Below Threshold</w:t>
            </w:r>
          </w:p>
        </w:tc>
      </w:tr>
      <w:tr>
        <w:trPr>
          <w:trHeight w:val="190"/>
        </w:trPr>
        <w:tc>
          <w:tcPr>
            <w:tcW w:w="230" w:type="dxa"/>
            <w:vAlign w:val="bottom"/>
            <w:shd w:val="clear" w:color="auto" w:fill="CCEEFF"/>
          </w:tcPr>
          <w:p>
            <w:pPr>
              <w:spacing w:after="0"/>
              <w:rPr>
                <w:sz w:val="16"/>
                <w:szCs w:val="16"/>
                <w:color w:val="auto"/>
              </w:rPr>
            </w:pPr>
          </w:p>
        </w:tc>
        <w:tc>
          <w:tcPr>
            <w:tcW w:w="8690" w:type="dxa"/>
            <w:vAlign w:val="bottom"/>
            <w:shd w:val="clear" w:color="auto" w:fill="CCEEFF"/>
          </w:tcPr>
          <w:p>
            <w:pPr>
              <w:ind w:left="330"/>
              <w:spacing w:after="0"/>
              <w:rPr>
                <w:sz w:val="20"/>
                <w:szCs w:val="20"/>
                <w:color w:val="auto"/>
              </w:rPr>
            </w:pPr>
            <w:r>
              <w:rPr>
                <w:rFonts w:ascii="Arial" w:cs="Arial" w:eastAsia="Arial" w:hAnsi="Arial"/>
                <w:sz w:val="16"/>
                <w:szCs w:val="16"/>
                <w:color w:val="auto"/>
              </w:rPr>
              <w:t>c.  Achieve Q4'17 diversified Service Revenue Target</w:t>
            </w:r>
          </w:p>
        </w:tc>
        <w:tc>
          <w:tcPr>
            <w:tcW w:w="2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417"/>
        </w:trPr>
        <w:tc>
          <w:tcPr>
            <w:tcW w:w="230" w:type="dxa"/>
            <w:vAlign w:val="bottom"/>
          </w:tcPr>
          <w:p>
            <w:pPr>
              <w:jc w:val="right"/>
              <w:ind w:right="8"/>
              <w:spacing w:after="0"/>
              <w:rPr>
                <w:sz w:val="20"/>
                <w:szCs w:val="20"/>
                <w:color w:val="auto"/>
              </w:rPr>
            </w:pPr>
            <w:r>
              <w:rPr>
                <w:rFonts w:ascii="Arial" w:cs="Arial" w:eastAsia="Arial" w:hAnsi="Arial"/>
                <w:sz w:val="16"/>
                <w:szCs w:val="16"/>
                <w:color w:val="auto"/>
                <w:w w:val="89"/>
              </w:rPr>
              <w:t>2.</w:t>
            </w:r>
          </w:p>
        </w:tc>
        <w:tc>
          <w:tcPr>
            <w:tcW w:w="8690" w:type="dxa"/>
            <w:vAlign w:val="bottom"/>
          </w:tcPr>
          <w:p>
            <w:pPr>
              <w:ind w:left="30"/>
              <w:spacing w:after="0"/>
              <w:rPr>
                <w:sz w:val="20"/>
                <w:szCs w:val="20"/>
                <w:color w:val="auto"/>
              </w:rPr>
            </w:pPr>
            <w:r>
              <w:rPr>
                <w:rFonts w:ascii="Arial" w:cs="Arial" w:eastAsia="Arial" w:hAnsi="Arial"/>
                <w:sz w:val="16"/>
                <w:szCs w:val="16"/>
                <w:color w:val="auto"/>
              </w:rPr>
              <w:t>Grow Origination Solutions business—Achieve Q4'17 Service Revenue Target</w:t>
            </w:r>
          </w:p>
        </w:tc>
        <w:tc>
          <w:tcPr>
            <w:tcW w:w="20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CLCO—Below Threshold</w:t>
            </w:r>
          </w:p>
        </w:tc>
      </w:tr>
      <w:tr>
        <w:trPr>
          <w:trHeight w:val="420"/>
        </w:trPr>
        <w:tc>
          <w:tcPr>
            <w:tcW w:w="23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3.</w:t>
            </w:r>
          </w:p>
        </w:tc>
        <w:tc>
          <w:tcPr>
            <w:tcW w:w="8690" w:type="dxa"/>
            <w:vAlign w:val="bottom"/>
            <w:shd w:val="clear" w:color="auto" w:fill="CCEEFF"/>
          </w:tcPr>
          <w:p>
            <w:pPr>
              <w:ind w:left="30"/>
              <w:spacing w:after="0"/>
              <w:rPr>
                <w:sz w:val="20"/>
                <w:szCs w:val="20"/>
                <w:color w:val="auto"/>
              </w:rPr>
            </w:pPr>
            <w:r>
              <w:rPr>
                <w:rFonts w:ascii="Arial" w:cs="Arial" w:eastAsia="Arial" w:hAnsi="Arial"/>
                <w:sz w:val="16"/>
                <w:szCs w:val="16"/>
                <w:color w:val="auto"/>
              </w:rPr>
              <w:t>Grow Consumer Real Estate Solutions business</w:t>
            </w:r>
          </w:p>
        </w:tc>
        <w:tc>
          <w:tcPr>
            <w:tcW w:w="20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CLCO—Outstanding at 130.0%</w:t>
            </w:r>
          </w:p>
        </w:tc>
      </w:tr>
      <w:tr>
        <w:trPr>
          <w:trHeight w:val="164"/>
        </w:trPr>
        <w:tc>
          <w:tcPr>
            <w:tcW w:w="230" w:type="dxa"/>
            <w:vAlign w:val="bottom"/>
            <w:shd w:val="clear" w:color="auto" w:fill="CCEEFF"/>
          </w:tcPr>
          <w:p>
            <w:pPr>
              <w:spacing w:after="0"/>
              <w:rPr>
                <w:sz w:val="14"/>
                <w:szCs w:val="14"/>
                <w:color w:val="auto"/>
              </w:rPr>
            </w:pPr>
          </w:p>
        </w:tc>
        <w:tc>
          <w:tcPr>
            <w:tcW w:w="869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(4)</w:t>
            </w:r>
          </w:p>
        </w:tc>
      </w:tr>
      <w:tr>
        <w:trPr>
          <w:trHeight w:val="23"/>
        </w:trPr>
        <w:tc>
          <w:tcPr>
            <w:tcW w:w="230" w:type="dxa"/>
            <w:vAlign w:val="bottom"/>
            <w:shd w:val="clear" w:color="auto" w:fill="CCEEFF"/>
          </w:tcPr>
          <w:p>
            <w:pPr>
              <w:spacing w:after="0"/>
              <w:rPr>
                <w:sz w:val="2"/>
                <w:szCs w:val="2"/>
                <w:color w:val="auto"/>
              </w:rPr>
            </w:pPr>
          </w:p>
        </w:tc>
        <w:tc>
          <w:tcPr>
            <w:tcW w:w="869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255510" cy="746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5510" cy="746125"/>
                    </a:xfrm>
                    <a:prstGeom prst="rect">
                      <a:avLst/>
                    </a:prstGeom>
                    <a:noFill/>
                  </pic:spPr>
                </pic:pic>
              </a:graphicData>
            </a:graphic>
          </wp:anchor>
        </w:drawing>
      </w:r>
    </w:p>
    <w:p>
      <w:pPr>
        <w:ind w:left="880" w:hanging="333"/>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Achieve Lead to Face to Face ("F2F") Conversion Rate Target</w:t>
      </w:r>
    </w:p>
    <w:p>
      <w:pPr>
        <w:spacing w:after="0" w:line="5" w:lineRule="exact"/>
        <w:rPr>
          <w:rFonts w:ascii="Arial" w:cs="Arial" w:eastAsia="Arial" w:hAnsi="Arial"/>
          <w:sz w:val="16"/>
          <w:szCs w:val="16"/>
          <w:color w:val="auto"/>
        </w:rPr>
      </w:pPr>
    </w:p>
    <w:p>
      <w:pPr>
        <w:ind w:left="880" w:hanging="333"/>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Achieve F2F to Closing Conversion Rate Target</w:t>
      </w:r>
    </w:p>
    <w:p>
      <w:pPr>
        <w:spacing w:after="0" w:line="5" w:lineRule="exact"/>
        <w:rPr>
          <w:rFonts w:ascii="Arial" w:cs="Arial" w:eastAsia="Arial" w:hAnsi="Arial"/>
          <w:sz w:val="16"/>
          <w:szCs w:val="16"/>
          <w:color w:val="auto"/>
        </w:rPr>
      </w:pPr>
    </w:p>
    <w:p>
      <w:pPr>
        <w:ind w:left="880" w:hanging="324"/>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Achieve Take Rate Target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 w:type="dxa"/>
            <w:vAlign w:val="bottom"/>
          </w:tcPr>
          <w:p>
            <w:pPr>
              <w:jc w:val="right"/>
              <w:ind w:right="8"/>
              <w:spacing w:after="0"/>
              <w:rPr>
                <w:sz w:val="20"/>
                <w:szCs w:val="20"/>
                <w:color w:val="auto"/>
              </w:rPr>
            </w:pPr>
            <w:r>
              <w:rPr>
                <w:rFonts w:ascii="Arial" w:cs="Arial" w:eastAsia="Arial" w:hAnsi="Arial"/>
                <w:sz w:val="16"/>
                <w:szCs w:val="16"/>
                <w:color w:val="auto"/>
                <w:w w:val="89"/>
              </w:rPr>
              <w:t>4.</w:t>
            </w:r>
          </w:p>
        </w:tc>
        <w:tc>
          <w:tcPr>
            <w:tcW w:w="7650" w:type="dxa"/>
            <w:vAlign w:val="bottom"/>
            <w:gridSpan w:val="2"/>
          </w:tcPr>
          <w:p>
            <w:pPr>
              <w:ind w:left="30"/>
              <w:spacing w:after="0"/>
              <w:rPr>
                <w:sz w:val="20"/>
                <w:szCs w:val="20"/>
                <w:color w:val="auto"/>
              </w:rPr>
            </w:pPr>
            <w:r>
              <w:rPr>
                <w:rFonts w:ascii="Arial" w:cs="Arial" w:eastAsia="Arial" w:hAnsi="Arial"/>
                <w:sz w:val="16"/>
                <w:szCs w:val="16"/>
                <w:color w:val="auto"/>
              </w:rPr>
              <w:t>Grow Real Estate Investor Solutions business—Achieve Q4'17 Service Revenue Target</w:t>
            </w:r>
          </w:p>
        </w:tc>
        <w:tc>
          <w:tcPr>
            <w:tcW w:w="3540" w:type="dxa"/>
            <w:vAlign w:val="bottom"/>
          </w:tcPr>
          <w:p>
            <w:pPr>
              <w:ind w:left="1240"/>
              <w:spacing w:after="0"/>
              <w:rPr>
                <w:sz w:val="20"/>
                <w:szCs w:val="20"/>
                <w:color w:val="auto"/>
              </w:rPr>
            </w:pPr>
            <w:r>
              <w:rPr>
                <w:rFonts w:ascii="Arial" w:cs="Arial" w:eastAsia="Arial" w:hAnsi="Arial"/>
                <w:sz w:val="16"/>
                <w:szCs w:val="16"/>
                <w:color w:val="auto"/>
              </w:rPr>
              <w:t>CLCO—Below Threshold</w:t>
            </w:r>
          </w:p>
        </w:tc>
      </w:tr>
      <w:tr>
        <w:trPr>
          <w:trHeight w:val="417"/>
        </w:trPr>
        <w:tc>
          <w:tcPr>
            <w:tcW w:w="23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5.</w:t>
            </w:r>
          </w:p>
        </w:tc>
        <w:tc>
          <w:tcPr>
            <w:tcW w:w="76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Achieve Marketplace-related objectives</w:t>
            </w: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CLCO—Target</w:t>
            </w:r>
          </w:p>
        </w:tc>
      </w:tr>
      <w:tr>
        <w:trPr>
          <w:trHeight w:val="420"/>
        </w:trPr>
        <w:tc>
          <w:tcPr>
            <w:tcW w:w="230" w:type="dxa"/>
            <w:vAlign w:val="bottom"/>
          </w:tcPr>
          <w:p>
            <w:pPr>
              <w:jc w:val="right"/>
              <w:ind w:right="8"/>
              <w:spacing w:after="0"/>
              <w:rPr>
                <w:sz w:val="20"/>
                <w:szCs w:val="20"/>
                <w:color w:val="auto"/>
              </w:rPr>
            </w:pPr>
            <w:r>
              <w:rPr>
                <w:rFonts w:ascii="Arial" w:cs="Arial" w:eastAsia="Arial" w:hAnsi="Arial"/>
                <w:sz w:val="16"/>
                <w:szCs w:val="16"/>
                <w:color w:val="auto"/>
                <w:w w:val="89"/>
              </w:rPr>
              <w:t>6.</w:t>
            </w:r>
          </w:p>
        </w:tc>
        <w:tc>
          <w:tcPr>
            <w:tcW w:w="7650" w:type="dxa"/>
            <w:vAlign w:val="bottom"/>
            <w:gridSpan w:val="2"/>
          </w:tcPr>
          <w:p>
            <w:pPr>
              <w:ind w:left="30"/>
              <w:spacing w:after="0"/>
              <w:rPr>
                <w:sz w:val="20"/>
                <w:szCs w:val="20"/>
                <w:color w:val="auto"/>
              </w:rPr>
            </w:pPr>
            <w:r>
              <w:rPr>
                <w:rFonts w:ascii="Arial" w:cs="Arial" w:eastAsia="Arial" w:hAnsi="Arial"/>
                <w:sz w:val="16"/>
                <w:szCs w:val="16"/>
                <w:color w:val="auto"/>
              </w:rPr>
              <w:t>Performance against corporate-level Strategic Initiatives</w:t>
            </w:r>
          </w:p>
        </w:tc>
        <w:tc>
          <w:tcPr>
            <w:tcW w:w="3540" w:type="dxa"/>
            <w:vAlign w:val="bottom"/>
          </w:tcPr>
          <w:p>
            <w:pPr>
              <w:ind w:left="1240"/>
              <w:spacing w:after="0"/>
              <w:rPr>
                <w:sz w:val="20"/>
                <w:szCs w:val="20"/>
                <w:color w:val="auto"/>
              </w:rPr>
            </w:pPr>
            <w:r>
              <w:rPr>
                <w:rFonts w:ascii="Arial" w:cs="Arial" w:eastAsia="Arial" w:hAnsi="Arial"/>
                <w:sz w:val="16"/>
                <w:szCs w:val="16"/>
                <w:color w:val="auto"/>
              </w:rPr>
              <w:t>CEO, CARO, EVP Finance,</w:t>
            </w:r>
          </w:p>
        </w:tc>
      </w:tr>
      <w:tr>
        <w:trPr>
          <w:trHeight w:val="190"/>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CLCO,</w:t>
            </w:r>
          </w:p>
        </w:tc>
      </w:tr>
      <w:tr>
        <w:trPr>
          <w:trHeight w:val="190"/>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President, Servicer Solutions—</w:t>
            </w:r>
          </w:p>
        </w:tc>
      </w:tr>
      <w:tr>
        <w:trPr>
          <w:trHeight w:val="187"/>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Outstanding</w:t>
            </w:r>
          </w:p>
        </w:tc>
      </w:tr>
      <w:tr>
        <w:trPr>
          <w:trHeight w:val="417"/>
        </w:trPr>
        <w:tc>
          <w:tcPr>
            <w:tcW w:w="23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7.</w:t>
            </w:r>
          </w:p>
        </w:tc>
        <w:tc>
          <w:tcPr>
            <w:tcW w:w="76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Achieve operations and cost savings initiatives</w:t>
            </w:r>
          </w:p>
        </w:tc>
        <w:tc>
          <w:tcPr>
            <w:tcW w:w="3540" w:type="dxa"/>
            <w:vAlign w:val="bottom"/>
            <w:shd w:val="clear" w:color="auto" w:fill="CCEEFF"/>
          </w:tcPr>
          <w:p>
            <w:pPr>
              <w:spacing w:after="0"/>
              <w:rPr>
                <w:sz w:val="24"/>
                <w:szCs w:val="24"/>
                <w:color w:val="auto"/>
              </w:rPr>
            </w:pPr>
          </w:p>
        </w:tc>
      </w:tr>
      <w:tr>
        <w:trPr>
          <w:trHeight w:val="190"/>
        </w:trPr>
        <w:tc>
          <w:tcPr>
            <w:tcW w:w="230" w:type="dxa"/>
            <w:vAlign w:val="bottom"/>
            <w:shd w:val="clear" w:color="auto" w:fill="CCEEFF"/>
          </w:tcPr>
          <w:p>
            <w:pPr>
              <w:spacing w:after="0"/>
              <w:rPr>
                <w:sz w:val="16"/>
                <w:szCs w:val="16"/>
                <w:color w:val="auto"/>
              </w:rPr>
            </w:pPr>
          </w:p>
        </w:tc>
        <w:tc>
          <w:tcPr>
            <w:tcW w:w="7650" w:type="dxa"/>
            <w:vAlign w:val="bottom"/>
            <w:gridSpan w:val="2"/>
            <w:shd w:val="clear" w:color="auto" w:fill="CCEEFF"/>
          </w:tcPr>
          <w:p>
            <w:pPr>
              <w:ind w:left="310"/>
              <w:spacing w:after="0"/>
              <w:rPr>
                <w:sz w:val="20"/>
                <w:szCs w:val="20"/>
                <w:color w:val="auto"/>
              </w:rPr>
            </w:pPr>
            <w:r>
              <w:rPr>
                <w:rFonts w:ascii="Arial" w:cs="Arial" w:eastAsia="Arial" w:hAnsi="Arial"/>
                <w:sz w:val="16"/>
                <w:szCs w:val="16"/>
                <w:color w:val="auto"/>
              </w:rPr>
              <w:t>a.  Achieve Administration department expense Target</w:t>
            </w: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CARO—Outstanding,</w:t>
            </w:r>
          </w:p>
        </w:tc>
      </w:tr>
      <w:tr>
        <w:trPr>
          <w:trHeight w:val="190"/>
        </w:trPr>
        <w:tc>
          <w:tcPr>
            <w:tcW w:w="230" w:type="dxa"/>
            <w:vAlign w:val="bottom"/>
            <w:shd w:val="clear" w:color="auto" w:fill="CCEEFF"/>
          </w:tcPr>
          <w:p>
            <w:pPr>
              <w:spacing w:after="0"/>
              <w:rPr>
                <w:sz w:val="16"/>
                <w:szCs w:val="16"/>
                <w:color w:val="auto"/>
              </w:rPr>
            </w:pPr>
          </w:p>
        </w:tc>
        <w:tc>
          <w:tcPr>
            <w:tcW w:w="7650" w:type="dxa"/>
            <w:vAlign w:val="bottom"/>
            <w:gridSpan w:val="2"/>
            <w:shd w:val="clear" w:color="auto" w:fill="CCEEFF"/>
          </w:tcPr>
          <w:p>
            <w:pPr>
              <w:ind w:left="310"/>
              <w:spacing w:after="0"/>
              <w:rPr>
                <w:sz w:val="20"/>
                <w:szCs w:val="20"/>
                <w:color w:val="auto"/>
              </w:rPr>
            </w:pPr>
            <w:r>
              <w:rPr>
                <w:rFonts w:ascii="Arial" w:cs="Arial" w:eastAsia="Arial" w:hAnsi="Arial"/>
                <w:sz w:val="16"/>
                <w:szCs w:val="16"/>
                <w:color w:val="auto"/>
              </w:rPr>
              <w:t>b.  Achieve Finance department expense Target</w:t>
            </w: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EVP Finance, CLCO—Target</w:t>
            </w:r>
          </w:p>
        </w:tc>
      </w:tr>
      <w:tr>
        <w:trPr>
          <w:trHeight w:val="190"/>
        </w:trPr>
        <w:tc>
          <w:tcPr>
            <w:tcW w:w="230" w:type="dxa"/>
            <w:vAlign w:val="bottom"/>
            <w:shd w:val="clear" w:color="auto" w:fill="CCEEFF"/>
          </w:tcPr>
          <w:p>
            <w:pPr>
              <w:spacing w:after="0"/>
              <w:rPr>
                <w:sz w:val="16"/>
                <w:szCs w:val="16"/>
                <w:color w:val="auto"/>
              </w:rPr>
            </w:pPr>
          </w:p>
        </w:tc>
        <w:tc>
          <w:tcPr>
            <w:tcW w:w="7650" w:type="dxa"/>
            <w:vAlign w:val="bottom"/>
            <w:gridSpan w:val="2"/>
            <w:shd w:val="clear" w:color="auto" w:fill="CCEEFF"/>
          </w:tcPr>
          <w:p>
            <w:pPr>
              <w:ind w:left="330"/>
              <w:spacing w:after="0"/>
              <w:rPr>
                <w:sz w:val="20"/>
                <w:szCs w:val="20"/>
                <w:color w:val="auto"/>
              </w:rPr>
            </w:pPr>
            <w:r>
              <w:rPr>
                <w:rFonts w:ascii="Arial" w:cs="Arial" w:eastAsia="Arial" w:hAnsi="Arial"/>
                <w:sz w:val="16"/>
                <w:szCs w:val="16"/>
                <w:color w:val="auto"/>
              </w:rPr>
              <w:t>c.  Achieve Law department expense Target</w:t>
            </w:r>
          </w:p>
        </w:tc>
        <w:tc>
          <w:tcPr>
            <w:tcW w:w="3540" w:type="dxa"/>
            <w:vAlign w:val="bottom"/>
            <w:shd w:val="clear" w:color="auto" w:fill="CCEEFF"/>
          </w:tcPr>
          <w:p>
            <w:pPr>
              <w:spacing w:after="0"/>
              <w:rPr>
                <w:sz w:val="16"/>
                <w:szCs w:val="16"/>
                <w:color w:val="auto"/>
              </w:rPr>
            </w:pPr>
          </w:p>
        </w:tc>
      </w:tr>
      <w:tr>
        <w:trPr>
          <w:trHeight w:val="420"/>
        </w:trPr>
        <w:tc>
          <w:tcPr>
            <w:tcW w:w="230" w:type="dxa"/>
            <w:vAlign w:val="bottom"/>
          </w:tcPr>
          <w:p>
            <w:pPr>
              <w:jc w:val="right"/>
              <w:ind w:right="8"/>
              <w:spacing w:after="0"/>
              <w:rPr>
                <w:sz w:val="20"/>
                <w:szCs w:val="20"/>
                <w:color w:val="auto"/>
              </w:rPr>
            </w:pPr>
            <w:r>
              <w:rPr>
                <w:rFonts w:ascii="Arial" w:cs="Arial" w:eastAsia="Arial" w:hAnsi="Arial"/>
                <w:sz w:val="16"/>
                <w:szCs w:val="16"/>
                <w:color w:val="auto"/>
                <w:w w:val="89"/>
              </w:rPr>
              <w:t>8.</w:t>
            </w:r>
          </w:p>
        </w:tc>
        <w:tc>
          <w:tcPr>
            <w:tcW w:w="7650" w:type="dxa"/>
            <w:vAlign w:val="bottom"/>
            <w:gridSpan w:val="2"/>
          </w:tcPr>
          <w:p>
            <w:pPr>
              <w:ind w:left="30"/>
              <w:spacing w:after="0"/>
              <w:rPr>
                <w:sz w:val="20"/>
                <w:szCs w:val="20"/>
                <w:color w:val="auto"/>
              </w:rPr>
            </w:pPr>
            <w:r>
              <w:rPr>
                <w:rFonts w:ascii="Arial" w:cs="Arial" w:eastAsia="Arial" w:hAnsi="Arial"/>
                <w:sz w:val="16"/>
                <w:szCs w:val="16"/>
                <w:color w:val="auto"/>
              </w:rPr>
              <w:t>Continue to enhance our Compliance Management System</w:t>
            </w:r>
          </w:p>
        </w:tc>
        <w:tc>
          <w:tcPr>
            <w:tcW w:w="3540" w:type="dxa"/>
            <w:vAlign w:val="bottom"/>
          </w:tcPr>
          <w:p>
            <w:pPr>
              <w:ind w:left="1240"/>
              <w:spacing w:after="0"/>
              <w:rPr>
                <w:sz w:val="20"/>
                <w:szCs w:val="20"/>
                <w:color w:val="auto"/>
              </w:rPr>
            </w:pPr>
            <w:r>
              <w:rPr>
                <w:rFonts w:ascii="Arial" w:cs="Arial" w:eastAsia="Arial" w:hAnsi="Arial"/>
                <w:sz w:val="16"/>
                <w:szCs w:val="16"/>
                <w:color w:val="auto"/>
              </w:rPr>
              <w:t>CEO, CARO, EVP Finance,</w:t>
            </w:r>
          </w:p>
        </w:tc>
      </w:tr>
      <w:tr>
        <w:trPr>
          <w:trHeight w:val="190"/>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CLCO—Outstanding,</w:t>
            </w:r>
          </w:p>
        </w:tc>
      </w:tr>
      <w:tr>
        <w:trPr>
          <w:trHeight w:val="190"/>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President,</w:t>
            </w:r>
          </w:p>
        </w:tc>
      </w:tr>
      <w:tr>
        <w:trPr>
          <w:trHeight w:val="190"/>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Servicer Solutions—</w:t>
            </w:r>
          </w:p>
        </w:tc>
      </w:tr>
      <w:tr>
        <w:trPr>
          <w:trHeight w:val="187"/>
        </w:trPr>
        <w:tc>
          <w:tcPr>
            <w:tcW w:w="230" w:type="dxa"/>
            <w:vAlign w:val="bottom"/>
          </w:tcPr>
          <w:p>
            <w:pPr>
              <w:spacing w:after="0"/>
              <w:rPr>
                <w:sz w:val="16"/>
                <w:szCs w:val="16"/>
                <w:color w:val="auto"/>
              </w:rPr>
            </w:pPr>
          </w:p>
        </w:tc>
        <w:tc>
          <w:tcPr>
            <w:tcW w:w="277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540" w:type="dxa"/>
            <w:vAlign w:val="bottom"/>
          </w:tcPr>
          <w:p>
            <w:pPr>
              <w:ind w:left="1240"/>
              <w:spacing w:after="0"/>
              <w:rPr>
                <w:sz w:val="20"/>
                <w:szCs w:val="20"/>
                <w:color w:val="auto"/>
              </w:rPr>
            </w:pPr>
            <w:r>
              <w:rPr>
                <w:rFonts w:ascii="Arial" w:cs="Arial" w:eastAsia="Arial" w:hAnsi="Arial"/>
                <w:sz w:val="16"/>
                <w:szCs w:val="16"/>
                <w:color w:val="auto"/>
              </w:rPr>
              <w:t>Outstanding at 125.0%</w:t>
            </w:r>
          </w:p>
        </w:tc>
      </w:tr>
      <w:tr>
        <w:trPr>
          <w:trHeight w:val="420"/>
        </w:trPr>
        <w:tc>
          <w:tcPr>
            <w:tcW w:w="23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9.</w:t>
            </w:r>
          </w:p>
        </w:tc>
        <w:tc>
          <w:tcPr>
            <w:tcW w:w="7650" w:type="dxa"/>
            <w:vAlign w:val="bottom"/>
            <w:gridSpan w:val="2"/>
            <w:shd w:val="clear" w:color="auto" w:fill="CCEEFF"/>
          </w:tcPr>
          <w:p>
            <w:pPr>
              <w:ind w:left="30"/>
              <w:spacing w:after="0"/>
              <w:rPr>
                <w:sz w:val="20"/>
                <w:szCs w:val="20"/>
                <w:color w:val="auto"/>
              </w:rPr>
            </w:pPr>
            <w:r>
              <w:rPr>
                <w:rFonts w:ascii="Arial" w:cs="Arial" w:eastAsia="Arial" w:hAnsi="Arial"/>
                <w:sz w:val="16"/>
                <w:szCs w:val="16"/>
                <w:color w:val="auto"/>
              </w:rPr>
              <w:t>Improve customer experience</w:t>
            </w: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CEO, CARO, President,</w:t>
            </w:r>
          </w:p>
        </w:tc>
      </w:tr>
      <w:tr>
        <w:trPr>
          <w:trHeight w:val="190"/>
        </w:trPr>
        <w:tc>
          <w:tcPr>
            <w:tcW w:w="230" w:type="dxa"/>
            <w:vAlign w:val="bottom"/>
            <w:shd w:val="clear" w:color="auto" w:fill="CCEEFF"/>
          </w:tcPr>
          <w:p>
            <w:pPr>
              <w:spacing w:after="0"/>
              <w:rPr>
                <w:sz w:val="16"/>
                <w:szCs w:val="16"/>
                <w:color w:val="auto"/>
              </w:rPr>
            </w:pPr>
          </w:p>
        </w:tc>
        <w:tc>
          <w:tcPr>
            <w:tcW w:w="277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Servicer Solutions—Target at</w:t>
            </w:r>
          </w:p>
        </w:tc>
      </w:tr>
      <w:tr>
        <w:trPr>
          <w:trHeight w:val="190"/>
        </w:trPr>
        <w:tc>
          <w:tcPr>
            <w:tcW w:w="230" w:type="dxa"/>
            <w:vAlign w:val="bottom"/>
            <w:shd w:val="clear" w:color="auto" w:fill="CCEEFF"/>
          </w:tcPr>
          <w:p>
            <w:pPr>
              <w:spacing w:after="0"/>
              <w:rPr>
                <w:sz w:val="16"/>
                <w:szCs w:val="16"/>
                <w:color w:val="auto"/>
              </w:rPr>
            </w:pPr>
          </w:p>
        </w:tc>
        <w:tc>
          <w:tcPr>
            <w:tcW w:w="277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116.7%,</w:t>
            </w:r>
          </w:p>
        </w:tc>
      </w:tr>
      <w:tr>
        <w:trPr>
          <w:trHeight w:val="187"/>
        </w:trPr>
        <w:tc>
          <w:tcPr>
            <w:tcW w:w="230" w:type="dxa"/>
            <w:vAlign w:val="bottom"/>
            <w:shd w:val="clear" w:color="auto" w:fill="CCEEFF"/>
          </w:tcPr>
          <w:p>
            <w:pPr>
              <w:spacing w:after="0"/>
              <w:rPr>
                <w:sz w:val="16"/>
                <w:szCs w:val="16"/>
                <w:color w:val="auto"/>
              </w:rPr>
            </w:pPr>
          </w:p>
        </w:tc>
        <w:tc>
          <w:tcPr>
            <w:tcW w:w="277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354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CLCO—Target at 75.0%</w:t>
            </w:r>
          </w:p>
        </w:tc>
      </w:tr>
      <w:tr>
        <w:trPr>
          <w:trHeight w:val="101"/>
        </w:trPr>
        <w:tc>
          <w:tcPr>
            <w:tcW w:w="230" w:type="dxa"/>
            <w:vAlign w:val="bottom"/>
            <w:tcBorders>
              <w:bottom w:val="single" w:sz="8" w:color="auto"/>
            </w:tcBorders>
          </w:tcPr>
          <w:p>
            <w:pPr>
              <w:spacing w:after="0"/>
              <w:rPr>
                <w:sz w:val="8"/>
                <w:szCs w:val="8"/>
                <w:color w:val="auto"/>
              </w:rPr>
            </w:pPr>
          </w:p>
        </w:tc>
        <w:tc>
          <w:tcPr>
            <w:tcW w:w="277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3540" w:type="dxa"/>
            <w:vAlign w:val="bottom"/>
          </w:tcPr>
          <w:p>
            <w:pPr>
              <w:spacing w:after="0"/>
              <w:rPr>
                <w:sz w:val="8"/>
                <w:szCs w:val="8"/>
                <w:color w:val="auto"/>
              </w:rPr>
            </w:pPr>
          </w:p>
        </w:tc>
      </w:tr>
    </w:tbl>
    <w:p>
      <w:pPr>
        <w:spacing w:after="0" w:line="205" w:lineRule="exact"/>
        <w:rPr>
          <w:sz w:val="20"/>
          <w:szCs w:val="20"/>
          <w:color w:val="auto"/>
        </w:rPr>
      </w:pPr>
    </w:p>
    <w:p>
      <w:pPr>
        <w:ind w:left="500" w:right="200" w:hanging="499"/>
        <w:spacing w:after="0" w:line="213" w:lineRule="auto"/>
        <w:tabs>
          <w:tab w:leader="none" w:pos="500" w:val="left"/>
        </w:tabs>
        <w:numPr>
          <w:ilvl w:val="0"/>
          <w:numId w:val="39"/>
        </w:numPr>
        <w:rPr>
          <w:rFonts w:ascii="Arial" w:cs="Arial" w:eastAsia="Arial" w:hAnsi="Arial"/>
          <w:sz w:val="27"/>
          <w:szCs w:val="27"/>
          <w:color w:val="auto"/>
          <w:vertAlign w:val="superscript"/>
        </w:rPr>
      </w:pPr>
      <w:r>
        <w:rPr>
          <w:rFonts w:ascii="Arial" w:cs="Arial" w:eastAsia="Arial" w:hAnsi="Arial"/>
          <w:sz w:val="16"/>
          <w:szCs w:val="16"/>
          <w:color w:val="auto"/>
        </w:rPr>
        <w:t>Unless otherwise noted, achieving below the threshold level of achievement did not earn the executive any incentive compensation;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w:t>
      </w:r>
    </w:p>
    <w:p>
      <w:pPr>
        <w:spacing w:after="0" w:line="195" w:lineRule="exact"/>
        <w:rPr>
          <w:rFonts w:ascii="Arial" w:cs="Arial" w:eastAsia="Arial" w:hAnsi="Arial"/>
          <w:sz w:val="27"/>
          <w:szCs w:val="27"/>
          <w:color w:val="auto"/>
          <w:vertAlign w:val="superscript"/>
        </w:rPr>
      </w:pPr>
    </w:p>
    <w:p>
      <w:pPr>
        <w:ind w:left="500" w:right="100" w:hanging="499"/>
        <w:spacing w:after="0" w:line="187" w:lineRule="auto"/>
        <w:tabs>
          <w:tab w:leader="none" w:pos="500" w:val="left"/>
        </w:tabs>
        <w:numPr>
          <w:ilvl w:val="0"/>
          <w:numId w:val="39"/>
        </w:numPr>
        <w:rPr>
          <w:rFonts w:ascii="Arial" w:cs="Arial" w:eastAsia="Arial" w:hAnsi="Arial"/>
          <w:sz w:val="27"/>
          <w:szCs w:val="27"/>
          <w:color w:val="auto"/>
          <w:vertAlign w:val="superscript"/>
        </w:rPr>
      </w:pPr>
      <w:r>
        <w:rPr>
          <w:rFonts w:ascii="Arial" w:cs="Arial" w:eastAsia="Arial" w:hAnsi="Arial"/>
          <w:sz w:val="16"/>
          <w:szCs w:val="16"/>
          <w:color w:val="auto"/>
        </w:rPr>
        <w:t>Certain strategic initiatives are comprised of multiple sub-goals. In such case, the executives assigned to such initiative may be tied to one or more of these sub-goals as detailed in their personal scorecards below.</w:t>
      </w:r>
    </w:p>
    <w:p>
      <w:pPr>
        <w:spacing w:after="0" w:line="183" w:lineRule="exact"/>
        <w:rPr>
          <w:rFonts w:ascii="Arial" w:cs="Arial" w:eastAsia="Arial" w:hAnsi="Arial"/>
          <w:sz w:val="27"/>
          <w:szCs w:val="27"/>
          <w:color w:val="auto"/>
          <w:vertAlign w:val="superscript"/>
        </w:rPr>
      </w:pPr>
    </w:p>
    <w:p>
      <w:pPr>
        <w:ind w:left="500" w:right="340" w:hanging="499"/>
        <w:spacing w:after="0" w:line="187" w:lineRule="auto"/>
        <w:tabs>
          <w:tab w:leader="none" w:pos="500" w:val="left"/>
        </w:tabs>
        <w:numPr>
          <w:ilvl w:val="0"/>
          <w:numId w:val="39"/>
        </w:numPr>
        <w:rPr>
          <w:rFonts w:ascii="Arial" w:cs="Arial" w:eastAsia="Arial" w:hAnsi="Arial"/>
          <w:sz w:val="27"/>
          <w:szCs w:val="27"/>
          <w:color w:val="auto"/>
          <w:vertAlign w:val="superscript"/>
        </w:rPr>
      </w:pPr>
      <w:r>
        <w:rPr>
          <w:rFonts w:ascii="Arial" w:cs="Arial" w:eastAsia="Arial" w:hAnsi="Arial"/>
          <w:sz w:val="16"/>
          <w:szCs w:val="16"/>
          <w:color w:val="auto"/>
        </w:rPr>
        <w:t>Goal 1.a, with a weight of five percent (5%), was achieved at Outstanding; goal 1.b, with a weight of ten percent (10%), was achieved at thirty-five percent (35%); goal 1.c, with a weight of five percent (5%), was achieved at Below Threshold.</w:t>
      </w:r>
    </w:p>
    <w:p>
      <w:pPr>
        <w:spacing w:after="0" w:line="183" w:lineRule="exact"/>
        <w:rPr>
          <w:rFonts w:ascii="Arial" w:cs="Arial" w:eastAsia="Arial" w:hAnsi="Arial"/>
          <w:sz w:val="27"/>
          <w:szCs w:val="27"/>
          <w:color w:val="auto"/>
          <w:vertAlign w:val="superscript"/>
        </w:rPr>
      </w:pPr>
    </w:p>
    <w:p>
      <w:pPr>
        <w:ind w:left="500" w:right="160" w:hanging="499"/>
        <w:spacing w:after="0" w:line="187" w:lineRule="auto"/>
        <w:tabs>
          <w:tab w:leader="none" w:pos="500" w:val="left"/>
        </w:tabs>
        <w:numPr>
          <w:ilvl w:val="0"/>
          <w:numId w:val="39"/>
        </w:numPr>
        <w:rPr>
          <w:rFonts w:ascii="Arial" w:cs="Arial" w:eastAsia="Arial" w:hAnsi="Arial"/>
          <w:sz w:val="27"/>
          <w:szCs w:val="27"/>
          <w:color w:val="auto"/>
          <w:vertAlign w:val="superscript"/>
        </w:rPr>
      </w:pPr>
      <w:r>
        <w:rPr>
          <w:rFonts w:ascii="Arial" w:cs="Arial" w:eastAsia="Arial" w:hAnsi="Arial"/>
          <w:sz w:val="16"/>
          <w:szCs w:val="16"/>
          <w:color w:val="auto"/>
        </w:rPr>
        <w:t>Goal 3.a, with a weight of three percent (3%), was achieved at Outstanding; goal 3.b, with a weight of one percent (1%), was achieved at Threshold; goal 3.c, with a weight of one percent (1%), was achieved at Outstanding.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The 2017 personal scorecards for our Chief Executive Officer and other Named Executive Officers (other than Mr. Chatterjee who did not participate in the 2017 annual incentive plan) and their corresponding levels of achievement are as follows:</w:t>
      </w:r>
    </w:p>
    <w:p>
      <w:pPr>
        <w:spacing w:after="0" w:line="164" w:lineRule="exact"/>
        <w:rPr>
          <w:sz w:val="20"/>
          <w:szCs w:val="20"/>
          <w:color w:val="auto"/>
        </w:rPr>
      </w:pPr>
    </w:p>
    <w:p>
      <w:pPr>
        <w:ind w:left="5840"/>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8890</wp:posOffset>
            </wp:positionV>
            <wp:extent cx="34429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42970" cy="8255"/>
                    </a:xfrm>
                    <a:prstGeom prst="rect">
                      <a:avLst/>
                    </a:prstGeom>
                    <a:noFill/>
                  </pic:spPr>
                </pic:pic>
              </a:graphicData>
            </a:graphic>
          </wp:anchor>
        </w:drawing>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2017 Personal Scorecards</w:t>
      </w:r>
    </w:p>
    <w:tbl>
      <w:tblPr>
        <w:tblLayout w:type="fixed"/>
        <w:tblInd w:w="0" w:type="dxa"/>
        <w:tblCellMar>
          <w:top w:w="0" w:type="dxa"/>
          <w:left w:w="0" w:type="dxa"/>
          <w:bottom w:w="0" w:type="dxa"/>
          <w:right w:w="0" w:type="dxa"/>
        </w:tblCellMar>
      </w:tblPr>
      <w:tr>
        <w:trPr>
          <w:trHeight w:val="133"/>
        </w:trPr>
        <w:tc>
          <w:tcPr>
            <w:tcW w:w="1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Actual</w:t>
            </w: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b w:val="1"/>
                <w:bCs w:val="1"/>
                <w:color w:val="auto"/>
              </w:rPr>
              <w:t>2017 Scorecard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Level of</w:t>
            </w:r>
          </w:p>
        </w:tc>
      </w:tr>
      <w:tr>
        <w:trPr>
          <w:trHeight w:val="177"/>
        </w:trPr>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Threshold</w:t>
            </w:r>
          </w:p>
        </w:tc>
        <w:tc>
          <w:tcPr>
            <w:tcW w:w="10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Target</w:t>
            </w:r>
          </w:p>
        </w:tc>
        <w:tc>
          <w:tcPr>
            <w:tcW w:w="10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08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rPr>
              <w:t>Achievement</w:t>
            </w:r>
            <w:r>
              <w:rPr>
                <w:rFonts w:ascii="Arial" w:cs="Arial" w:eastAsia="Arial" w:hAnsi="Arial"/>
                <w:sz w:val="20"/>
                <w:szCs w:val="20"/>
                <w:b w:val="1"/>
                <w:bCs w:val="1"/>
                <w:color w:val="auto"/>
                <w:vertAlign w:val="superscript"/>
              </w:rPr>
              <w:t>(1)</w:t>
            </w:r>
          </w:p>
        </w:tc>
      </w:tr>
      <w:tr>
        <w:trPr>
          <w:trHeight w:val="149"/>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William B. Shepro,</w:t>
            </w:r>
          </w:p>
        </w:tc>
        <w:tc>
          <w:tcPr>
            <w:tcW w:w="60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rPr>
              <w:t>25.0%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$820.4 million</w:t>
            </w: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$866.0 million</w:t>
            </w: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$957.2 million</w:t>
            </w: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$899.6 million</w:t>
            </w: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Altisource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Target</w:t>
            </w: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Consolidated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Revenue Target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30.0%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140" w:type="dxa"/>
            <w:vAlign w:val="bottom"/>
            <w:gridSpan w:val="3"/>
            <w:shd w:val="clear" w:color="auto" w:fill="CCEEFF"/>
          </w:tcPr>
          <w:p>
            <w:pPr>
              <w:jc w:val="center"/>
              <w:ind w:left="973"/>
              <w:spacing w:after="0"/>
              <w:rPr>
                <w:sz w:val="20"/>
                <w:szCs w:val="20"/>
                <w:color w:val="auto"/>
              </w:rPr>
            </w:pPr>
            <w:r>
              <w:rPr>
                <w:rFonts w:ascii="Arial" w:cs="Arial" w:eastAsia="Arial" w:hAnsi="Arial"/>
                <w:sz w:val="13"/>
                <w:szCs w:val="13"/>
                <w:color w:val="auto"/>
              </w:rPr>
              <w:t>$2.38</w:t>
            </w:r>
          </w:p>
        </w:tc>
        <w:tc>
          <w:tcPr>
            <w:tcW w:w="2120" w:type="dxa"/>
            <w:vAlign w:val="bottom"/>
            <w:gridSpan w:val="2"/>
            <w:shd w:val="clear" w:color="auto" w:fill="CCEEFF"/>
          </w:tcPr>
          <w:p>
            <w:pPr>
              <w:jc w:val="center"/>
              <w:ind w:left="993"/>
              <w:spacing w:after="0"/>
              <w:rPr>
                <w:sz w:val="20"/>
                <w:szCs w:val="20"/>
                <w:color w:val="auto"/>
              </w:rPr>
            </w:pPr>
            <w:r>
              <w:rPr>
                <w:rFonts w:ascii="Arial" w:cs="Arial" w:eastAsia="Arial" w:hAnsi="Arial"/>
                <w:sz w:val="13"/>
                <w:szCs w:val="13"/>
                <w:color w:val="auto"/>
              </w:rPr>
              <w:t>$2.51</w:t>
            </w:r>
          </w:p>
        </w:tc>
        <w:tc>
          <w:tcPr>
            <w:tcW w:w="222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$2.78</w:t>
            </w:r>
          </w:p>
        </w:tc>
        <w:tc>
          <w:tcPr>
            <w:tcW w:w="214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$2.80</w:t>
            </w: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Adjusted EPS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Outstanding</w:t>
            </w: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Target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25.0%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Successfully</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10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214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143.3%</w:t>
            </w: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complete the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6,8,9</w:t>
            </w: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6,8,9</w:t>
            </w: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6,8,9</w:t>
            </w: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key strategic</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initiatives of the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Company</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6"/>
        </w:trPr>
        <w:tc>
          <w:tcPr>
            <w:tcW w:w="1120" w:type="dxa"/>
            <w:vAlign w:val="bottom"/>
          </w:tcPr>
          <w:p>
            <w:pPr>
              <w:spacing w:after="0"/>
              <w:rPr>
                <w:sz w:val="20"/>
                <w:szCs w:val="20"/>
                <w:color w:val="auto"/>
              </w:rPr>
            </w:pPr>
            <w:r>
              <w:rPr>
                <w:rFonts w:ascii="Arial" w:cs="Arial" w:eastAsia="Arial" w:hAnsi="Arial"/>
                <w:sz w:val="13"/>
                <w:szCs w:val="13"/>
                <w:color w:val="auto"/>
              </w:rPr>
              <w:t>Kevin J. Wilcox,</w:t>
            </w: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25.0%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Achieve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$820.4 million</w:t>
            </w:r>
          </w:p>
        </w:tc>
        <w:tc>
          <w:tcPr>
            <w:tcW w:w="10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$866.0 million</w:t>
            </w:r>
          </w:p>
        </w:tc>
        <w:tc>
          <w:tcPr>
            <w:tcW w:w="1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$957.2 million</w:t>
            </w:r>
          </w:p>
        </w:tc>
        <w:tc>
          <w:tcPr>
            <w:tcW w:w="10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$899.6 million</w:t>
            </w: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Chief</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Altisource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Target</w:t>
            </w: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Administration</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Consolidated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and Risk Officer</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Service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Revenue Target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69"/>
        </w:trPr>
        <w:tc>
          <w:tcPr>
            <w:tcW w:w="1120" w:type="dxa"/>
            <w:vAlign w:val="bottom"/>
          </w:tcPr>
          <w:p>
            <w:pPr>
              <w:spacing w:after="0"/>
              <w:rPr>
                <w:sz w:val="24"/>
                <w:szCs w:val="24"/>
                <w:color w:val="auto"/>
              </w:rPr>
            </w:pP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30.0%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Achieve</w:t>
            </w:r>
          </w:p>
        </w:tc>
        <w:tc>
          <w:tcPr>
            <w:tcW w:w="2140" w:type="dxa"/>
            <w:vAlign w:val="bottom"/>
            <w:gridSpan w:val="3"/>
          </w:tcPr>
          <w:p>
            <w:pPr>
              <w:jc w:val="center"/>
              <w:ind w:left="973"/>
              <w:spacing w:after="0"/>
              <w:rPr>
                <w:sz w:val="20"/>
                <w:szCs w:val="20"/>
                <w:color w:val="auto"/>
              </w:rPr>
            </w:pPr>
            <w:r>
              <w:rPr>
                <w:rFonts w:ascii="Arial" w:cs="Arial" w:eastAsia="Arial" w:hAnsi="Arial"/>
                <w:sz w:val="13"/>
                <w:szCs w:val="13"/>
                <w:color w:val="auto"/>
              </w:rPr>
              <w:t>$2.38</w:t>
            </w:r>
          </w:p>
        </w:tc>
        <w:tc>
          <w:tcPr>
            <w:tcW w:w="2120" w:type="dxa"/>
            <w:vAlign w:val="bottom"/>
            <w:gridSpan w:val="2"/>
          </w:tcPr>
          <w:p>
            <w:pPr>
              <w:jc w:val="center"/>
              <w:ind w:left="993"/>
              <w:spacing w:after="0"/>
              <w:rPr>
                <w:sz w:val="20"/>
                <w:szCs w:val="20"/>
                <w:color w:val="auto"/>
              </w:rPr>
            </w:pPr>
            <w:r>
              <w:rPr>
                <w:rFonts w:ascii="Arial" w:cs="Arial" w:eastAsia="Arial" w:hAnsi="Arial"/>
                <w:sz w:val="13"/>
                <w:szCs w:val="13"/>
                <w:color w:val="auto"/>
              </w:rPr>
              <w:t>$2.51</w:t>
            </w:r>
          </w:p>
        </w:tc>
        <w:tc>
          <w:tcPr>
            <w:tcW w:w="2220" w:type="dxa"/>
            <w:vAlign w:val="bottom"/>
            <w:gridSpan w:val="2"/>
          </w:tcPr>
          <w:p>
            <w:pPr>
              <w:jc w:val="center"/>
              <w:ind w:left="1013"/>
              <w:spacing w:after="0"/>
              <w:rPr>
                <w:sz w:val="20"/>
                <w:szCs w:val="20"/>
                <w:color w:val="auto"/>
              </w:rPr>
            </w:pPr>
            <w:r>
              <w:rPr>
                <w:rFonts w:ascii="Arial" w:cs="Arial" w:eastAsia="Arial" w:hAnsi="Arial"/>
                <w:sz w:val="13"/>
                <w:szCs w:val="13"/>
                <w:color w:val="auto"/>
              </w:rPr>
              <w:t>$2.78</w:t>
            </w:r>
          </w:p>
        </w:tc>
        <w:tc>
          <w:tcPr>
            <w:tcW w:w="2140" w:type="dxa"/>
            <w:vAlign w:val="bottom"/>
            <w:gridSpan w:val="2"/>
          </w:tcPr>
          <w:p>
            <w:pPr>
              <w:jc w:val="center"/>
              <w:ind w:left="1013"/>
              <w:spacing w:after="0"/>
              <w:rPr>
                <w:sz w:val="20"/>
                <w:szCs w:val="20"/>
                <w:color w:val="auto"/>
              </w:rPr>
            </w:pPr>
            <w:r>
              <w:rPr>
                <w:rFonts w:ascii="Arial" w:cs="Arial" w:eastAsia="Arial" w:hAnsi="Arial"/>
                <w:sz w:val="13"/>
                <w:szCs w:val="13"/>
                <w:color w:val="auto"/>
              </w:rPr>
              <w:t>$2.80</w:t>
            </w: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Adjusted EPS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Outstanding</w:t>
            </w: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Target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69"/>
        </w:trPr>
        <w:tc>
          <w:tcPr>
            <w:tcW w:w="1120" w:type="dxa"/>
            <w:vAlign w:val="bottom"/>
          </w:tcPr>
          <w:p>
            <w:pPr>
              <w:spacing w:after="0"/>
              <w:rPr>
                <w:sz w:val="24"/>
                <w:szCs w:val="24"/>
                <w:color w:val="auto"/>
              </w:rPr>
            </w:pP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25.0%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Successfully</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10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10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2140" w:type="dxa"/>
            <w:vAlign w:val="bottom"/>
            <w:gridSpan w:val="2"/>
          </w:tcPr>
          <w:p>
            <w:pPr>
              <w:jc w:val="center"/>
              <w:ind w:left="1013"/>
              <w:spacing w:after="0"/>
              <w:rPr>
                <w:sz w:val="20"/>
                <w:szCs w:val="20"/>
                <w:color w:val="auto"/>
              </w:rPr>
            </w:pPr>
            <w:r>
              <w:rPr>
                <w:rFonts w:ascii="Arial" w:cs="Arial" w:eastAsia="Arial" w:hAnsi="Arial"/>
                <w:sz w:val="13"/>
                <w:szCs w:val="13"/>
                <w:color w:val="auto"/>
              </w:rPr>
              <w:t>143.3%</w:t>
            </w: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complete the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Initiatives</w:t>
            </w:r>
          </w:p>
        </w:tc>
        <w:tc>
          <w:tcPr>
            <w:tcW w:w="10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Initiatives</w:t>
            </w:r>
          </w:p>
        </w:tc>
        <w:tc>
          <w:tcPr>
            <w:tcW w:w="1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Initiatives 6,7.a,8,9</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key strategic</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6,7.a,8,9</w:t>
            </w:r>
          </w:p>
        </w:tc>
        <w:tc>
          <w:tcPr>
            <w:tcW w:w="10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6,7.a,8,9</w:t>
            </w: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initiatives of the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7"/>
        </w:trPr>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Company</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6"/>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Michelle D.</w:t>
            </w:r>
          </w:p>
        </w:tc>
        <w:tc>
          <w:tcPr>
            <w:tcW w:w="60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rPr>
              <w:t>25.0%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$820.4 million</w:t>
            </w: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$866.0 million</w:t>
            </w: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$957.2 million</w:t>
            </w: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$899.6 million</w:t>
            </w: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Esterman,</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Altisource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Target</w:t>
            </w: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Executive Vice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Consolidated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President, Finance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Revenue Target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30.0%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Achieve</w:t>
            </w:r>
          </w:p>
        </w:tc>
        <w:tc>
          <w:tcPr>
            <w:tcW w:w="2140" w:type="dxa"/>
            <w:vAlign w:val="bottom"/>
            <w:gridSpan w:val="3"/>
            <w:shd w:val="clear" w:color="auto" w:fill="CCEEFF"/>
          </w:tcPr>
          <w:p>
            <w:pPr>
              <w:jc w:val="center"/>
              <w:ind w:left="973"/>
              <w:spacing w:after="0"/>
              <w:rPr>
                <w:sz w:val="20"/>
                <w:szCs w:val="20"/>
                <w:color w:val="auto"/>
              </w:rPr>
            </w:pPr>
            <w:r>
              <w:rPr>
                <w:rFonts w:ascii="Arial" w:cs="Arial" w:eastAsia="Arial" w:hAnsi="Arial"/>
                <w:sz w:val="13"/>
                <w:szCs w:val="13"/>
                <w:color w:val="auto"/>
              </w:rPr>
              <w:t>$2.38</w:t>
            </w:r>
          </w:p>
        </w:tc>
        <w:tc>
          <w:tcPr>
            <w:tcW w:w="2120" w:type="dxa"/>
            <w:vAlign w:val="bottom"/>
            <w:gridSpan w:val="2"/>
            <w:shd w:val="clear" w:color="auto" w:fill="CCEEFF"/>
          </w:tcPr>
          <w:p>
            <w:pPr>
              <w:jc w:val="center"/>
              <w:ind w:left="993"/>
              <w:spacing w:after="0"/>
              <w:rPr>
                <w:sz w:val="20"/>
                <w:szCs w:val="20"/>
                <w:color w:val="auto"/>
              </w:rPr>
            </w:pPr>
            <w:r>
              <w:rPr>
                <w:rFonts w:ascii="Arial" w:cs="Arial" w:eastAsia="Arial" w:hAnsi="Arial"/>
                <w:sz w:val="13"/>
                <w:szCs w:val="13"/>
                <w:color w:val="auto"/>
              </w:rPr>
              <w:t>$2.51</w:t>
            </w:r>
          </w:p>
        </w:tc>
        <w:tc>
          <w:tcPr>
            <w:tcW w:w="222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$2.78</w:t>
            </w:r>
          </w:p>
        </w:tc>
        <w:tc>
          <w:tcPr>
            <w:tcW w:w="214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$2.80</w:t>
            </w: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Adjusted EPS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Outstanding</w:t>
            </w: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Target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25.0%</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Successfully</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106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10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2140" w:type="dxa"/>
            <w:vAlign w:val="bottom"/>
            <w:gridSpan w:val="2"/>
            <w:shd w:val="clear" w:color="auto" w:fill="CCEEFF"/>
          </w:tcPr>
          <w:p>
            <w:pPr>
              <w:jc w:val="center"/>
              <w:ind w:left="1013"/>
              <w:spacing w:after="0"/>
              <w:rPr>
                <w:sz w:val="20"/>
                <w:szCs w:val="20"/>
                <w:color w:val="auto"/>
              </w:rPr>
            </w:pPr>
            <w:r>
              <w:rPr>
                <w:rFonts w:ascii="Arial" w:cs="Arial" w:eastAsia="Arial" w:hAnsi="Arial"/>
                <w:sz w:val="13"/>
                <w:szCs w:val="13"/>
                <w:color w:val="auto"/>
              </w:rPr>
              <w:t>135.0%</w:t>
            </w: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complete the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6,7.b,8</w:t>
            </w: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6,7.b,8</w:t>
            </w: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 6,7.b,8</w:t>
            </w: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key strategic</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initiatives of the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Company</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384"/>
        </w:trPr>
        <w:tc>
          <w:tcPr>
            <w:tcW w:w="1120" w:type="dxa"/>
            <w:vAlign w:val="bottom"/>
          </w:tcPr>
          <w:p>
            <w:pPr>
              <w:spacing w:after="0"/>
              <w:rPr>
                <w:sz w:val="20"/>
                <w:szCs w:val="20"/>
                <w:color w:val="auto"/>
              </w:rPr>
            </w:pPr>
            <w:r>
              <w:rPr>
                <w:rFonts w:ascii="Arial" w:cs="Arial" w:eastAsia="Arial" w:hAnsi="Arial"/>
                <w:sz w:val="13"/>
                <w:szCs w:val="13"/>
                <w:color w:val="auto"/>
              </w:rPr>
              <w:t>Joseph A. Davila,</w:t>
            </w: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15.0%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Achieve Service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$550.3 million</w:t>
            </w:r>
          </w:p>
        </w:tc>
        <w:tc>
          <w:tcPr>
            <w:tcW w:w="10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$647.4 million</w:t>
            </w:r>
          </w:p>
        </w:tc>
        <w:tc>
          <w:tcPr>
            <w:tcW w:w="10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$744.5 million</w:t>
            </w:r>
          </w:p>
        </w:tc>
        <w:tc>
          <w:tcPr>
            <w:tcW w:w="10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$649.8 million</w:t>
            </w: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President,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Revenue Target</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Target</w:t>
            </w: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Servicer</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for Servicer</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20"/>
                <w:szCs w:val="20"/>
                <w:color w:val="auto"/>
              </w:rPr>
            </w:pPr>
            <w:r>
              <w:rPr>
                <w:rFonts w:ascii="Arial" w:cs="Arial" w:eastAsia="Arial" w:hAnsi="Arial"/>
                <w:sz w:val="13"/>
                <w:szCs w:val="13"/>
                <w:color w:val="auto"/>
              </w:rPr>
              <w:t>Solutions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Solutions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business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69"/>
        </w:trPr>
        <w:tc>
          <w:tcPr>
            <w:tcW w:w="1120" w:type="dxa"/>
            <w:vAlign w:val="bottom"/>
          </w:tcPr>
          <w:p>
            <w:pPr>
              <w:spacing w:after="0"/>
              <w:rPr>
                <w:sz w:val="24"/>
                <w:szCs w:val="24"/>
                <w:color w:val="auto"/>
              </w:rPr>
            </w:pP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20.0%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Achieve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$188.7 million</w:t>
            </w:r>
          </w:p>
        </w:tc>
        <w:tc>
          <w:tcPr>
            <w:tcW w:w="10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$222.0 million</w:t>
            </w:r>
          </w:p>
        </w:tc>
        <w:tc>
          <w:tcPr>
            <w:tcW w:w="10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$255.3 million</w:t>
            </w:r>
          </w:p>
        </w:tc>
        <w:tc>
          <w:tcPr>
            <w:tcW w:w="10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$205.9 million</w:t>
            </w: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Adjusted Pretax</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Threshold</w:t>
            </w: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Income Target</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for Servicer</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Solutions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business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69"/>
        </w:trPr>
        <w:tc>
          <w:tcPr>
            <w:tcW w:w="1120" w:type="dxa"/>
            <w:vAlign w:val="bottom"/>
          </w:tcPr>
          <w:p>
            <w:pPr>
              <w:spacing w:after="0"/>
              <w:rPr>
                <w:sz w:val="24"/>
                <w:szCs w:val="24"/>
                <w:color w:val="auto"/>
              </w:rPr>
            </w:pPr>
          </w:p>
        </w:tc>
        <w:tc>
          <w:tcPr>
            <w:tcW w:w="600" w:type="dxa"/>
            <w:vAlign w:val="bottom"/>
            <w:gridSpan w:val="2"/>
          </w:tcPr>
          <w:p>
            <w:pPr>
              <w:jc w:val="center"/>
              <w:ind w:left="153"/>
              <w:spacing w:after="0"/>
              <w:rPr>
                <w:sz w:val="20"/>
                <w:szCs w:val="20"/>
                <w:color w:val="auto"/>
              </w:rPr>
            </w:pPr>
            <w:r>
              <w:rPr>
                <w:rFonts w:ascii="Arial" w:cs="Arial" w:eastAsia="Arial" w:hAnsi="Arial"/>
                <w:sz w:val="13"/>
                <w:szCs w:val="13"/>
                <w:color w:val="auto"/>
              </w:rPr>
              <w:t>45.0%</w:t>
            </w: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Successfully</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10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10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See Strategic</w:t>
            </w:r>
          </w:p>
        </w:tc>
        <w:tc>
          <w:tcPr>
            <w:tcW w:w="2140" w:type="dxa"/>
            <w:vAlign w:val="bottom"/>
            <w:gridSpan w:val="2"/>
          </w:tcPr>
          <w:p>
            <w:pPr>
              <w:jc w:val="center"/>
              <w:ind w:left="1013"/>
              <w:spacing w:after="0"/>
              <w:rPr>
                <w:sz w:val="20"/>
                <w:szCs w:val="20"/>
                <w:color w:val="auto"/>
              </w:rPr>
            </w:pPr>
            <w:r>
              <w:rPr>
                <w:rFonts w:ascii="Arial" w:cs="Arial" w:eastAsia="Arial" w:hAnsi="Arial"/>
                <w:sz w:val="13"/>
                <w:szCs w:val="13"/>
                <w:color w:val="auto"/>
              </w:rPr>
              <w:t>101.3%</w:t>
            </w: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complete the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Initiatives</w:t>
            </w:r>
          </w:p>
        </w:tc>
        <w:tc>
          <w:tcPr>
            <w:tcW w:w="10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Initiatives</w:t>
            </w:r>
          </w:p>
        </w:tc>
        <w:tc>
          <w:tcPr>
            <w:tcW w:w="1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Initiatives</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key strategic</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1.a,1.b,1.c,6,8,9</w:t>
            </w:r>
          </w:p>
        </w:tc>
        <w:tc>
          <w:tcPr>
            <w:tcW w:w="10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1.a,1.b,1.c,6,8,9</w:t>
            </w:r>
          </w:p>
        </w:tc>
        <w:tc>
          <w:tcPr>
            <w:tcW w:w="10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1.a,1.b,1.c,6,8,9</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initiatives of the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Company</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207" w:lineRule="exact"/>
        <w:rPr>
          <w:sz w:val="20"/>
          <w:szCs w:val="20"/>
          <w:color w:val="auto"/>
        </w:rPr>
      </w:pPr>
    </w:p>
    <w:p>
      <w:pPr>
        <w:ind w:left="500" w:right="240" w:hanging="499"/>
        <w:spacing w:after="0"/>
        <w:tabs>
          <w:tab w:leader="none" w:pos="500" w:val="left"/>
        </w:tabs>
        <w:numPr>
          <w:ilvl w:val="0"/>
          <w:numId w:val="40"/>
        </w:numPr>
        <w:rPr>
          <w:rFonts w:ascii="Arial" w:cs="Arial" w:eastAsia="Arial" w:hAnsi="Arial"/>
          <w:sz w:val="20"/>
          <w:szCs w:val="20"/>
          <w:color w:val="auto"/>
          <w:vertAlign w:val="superscript"/>
        </w:rPr>
      </w:pPr>
      <w:r>
        <w:rPr>
          <w:rFonts w:ascii="Arial" w:cs="Arial" w:eastAsia="Arial" w:hAnsi="Arial"/>
          <w:sz w:val="13"/>
          <w:szCs w:val="13"/>
          <w:color w:val="auto"/>
        </w:rPr>
        <w:t>Unless otherwise noted, achieving below the threshold level of achievement did not earn the executive any incentive compensation;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w:t>
      </w:r>
    </w:p>
    <w:p>
      <w:pPr>
        <w:sectPr>
          <w:pgSz w:w="11900" w:h="16838" w:orient="portrait"/>
          <w:cols w:equalWidth="0" w:num="1">
            <w:col w:w="11420"/>
          </w:cols>
          <w:pgMar w:left="240" w:top="143" w:right="2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Levels of Achievement</w:t>
            </w: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75"/>
        </w:trPr>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2017 Scorecard</w:t>
            </w:r>
          </w:p>
        </w:tc>
        <w:tc>
          <w:tcPr>
            <w:tcW w:w="108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gridSpan w:val="3"/>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Level of</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10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Threshold</w:t>
            </w:r>
          </w:p>
        </w:tc>
        <w:tc>
          <w:tcPr>
            <w:tcW w:w="10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Target</w:t>
            </w:r>
          </w:p>
        </w:tc>
        <w:tc>
          <w:tcPr>
            <w:tcW w:w="1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Outstanding</w:t>
            </w:r>
          </w:p>
        </w:tc>
        <w:tc>
          <w:tcPr>
            <w:tcW w:w="110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rPr>
              <w:t>Achievement</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Gregory J. Ritts,</w:t>
            </w:r>
          </w:p>
        </w:tc>
        <w:tc>
          <w:tcPr>
            <w:tcW w:w="60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rPr>
              <w:t>4.0%</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Achieve Service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$550.3 million</w:t>
            </w:r>
          </w:p>
        </w:tc>
        <w:tc>
          <w:tcPr>
            <w:tcW w:w="10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080"/>
              <w:spacing w:after="0"/>
              <w:rPr>
                <w:sz w:val="20"/>
                <w:szCs w:val="20"/>
                <w:color w:val="auto"/>
              </w:rPr>
            </w:pPr>
            <w:r>
              <w:rPr>
                <w:rFonts w:ascii="Arial" w:cs="Arial" w:eastAsia="Arial" w:hAnsi="Arial"/>
                <w:sz w:val="13"/>
                <w:szCs w:val="13"/>
                <w:color w:val="auto"/>
              </w:rPr>
              <w:t>$647.4 million</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$744.5 million</w:t>
            </w: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$649.8 million</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Chief Legal and</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Revenue Target</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Target</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Compliance</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for Servicer</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Solutions</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3"/>
                <w:szCs w:val="13"/>
                <w:color w:val="auto"/>
              </w:rPr>
              <w:t>business</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4.0%</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Achieve Service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$45.4 million</w:t>
            </w:r>
          </w:p>
        </w:tc>
        <w:tc>
          <w:tcPr>
            <w:tcW w:w="108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jc w:val="center"/>
              <w:ind w:right="1100"/>
              <w:spacing w:after="0"/>
              <w:rPr>
                <w:sz w:val="20"/>
                <w:szCs w:val="20"/>
                <w:color w:val="auto"/>
              </w:rPr>
            </w:pPr>
            <w:r>
              <w:rPr>
                <w:rFonts w:ascii="Arial" w:cs="Arial" w:eastAsia="Arial" w:hAnsi="Arial"/>
                <w:sz w:val="13"/>
                <w:szCs w:val="13"/>
                <w:color w:val="auto"/>
              </w:rPr>
              <w:t>$53.5 million</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$61.5 million</w:t>
            </w:r>
          </w:p>
        </w:tc>
        <w:tc>
          <w:tcPr>
            <w:tcW w:w="1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$49.2 million</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Revenue Target</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Threshold</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for Origination</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Solutions</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3"/>
                <w:szCs w:val="13"/>
                <w:color w:val="auto"/>
              </w:rPr>
              <w:t>business</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4.0%</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Achieve Service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$77.7 million</w:t>
            </w:r>
          </w:p>
        </w:tc>
        <w:tc>
          <w:tcPr>
            <w:tcW w:w="108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jc w:val="center"/>
              <w:ind w:right="1100"/>
              <w:spacing w:after="0"/>
              <w:rPr>
                <w:sz w:val="20"/>
                <w:szCs w:val="20"/>
                <w:color w:val="auto"/>
              </w:rPr>
            </w:pPr>
            <w:r>
              <w:rPr>
                <w:rFonts w:ascii="Arial" w:cs="Arial" w:eastAsia="Arial" w:hAnsi="Arial"/>
                <w:sz w:val="13"/>
                <w:szCs w:val="13"/>
                <w:color w:val="auto"/>
              </w:rPr>
              <w:t>$86.6 million</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$95.5 million</w:t>
            </w:r>
          </w:p>
        </w:tc>
        <w:tc>
          <w:tcPr>
            <w:tcW w:w="1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$82.1 million</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Revenue Target</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Threshold</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for Real Estate</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Investor</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Solutions</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3"/>
                <w:szCs w:val="13"/>
                <w:color w:val="auto"/>
              </w:rPr>
              <w:t>business</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Service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$4.0 million</w:t>
            </w:r>
          </w:p>
        </w:tc>
        <w:tc>
          <w:tcPr>
            <w:tcW w:w="108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jc w:val="center"/>
              <w:ind w:right="1100"/>
              <w:spacing w:after="0"/>
              <w:rPr>
                <w:sz w:val="20"/>
                <w:szCs w:val="20"/>
                <w:color w:val="auto"/>
              </w:rPr>
            </w:pPr>
            <w:r>
              <w:rPr>
                <w:rFonts w:ascii="Arial" w:cs="Arial" w:eastAsia="Arial" w:hAnsi="Arial"/>
                <w:sz w:val="13"/>
                <w:szCs w:val="13"/>
                <w:color w:val="auto"/>
              </w:rPr>
              <w:t>$4.7 million</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$5.3 million</w:t>
            </w:r>
          </w:p>
        </w:tc>
        <w:tc>
          <w:tcPr>
            <w:tcW w:w="1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$4.7 million</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Target</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Target</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 Consumer</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 Estate</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Solutions</w:t>
            </w: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business</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62.5%</w:t>
            </w:r>
          </w:p>
        </w:tc>
        <w:tc>
          <w:tcPr>
            <w:tcW w:w="8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Successfully</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108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jc w:val="center"/>
              <w:ind w:right="1080"/>
              <w:spacing w:after="0"/>
              <w:rPr>
                <w:sz w:val="20"/>
                <w:szCs w:val="20"/>
                <w:color w:val="auto"/>
              </w:rPr>
            </w:pPr>
            <w:r>
              <w:rPr>
                <w:rFonts w:ascii="Arial" w:cs="Arial" w:eastAsia="Arial" w:hAnsi="Arial"/>
                <w:sz w:val="13"/>
                <w:szCs w:val="13"/>
                <w:color w:val="auto"/>
              </w:rPr>
              <w:t>See Strategic</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See Strategic</w:t>
            </w:r>
          </w:p>
        </w:tc>
        <w:tc>
          <w:tcPr>
            <w:tcW w:w="2160" w:type="dxa"/>
            <w:vAlign w:val="bottom"/>
            <w:gridSpan w:val="2"/>
            <w:shd w:val="clear" w:color="auto" w:fill="CCEEFF"/>
          </w:tcPr>
          <w:p>
            <w:pPr>
              <w:jc w:val="center"/>
              <w:ind w:left="1033"/>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complete the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w:t>
            </w:r>
          </w:p>
        </w:tc>
        <w:tc>
          <w:tcPr>
            <w:tcW w:w="10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1100"/>
              <w:spacing w:after="0"/>
              <w:rPr>
                <w:sz w:val="20"/>
                <w:szCs w:val="20"/>
                <w:color w:val="auto"/>
              </w:rPr>
            </w:pPr>
            <w:r>
              <w:rPr>
                <w:rFonts w:ascii="Arial" w:cs="Arial" w:eastAsia="Arial" w:hAnsi="Arial"/>
                <w:sz w:val="13"/>
                <w:szCs w:val="13"/>
                <w:color w:val="auto"/>
              </w:rPr>
              <w:t>Initiatives</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Initiatives</w:t>
            </w: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key strategic</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1.c,2,3.a,3.b,3.c,</w:t>
            </w:r>
          </w:p>
        </w:tc>
        <w:tc>
          <w:tcPr>
            <w:tcW w:w="10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1100"/>
              <w:spacing w:after="0"/>
              <w:rPr>
                <w:sz w:val="20"/>
                <w:szCs w:val="20"/>
                <w:color w:val="auto"/>
              </w:rPr>
            </w:pPr>
            <w:r>
              <w:rPr>
                <w:rFonts w:ascii="Arial" w:cs="Arial" w:eastAsia="Arial" w:hAnsi="Arial"/>
                <w:sz w:val="13"/>
                <w:szCs w:val="13"/>
                <w:color w:val="auto"/>
              </w:rPr>
              <w:t>1.c,2,3.a,3.b,3.c,</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1.c,2,3.a,3.b,3.c,</w:t>
            </w: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initiatives of the</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4,5,6,7.c,8,9</w:t>
            </w:r>
          </w:p>
        </w:tc>
        <w:tc>
          <w:tcPr>
            <w:tcW w:w="10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center"/>
              <w:ind w:right="1080"/>
              <w:spacing w:after="0"/>
              <w:rPr>
                <w:sz w:val="20"/>
                <w:szCs w:val="20"/>
                <w:color w:val="auto"/>
              </w:rPr>
            </w:pPr>
            <w:r>
              <w:rPr>
                <w:rFonts w:ascii="Arial" w:cs="Arial" w:eastAsia="Arial" w:hAnsi="Arial"/>
                <w:sz w:val="13"/>
                <w:szCs w:val="13"/>
                <w:color w:val="auto"/>
              </w:rPr>
              <w:t>4,5,6,7.c,8,9</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4,5,6,7.c,8,9</w:t>
            </w:r>
          </w:p>
        </w:tc>
        <w:tc>
          <w:tcPr>
            <w:tcW w:w="1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Company</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hanging="499"/>
        <w:spacing w:after="0"/>
        <w:tabs>
          <w:tab w:leader="none" w:pos="500" w:val="left"/>
        </w:tabs>
        <w:numPr>
          <w:ilvl w:val="0"/>
          <w:numId w:val="41"/>
        </w:numPr>
        <w:rPr>
          <w:rFonts w:ascii="Arial" w:cs="Arial" w:eastAsia="Arial" w:hAnsi="Arial"/>
          <w:sz w:val="20"/>
          <w:szCs w:val="20"/>
          <w:color w:val="auto"/>
          <w:vertAlign w:val="superscript"/>
        </w:rPr>
      </w:pPr>
      <w:r>
        <w:rPr>
          <w:rFonts w:ascii="Arial" w:cs="Arial" w:eastAsia="Arial" w:hAnsi="Arial"/>
          <w:sz w:val="13"/>
          <w:szCs w:val="13"/>
          <w:color w:val="auto"/>
        </w:rPr>
        <w:t>The achievements against the strategic initiatives were determined based on the weighted average achievement of the initiatives applicable to each executive.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Appraisals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noted above, in 2017, twenty percent (20%) of the incentive compensation for the Chief Executive Officer and other Named Executive Officers (other than Mr. Chatterjee) was determined by their performance appraisal for the service year. Performance appraisals for our Named Executive Officers were based on an individual impact rating which measured the Named Executive Officer's effectiveness in planning, executing against financial targets/goals, driving positive business impact for his or her department/business unit and the overall organization, striving for continuous quality improvements and the optimization of his or her organization.</w:t>
      </w:r>
    </w:p>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Compensation Committee assigned an individual impact rating to the Named Executive Officers considering the recommendation of the Chief Executive Officer and the Chief Administration and Risk Officer (except with respect to their own), which was based upon the Named Executive Officer's performance against the above factors. The Compensation Committee also approved a corresponding rating percentage, which was used to calculate the executive's payout for this portion of the executive's incentive.</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Consistent with our pay-for-performance philosophy, a lower impact rating would have resulted in a lower individual percentage, such that it would be possible for an executive with a low rating to get less than their target incentive payout, or no incentive payout at all. Conversely, executives with high ratings received a higher rating percentage of up to one hundred and fifty percent (150%).</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For 2017, impact rating percentages for our Named Executive Officers who participated in our 2017 annual incentive plan, and related achievements and considerations, were as follows:</w:t>
      </w:r>
    </w:p>
    <w:p>
      <w:pPr>
        <w:spacing w:after="0" w:line="162"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i w:val="1"/>
          <w:iCs w:val="1"/>
          <w:color w:val="auto"/>
        </w:rPr>
        <w:t xml:space="preserve">William B. Shepro. </w:t>
      </w:r>
      <w:r>
        <w:rPr>
          <w:rFonts w:ascii="Arial" w:cs="Arial" w:eastAsia="Arial" w:hAnsi="Arial"/>
          <w:sz w:val="16"/>
          <w:szCs w:val="16"/>
          <w:color w:val="auto"/>
        </w:rPr>
        <w:t>Mr. Shepro received an impact rating percentage of one hundred and fifty percent (150%), reflecting his strong leadership and vision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execution of the Company's strategy; the delivery of strong financial results; continued progress against our growth initiatives, including the diversification of our revenue through the completion of our Cooperative Brokerage Agreement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NRZ; and the strengthening of the Company's leadership team through the hiring of a Chief Financial Officer and President, Real Estate Marketplace.</w:t>
      </w:r>
    </w:p>
    <w:p>
      <w:pPr>
        <w:spacing w:after="0" w:line="192"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i w:val="1"/>
          <w:iCs w:val="1"/>
          <w:color w:val="auto"/>
        </w:rPr>
        <w:t xml:space="preserve">Kevin J. Wilcox. </w:t>
      </w:r>
      <w:r>
        <w:rPr>
          <w:rFonts w:ascii="Arial" w:cs="Arial" w:eastAsia="Arial" w:hAnsi="Arial"/>
          <w:sz w:val="16"/>
          <w:szCs w:val="16"/>
          <w:color w:val="auto"/>
        </w:rPr>
        <w:t>Mr. Wilcox received an impact rating percentage of one hundred and fifty percent (150%), reflecting his successful leadership of the Law,</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Human Resources, Customer Experience and Risk functions; the significant role he played in developing and executing against key corporate initiatives; the strengthening of the Company's risk management framework, including through the continued enhancement of our Compliance Management System; the further development of our customer experience framework leading to an outstanding improvement of the overall Net Promoter Score; and the optimizing of his organization.</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i w:val="1"/>
          <w:iCs w:val="1"/>
          <w:color w:val="auto"/>
        </w:rPr>
        <w:t xml:space="preserve">Michelle D. Esterman. </w:t>
      </w:r>
      <w:r>
        <w:rPr>
          <w:rFonts w:ascii="Arial" w:cs="Arial" w:eastAsia="Arial" w:hAnsi="Arial"/>
          <w:sz w:val="16"/>
          <w:szCs w:val="16"/>
          <w:color w:val="auto"/>
        </w:rPr>
        <w:t>Ms. Esterman received an impact rating percentage of one hundred and fifty percent (150%), reflecting her effective leadership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Finance, Tax, Facilities and Vendor Management teams to drive continued reduction in overall capital expenditure requirements and the significant role she played in developing and executing against key corporate initiatives, including the amendment of our SSTL and the completion of the Luxembourg subsidiary restructuring.</w:t>
      </w:r>
    </w:p>
    <w:p>
      <w:pPr>
        <w:spacing w:after="0" w:line="16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i w:val="1"/>
          <w:iCs w:val="1"/>
          <w:color w:val="auto"/>
        </w:rPr>
        <w:t xml:space="preserve">Joseph A. Davila. </w:t>
      </w:r>
      <w:r>
        <w:rPr>
          <w:rFonts w:ascii="Arial" w:cs="Arial" w:eastAsia="Arial" w:hAnsi="Arial"/>
          <w:sz w:val="16"/>
          <w:szCs w:val="16"/>
          <w:color w:val="auto"/>
        </w:rPr>
        <w:t>Mr. Davila received an impact rating percentage of one hundred and fifty percent (150%), reflecting his overall leadership of our Servicer</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business and his contribution to the procurement of several new clients in support of meaningful revenue diversification and strong sales momentum leading into 2018. Mr. Davila also strengthened his organization, particularly through the building of a new, high-capability relationship management team.</w:t>
      </w:r>
    </w:p>
    <w:p>
      <w:pPr>
        <w:spacing w:after="0" w:line="35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i w:val="1"/>
          <w:iCs w:val="1"/>
          <w:color w:val="auto"/>
        </w:rPr>
        <w:t xml:space="preserve">Gregory J. Ritts. </w:t>
      </w:r>
      <w:r>
        <w:rPr>
          <w:rFonts w:ascii="Arial" w:cs="Arial" w:eastAsia="Arial" w:hAnsi="Arial"/>
          <w:sz w:val="16"/>
          <w:szCs w:val="16"/>
          <w:color w:val="auto"/>
        </w:rPr>
        <w:t>Mr. Ritts received an impact rating percentage of one hundred and fifty percent (150%), reflecting his significant contributions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initiatives, including the completion of our Cooperative Brokerage Agreement with NRZ, the amendment of our SSTL and the completion of the Luxembourg subsidiary restructuring; his role in the continued enhancement of our Compliance Management System; the successful management of legal and regulatory matters for the Company; and the optimizing of the teams within the Law and Compliance organization.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2017 Annual Incentive Payout Determinations</w:t>
      </w:r>
    </w:p>
    <w:p>
      <w:pPr>
        <w:spacing w:after="0" w:line="208"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The Chief Executive Officer's scorecard performance and personal performance appraisal were determined by the Compensation Committee, taking into consideration whether the Company's performance and corresponding incentive results present a fair representation of the Chief Executive Officer's performance.</w:t>
      </w:r>
    </w:p>
    <w:p>
      <w:pPr>
        <w:spacing w:after="0" w:line="18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and Risk Officer, presented the personal scorecard performance and the individual impact rating percentages to the Compensation Committee and made recommendations as to the incentive compensation for each executive officer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instances where the Compensation Committee believes an executive's scorecard performance does not result in an incentive compensation amount that is reflective of the executive's efforts and accomplishments, the Compensation Committee may grant the executive a one-time cash award in recognition of his or her exceptional efforts and accomplishments during the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annual incentive plan, we calculated payouts to our Named Executive Officers using the following formula:</w:t>
      </w:r>
    </w:p>
    <w:p>
      <w:pPr>
        <w:spacing w:after="0" w:line="377"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b w:val="1"/>
          <w:bCs w:val="1"/>
          <w:i w:val="1"/>
          <w:iCs w:val="1"/>
          <w:color w:val="auto"/>
        </w:rPr>
        <w:t>(Target Amount for Performance Against Personal Scorecard × Scorecard Performance Achievement %) + (Target Amount for Performance Appraisal × Individual Impact Rating Percentage) + Discretionary Bonus (if any)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basis for the calculation of the 2017 incentive awards for each of our Named Executive Officers (other than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Mr. Chatterjee who did not participate in our 2017 annual incentive plan), using the formula described above: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1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Performance Against Personal</w:t>
            </w:r>
          </w:p>
        </w:tc>
        <w:tc>
          <w:tcPr>
            <w:tcW w:w="22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Individual Impact Rating</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Scorecard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gridSpan w:val="5"/>
          </w:tcPr>
          <w:p>
            <w:pPr>
              <w:jc w:val="center"/>
              <w:ind w:left="624"/>
              <w:spacing w:after="0"/>
              <w:rPr>
                <w:sz w:val="20"/>
                <w:szCs w:val="20"/>
                <w:color w:val="auto"/>
              </w:rPr>
            </w:pPr>
            <w:r>
              <w:rPr>
                <w:rFonts w:ascii="Arial" w:cs="Arial" w:eastAsia="Arial" w:hAnsi="Arial"/>
                <w:sz w:val="13"/>
                <w:szCs w:val="13"/>
                <w:b w:val="1"/>
                <w:bCs w:val="1"/>
                <w:color w:val="auto"/>
              </w:rPr>
              <w:t>Percentages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96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rPr>
              <w:t>Target</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Achieve-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99"/>
              </w:rPr>
              <w:t>Discre-</w:t>
            </w:r>
          </w:p>
        </w:tc>
        <w:tc>
          <w:tcPr>
            <w:tcW w:w="8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00" w:type="dxa"/>
            <w:vAlign w:val="bottom"/>
          </w:tcPr>
          <w:p>
            <w:pPr>
              <w:spacing w:after="0"/>
              <w:rPr>
                <w:sz w:val="11"/>
                <w:szCs w:val="11"/>
                <w:color w:val="auto"/>
              </w:rPr>
            </w:pPr>
          </w:p>
        </w:tc>
        <w:tc>
          <w:tcPr>
            <w:tcW w:w="9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rPr>
              <w:t>Incentive</w:t>
            </w: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4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rPr>
              <w:t>Earned</w:t>
            </w: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rPr>
              <w:t>Achieve-</w:t>
            </w:r>
          </w:p>
        </w:tc>
        <w:tc>
          <w:tcPr>
            <w:tcW w:w="7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rPr>
              <w:t>Earned</w:t>
            </w:r>
          </w:p>
        </w:tc>
        <w:tc>
          <w:tcPr>
            <w:tcW w:w="8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rPr>
              <w:t>tionary</w:t>
            </w:r>
          </w:p>
        </w:tc>
        <w:tc>
          <w:tcPr>
            <w:tcW w:w="84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77"/>
        </w:trPr>
        <w:tc>
          <w:tcPr>
            <w:tcW w:w="17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4"/>
              </w:rPr>
              <w:t>Amount</w:t>
            </w:r>
            <w:r>
              <w:rPr>
                <w:rFonts w:ascii="Arial" w:cs="Arial" w:eastAsia="Arial" w:hAnsi="Arial"/>
                <w:sz w:val="20"/>
                <w:szCs w:val="20"/>
                <w:b w:val="1"/>
                <w:bCs w:val="1"/>
                <w:color w:val="auto"/>
                <w:w w:val="94"/>
                <w:vertAlign w:val="superscript"/>
              </w:rPr>
              <w:t>(1)</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3"/>
                <w:szCs w:val="13"/>
                <w:b w:val="1"/>
                <w:bCs w:val="1"/>
                <w:color w:val="auto"/>
                <w:w w:val="99"/>
              </w:rPr>
              <w:t>ment %</w:t>
            </w:r>
            <w:r>
              <w:rPr>
                <w:rFonts w:ascii="Arial" w:cs="Arial" w:eastAsia="Arial" w:hAnsi="Arial"/>
                <w:sz w:val="20"/>
                <w:szCs w:val="20"/>
                <w:b w:val="1"/>
                <w:bCs w:val="1"/>
                <w:color w:val="auto"/>
                <w:w w:val="99"/>
                <w:vertAlign w:val="superscript"/>
              </w:rPr>
              <w:t>(2)</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3"/>
                <w:szCs w:val="13"/>
                <w:b w:val="1"/>
                <w:bCs w:val="1"/>
                <w:color w:val="auto"/>
              </w:rPr>
              <w:t>Amount</w:t>
            </w:r>
            <w:r>
              <w:rPr>
                <w:rFonts w:ascii="Arial" w:cs="Arial" w:eastAsia="Arial" w:hAnsi="Arial"/>
                <w:sz w:val="20"/>
                <w:szCs w:val="20"/>
                <w:b w:val="1"/>
                <w:bCs w:val="1"/>
                <w:color w:val="auto"/>
                <w:vertAlign w:val="superscript"/>
              </w:rPr>
              <w:t>(3)</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 %</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Award</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Award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20"/>
                <w:szCs w:val="20"/>
                <w:color w:val="auto"/>
              </w:rPr>
            </w:pPr>
            <w:r>
              <w:rPr>
                <w:rFonts w:ascii="Arial" w:cs="Arial" w:eastAsia="Arial" w:hAnsi="Arial"/>
                <w:sz w:val="16"/>
                <w:szCs w:val="16"/>
                <w:color w:val="auto"/>
              </w:rPr>
              <w:t>William B. Shepro</w:t>
            </w:r>
          </w:p>
        </w:tc>
        <w:tc>
          <w:tcPr>
            <w:tcW w:w="860" w:type="dxa"/>
            <w:vAlign w:val="bottom"/>
          </w:tcPr>
          <w:p>
            <w:pPr>
              <w:jc w:val="right"/>
              <w:spacing w:after="0"/>
              <w:rPr>
                <w:sz w:val="20"/>
                <w:szCs w:val="20"/>
                <w:color w:val="auto"/>
              </w:rPr>
            </w:pPr>
            <w:r>
              <w:rPr>
                <w:rFonts w:ascii="Arial" w:cs="Arial" w:eastAsia="Arial" w:hAnsi="Arial"/>
                <w:sz w:val="16"/>
                <w:szCs w:val="16"/>
                <w:color w:val="auto"/>
              </w:rPr>
              <w:t>$1,199,250</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$959,400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$1,269,208</w:t>
            </w:r>
          </w:p>
        </w:tc>
        <w:tc>
          <w:tcPr>
            <w:tcW w:w="720" w:type="dxa"/>
            <w:vAlign w:val="bottom"/>
          </w:tcPr>
          <w:p>
            <w:pPr>
              <w:jc w:val="right"/>
              <w:spacing w:after="0"/>
              <w:rPr>
                <w:sz w:val="20"/>
                <w:szCs w:val="20"/>
                <w:color w:val="auto"/>
              </w:rPr>
            </w:pPr>
            <w:r>
              <w:rPr>
                <w:rFonts w:ascii="Arial" w:cs="Arial" w:eastAsia="Arial" w:hAnsi="Arial"/>
                <w:sz w:val="16"/>
                <w:szCs w:val="16"/>
                <w:color w:val="auto"/>
              </w:rPr>
              <w:t>$239,850</w:t>
            </w:r>
          </w:p>
        </w:tc>
        <w:tc>
          <w:tcPr>
            <w:tcW w:w="660" w:type="dxa"/>
            <w:vAlign w:val="bottom"/>
            <w:gridSpan w:val="2"/>
          </w:tcPr>
          <w:p>
            <w:pPr>
              <w:jc w:val="center"/>
              <w:ind w:left="3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$359,775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$1,628,983</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Kevin J. Wilcox</w:t>
            </w:r>
          </w:p>
        </w:tc>
        <w:tc>
          <w:tcPr>
            <w:tcW w:w="860" w:type="dxa"/>
            <w:vAlign w:val="bottom"/>
          </w:tcPr>
          <w:p>
            <w:pPr>
              <w:jc w:val="right"/>
              <w:spacing w:after="0"/>
              <w:rPr>
                <w:sz w:val="20"/>
                <w:szCs w:val="20"/>
                <w:color w:val="auto"/>
              </w:rPr>
            </w:pPr>
            <w:r>
              <w:rPr>
                <w:rFonts w:ascii="Arial" w:cs="Arial" w:eastAsia="Arial" w:hAnsi="Arial"/>
                <w:sz w:val="16"/>
                <w:szCs w:val="16"/>
                <w:color w:val="auto"/>
              </w:rPr>
              <w:t>$465,834</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$372,667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$493,008</w:t>
            </w:r>
          </w:p>
        </w:tc>
        <w:tc>
          <w:tcPr>
            <w:tcW w:w="720" w:type="dxa"/>
            <w:vAlign w:val="bottom"/>
          </w:tcPr>
          <w:p>
            <w:pPr>
              <w:jc w:val="right"/>
              <w:spacing w:after="0"/>
              <w:rPr>
                <w:sz w:val="20"/>
                <w:szCs w:val="20"/>
                <w:color w:val="auto"/>
              </w:rPr>
            </w:pPr>
            <w:r>
              <w:rPr>
                <w:rFonts w:ascii="Arial" w:cs="Arial" w:eastAsia="Arial" w:hAnsi="Arial"/>
                <w:sz w:val="16"/>
                <w:szCs w:val="16"/>
                <w:color w:val="auto"/>
              </w:rPr>
              <w:t>$93,167</w:t>
            </w:r>
          </w:p>
        </w:tc>
        <w:tc>
          <w:tcPr>
            <w:tcW w:w="660" w:type="dxa"/>
            <w:vAlign w:val="bottom"/>
            <w:gridSpan w:val="2"/>
          </w:tcPr>
          <w:p>
            <w:pPr>
              <w:jc w:val="center"/>
              <w:ind w:left="3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$139,750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$632,758</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20"/>
                <w:szCs w:val="20"/>
                <w:color w:val="auto"/>
              </w:rPr>
            </w:pPr>
            <w:r>
              <w:rPr>
                <w:rFonts w:ascii="Arial" w:cs="Arial" w:eastAsia="Arial" w:hAnsi="Arial"/>
                <w:sz w:val="16"/>
                <w:szCs w:val="16"/>
                <w:color w:val="auto"/>
              </w:rPr>
              <w:t>Michelle D. Esterman</w:t>
            </w:r>
          </w:p>
        </w:tc>
        <w:tc>
          <w:tcPr>
            <w:tcW w:w="860" w:type="dxa"/>
            <w:vAlign w:val="bottom"/>
          </w:tcPr>
          <w:p>
            <w:pPr>
              <w:jc w:val="right"/>
              <w:spacing w:after="0"/>
              <w:rPr>
                <w:sz w:val="20"/>
                <w:szCs w:val="20"/>
                <w:color w:val="auto"/>
              </w:rPr>
            </w:pPr>
            <w:r>
              <w:rPr>
                <w:rFonts w:ascii="Arial" w:cs="Arial" w:eastAsia="Arial" w:hAnsi="Arial"/>
                <w:sz w:val="16"/>
                <w:szCs w:val="16"/>
                <w:color w:val="auto"/>
              </w:rPr>
              <w:t>$280,000</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$224,000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$290,500</w:t>
            </w:r>
          </w:p>
        </w:tc>
        <w:tc>
          <w:tcPr>
            <w:tcW w:w="720" w:type="dxa"/>
            <w:vAlign w:val="bottom"/>
          </w:tcPr>
          <w:p>
            <w:pPr>
              <w:jc w:val="right"/>
              <w:spacing w:after="0"/>
              <w:rPr>
                <w:sz w:val="20"/>
                <w:szCs w:val="20"/>
                <w:color w:val="auto"/>
              </w:rPr>
            </w:pPr>
            <w:r>
              <w:rPr>
                <w:rFonts w:ascii="Arial" w:cs="Arial" w:eastAsia="Arial" w:hAnsi="Arial"/>
                <w:sz w:val="16"/>
                <w:szCs w:val="16"/>
                <w:color w:val="auto"/>
              </w:rPr>
              <w:t>$56,000</w:t>
            </w:r>
          </w:p>
        </w:tc>
        <w:tc>
          <w:tcPr>
            <w:tcW w:w="660" w:type="dxa"/>
            <w:vAlign w:val="bottom"/>
            <w:gridSpan w:val="2"/>
          </w:tcPr>
          <w:p>
            <w:pPr>
              <w:jc w:val="center"/>
              <w:ind w:left="3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$84,000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$374,500</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Arial" w:cs="Arial" w:eastAsia="Arial" w:hAnsi="Arial"/>
                <w:sz w:val="16"/>
                <w:szCs w:val="16"/>
                <w:color w:val="auto"/>
              </w:rPr>
              <w:t>Joseph A. Davila</w:t>
            </w:r>
          </w:p>
        </w:tc>
        <w:tc>
          <w:tcPr>
            <w:tcW w:w="860" w:type="dxa"/>
            <w:vAlign w:val="bottom"/>
          </w:tcPr>
          <w:p>
            <w:pPr>
              <w:jc w:val="right"/>
              <w:spacing w:after="0"/>
              <w:rPr>
                <w:sz w:val="20"/>
                <w:szCs w:val="20"/>
                <w:color w:val="auto"/>
              </w:rPr>
            </w:pPr>
            <w:r>
              <w:rPr>
                <w:rFonts w:ascii="Arial" w:cs="Arial" w:eastAsia="Arial" w:hAnsi="Arial"/>
                <w:sz w:val="16"/>
                <w:szCs w:val="16"/>
                <w:color w:val="auto"/>
              </w:rPr>
              <w:t>$316,666</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$253,333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$223,514</w:t>
            </w:r>
          </w:p>
        </w:tc>
        <w:tc>
          <w:tcPr>
            <w:tcW w:w="720" w:type="dxa"/>
            <w:vAlign w:val="bottom"/>
          </w:tcPr>
          <w:p>
            <w:pPr>
              <w:jc w:val="right"/>
              <w:spacing w:after="0"/>
              <w:rPr>
                <w:sz w:val="20"/>
                <w:szCs w:val="20"/>
                <w:color w:val="auto"/>
              </w:rPr>
            </w:pPr>
            <w:r>
              <w:rPr>
                <w:rFonts w:ascii="Arial" w:cs="Arial" w:eastAsia="Arial" w:hAnsi="Arial"/>
                <w:sz w:val="16"/>
                <w:szCs w:val="16"/>
                <w:color w:val="auto"/>
              </w:rPr>
              <w:t>$63,333</w:t>
            </w:r>
          </w:p>
        </w:tc>
        <w:tc>
          <w:tcPr>
            <w:tcW w:w="660" w:type="dxa"/>
            <w:vAlign w:val="bottom"/>
            <w:gridSpan w:val="2"/>
          </w:tcPr>
          <w:p>
            <w:pPr>
              <w:jc w:val="center"/>
              <w:ind w:left="3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$95,000</w:t>
            </w:r>
          </w:p>
        </w:tc>
        <w:tc>
          <w:tcPr>
            <w:tcW w:w="800" w:type="dxa"/>
            <w:vAlign w:val="bottom"/>
            <w:gridSpan w:val="2"/>
          </w:tcPr>
          <w:p>
            <w:pPr>
              <w:jc w:val="right"/>
              <w:ind w:right="40"/>
              <w:spacing w:after="0" w:line="190" w:lineRule="exact"/>
              <w:rPr>
                <w:sz w:val="20"/>
                <w:szCs w:val="20"/>
                <w:color w:val="auto"/>
              </w:rPr>
            </w:pPr>
            <w:r>
              <w:rPr>
                <w:rFonts w:ascii="Arial" w:cs="Arial" w:eastAsia="Arial" w:hAnsi="Arial"/>
                <w:sz w:val="13"/>
                <w:szCs w:val="13"/>
                <w:color w:val="auto"/>
              </w:rPr>
              <w:t>$31,486</w:t>
            </w:r>
            <w:r>
              <w:rPr>
                <w:rFonts w:ascii="Arial" w:cs="Arial" w:eastAsia="Arial" w:hAnsi="Arial"/>
                <w:sz w:val="21"/>
                <w:szCs w:val="21"/>
                <w:color w:val="auto"/>
                <w:vertAlign w:val="superscript"/>
              </w:rPr>
              <w:t>(4)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$318,514</w:t>
            </w: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0"/>
                <w:szCs w:val="20"/>
                <w:color w:val="auto"/>
              </w:rPr>
            </w:pPr>
            <w:r>
              <w:rPr>
                <w:rFonts w:ascii="Arial" w:cs="Arial" w:eastAsia="Arial" w:hAnsi="Arial"/>
                <w:sz w:val="16"/>
                <w:szCs w:val="16"/>
                <w:color w:val="auto"/>
              </w:rPr>
              <w:t>Gregory J. Ritts</w:t>
            </w:r>
          </w:p>
        </w:tc>
        <w:tc>
          <w:tcPr>
            <w:tcW w:w="860" w:type="dxa"/>
            <w:vAlign w:val="bottom"/>
          </w:tcPr>
          <w:p>
            <w:pPr>
              <w:jc w:val="right"/>
              <w:spacing w:after="0"/>
              <w:rPr>
                <w:sz w:val="20"/>
                <w:szCs w:val="20"/>
                <w:color w:val="auto"/>
              </w:rPr>
            </w:pPr>
            <w:r>
              <w:rPr>
                <w:rFonts w:ascii="Arial" w:cs="Arial" w:eastAsia="Arial" w:hAnsi="Arial"/>
                <w:sz w:val="16"/>
                <w:szCs w:val="16"/>
                <w:color w:val="auto"/>
              </w:rPr>
              <w:t>$231,250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$185,000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$162,598</w:t>
            </w:r>
          </w:p>
        </w:tc>
        <w:tc>
          <w:tcPr>
            <w:tcW w:w="720" w:type="dxa"/>
            <w:vAlign w:val="bottom"/>
          </w:tcPr>
          <w:p>
            <w:pPr>
              <w:jc w:val="right"/>
              <w:spacing w:after="0"/>
              <w:rPr>
                <w:sz w:val="20"/>
                <w:szCs w:val="20"/>
                <w:color w:val="auto"/>
              </w:rPr>
            </w:pPr>
            <w:r>
              <w:rPr>
                <w:rFonts w:ascii="Arial" w:cs="Arial" w:eastAsia="Arial" w:hAnsi="Arial"/>
                <w:sz w:val="16"/>
                <w:szCs w:val="16"/>
                <w:color w:val="auto"/>
              </w:rPr>
              <w:t>$46,250</w:t>
            </w:r>
          </w:p>
        </w:tc>
        <w:tc>
          <w:tcPr>
            <w:tcW w:w="660" w:type="dxa"/>
            <w:vAlign w:val="bottom"/>
            <w:gridSpan w:val="2"/>
          </w:tcPr>
          <w:p>
            <w:pPr>
              <w:jc w:val="center"/>
              <w:ind w:left="38"/>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$69,375</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$23,125</w:t>
            </w:r>
            <w:r>
              <w:rPr>
                <w:rFonts w:ascii="Arial" w:cs="Arial" w:eastAsia="Arial" w:hAnsi="Arial"/>
                <w:sz w:val="27"/>
                <w:szCs w:val="27"/>
                <w:color w:val="auto"/>
                <w:w w:val="92"/>
                <w:vertAlign w:val="superscript"/>
              </w:rPr>
              <w:t>(5)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$231,973</w:t>
            </w:r>
          </w:p>
        </w:tc>
        <w:tc>
          <w:tcPr>
            <w:tcW w:w="0" w:type="dxa"/>
            <w:vAlign w:val="bottom"/>
          </w:tcPr>
          <w:p>
            <w:pPr>
              <w:spacing w:after="0"/>
              <w:rPr>
                <w:sz w:val="1"/>
                <w:szCs w:val="1"/>
                <w:color w:val="auto"/>
              </w:rPr>
            </w:pPr>
          </w:p>
        </w:tc>
      </w:tr>
    </w:tbl>
    <w:p>
      <w:pPr>
        <w:ind w:left="1640" w:hanging="496"/>
        <w:spacing w:after="0" w:line="184"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eighty percent (80%) of the executive's 2017 target incentive opportunity.</w:t>
      </w:r>
    </w:p>
    <w:p>
      <w:pPr>
        <w:spacing w:after="0" w:line="153" w:lineRule="exact"/>
        <w:rPr>
          <w:rFonts w:ascii="Arial" w:cs="Arial" w:eastAsia="Arial" w:hAnsi="Arial"/>
          <w:sz w:val="27"/>
          <w:szCs w:val="27"/>
          <w:color w:val="auto"/>
          <w:vertAlign w:val="superscript"/>
        </w:rPr>
      </w:pPr>
    </w:p>
    <w:p>
      <w:pPr>
        <w:ind w:left="1640" w:hanging="496"/>
        <w:spacing w:after="0" w:line="184"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Percentage calculated based on the achievements against goals in the executive's personal scorecard outlined above.</w:t>
      </w:r>
    </w:p>
    <w:p>
      <w:pPr>
        <w:spacing w:after="0" w:line="141" w:lineRule="exact"/>
        <w:rPr>
          <w:rFonts w:ascii="Arial" w:cs="Arial" w:eastAsia="Arial" w:hAnsi="Arial"/>
          <w:sz w:val="27"/>
          <w:szCs w:val="27"/>
          <w:color w:val="auto"/>
          <w:vertAlign w:val="superscript"/>
        </w:rPr>
      </w:pPr>
    </w:p>
    <w:p>
      <w:pPr>
        <w:ind w:left="1640" w:hanging="496"/>
        <w:spacing w:after="0" w:line="184"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twenty percent (20%) of the executive's 2017 target incentive opportunity.</w:t>
      </w:r>
    </w:p>
    <w:p>
      <w:pPr>
        <w:spacing w:after="0" w:line="183" w:lineRule="exact"/>
        <w:rPr>
          <w:rFonts w:ascii="Arial" w:cs="Arial" w:eastAsia="Arial" w:hAnsi="Arial"/>
          <w:sz w:val="27"/>
          <w:szCs w:val="27"/>
          <w:color w:val="auto"/>
          <w:vertAlign w:val="superscript"/>
        </w:rPr>
      </w:pPr>
    </w:p>
    <w:p>
      <w:pPr>
        <w:ind w:left="1640" w:right="220" w:hanging="496"/>
        <w:spacing w:after="0" w:line="203"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a one-time discretionary award to reflect the executive's efforts and accomplishments leading our Servicer Solutions business and revenue diversification efforts to position it for continued growth, and contribution to the completion of our Cooperative Brokerage Agreement with NRZ.</w:t>
      </w:r>
    </w:p>
    <w:p>
      <w:pPr>
        <w:spacing w:after="0" w:line="197" w:lineRule="exact"/>
        <w:rPr>
          <w:rFonts w:ascii="Arial" w:cs="Arial" w:eastAsia="Arial" w:hAnsi="Arial"/>
          <w:sz w:val="27"/>
          <w:szCs w:val="27"/>
          <w:color w:val="auto"/>
          <w:vertAlign w:val="superscript"/>
        </w:rPr>
      </w:pPr>
    </w:p>
    <w:p>
      <w:pPr>
        <w:ind w:left="1640" w:right="120" w:hanging="496"/>
        <w:spacing w:after="0" w:line="203" w:lineRule="auto"/>
        <w:tabs>
          <w:tab w:leader="none" w:pos="164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Represents a one-time discretionary award to reflect the executive's significant contributions to our strategic initiatives, including the amendment of the SSTL and the completion of the Luxembourg subsidiary restructuring as well as the completion of our Cooperative Brokerage Agreement with NRZ.</w:t>
      </w:r>
    </w:p>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Target incentive opportunities are set in U.S. dollars and, at the executive's discretion, may be paid in U.S. dollars and/or in euros converted from U.S. dollars at the exchange rate on or around the date of payment. For 2017, the incentive compensation for Messrs. Shepro and Ritts was paid in euros, in whole or in part, using the exchange rate applicable on March 6, 2018. Please see the Summary Compensation Table under the "Executive Compensation" section below for additional details.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Annual Incentive Compensation</w:t>
      </w:r>
    </w:p>
    <w:p>
      <w:pPr>
        <w:spacing w:after="0" w:line="208"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The Company's 2018 key performance indicators have been developed and the corporate scorecard was approved by the Board of Directors at its meeting on February 13, 2018.</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corporate scorecard for 2018 includes (i) consolidated service revenue and adjusted diluted EPS targets and (ii) growth initiative or business segment specific service revenue and adjusted pre-tax income targets. For 2018, the personal scorecards of our Named Executive Officers will be tied to one or both of these financial targets. In addition, the corporate scorecard provides for the successful completion of strategic initiatives established to enhance long-term corporate and shareholder value. These strategic initiatives relate to (i) enhancing our compliance management system, (ii) improving customer experience and (iii) accomplishing other corporate level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2018, the Compensation Committee also approved the following design changes to our annual incentive plan:</w:t>
      </w:r>
    </w:p>
    <w:p>
      <w:pPr>
        <w:spacing w:after="0" w:line="192" w:lineRule="exact"/>
        <w:rPr>
          <w:sz w:val="20"/>
          <w:szCs w:val="20"/>
          <w:color w:val="auto"/>
        </w:rPr>
      </w:pPr>
    </w:p>
    <w:p>
      <w:pPr>
        <w:jc w:val="both"/>
        <w:ind w:left="1020" w:right="220" w:hanging="513"/>
        <w:spacing w:after="0" w:line="266"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Simplification of the personal scorecard structure. </w:t>
      </w:r>
      <w:r>
        <w:rPr>
          <w:rFonts w:ascii="Arial" w:cs="Arial" w:eastAsia="Arial" w:hAnsi="Arial"/>
          <w:sz w:val="16"/>
          <w:szCs w:val="16"/>
          <w:color w:val="auto"/>
        </w:rPr>
        <w:t>Beginning with 2018 annual incentives, a larger percentage of the personal scorecards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and other incentive-eligible employees will be tied to the achievement of financial targets and simplified goals. These financial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spacing w:after="0" w:line="252" w:lineRule="auto"/>
        <w:rPr>
          <w:sz w:val="20"/>
          <w:szCs w:val="20"/>
          <w:color w:val="auto"/>
        </w:rPr>
      </w:pPr>
      <w:r>
        <w:rPr>
          <w:rFonts w:ascii="Arial" w:cs="Arial" w:eastAsia="Arial" w:hAnsi="Arial"/>
          <w:sz w:val="16"/>
          <w:szCs w:val="16"/>
          <w:color w:val="auto"/>
        </w:rPr>
        <w:t>targets will include business unit specific service revenue targets and adjusted pre-tax income targets as well as Company service revenue and adjusted diluted EPS targets. We expect that financial targets will comprise approximately sixty percent (60%) to ninety percent (90%) of the annual incentive of the target incentive opportunity for incentive-eligible employees in 2018, versus thirty percent (30%) to fifty percent (50%) in 2017.</w:t>
      </w:r>
    </w:p>
    <w:p>
      <w:pPr>
        <w:spacing w:after="0" w:line="172" w:lineRule="exact"/>
        <w:rPr>
          <w:sz w:val="20"/>
          <w:szCs w:val="20"/>
          <w:color w:val="auto"/>
        </w:rPr>
      </w:pPr>
    </w:p>
    <w:p>
      <w:pPr>
        <w:ind w:left="1020" w:right="60" w:hanging="513"/>
        <w:spacing w:after="0" w:line="25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Adoption of a new payout methodology that includes a significant equity component. </w:t>
      </w:r>
      <w:r>
        <w:rPr>
          <w:rFonts w:ascii="Arial" w:cs="Arial" w:eastAsia="Arial" w:hAnsi="Arial"/>
          <w:sz w:val="16"/>
          <w:szCs w:val="16"/>
          <w:color w:val="auto"/>
        </w:rPr>
        <w:t>The Compensation Committee approved changing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payout methodology of our annual incentive plan beginning in 2018 to reduce the cash component and replace it with a longer term equity component (restricted share units ("RSUs")) for our executive officers and other incentive eligible employees. The equity portion of the incentive award payouts will be determined based on allocation elections made by participating employees, subject to certain parameters including a minimum of twenty-five percent (25%) and a maximum of fifty percent (50%) of the annual incentive in RSUs for the 2018 service year and an anticipated minimum of thirty-five percent (35%) and an anticipated maximum of one hundred percent (100%) for the 2019 service year. We anticipate that this new payout methodology will create a greater sense of ownership throughout the organization, motivate employees to create long-term value for shareholders and support retention.</w:t>
      </w:r>
    </w:p>
    <w:p>
      <w:pPr>
        <w:spacing w:after="0" w:line="173" w:lineRule="exact"/>
        <w:rPr>
          <w:rFonts w:ascii="Arial" w:cs="Arial" w:eastAsia="Arial" w:hAnsi="Arial"/>
          <w:sz w:val="16"/>
          <w:szCs w:val="16"/>
          <w:color w:val="auto"/>
        </w:rPr>
      </w:pPr>
    </w:p>
    <w:p>
      <w:pPr>
        <w:ind w:left="1020" w:right="20" w:hanging="513"/>
        <w:spacing w:after="0" w:line="250"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One hundred percent (100%) of incentive compensation awards will be determined based on scorecard performance. </w:t>
      </w:r>
      <w:r>
        <w:rPr>
          <w:rFonts w:ascii="Arial" w:cs="Arial" w:eastAsia="Arial" w:hAnsi="Arial"/>
          <w:sz w:val="16"/>
          <w:szCs w:val="16"/>
          <w:color w:val="auto"/>
        </w:rPr>
        <w:t>Beginning in 2018, one</w:t>
      </w:r>
      <w:r>
        <w:rPr>
          <w:rFonts w:ascii="Arial" w:cs="Arial" w:eastAsia="Arial" w:hAnsi="Arial"/>
          <w:sz w:val="16"/>
          <w:szCs w:val="16"/>
          <w:i w:val="1"/>
          <w:iCs w:val="1"/>
          <w:color w:val="auto"/>
        </w:rPr>
        <w:t xml:space="preserve"> </w:t>
      </w:r>
      <w:r>
        <w:rPr>
          <w:rFonts w:ascii="Arial" w:cs="Arial" w:eastAsia="Arial" w:hAnsi="Arial"/>
          <w:sz w:val="16"/>
          <w:szCs w:val="16"/>
          <w:color w:val="auto"/>
        </w:rPr>
        <w:t>hundred percent (100%) of our Named Executive Officers' incentive compensation will be tied to the performance targets set forth in their personal scorecards, which will consist of goals tied to consolidated Altisource service revenue, Altisource adjusted diluted EPS (a non-GAAP measure), compliance adherence and an enhanced customer experience. For Mr. Davila (and additional business unit heads that are not Named Executive Officers), it will also include goals related to their respective business' service revenue and adjusted pretax income. This change will serve to reinforce our emphasis on performance against objective financial targets, delivering exceptional customer service and adhering to compliance standards. In addition, our Named Executive Officers' individual impact ratings will measure whether the executives have created long-term shareholder value by collaborating across business units, developing strategic business ideas and implementing operational excellence and process improvements. Unlike the performance appraisal in prior years, this rating will not be tied to a portion of the executive's target incentive opportunity; rather, a positive rating will be a condition of the executive's eligibility to receive the portion of his or her incentive that is tied to overall Altisource corporate performance. We expect that fifteen percent (15%) to ninety percent (90%) of the annual incentive of our Named Executive Officers will be tied to overall Altisource corporate performance, with the Chief Executive Officer and the majority of the other Named Executive Officers having over fifty percent (50%) of their annual incentive tied to those targets.</w:t>
      </w:r>
    </w:p>
    <w:p>
      <w:pPr>
        <w:spacing w:after="0" w:line="162" w:lineRule="exact"/>
        <w:rPr>
          <w:rFonts w:ascii="Arial" w:cs="Arial" w:eastAsia="Arial" w:hAnsi="Arial"/>
          <w:sz w:val="16"/>
          <w:szCs w:val="16"/>
          <w:color w:val="auto"/>
        </w:rPr>
      </w:pPr>
    </w:p>
    <w:p>
      <w:pPr>
        <w:ind w:left="1020" w:right="160" w:hanging="513"/>
        <w:spacing w:after="0" w:line="25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Approval of equity awards based on achieving goals tied to 2018 adjusted diluted EPS. </w:t>
      </w:r>
      <w:r>
        <w:rPr>
          <w:rFonts w:ascii="Arial" w:cs="Arial" w:eastAsia="Arial" w:hAnsi="Arial"/>
          <w:sz w:val="16"/>
          <w:szCs w:val="16"/>
          <w:color w:val="auto"/>
        </w:rPr>
        <w:t>Additionally, in February 2018,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approved a program pursuant to which a one-time equity award would be issued to each of our Named Executive Officers and certain other key executives upon a determination by the Committee of achievement by the Company of target adjusted diluted EPS (a non-GAAP measure) and the executive's achievement of a designated level of their scorecard performance for 2018. This program is expected to help with the retention of these key executives, provide them with an additional incentive for superior performance and create long-term value for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Relocation and Foreign Living Allowances</w:t>
      </w:r>
    </w:p>
    <w:p>
      <w:pPr>
        <w:spacing w:after="0" w:line="228" w:lineRule="exact"/>
        <w:rPr>
          <w:sz w:val="20"/>
          <w:szCs w:val="20"/>
          <w:color w:val="auto"/>
        </w:rPr>
      </w:pPr>
    </w:p>
    <w:p>
      <w:pPr>
        <w:jc w:val="both"/>
        <w:ind w:right="220"/>
        <w:spacing w:after="0" w:line="255" w:lineRule="auto"/>
        <w:rPr>
          <w:sz w:val="20"/>
          <w:szCs w:val="20"/>
          <w:color w:val="auto"/>
        </w:rPr>
      </w:pPr>
      <w:r>
        <w:rPr>
          <w:rFonts w:ascii="Arial" w:cs="Arial" w:eastAsia="Arial" w:hAnsi="Arial"/>
          <w:sz w:val="16"/>
          <w:szCs w:val="16"/>
          <w:color w:val="auto"/>
        </w:rPr>
        <w:t>Since we are a Luxembourg company, our Named Executive Officers are generally based at our corporate headquarters in Luxembourg. This is consistent with our view that daily interaction of our leadership team at our headquarters helps us to efficiently develop and execute our strategic initiatives. Often the executive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talent we seek to attract to Luxembourg is based in the United States. To attract and appropriately incent our Named Executive Officers, we provide each with certain relocation and foreign living allowances and other benefits that the Compensation Committee believes are reasonable and consistent with our overall compensation philosophy to attract and retain superior employees for key positions requiring relocation.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normalization. Tax normalization is an expatriate benefit, which provides for the executive to be compensated for the excess income taxes paid relative to the income taxes the executive would be paying in his or her country of origin.</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Please see the Summary Compensation Table under the "Executive Compensation" section for details regarding the relocation benefits received by each Named Executive Officer in 2017.</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Benefits</w:t>
      </w:r>
    </w:p>
    <w:p>
      <w:pPr>
        <w:spacing w:after="0" w:line="228" w:lineRule="exact"/>
        <w:rPr>
          <w:sz w:val="20"/>
          <w:szCs w:val="20"/>
          <w:color w:val="auto"/>
        </w:rPr>
      </w:pPr>
    </w:p>
    <w:p>
      <w:pPr>
        <w:jc w:val="both"/>
        <w:ind w:right="500"/>
        <w:spacing w:after="0" w:line="252" w:lineRule="auto"/>
        <w:rPr>
          <w:sz w:val="20"/>
          <w:szCs w:val="20"/>
          <w:color w:val="auto"/>
        </w:rPr>
      </w:pPr>
      <w:r>
        <w:rPr>
          <w:rFonts w:ascii="Arial" w:cs="Arial" w:eastAsia="Arial" w:hAnsi="Arial"/>
          <w:sz w:val="16"/>
          <w:szCs w:val="16"/>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employees, including our executive officers, are eligible to participate in the Company's international health and travel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2009 Equity Incentive Plan</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Altisource provides long-term equity incentive opportunities for eligible employees, including our Named Executive Officers, under our 2009 Equity Incentive Plan. The Compensation Committee administers the 2009 Equity Incentive Plan, which was approved by our shareholders in 2009.</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Equity awards are generally provided in the form of restricted shares, RSUs or stock options, with a significant portion of the grants generally tied to market criteria or other financial targets. Through the use of performance-based awards, the Compensation Committee endeavors to ensure that the receipt of significant equity-based compensation is conditioned on the Company's performance exceeding appropriate benchmarks to create shareholder value. The Compensation Committee also grants awards subject to time-based vesting to encourage retention and further align the recipients' interests with those of the shareholders of the Company.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Award agreements include a covenant not to disclose our confidential information. In addition, the award recipient is generally bound by non-competition and non-solicitation covenants for a minimum period of two (2) years following the end of his or her employment with the Company.</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and/or the value of the equity in relation to other elements of the individual executive's total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Awards to our Named Executive Officers</w:t>
      </w:r>
    </w:p>
    <w:p>
      <w:pPr>
        <w:spacing w:after="0" w:line="20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the second quarter of 2017 and first quarter of 2018, equity awards were made to each of our Named Executive Officers, other than Mr. Chatterjee, under the Company's Long-Term Incentive Plan, reflecting the Company's transition towards a more regular annual equity grant practice.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2017 Long-Term Incentive Plan Awards</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April 7, 2017, the Compensation Committee approved a Long-term Incentive Plan (the "LTI") for key executives and employees of the Company, including the Company's then Named Executive Officers. The LTI was developed in consultation with the Compensation Committee's independent executive compensation consultant, Exequity, and is designed to provide these executives and employees with market-competitive long-term incentive opportunities that align their performance with the interests of our shareholders and assist in their retention. The Compensation Committee's approval of the plan reflects the Compensation Committee's intent to transition towards a more regular annual equity grant practice, in line with prevailing market practice and the advice of its independent compensation consultant.</w:t>
      </w:r>
    </w:p>
    <w:p>
      <w:pPr>
        <w:spacing w:after="0" w:line="190"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Equity awards for the calendar year 2017 were made to our Named Executive Officers (other than Mr. Chatterjee who had not joined the Company) on April 7, 2017. These awards consist of a mix of stock options with performance-based vesting requirements and restricted shares with both performance-based and service-based vesting requirements.</w:t>
      </w:r>
    </w:p>
    <w:p>
      <w:pPr>
        <w:sectPr>
          <w:pgSz w:w="11900" w:h="16838" w:orient="portrait"/>
          <w:cols w:equalWidth="0" w:num="1">
            <w:col w:w="11400"/>
          </w:cols>
          <w:pgMar w:left="240" w:top="143" w:right="25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2017 LTI equity awards were approved for these executives as follows: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6"/>
                <w:szCs w:val="16"/>
                <w:b w:val="1"/>
                <w:bCs w:val="1"/>
                <w:color w:val="auto"/>
              </w:rPr>
              <w:t>2017 Performance-</w:t>
            </w:r>
          </w:p>
        </w:tc>
        <w:tc>
          <w:tcPr>
            <w:tcW w:w="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rPr>
              <w:t>2017 Performance-</w:t>
            </w:r>
          </w:p>
        </w:tc>
      </w:tr>
      <w:tr>
        <w:trPr>
          <w:trHeight w:val="193"/>
        </w:trPr>
        <w:tc>
          <w:tcPr>
            <w:tcW w:w="314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Arial" w:cs="Arial" w:eastAsia="Arial" w:hAnsi="Arial"/>
                <w:sz w:val="16"/>
                <w:szCs w:val="16"/>
                <w:b w:val="1"/>
                <w:bCs w:val="1"/>
                <w:color w:val="auto"/>
              </w:rPr>
              <w:t>Based</w:t>
            </w:r>
          </w:p>
        </w:tc>
        <w:tc>
          <w:tcPr>
            <w:tcW w:w="22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Based</w:t>
            </w:r>
          </w:p>
        </w:tc>
      </w:tr>
      <w:tr>
        <w:trPr>
          <w:trHeight w:val="241"/>
        </w:trPr>
        <w:tc>
          <w:tcPr>
            <w:tcW w:w="3140" w:type="dxa"/>
            <w:vAlign w:val="bottom"/>
          </w:tcPr>
          <w:p>
            <w:pPr>
              <w:spacing w:after="0"/>
              <w:rPr>
                <w:sz w:val="20"/>
                <w:szCs w:val="20"/>
                <w:color w:val="auto"/>
              </w:rPr>
            </w:pPr>
          </w:p>
        </w:tc>
        <w:tc>
          <w:tcPr>
            <w:tcW w:w="1740" w:type="dxa"/>
            <w:vAlign w:val="bottom"/>
            <w:gridSpan w:val="3"/>
          </w:tcPr>
          <w:p>
            <w:pPr>
              <w:jc w:val="center"/>
              <w:spacing w:after="0" w:line="241" w:lineRule="exact"/>
              <w:rPr>
                <w:sz w:val="20"/>
                <w:szCs w:val="20"/>
                <w:color w:val="auto"/>
              </w:rPr>
            </w:pPr>
            <w:r>
              <w:rPr>
                <w:rFonts w:ascii="Arial" w:cs="Arial" w:eastAsia="Arial" w:hAnsi="Arial"/>
                <w:sz w:val="16"/>
                <w:szCs w:val="16"/>
                <w:b w:val="1"/>
                <w:bCs w:val="1"/>
                <w:color w:val="auto"/>
                <w:w w:val="98"/>
              </w:rPr>
              <w:t>Restricted Shares</w:t>
            </w:r>
            <w:r>
              <w:rPr>
                <w:rFonts w:ascii="Arial" w:cs="Arial" w:eastAsia="Arial" w:hAnsi="Arial"/>
                <w:sz w:val="27"/>
                <w:szCs w:val="27"/>
                <w:b w:val="1"/>
                <w:bCs w:val="1"/>
                <w:color w:val="auto"/>
                <w:w w:val="98"/>
                <w:vertAlign w:val="superscript"/>
              </w:rPr>
              <w:t>(1)</w:t>
            </w:r>
          </w:p>
        </w:tc>
        <w:tc>
          <w:tcPr>
            <w:tcW w:w="220" w:type="dxa"/>
            <w:vAlign w:val="bottom"/>
          </w:tcPr>
          <w:p>
            <w:pPr>
              <w:spacing w:after="0"/>
              <w:rPr>
                <w:sz w:val="20"/>
                <w:szCs w:val="20"/>
                <w:color w:val="auto"/>
              </w:rPr>
            </w:pPr>
          </w:p>
        </w:tc>
        <w:tc>
          <w:tcPr>
            <w:tcW w:w="1760" w:type="dxa"/>
            <w:vAlign w:val="bottom"/>
            <w:gridSpan w:val="4"/>
          </w:tcPr>
          <w:p>
            <w:pPr>
              <w:jc w:val="center"/>
              <w:spacing w:after="0" w:line="241" w:lineRule="exact"/>
              <w:rPr>
                <w:sz w:val="20"/>
                <w:szCs w:val="20"/>
                <w:color w:val="auto"/>
              </w:rPr>
            </w:pPr>
            <w:r>
              <w:rPr>
                <w:rFonts w:ascii="Arial" w:cs="Arial" w:eastAsia="Arial" w:hAnsi="Arial"/>
                <w:sz w:val="16"/>
                <w:szCs w:val="16"/>
                <w:b w:val="1"/>
                <w:bCs w:val="1"/>
                <w:color w:val="auto"/>
                <w:w w:val="98"/>
              </w:rPr>
              <w:t>Stock Options</w:t>
            </w:r>
            <w:r>
              <w:rPr>
                <w:rFonts w:ascii="Arial" w:cs="Arial" w:eastAsia="Arial" w:hAnsi="Arial"/>
                <w:sz w:val="27"/>
                <w:szCs w:val="27"/>
                <w:b w:val="1"/>
                <w:bCs w:val="1"/>
                <w:color w:val="auto"/>
                <w:w w:val="98"/>
                <w:vertAlign w:val="superscript"/>
              </w:rPr>
              <w:t>(1)</w:t>
            </w:r>
          </w:p>
        </w:tc>
      </w:tr>
      <w:tr>
        <w:trPr>
          <w:trHeight w:val="165"/>
        </w:trPr>
        <w:tc>
          <w:tcPr>
            <w:tcW w:w="3140" w:type="dxa"/>
            <w:vAlign w:val="bottom"/>
          </w:tcPr>
          <w:p>
            <w:pPr>
              <w:spacing w:after="0"/>
              <w:rPr>
                <w:sz w:val="14"/>
                <w:szCs w:val="14"/>
                <w:color w:val="auto"/>
              </w:rPr>
            </w:pPr>
          </w:p>
        </w:tc>
        <w:tc>
          <w:tcPr>
            <w:tcW w:w="90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rPr>
              <w:t>Adjusted</w:t>
            </w: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spacing w:after="0" w:line="165" w:lineRule="exact"/>
              <w:rPr>
                <w:sz w:val="20"/>
                <w:szCs w:val="20"/>
                <w:color w:val="auto"/>
              </w:rPr>
            </w:pPr>
            <w:r>
              <w:rPr>
                <w:rFonts w:ascii="Arial" w:cs="Arial" w:eastAsia="Arial" w:hAnsi="Arial"/>
                <w:sz w:val="16"/>
                <w:szCs w:val="16"/>
                <w:b w:val="1"/>
                <w:bCs w:val="1"/>
                <w:color w:val="auto"/>
              </w:rPr>
              <w:t>Adjusted</w:t>
            </w: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140" w:type="dxa"/>
            <w:vAlign w:val="bottom"/>
          </w:tcPr>
          <w:p>
            <w:pPr>
              <w:spacing w:after="0"/>
              <w:rPr>
                <w:sz w:val="16"/>
                <w:szCs w:val="16"/>
                <w:color w:val="auto"/>
              </w:rPr>
            </w:pPr>
          </w:p>
        </w:tc>
        <w:tc>
          <w:tcPr>
            <w:tcW w:w="3720" w:type="dxa"/>
            <w:vAlign w:val="bottom"/>
            <w:gridSpan w:val="8"/>
          </w:tcPr>
          <w:p>
            <w:pPr>
              <w:ind w:left="60"/>
              <w:spacing w:after="0"/>
              <w:rPr>
                <w:sz w:val="20"/>
                <w:szCs w:val="20"/>
                <w:color w:val="auto"/>
              </w:rPr>
            </w:pPr>
            <w:r>
              <w:rPr>
                <w:rFonts w:ascii="Arial" w:cs="Arial" w:eastAsia="Arial" w:hAnsi="Arial"/>
                <w:sz w:val="16"/>
                <w:szCs w:val="16"/>
                <w:b w:val="1"/>
                <w:bCs w:val="1"/>
                <w:color w:val="auto"/>
              </w:rPr>
              <w:t>Pre-Tax   Diversified   Pre-Tax   Diversified</w:t>
            </w:r>
          </w:p>
        </w:tc>
      </w:tr>
      <w:tr>
        <w:trPr>
          <w:trHeight w:val="207"/>
        </w:trPr>
        <w:tc>
          <w:tcPr>
            <w:tcW w:w="31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7"/>
                <w:szCs w:val="17"/>
                <w:color w:val="auto"/>
              </w:rPr>
            </w:pPr>
          </w:p>
        </w:tc>
      </w:tr>
      <w:tr>
        <w:trPr>
          <w:trHeight w:val="192"/>
        </w:trPr>
        <w:tc>
          <w:tcPr>
            <w:tcW w:w="3140" w:type="dxa"/>
            <w:vAlign w:val="bottom"/>
          </w:tcPr>
          <w:p>
            <w:pPr>
              <w:spacing w:after="0"/>
              <w:rPr>
                <w:sz w:val="20"/>
                <w:szCs w:val="20"/>
                <w:color w:val="auto"/>
              </w:rPr>
            </w:pPr>
            <w:r>
              <w:rPr>
                <w:rFonts w:ascii="Arial" w:cs="Arial" w:eastAsia="Arial" w:hAnsi="Arial"/>
                <w:sz w:val="16"/>
                <w:szCs w:val="16"/>
                <w:color w:val="auto"/>
              </w:rPr>
              <w:t>William B. Shepro</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6,463</w:t>
            </w:r>
          </w:p>
        </w:tc>
        <w:tc>
          <w:tcPr>
            <w:tcW w:w="2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6,463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10,594</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10,593</w:t>
            </w:r>
          </w:p>
        </w:tc>
        <w:tc>
          <w:tcPr>
            <w:tcW w:w="20" w:type="dxa"/>
            <w:vAlign w:val="bottom"/>
          </w:tcPr>
          <w:p>
            <w:pPr>
              <w:spacing w:after="0"/>
              <w:rPr>
                <w:sz w:val="16"/>
                <w:szCs w:val="16"/>
                <w:color w:val="auto"/>
              </w:rPr>
            </w:pPr>
          </w:p>
        </w:tc>
      </w:tr>
      <w:tr>
        <w:trPr>
          <w:trHeight w:val="392"/>
        </w:trPr>
        <w:tc>
          <w:tcPr>
            <w:tcW w:w="3140" w:type="dxa"/>
            <w:vAlign w:val="bottom"/>
          </w:tcPr>
          <w:p>
            <w:pPr>
              <w:spacing w:after="0"/>
              <w:rPr>
                <w:sz w:val="20"/>
                <w:szCs w:val="20"/>
                <w:color w:val="auto"/>
              </w:rPr>
            </w:pPr>
            <w:r>
              <w:rPr>
                <w:rFonts w:ascii="Arial" w:cs="Arial" w:eastAsia="Arial" w:hAnsi="Arial"/>
                <w:sz w:val="16"/>
                <w:szCs w:val="16"/>
                <w:color w:val="auto"/>
              </w:rPr>
              <w:t>Kevin J. Wilcox</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1,508</w:t>
            </w:r>
          </w:p>
        </w:tc>
        <w:tc>
          <w:tcPr>
            <w:tcW w:w="20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1,508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3,461</w:t>
            </w:r>
          </w:p>
        </w:tc>
        <w:tc>
          <w:tcPr>
            <w:tcW w:w="20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3,460</w:t>
            </w:r>
          </w:p>
        </w:tc>
        <w:tc>
          <w:tcPr>
            <w:tcW w:w="20" w:type="dxa"/>
            <w:vAlign w:val="bottom"/>
          </w:tcPr>
          <w:p>
            <w:pPr>
              <w:spacing w:after="0"/>
              <w:rPr>
                <w:sz w:val="24"/>
                <w:szCs w:val="24"/>
                <w:color w:val="auto"/>
              </w:rPr>
            </w:pPr>
          </w:p>
        </w:tc>
      </w:tr>
      <w:tr>
        <w:trPr>
          <w:trHeight w:val="392"/>
        </w:trPr>
        <w:tc>
          <w:tcPr>
            <w:tcW w:w="3140" w:type="dxa"/>
            <w:vAlign w:val="bottom"/>
          </w:tcPr>
          <w:p>
            <w:pPr>
              <w:spacing w:after="0"/>
              <w:rPr>
                <w:sz w:val="20"/>
                <w:szCs w:val="20"/>
                <w:color w:val="auto"/>
              </w:rPr>
            </w:pPr>
            <w:r>
              <w:rPr>
                <w:rFonts w:ascii="Arial" w:cs="Arial" w:eastAsia="Arial" w:hAnsi="Arial"/>
                <w:sz w:val="16"/>
                <w:szCs w:val="16"/>
                <w:color w:val="auto"/>
              </w:rPr>
              <w:t>Michelle D. Esterman</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904</w:t>
            </w:r>
          </w:p>
        </w:tc>
        <w:tc>
          <w:tcPr>
            <w:tcW w:w="20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905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2,076</w:t>
            </w:r>
          </w:p>
        </w:tc>
        <w:tc>
          <w:tcPr>
            <w:tcW w:w="20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2,076</w:t>
            </w:r>
          </w:p>
        </w:tc>
        <w:tc>
          <w:tcPr>
            <w:tcW w:w="20" w:type="dxa"/>
            <w:vAlign w:val="bottom"/>
          </w:tcPr>
          <w:p>
            <w:pPr>
              <w:spacing w:after="0"/>
              <w:rPr>
                <w:sz w:val="24"/>
                <w:szCs w:val="24"/>
                <w:color w:val="auto"/>
              </w:rPr>
            </w:pPr>
          </w:p>
        </w:tc>
      </w:tr>
      <w:tr>
        <w:trPr>
          <w:trHeight w:val="392"/>
        </w:trPr>
        <w:tc>
          <w:tcPr>
            <w:tcW w:w="3140" w:type="dxa"/>
            <w:vAlign w:val="bottom"/>
          </w:tcPr>
          <w:p>
            <w:pPr>
              <w:spacing w:after="0"/>
              <w:rPr>
                <w:sz w:val="20"/>
                <w:szCs w:val="20"/>
                <w:color w:val="auto"/>
              </w:rPr>
            </w:pPr>
            <w:r>
              <w:rPr>
                <w:rFonts w:ascii="Arial" w:cs="Arial" w:eastAsia="Arial" w:hAnsi="Arial"/>
                <w:sz w:val="16"/>
                <w:szCs w:val="16"/>
                <w:color w:val="auto"/>
              </w:rPr>
              <w:t>Joseph A. Davila</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754</w:t>
            </w:r>
          </w:p>
        </w:tc>
        <w:tc>
          <w:tcPr>
            <w:tcW w:w="20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754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1,730</w:t>
            </w:r>
          </w:p>
        </w:tc>
        <w:tc>
          <w:tcPr>
            <w:tcW w:w="20" w:type="dxa"/>
            <w:vAlign w:val="bottom"/>
          </w:tcPr>
          <w:p>
            <w:pPr>
              <w:spacing w:after="0"/>
              <w:rPr>
                <w:sz w:val="24"/>
                <w:szCs w:val="24"/>
                <w:color w:val="auto"/>
              </w:rPr>
            </w:pPr>
          </w:p>
        </w:tc>
      </w:tr>
      <w:tr>
        <w:trPr>
          <w:trHeight w:val="392"/>
        </w:trPr>
        <w:tc>
          <w:tcPr>
            <w:tcW w:w="3140" w:type="dxa"/>
            <w:vAlign w:val="bottom"/>
          </w:tcPr>
          <w:p>
            <w:pPr>
              <w:spacing w:after="0"/>
              <w:rPr>
                <w:sz w:val="20"/>
                <w:szCs w:val="20"/>
                <w:color w:val="auto"/>
              </w:rPr>
            </w:pPr>
            <w:r>
              <w:rPr>
                <w:rFonts w:ascii="Arial" w:cs="Arial" w:eastAsia="Arial" w:hAnsi="Arial"/>
                <w:sz w:val="16"/>
                <w:szCs w:val="16"/>
                <w:color w:val="auto"/>
              </w:rPr>
              <w:t>Gregory J. Ritts</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754</w:t>
            </w:r>
          </w:p>
        </w:tc>
        <w:tc>
          <w:tcPr>
            <w:tcW w:w="20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6"/>
                <w:szCs w:val="16"/>
                <w:color w:val="auto"/>
              </w:rPr>
              <w:t>754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16"/>
                <w:szCs w:val="16"/>
                <w:color w:val="auto"/>
              </w:rPr>
              <w:t>1,730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-1121410</wp:posOffset>
            </wp:positionV>
            <wp:extent cx="5875020" cy="120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75020" cy="12065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-752475</wp:posOffset>
            </wp:positionV>
            <wp:extent cx="5875020" cy="248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75020" cy="24892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-254635</wp:posOffset>
            </wp:positionV>
            <wp:extent cx="5875020" cy="2489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7502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80"/>
        <w:spacing w:after="0"/>
        <w:tabs>
          <w:tab w:leader="none" w:pos="1220" w:val="left"/>
        </w:tabs>
        <w:rPr>
          <w:sz w:val="20"/>
          <w:szCs w:val="20"/>
          <w:color w:val="auto"/>
        </w:rPr>
      </w:pPr>
      <w:r>
        <w:rPr>
          <w:rFonts w:ascii="Arial" w:cs="Arial" w:eastAsia="Arial" w:hAnsi="Arial"/>
          <w:sz w:val="33"/>
          <w:szCs w:val="33"/>
          <w:b w:val="1"/>
          <w:bCs w:val="1"/>
          <w:color w:val="auto"/>
          <w:vertAlign w:val="superscript"/>
        </w:rPr>
        <w:t>Service</w:t>
      </w:r>
      <w:r>
        <w:rPr>
          <w:sz w:val="20"/>
          <w:szCs w:val="20"/>
          <w:color w:val="auto"/>
        </w:rPr>
        <w:tab/>
      </w:r>
      <w:r>
        <w:rPr>
          <w:rFonts w:ascii="Arial" w:cs="Arial" w:eastAsia="Arial" w:hAnsi="Arial"/>
          <w:sz w:val="16"/>
          <w:szCs w:val="16"/>
          <w:b w:val="1"/>
          <w:bCs w:val="1"/>
          <w:color w:val="auto"/>
        </w:rPr>
        <w:t>Service-</w:t>
      </w:r>
    </w:p>
    <w:p>
      <w:pPr>
        <w:ind w:left="120"/>
        <w:spacing w:after="0" w:line="182" w:lineRule="auto"/>
        <w:tabs>
          <w:tab w:leader="none" w:pos="130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26"/>
          <w:szCs w:val="26"/>
          <w:b w:val="1"/>
          <w:bCs w:val="1"/>
          <w:color w:val="auto"/>
          <w:vertAlign w:val="subscript"/>
        </w:rPr>
        <w:t>Based</w:t>
      </w:r>
    </w:p>
    <w:p>
      <w:pPr>
        <w:jc w:val="both"/>
        <w:ind w:left="240"/>
        <w:spacing w:after="0" w:line="188" w:lineRule="auto"/>
        <w:tabs>
          <w:tab w:leader="none" w:pos="1140" w:val="left"/>
        </w:tabs>
        <w:rPr>
          <w:sz w:val="20"/>
          <w:szCs w:val="20"/>
          <w:color w:val="auto"/>
        </w:rPr>
      </w:pPr>
      <w:r>
        <w:rPr>
          <w:rFonts w:ascii="Arial" w:cs="Arial" w:eastAsia="Arial" w:hAnsi="Arial"/>
          <w:sz w:val="19"/>
          <w:szCs w:val="19"/>
          <w:b w:val="1"/>
          <w:bCs w:val="1"/>
          <w:color w:val="auto"/>
          <w:vertAlign w:val="superscript"/>
        </w:rPr>
        <w:t>Stock</w:t>
      </w:r>
      <w:r>
        <w:rPr>
          <w:sz w:val="20"/>
          <w:szCs w:val="20"/>
          <w:color w:val="auto"/>
        </w:rPr>
        <w:tab/>
      </w:r>
      <w:r>
        <w:rPr>
          <w:rFonts w:ascii="Arial" w:cs="Arial" w:eastAsia="Arial" w:hAnsi="Arial"/>
          <w:sz w:val="12"/>
          <w:szCs w:val="12"/>
          <w:b w:val="1"/>
          <w:bCs w:val="1"/>
          <w:color w:val="auto"/>
        </w:rPr>
        <w:t>Restricted</w:t>
      </w:r>
    </w:p>
    <w:p>
      <w:pPr>
        <w:spacing w:after="0"/>
        <w:tabs>
          <w:tab w:leader="none" w:pos="1280" w:val="left"/>
        </w:tabs>
        <w:rPr>
          <w:sz w:val="20"/>
          <w:szCs w:val="20"/>
          <w:color w:val="auto"/>
        </w:rPr>
      </w:pPr>
      <w:r>
        <w:rPr>
          <w:rFonts w:ascii="Arial" w:cs="Arial" w:eastAsia="Arial" w:hAnsi="Arial"/>
          <w:sz w:val="16"/>
          <w:szCs w:val="16"/>
          <w:b w:val="1"/>
          <w:bCs w:val="1"/>
          <w:u w:val="single" w:color="auto"/>
          <w:color w:val="auto"/>
        </w:rPr>
        <w:t>Options</w:t>
      </w:r>
      <w:r>
        <w:rPr>
          <w:rFonts w:ascii="Arial" w:cs="Arial" w:eastAsia="Arial" w:hAnsi="Arial"/>
          <w:sz w:val="27"/>
          <w:szCs w:val="27"/>
          <w:b w:val="1"/>
          <w:bCs w:val="1"/>
          <w:u w:val="single" w:color="auto"/>
          <w:color w:val="auto"/>
          <w:vertAlign w:val="superscript"/>
        </w:rPr>
        <w:t>(2)(3)</w:t>
      </w:r>
      <w:r>
        <w:rPr>
          <w:sz w:val="20"/>
          <w:szCs w:val="20"/>
          <w:color w:val="auto"/>
        </w:rPr>
        <w:tab/>
      </w: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-8890</wp:posOffset>
            </wp:positionV>
            <wp:extent cx="5137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ind w:left="220"/>
        <w:spacing w:after="0"/>
        <w:tabs>
          <w:tab w:leader="none" w:pos="1320" w:val="left"/>
        </w:tabs>
        <w:rPr>
          <w:sz w:val="20"/>
          <w:szCs w:val="20"/>
          <w:color w:val="auto"/>
        </w:rPr>
      </w:pPr>
      <w:r>
        <w:rPr>
          <w:rFonts w:ascii="Arial" w:cs="Arial" w:eastAsia="Arial" w:hAnsi="Arial"/>
          <w:sz w:val="16"/>
          <w:szCs w:val="16"/>
          <w:color w:val="auto"/>
        </w:rPr>
        <w:t>20,303</w:t>
      </w:r>
      <w:r>
        <w:rPr>
          <w:sz w:val="20"/>
          <w:szCs w:val="20"/>
          <w:color w:val="auto"/>
        </w:rPr>
        <w:tab/>
      </w:r>
      <w:r>
        <w:rPr>
          <w:rFonts w:ascii="Arial" w:cs="Arial" w:eastAsia="Arial" w:hAnsi="Arial"/>
          <w:sz w:val="16"/>
          <w:szCs w:val="16"/>
          <w:color w:val="auto"/>
        </w:rPr>
        <w:t>12,927</w:t>
      </w:r>
    </w:p>
    <w:p>
      <w:pPr>
        <w:spacing w:after="0" w:line="208"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6"/>
          <w:szCs w:val="16"/>
          <w:color w:val="auto"/>
        </w:rPr>
        <w:t>2,842</w:t>
      </w:r>
      <w:r>
        <w:rPr>
          <w:sz w:val="20"/>
          <w:szCs w:val="20"/>
          <w:color w:val="auto"/>
        </w:rPr>
        <w:tab/>
      </w:r>
      <w:r>
        <w:rPr>
          <w:rFonts w:ascii="Arial" w:cs="Arial" w:eastAsia="Arial" w:hAnsi="Arial"/>
          <w:sz w:val="16"/>
          <w:szCs w:val="16"/>
          <w:color w:val="auto"/>
        </w:rPr>
        <w:t>3,016</w:t>
      </w:r>
    </w:p>
    <w:p>
      <w:pPr>
        <w:spacing w:after="0" w:line="208"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6"/>
          <w:szCs w:val="16"/>
          <w:color w:val="auto"/>
        </w:rPr>
        <w:t>1,706</w:t>
      </w:r>
      <w:r>
        <w:rPr>
          <w:sz w:val="20"/>
          <w:szCs w:val="20"/>
          <w:color w:val="auto"/>
        </w:rPr>
        <w:tab/>
      </w:r>
      <w:r>
        <w:rPr>
          <w:rFonts w:ascii="Arial" w:cs="Arial" w:eastAsia="Arial" w:hAnsi="Arial"/>
          <w:sz w:val="16"/>
          <w:szCs w:val="16"/>
          <w:color w:val="auto"/>
        </w:rPr>
        <w:t>1,810</w:t>
      </w:r>
    </w:p>
    <w:p>
      <w:pPr>
        <w:spacing w:after="0" w:line="208"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6"/>
          <w:szCs w:val="16"/>
          <w:color w:val="auto"/>
        </w:rPr>
        <w:t>1,421</w:t>
      </w:r>
      <w:r>
        <w:rPr>
          <w:sz w:val="20"/>
          <w:szCs w:val="20"/>
          <w:color w:val="auto"/>
        </w:rPr>
        <w:tab/>
      </w:r>
      <w:r>
        <w:rPr>
          <w:rFonts w:ascii="Arial" w:cs="Arial" w:eastAsia="Arial" w:hAnsi="Arial"/>
          <w:sz w:val="16"/>
          <w:szCs w:val="16"/>
          <w:color w:val="auto"/>
        </w:rPr>
        <w:t>1,508</w:t>
      </w:r>
    </w:p>
    <w:p>
      <w:pPr>
        <w:spacing w:after="0" w:line="208"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6"/>
          <w:szCs w:val="16"/>
          <w:color w:val="auto"/>
        </w:rPr>
        <w:t>1,421</w:t>
      </w:r>
      <w:r>
        <w:rPr>
          <w:sz w:val="20"/>
          <w:szCs w:val="20"/>
          <w:color w:val="auto"/>
        </w:rPr>
        <w:tab/>
      </w:r>
      <w:r>
        <w:rPr>
          <w:rFonts w:ascii="Arial" w:cs="Arial" w:eastAsia="Arial" w:hAnsi="Arial"/>
          <w:sz w:val="16"/>
          <w:szCs w:val="16"/>
          <w:color w:val="auto"/>
        </w:rPr>
        <w:t>1,508</w:t>
      </w:r>
    </w:p>
    <w:p>
      <w:pPr>
        <w:spacing w:after="0" w:line="207" w:lineRule="exact"/>
        <w:rPr>
          <w:sz w:val="20"/>
          <w:szCs w:val="20"/>
          <w:color w:val="auto"/>
        </w:rPr>
      </w:pPr>
    </w:p>
    <w:p>
      <w:pPr>
        <w:sectPr>
          <w:pgSz w:w="11900" w:h="16838" w:orient="portrait"/>
          <w:cols w:equalWidth="0" w:num="2">
            <w:col w:w="8000" w:space="220"/>
            <w:col w:w="3180"/>
          </w:cols>
          <w:pgMar w:left="240" w:top="143" w:right="259" w:bottom="1440" w:gutter="0" w:footer="0" w:header="0"/>
          <w:type w:val="continuous"/>
        </w:sectPr>
      </w:pPr>
    </w:p>
    <w:p>
      <w:pPr>
        <w:ind w:left="1640" w:right="60" w:hanging="496"/>
        <w:spacing w:after="0" w:line="203" w:lineRule="auto"/>
        <w:tabs>
          <w:tab w:leader="none" w:pos="16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Represents awards that were cancelled and forfeited in their entirety in February 2018, following the Compensation Committee's confirmation that the performance criteria were not met. Each participant had the opportunity to vest from zero percent (0%) up to one hundred and fifty percent (150%) of the target amount based on pre-determined performance levels.</w:t>
      </w:r>
    </w:p>
    <w:p>
      <w:pPr>
        <w:spacing w:after="0" w:line="197" w:lineRule="exact"/>
        <w:rPr>
          <w:rFonts w:ascii="Arial" w:cs="Arial" w:eastAsia="Arial" w:hAnsi="Arial"/>
          <w:sz w:val="27"/>
          <w:szCs w:val="27"/>
          <w:color w:val="auto"/>
          <w:vertAlign w:val="superscript"/>
        </w:rPr>
      </w:pPr>
    </w:p>
    <w:p>
      <w:pPr>
        <w:ind w:left="1640" w:hanging="496"/>
        <w:spacing w:after="0" w:line="203" w:lineRule="auto"/>
        <w:tabs>
          <w:tab w:leader="none" w:pos="16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Represents the target amounts of stock options granted. Each participant has the opportunity to vest from zero percent (0%) up to one hundred and fifty percent (150%) of the target amount based on pre-determined performance levels. The exercise price for the stock options is $39.13, the closing price of our common stock on the April 7, 2017 grant date.</w:t>
      </w:r>
    </w:p>
    <w:p>
      <w:pPr>
        <w:spacing w:after="0" w:line="184" w:lineRule="exact"/>
        <w:rPr>
          <w:rFonts w:ascii="Arial" w:cs="Arial" w:eastAsia="Arial" w:hAnsi="Arial"/>
          <w:sz w:val="27"/>
          <w:szCs w:val="27"/>
          <w:color w:val="auto"/>
          <w:vertAlign w:val="superscript"/>
        </w:rPr>
      </w:pPr>
    </w:p>
    <w:p>
      <w:pPr>
        <w:ind w:left="1640" w:right="60" w:hanging="496"/>
        <w:spacing w:after="0" w:line="187" w:lineRule="auto"/>
        <w:tabs>
          <w:tab w:leader="none" w:pos="164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Represents stock options vesting based upon on attaining a service revenue threshold in a calendar year during the period from 2017 through 2021, as further described below.</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vesting schedule for the 2017 performance-based restricted shares and the 2017 performance-based stock options was based upon the Company's achievement against (i) Company adjusted pre-tax income for 2017 and (ii) diversified revenue for 2017 (each as defined in the applicable award agreement and hereafter collectively referred to as the "2017 Performance Criteria"). In February 2018, the Compensation Committee confirmed that the 2017 Performance Criteria were below a threshold level, and the 2017</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color w:val="auto"/>
        </w:rPr>
        <w:t>performance-based restricted shares and 2017 performance-based stock options granted to each of the Named Executive Officers were cancelled and forfeited.</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a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upon certain employment termination events. Service revenue stock options that are determined not to be eligible for vesting will be cancelled and forfeited.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service-based restricted shares are scheduled to vest in three installments on the first, second and third anniversaries of the April 7, 2017 grant date.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Vesting is subject to continued employment, except that certain awards may accelerate upon certain employment termination events.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Long-Term Incentive Plan Awards</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February 2018, the Compensation Committee enhanced and simplified the design of our LTI, which is now comprised of a mix of performance-based stock options and time-based RSUs.</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number of performance-based stock options that vest will be based on the degree of achievement of pre-established goals tied to 2018 adjusted diluted EPS (a non-GAAP measure). Depending on performance versus the adjusted diluted EPS goals, the performance-based stock options will vest in zero percent (0%) up to two hundred percent (200%) of the initial target levels through a linear interpolation. Performance-based stock options that are eligible to vest based on the achievement of these performance goals will vest in four equal increments on the first four anniversaries of the grant date. Vesting is subject to continued employment, except that certain awards may accelerate upon certain employment termination events. The RSUs will vest in four equal increments on the first four anniversaries of the grant date and will be settled in shares or, at the Company's option, cash. Vesting is subject to continued employment, except that certain awards may accelerate upon certain employment termination events.</w:t>
      </w:r>
    </w:p>
    <w:p>
      <w:pPr>
        <w:spacing w:after="0" w:line="18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Compensation Committee chose this mix of awards because it believes that it strikes an appropriate balance between performance and retention and is consistent with our independent compensation consultant's guidance on market practices. The performance-based stock options align award recipients' interests with the interests of our shareholders because they vest based upon the achievement of performance targets and because the value of the awards is directly linked to our stock price appreciation. Time-based RSUs vest over four years, which also aligns the award recipient's interests with the interests of our shareholders and creates a retention incentive.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2018 LTI equity awards were approved for the following Named Executive Officers, as follows: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Performance-Based</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Time-Based Restricted</w:t>
            </w:r>
          </w:p>
        </w:tc>
      </w:tr>
      <w:tr>
        <w:trPr>
          <w:trHeight w:val="228"/>
        </w:trPr>
        <w:tc>
          <w:tcPr>
            <w:tcW w:w="520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9"/>
                <w:szCs w:val="19"/>
                <w:color w:val="auto"/>
              </w:rPr>
            </w:pPr>
          </w:p>
        </w:tc>
        <w:tc>
          <w:tcPr>
            <w:tcW w:w="1560" w:type="dxa"/>
            <w:vAlign w:val="bottom"/>
            <w:tcBorders>
              <w:bottom w:val="single" w:sz="8" w:color="auto"/>
            </w:tcBorders>
          </w:tcPr>
          <w:p>
            <w:pPr>
              <w:jc w:val="right"/>
              <w:ind w:right="59"/>
              <w:spacing w:after="0" w:line="227" w:lineRule="exact"/>
              <w:rPr>
                <w:sz w:val="20"/>
                <w:szCs w:val="20"/>
                <w:color w:val="auto"/>
              </w:rPr>
            </w:pPr>
            <w:r>
              <w:rPr>
                <w:rFonts w:ascii="Arial" w:cs="Arial" w:eastAsia="Arial" w:hAnsi="Arial"/>
                <w:sz w:val="16"/>
                <w:szCs w:val="16"/>
                <w:b w:val="1"/>
                <w:bCs w:val="1"/>
                <w:color w:val="auto"/>
              </w:rPr>
              <w:t>Stock Options</w:t>
            </w:r>
            <w:r>
              <w:rPr>
                <w:rFonts w:ascii="Arial" w:cs="Arial" w:eastAsia="Arial" w:hAnsi="Arial"/>
                <w:sz w:val="26"/>
                <w:szCs w:val="26"/>
                <w:b w:val="1"/>
                <w:bCs w:val="1"/>
                <w:color w:val="auto"/>
                <w:vertAlign w:val="superscript"/>
              </w:rPr>
              <w:t>(1)</w:t>
            </w:r>
          </w:p>
        </w:tc>
        <w:tc>
          <w:tcPr>
            <w:tcW w:w="200" w:type="dxa"/>
            <w:vAlign w:val="bottom"/>
          </w:tcPr>
          <w:p>
            <w:pPr>
              <w:spacing w:after="0"/>
              <w:rPr>
                <w:sz w:val="19"/>
                <w:szCs w:val="19"/>
                <w:color w:val="auto"/>
              </w:rPr>
            </w:pPr>
          </w:p>
        </w:tc>
        <w:tc>
          <w:tcPr>
            <w:tcW w:w="17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Share Units</w:t>
            </w:r>
          </w:p>
        </w:tc>
        <w:tc>
          <w:tcPr>
            <w:tcW w:w="200" w:type="dxa"/>
            <w:vAlign w:val="bottom"/>
          </w:tcPr>
          <w:p>
            <w:pPr>
              <w:spacing w:after="0"/>
              <w:rPr>
                <w:sz w:val="19"/>
                <w:szCs w:val="19"/>
                <w:color w:val="auto"/>
              </w:rPr>
            </w:pPr>
          </w:p>
        </w:tc>
      </w:tr>
      <w:tr>
        <w:trPr>
          <w:trHeight w:val="182"/>
        </w:trPr>
        <w:tc>
          <w:tcPr>
            <w:tcW w:w="52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William B. Shepro</w:t>
            </w:r>
          </w:p>
        </w:tc>
        <w:tc>
          <w:tcPr>
            <w:tcW w:w="1760" w:type="dxa"/>
            <w:vAlign w:val="bottom"/>
            <w:gridSpan w:val="2"/>
            <w:shd w:val="clear" w:color="auto" w:fill="CCEEFF"/>
          </w:tcPr>
          <w:p>
            <w:pPr>
              <w:jc w:val="right"/>
              <w:ind w:right="399"/>
              <w:spacing w:after="0" w:line="18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518"/>
              <w:spacing w:after="0" w:line="18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5"/>
                <w:szCs w:val="15"/>
                <w:color w:val="auto"/>
              </w:rPr>
            </w:pPr>
          </w:p>
        </w:tc>
      </w:tr>
      <w:tr>
        <w:trPr>
          <w:trHeight w:val="190"/>
        </w:trPr>
        <w:tc>
          <w:tcPr>
            <w:tcW w:w="5200" w:type="dxa"/>
            <w:vAlign w:val="bottom"/>
          </w:tcPr>
          <w:p>
            <w:pPr>
              <w:spacing w:after="0"/>
              <w:rPr>
                <w:sz w:val="20"/>
                <w:szCs w:val="20"/>
                <w:color w:val="auto"/>
              </w:rPr>
            </w:pPr>
            <w:r>
              <w:rPr>
                <w:rFonts w:ascii="Arial" w:cs="Arial" w:eastAsia="Arial" w:hAnsi="Arial"/>
                <w:sz w:val="16"/>
                <w:szCs w:val="16"/>
                <w:color w:val="auto"/>
              </w:rPr>
              <w:t>Kevin J. Wilcox</w:t>
            </w:r>
          </w:p>
        </w:tc>
        <w:tc>
          <w:tcPr>
            <w:tcW w:w="1760" w:type="dxa"/>
            <w:vAlign w:val="bottom"/>
            <w:gridSpan w:val="2"/>
          </w:tcPr>
          <w:p>
            <w:pPr>
              <w:jc w:val="right"/>
              <w:ind w:right="399"/>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6"/>
                <w:szCs w:val="16"/>
                <w:color w:val="auto"/>
              </w:rPr>
            </w:pPr>
          </w:p>
        </w:tc>
        <w:tc>
          <w:tcPr>
            <w:tcW w:w="1780" w:type="dxa"/>
            <w:vAlign w:val="bottom"/>
          </w:tcPr>
          <w:p>
            <w:pPr>
              <w:jc w:val="right"/>
              <w:ind w:right="518"/>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6"/>
                <w:szCs w:val="16"/>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Michelle D. Esterman</w:t>
            </w:r>
          </w:p>
        </w:tc>
        <w:tc>
          <w:tcPr>
            <w:tcW w:w="176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8,658</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518"/>
              <w:spacing w:after="0"/>
              <w:rPr>
                <w:sz w:val="20"/>
                <w:szCs w:val="20"/>
                <w:color w:val="auto"/>
              </w:rPr>
            </w:pPr>
            <w:r>
              <w:rPr>
                <w:rFonts w:ascii="Arial" w:cs="Arial" w:eastAsia="Arial" w:hAnsi="Arial"/>
                <w:sz w:val="16"/>
                <w:szCs w:val="16"/>
                <w:color w:val="auto"/>
              </w:rPr>
              <w:t>4,957</w:t>
            </w:r>
          </w:p>
        </w:tc>
        <w:tc>
          <w:tcPr>
            <w:tcW w:w="200" w:type="dxa"/>
            <w:vAlign w:val="bottom"/>
            <w:shd w:val="clear" w:color="auto" w:fill="CCEEFF"/>
          </w:tcPr>
          <w:p>
            <w:pPr>
              <w:spacing w:after="0"/>
              <w:rPr>
                <w:sz w:val="16"/>
                <w:szCs w:val="16"/>
                <w:color w:val="auto"/>
              </w:rPr>
            </w:pPr>
          </w:p>
        </w:tc>
      </w:tr>
      <w:tr>
        <w:trPr>
          <w:trHeight w:val="190"/>
        </w:trPr>
        <w:tc>
          <w:tcPr>
            <w:tcW w:w="5200" w:type="dxa"/>
            <w:vAlign w:val="bottom"/>
          </w:tcPr>
          <w:p>
            <w:pPr>
              <w:spacing w:after="0"/>
              <w:rPr>
                <w:sz w:val="20"/>
                <w:szCs w:val="20"/>
                <w:color w:val="auto"/>
              </w:rPr>
            </w:pPr>
            <w:r>
              <w:rPr>
                <w:rFonts w:ascii="Arial" w:cs="Arial" w:eastAsia="Arial" w:hAnsi="Arial"/>
                <w:sz w:val="16"/>
                <w:szCs w:val="16"/>
                <w:color w:val="auto"/>
              </w:rPr>
              <w:t>Joseph A. Davila</w:t>
            </w:r>
          </w:p>
        </w:tc>
        <w:tc>
          <w:tcPr>
            <w:tcW w:w="1760" w:type="dxa"/>
            <w:vAlign w:val="bottom"/>
            <w:gridSpan w:val="2"/>
          </w:tcPr>
          <w:p>
            <w:pPr>
              <w:jc w:val="right"/>
              <w:ind w:right="399"/>
              <w:spacing w:after="0"/>
              <w:rPr>
                <w:sz w:val="20"/>
                <w:szCs w:val="20"/>
                <w:color w:val="auto"/>
              </w:rPr>
            </w:pPr>
            <w:r>
              <w:rPr>
                <w:rFonts w:ascii="Arial" w:cs="Arial" w:eastAsia="Arial" w:hAnsi="Arial"/>
                <w:sz w:val="16"/>
                <w:szCs w:val="16"/>
                <w:color w:val="auto"/>
              </w:rPr>
              <w:t>10,823</w:t>
            </w:r>
          </w:p>
        </w:tc>
        <w:tc>
          <w:tcPr>
            <w:tcW w:w="200" w:type="dxa"/>
            <w:vAlign w:val="bottom"/>
          </w:tcPr>
          <w:p>
            <w:pPr>
              <w:spacing w:after="0"/>
              <w:rPr>
                <w:sz w:val="16"/>
                <w:szCs w:val="16"/>
                <w:color w:val="auto"/>
              </w:rPr>
            </w:pPr>
          </w:p>
        </w:tc>
        <w:tc>
          <w:tcPr>
            <w:tcW w:w="1780" w:type="dxa"/>
            <w:vAlign w:val="bottom"/>
          </w:tcPr>
          <w:p>
            <w:pPr>
              <w:jc w:val="right"/>
              <w:ind w:right="518"/>
              <w:spacing w:after="0"/>
              <w:rPr>
                <w:sz w:val="20"/>
                <w:szCs w:val="20"/>
                <w:color w:val="auto"/>
              </w:rPr>
            </w:pPr>
            <w:r>
              <w:rPr>
                <w:rFonts w:ascii="Arial" w:cs="Arial" w:eastAsia="Arial" w:hAnsi="Arial"/>
                <w:sz w:val="16"/>
                <w:szCs w:val="16"/>
                <w:color w:val="auto"/>
              </w:rPr>
              <w:t>6,196</w:t>
            </w:r>
          </w:p>
        </w:tc>
        <w:tc>
          <w:tcPr>
            <w:tcW w:w="200" w:type="dxa"/>
            <w:vAlign w:val="bottom"/>
          </w:tcPr>
          <w:p>
            <w:pPr>
              <w:spacing w:after="0"/>
              <w:rPr>
                <w:sz w:val="16"/>
                <w:szCs w:val="16"/>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Gregory J. Ritts</w:t>
            </w:r>
          </w:p>
        </w:tc>
        <w:tc>
          <w:tcPr>
            <w:tcW w:w="176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7,421</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518"/>
              <w:spacing w:after="0"/>
              <w:rPr>
                <w:sz w:val="20"/>
                <w:szCs w:val="20"/>
                <w:color w:val="auto"/>
              </w:rPr>
            </w:pPr>
            <w:r>
              <w:rPr>
                <w:rFonts w:ascii="Arial" w:cs="Arial" w:eastAsia="Arial" w:hAnsi="Arial"/>
                <w:sz w:val="16"/>
                <w:szCs w:val="16"/>
                <w:color w:val="auto"/>
              </w:rPr>
              <w:t>4,249</w:t>
            </w:r>
          </w:p>
        </w:tc>
        <w:tc>
          <w:tcPr>
            <w:tcW w:w="200" w:type="dxa"/>
            <w:vAlign w:val="bottom"/>
            <w:shd w:val="clear" w:color="auto" w:fill="CCEEFF"/>
          </w:tcPr>
          <w:p>
            <w:pPr>
              <w:spacing w:after="0"/>
              <w:rPr>
                <w:sz w:val="16"/>
                <w:szCs w:val="16"/>
                <w:color w:val="auto"/>
              </w:rPr>
            </w:pPr>
          </w:p>
        </w:tc>
      </w:tr>
    </w:tbl>
    <w:p>
      <w:pPr>
        <w:spacing w:after="0" w:line="205" w:lineRule="exact"/>
        <w:rPr>
          <w:sz w:val="20"/>
          <w:szCs w:val="20"/>
          <w:color w:val="auto"/>
        </w:rPr>
      </w:pPr>
    </w:p>
    <w:p>
      <w:pPr>
        <w:ind w:left="1640" w:right="40" w:hanging="496"/>
        <w:spacing w:after="0" w:line="203" w:lineRule="auto"/>
        <w:tabs>
          <w:tab w:leader="none" w:pos="164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Represents the target amounts of performance-based options granted. Each executive will vest in zero percent (0%) up to two hundred percent (200%) of the target amount based on pre-determined performance levels. The exercise price for the stock options is $24.82, the closing price of our common stock on the February 12, 2018 grant date.</w:t>
      </w:r>
    </w:p>
    <w:p>
      <w:pPr>
        <w:spacing w:after="0" w:line="197"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For the Chief Executive Officer and the Chief Administration and Risk Officer, the size of the awards was determined based on the results of the executive pay study conducted by the Compensation Committee's independent executive compensation consultant, Exequity, which determined that the overall compensation of these executives was significantly below that of the median of the companies of its peer group, primarily as a result of lower equity compensation. These awards, together with the Company's anticipated transition to a more regular equity grant practice, are designed to make the overall compensation of these executives more consistent with competitive market practices and support their retention. Following these awards, the overall compensation for these executives continues to be below the peer group median.</w:t>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our other Named Executive Officers, the Compensation Committee also relied on the recent pay study to determine that their equity compensation was generally below the median and that awards consistent with our anticipated regular grant practice were appropriate. The Compensation Committee provided for these executives to receive (i) a number of performance-based stock options equal to fifty percent (50%) of a determined award value based on the Black-Scholes option pricing model valuation on the grant date and (ii) a number of RSUs equal to fifty percent (50%) of such determined award value based on the average closing price of Altisource common stock over a period of 30 trading days preceding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Equity Awards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grants made under the Long-Term Incentive Plan, the following grants were made to certain of our Named Executive Officers in 2017:</w:t>
      </w:r>
    </w:p>
    <w:p>
      <w:pPr>
        <w:spacing w:after="0" w:line="204" w:lineRule="exact"/>
        <w:rPr>
          <w:sz w:val="20"/>
          <w:szCs w:val="20"/>
          <w:color w:val="auto"/>
        </w:rPr>
      </w:pPr>
    </w:p>
    <w:p>
      <w:pPr>
        <w:ind w:left="1020" w:hanging="51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Joseph A. Davila. </w:t>
      </w:r>
      <w:r>
        <w:rPr>
          <w:rFonts w:ascii="Arial" w:cs="Arial" w:eastAsia="Arial" w:hAnsi="Arial"/>
          <w:sz w:val="16"/>
          <w:szCs w:val="16"/>
          <w:color w:val="auto"/>
        </w:rPr>
        <w:t>On July 27, 2017, Mr. Davila was granted (i) 5,000 time-based restricted shares scheduled to vest over three years and</w:t>
      </w:r>
    </w:p>
    <w:p>
      <w:pPr>
        <w:spacing w:after="0" w:line="21" w:lineRule="exact"/>
        <w:rPr>
          <w:rFonts w:ascii="Arial" w:cs="Arial" w:eastAsia="Arial" w:hAnsi="Arial"/>
          <w:sz w:val="16"/>
          <w:szCs w:val="16"/>
          <w:color w:val="auto"/>
        </w:rPr>
      </w:pPr>
    </w:p>
    <w:p>
      <w:pPr>
        <w:ind w:left="1020" w:hanging="8"/>
        <w:spacing w:after="0" w:line="250" w:lineRule="auto"/>
        <w:tabs>
          <w:tab w:leader="none" w:pos="12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5,000 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In addition, on November 13, 2017, Mr. Davila received a grant of 15,000 time-based restricted shares scheduled to vest over four years, subject to continued employment. These awards were intended to serve as a retention tool and to further align Mr. Davila's interests with the success of the Company, considering his performance and criticality to the organization.</w:t>
      </w:r>
    </w:p>
    <w:p>
      <w:pPr>
        <w:spacing w:after="0" w:line="161" w:lineRule="exact"/>
        <w:rPr>
          <w:rFonts w:ascii="Arial" w:cs="Arial" w:eastAsia="Arial" w:hAnsi="Arial"/>
          <w:sz w:val="16"/>
          <w:szCs w:val="16"/>
          <w:color w:val="auto"/>
        </w:rPr>
      </w:pPr>
    </w:p>
    <w:p>
      <w:pPr>
        <w:ind w:left="1020" w:hanging="51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Gregory J. Ritts. </w:t>
      </w:r>
      <w:r>
        <w:rPr>
          <w:rFonts w:ascii="Arial" w:cs="Arial" w:eastAsia="Arial" w:hAnsi="Arial"/>
          <w:sz w:val="16"/>
          <w:szCs w:val="16"/>
          <w:color w:val="auto"/>
        </w:rPr>
        <w:t>On July 27, 2017, Mr. Ritts was granted (i) 5,000 time-based restricted shares scheduled to vest over three years and</w:t>
      </w:r>
    </w:p>
    <w:p>
      <w:pPr>
        <w:spacing w:after="0" w:line="21" w:lineRule="exact"/>
        <w:rPr>
          <w:rFonts w:ascii="Arial" w:cs="Arial" w:eastAsia="Arial" w:hAnsi="Arial"/>
          <w:sz w:val="16"/>
          <w:szCs w:val="16"/>
          <w:color w:val="auto"/>
        </w:rPr>
      </w:pPr>
    </w:p>
    <w:p>
      <w:pPr>
        <w:ind w:left="1020" w:right="100" w:hanging="8"/>
        <w:spacing w:after="0" w:line="252" w:lineRule="auto"/>
        <w:tabs>
          <w:tab w:leader="none" w:pos="12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5,000 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020" w:right="20"/>
        <w:spacing w:after="0" w:line="255" w:lineRule="auto"/>
        <w:rPr>
          <w:sz w:val="20"/>
          <w:szCs w:val="20"/>
          <w:color w:val="auto"/>
        </w:rPr>
      </w:pPr>
      <w:r>
        <w:rPr>
          <w:rFonts w:ascii="Arial" w:cs="Arial" w:eastAsia="Arial" w:hAnsi="Arial"/>
          <w:sz w:val="16"/>
          <w:szCs w:val="16"/>
          <w:color w:val="auto"/>
        </w:rPr>
        <w:t>addition, on November 13, 2017, Mr. Ritts received a grant of 15,000 time-based restricted shares scheduled to vest over four years, subject to continued employment. These awards were intended to serve as a retention tool and to further align Mr. Ritts' interests with the success of the Company, considering his performance and criticality to the organization.</w:t>
      </w:r>
    </w:p>
    <w:p>
      <w:pPr>
        <w:spacing w:after="0" w:line="169" w:lineRule="exact"/>
        <w:rPr>
          <w:sz w:val="20"/>
          <w:szCs w:val="20"/>
          <w:color w:val="auto"/>
        </w:rPr>
      </w:pPr>
    </w:p>
    <w:p>
      <w:pPr>
        <w:ind w:left="1020" w:right="40" w:hanging="513"/>
        <w:spacing w:after="0" w:line="253"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Indroneel Chatterjee. </w:t>
      </w:r>
      <w:r>
        <w:rPr>
          <w:rFonts w:ascii="Arial" w:cs="Arial" w:eastAsia="Arial" w:hAnsi="Arial"/>
          <w:sz w:val="16"/>
          <w:szCs w:val="16"/>
          <w:color w:val="auto"/>
        </w:rPr>
        <w:t>On October 5, 2017, in connection with his appointment as Chief Financial Officer, Mr. Chatterjee was granted (i) 20,000</w:t>
      </w:r>
      <w:r>
        <w:rPr>
          <w:rFonts w:ascii="Arial" w:cs="Arial" w:eastAsia="Arial" w:hAnsi="Arial"/>
          <w:sz w:val="16"/>
          <w:szCs w:val="16"/>
          <w:i w:val="1"/>
          <w:iCs w:val="1"/>
          <w:color w:val="auto"/>
        </w:rPr>
        <w:t xml:space="preserve"> </w:t>
      </w:r>
      <w:r>
        <w:rPr>
          <w:rFonts w:ascii="Arial" w:cs="Arial" w:eastAsia="Arial" w:hAnsi="Arial"/>
          <w:sz w:val="16"/>
          <w:szCs w:val="16"/>
          <w:color w:val="auto"/>
        </w:rPr>
        <w:t>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vesting over four years. Pursuant to his employment agreement, on February 12, 2018, Mr. Chatterjee also received a grant of 22,186 restricted shares scheduled to vest over four years, subject to continued employment. These awards are further described in the "Chief Financial Officer Compensation" section below.</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in February 2018, the Compensation Committee approved a program pursuant to which a one-time equity award would be issued to each of our Named Executive Officers upon a determination by the Committee of achievement by the Company of target adjusted diluted EPS (a non-GAAP measure) and the executive's achievement of a designated level of scorecard performance for 2018. If these performance objectives are achieved, our Named Executive Officers would receive a grant of RSUs with an award value equal to twenty percent (20%) of the executive's 2018 earned incentive compensation, and vesting in two equal increments on the first two anniversaries of the grant date (expected in March 2019). This program is designed to help with the retention of these key executives and incent them to achieve the Company's ambitious adjusted diluted EPS target, as the Company transitions from primarily providing services to Ocwen/NRZ to providing services to a more diversified client base.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 for the Chief Executive Officer</w:t>
      </w:r>
    </w:p>
    <w:p>
      <w:pPr>
        <w:spacing w:after="0" w:line="22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78"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Chief Executive Officer has two years from the effective date of his initial appointment as Chief Executive Officer or from the date on which he first becomes subject to the policy, whichever is later, to comply with this requirement. Our Chief Executive Officer currently meets the applicable minimum stock ownership requirement.</w:t>
      </w:r>
    </w:p>
    <w:p>
      <w:pPr>
        <w:spacing w:after="0" w:line="188"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Compensation Decisions for our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Chief Financial Officer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Mr. Chatterjee was appointed Chief Financial Officer of the Company on October 5, 2017. In determining annual and long-term compensation for</w:t>
      </w:r>
    </w:p>
    <w:p>
      <w:pPr>
        <w:spacing w:after="0" w:line="6" w:lineRule="exact"/>
        <w:rPr>
          <w:sz w:val="20"/>
          <w:szCs w:val="20"/>
          <w:color w:val="auto"/>
        </w:rPr>
      </w:pPr>
    </w:p>
    <w:p>
      <w:pPr>
        <w:jc w:val="both"/>
        <w:ind w:right="160"/>
        <w:spacing w:after="0" w:line="255" w:lineRule="auto"/>
        <w:rPr>
          <w:sz w:val="20"/>
          <w:szCs w:val="20"/>
          <w:color w:val="auto"/>
        </w:rPr>
      </w:pPr>
      <w:r>
        <w:rPr>
          <w:rFonts w:ascii="Arial" w:cs="Arial" w:eastAsia="Arial" w:hAnsi="Arial"/>
          <w:sz w:val="16"/>
          <w:szCs w:val="16"/>
          <w:color w:val="auto"/>
        </w:rPr>
        <w:t>Mr. Chatterjee, the Compensation Committee followed the same compensation philosophy and objectives described in this Compensation Discussion and Analysis and also took into consideration the value of the compensation that Mr. Chatterjee would have been eligible to receive had he remained employed by his prior employer.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As part of Mr. Chatterjee's employment agreement, the Compensation Committee approved an annual base salary of $475,000 and, beginning in the 2018 service year, a target incentive opportunity of $475,000 under our annual incentive plan, with a minimum amount of $475,000 for the 2018 service year, subject to meeting performance expectations and continued employment through the payment date. At the time of hire, Mr. Chatterjee was also granted</w:t>
      </w:r>
    </w:p>
    <w:p>
      <w:pPr>
        <w:spacing w:after="0" w:line="1" w:lineRule="exact"/>
        <w:rPr>
          <w:sz w:val="20"/>
          <w:szCs w:val="20"/>
          <w:color w:val="auto"/>
        </w:rPr>
      </w:pPr>
    </w:p>
    <w:p>
      <w:pPr>
        <w:ind w:right="320" w:firstLine="1"/>
        <w:spacing w:after="0" w:line="251" w:lineRule="auto"/>
        <w:tabs>
          <w:tab w:leader="none" w:pos="1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20,000 stock options tied to market-based criteria, with two-thirds of the market-based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of ASPS common stock ("Restricted Shares") scheduled to vest over four years, in each case subject to continued employment.</w:t>
      </w:r>
    </w:p>
    <w:p>
      <w:pPr>
        <w:spacing w:after="0" w:line="18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As an incentive to become our Chief Financial Officer and to offset accrued compensation he would have received from his former employer, the Compensation Committee also approved providing Mr. Chatterjee with a cash incentive payment of $485,000 in March of 2018 for calendar year 2017, subject to meeting performance expectations and continued employment through the payment date. In addition, the Compensation Committee approved a onetime cash bonus of $34,464, payable following the satisfactory completion of Mr. Chatterjee's first one (1) year of employment.</w:t>
      </w:r>
    </w:p>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November 2017, the Committee approved the following objective criteria to measure Mr. Chatterjee's performance for purposes of receiving his 2017 cash incentive payment, which were to (i) amend the Company's SSTL, (ii) continue to develop shareholder communications and (iii) support certain other corporate initiatives. In March 2018, the Committee determined that Mr. Chatterjee met these performance expectations and Mr. Chatterjee received an award of $485,000, which is reflected in the Summary Compensation Table in the "Bonus" column.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addition, pursuant to his employment agreement, on February 12, 2018, Mr. Chatterjee received a grant of 22,186 restricted shares with an award value of $540,000, scheduled to vest over four years. This award is intended to make him whole for certain equity awards that were granted by his former employer and that he forfeited by joining Altisource.</w:t>
      </w:r>
    </w:p>
    <w:p>
      <w:pPr>
        <w:spacing w:after="0" w:line="185" w:lineRule="exact"/>
        <w:rPr>
          <w:sz w:val="20"/>
          <w:szCs w:val="20"/>
          <w:color w:val="auto"/>
        </w:rPr>
      </w:pPr>
    </w:p>
    <w:p>
      <w:pPr>
        <w:ind w:right="600"/>
        <w:spacing w:after="0" w:line="263" w:lineRule="auto"/>
        <w:rPr>
          <w:sz w:val="20"/>
          <w:szCs w:val="20"/>
          <w:color w:val="auto"/>
        </w:rPr>
      </w:pPr>
      <w:r>
        <w:rPr>
          <w:rFonts w:ascii="Arial" w:cs="Arial" w:eastAsia="Arial" w:hAnsi="Arial"/>
          <w:sz w:val="16"/>
          <w:szCs w:val="16"/>
          <w:color w:val="auto"/>
        </w:rPr>
        <w:t>In connection with his relocation from New York to Luxembourg, Mr. Chatterjee also receives certain relocation benefits and foreign living allowances, consistent with those provided to other Luxembourg-based executive officers.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The payments that Mr. Chatterjee will be eligible to receive in connection with certain terminations of employment are described in further detail below under the heading "Potential Payments Upon Termination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Cash Compensation Increase Determinations</w:t>
      </w:r>
    </w:p>
    <w:p>
      <w:pPr>
        <w:spacing w:after="0" w:line="22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2017, the Compensation Committee reviewed recommendations and determined to increase the annual compensation for Messrs. Wilcox, Davila and Ritts based on the performance of these executives, the expected value of their performance going forward and, in the case of Mr. Wilcox, earlier benchmarking analyses conducted by the Company's independent compensation consultant.</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The Compensation Committee approved the following increases to the base salaries of the following Named Executive Officers, effective as of September 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Previous Base</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New Base</w:t>
            </w:r>
          </w:p>
        </w:tc>
        <w:tc>
          <w:tcPr>
            <w:tcW w:w="266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rPr>
              <w:t>Resulting Base</w:t>
            </w:r>
          </w:p>
        </w:tc>
      </w:tr>
      <w:tr>
        <w:trPr>
          <w:trHeight w:val="207"/>
        </w:trPr>
        <w:tc>
          <w:tcPr>
            <w:tcW w:w="1140" w:type="dxa"/>
            <w:vAlign w:val="bottom"/>
          </w:tcPr>
          <w:p>
            <w:pPr>
              <w:spacing w:after="0"/>
              <w:rPr>
                <w:sz w:val="17"/>
                <w:szCs w:val="17"/>
                <w:color w:val="auto"/>
              </w:rPr>
            </w:pPr>
          </w:p>
        </w:tc>
        <w:tc>
          <w:tcPr>
            <w:tcW w:w="3620" w:type="dxa"/>
            <w:vAlign w:val="bottom"/>
            <w:tcBorders>
              <w:bottom w:val="single" w:sz="8" w:color="auto"/>
            </w:tcBorders>
          </w:tcPr>
          <w:p>
            <w:pPr>
              <w:ind w:left="2320"/>
              <w:spacing w:after="0"/>
              <w:rPr>
                <w:sz w:val="20"/>
                <w:szCs w:val="20"/>
                <w:color w:val="auto"/>
              </w:rPr>
            </w:pPr>
            <w:r>
              <w:rPr>
                <w:rFonts w:ascii="Arial" w:cs="Arial" w:eastAsia="Arial" w:hAnsi="Arial"/>
                <w:sz w:val="16"/>
                <w:szCs w:val="16"/>
                <w:b w:val="1"/>
                <w:bCs w:val="1"/>
                <w:color w:val="auto"/>
              </w:rPr>
              <w:t>Name</w:t>
            </w:r>
          </w:p>
        </w:tc>
        <w:tc>
          <w:tcPr>
            <w:tcW w:w="1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Salary ($)</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xml:space="preserve">Salary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Salary Increase (%)</w:t>
            </w:r>
          </w:p>
        </w:tc>
        <w:tc>
          <w:tcPr>
            <w:tcW w:w="1140" w:type="dxa"/>
            <w:vAlign w:val="bottom"/>
          </w:tcPr>
          <w:p>
            <w:pPr>
              <w:spacing w:after="0"/>
              <w:rPr>
                <w:sz w:val="17"/>
                <w:szCs w:val="17"/>
                <w:color w:val="auto"/>
              </w:rPr>
            </w:pPr>
          </w:p>
        </w:tc>
      </w:tr>
      <w:tr>
        <w:trPr>
          <w:trHeight w:val="182"/>
        </w:trPr>
        <w:tc>
          <w:tcPr>
            <w:tcW w:w="1140" w:type="dxa"/>
            <w:vAlign w:val="bottom"/>
          </w:tcPr>
          <w:p>
            <w:pPr>
              <w:spacing w:after="0"/>
              <w:rPr>
                <w:sz w:val="15"/>
                <w:szCs w:val="15"/>
                <w:color w:val="auto"/>
              </w:rPr>
            </w:pPr>
          </w:p>
        </w:tc>
        <w:tc>
          <w:tcPr>
            <w:tcW w:w="36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Kevin J. Wilcox</w:t>
            </w:r>
          </w:p>
        </w:tc>
        <w:tc>
          <w:tcPr>
            <w:tcW w:w="2820" w:type="dxa"/>
            <w:vAlign w:val="bottom"/>
            <w:gridSpan w:val="3"/>
            <w:shd w:val="clear" w:color="auto" w:fill="CCEEFF"/>
          </w:tcPr>
          <w:p>
            <w:pPr>
              <w:jc w:val="center"/>
              <w:ind w:left="1658"/>
              <w:spacing w:after="0" w:line="182" w:lineRule="exact"/>
              <w:rPr>
                <w:sz w:val="20"/>
                <w:szCs w:val="20"/>
                <w:color w:val="auto"/>
              </w:rPr>
            </w:pPr>
            <w:r>
              <w:rPr>
                <w:rFonts w:ascii="Arial" w:cs="Arial" w:eastAsia="Arial" w:hAnsi="Arial"/>
                <w:sz w:val="16"/>
                <w:szCs w:val="16"/>
                <w:color w:val="auto"/>
              </w:rPr>
              <w:t>$461,250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rPr>
              <w:t>$475,000</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rPr>
              <w:t>2.98%</w:t>
            </w:r>
          </w:p>
        </w:tc>
        <w:tc>
          <w:tcPr>
            <w:tcW w:w="1140" w:type="dxa"/>
            <w:vAlign w:val="bottom"/>
          </w:tcPr>
          <w:p>
            <w:pPr>
              <w:spacing w:after="0"/>
              <w:rPr>
                <w:sz w:val="15"/>
                <w:szCs w:val="15"/>
                <w:color w:val="auto"/>
              </w:rPr>
            </w:pPr>
          </w:p>
        </w:tc>
      </w:tr>
      <w:tr>
        <w:trPr>
          <w:trHeight w:val="200"/>
        </w:trPr>
        <w:tc>
          <w:tcPr>
            <w:tcW w:w="114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Joseph A. Davila</w:t>
            </w:r>
          </w:p>
        </w:tc>
        <w:tc>
          <w:tcPr>
            <w:tcW w:w="2820" w:type="dxa"/>
            <w:vAlign w:val="bottom"/>
            <w:gridSpan w:val="3"/>
          </w:tcPr>
          <w:p>
            <w:pPr>
              <w:jc w:val="center"/>
              <w:ind w:left="1658"/>
              <w:spacing w:after="0"/>
              <w:rPr>
                <w:sz w:val="20"/>
                <w:szCs w:val="20"/>
                <w:color w:val="auto"/>
              </w:rPr>
            </w:pPr>
            <w:r>
              <w:rPr>
                <w:rFonts w:ascii="Arial" w:cs="Arial" w:eastAsia="Arial" w:hAnsi="Arial"/>
                <w:sz w:val="16"/>
                <w:szCs w:val="16"/>
                <w:color w:val="auto"/>
              </w:rPr>
              <w:t>$405,730</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$425,000</w:t>
            </w:r>
          </w:p>
        </w:tc>
        <w:tc>
          <w:tcPr>
            <w:tcW w:w="2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4.75%</w:t>
            </w:r>
          </w:p>
        </w:tc>
        <w:tc>
          <w:tcPr>
            <w:tcW w:w="1140" w:type="dxa"/>
            <w:vAlign w:val="bottom"/>
          </w:tcPr>
          <w:p>
            <w:pPr>
              <w:spacing w:after="0"/>
              <w:rPr>
                <w:sz w:val="17"/>
                <w:szCs w:val="17"/>
                <w:color w:val="auto"/>
              </w:rPr>
            </w:pPr>
          </w:p>
        </w:tc>
      </w:tr>
      <w:tr>
        <w:trPr>
          <w:trHeight w:val="392"/>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80" w:type="dxa"/>
            <w:vAlign w:val="bottom"/>
          </w:tcPr>
          <w:p>
            <w:pPr>
              <w:jc w:val="right"/>
              <w:ind w:right="358"/>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1"/>
        </w:trPr>
        <w:tc>
          <w:tcPr>
            <w:tcW w:w="1140" w:type="dxa"/>
            <w:vAlign w:val="bottom"/>
            <w:tcBorders>
              <w:bottom w:val="single" w:sz="8" w:color="808080"/>
            </w:tcBorders>
          </w:tcPr>
          <w:p>
            <w:pPr>
              <w:spacing w:after="0"/>
              <w:rPr>
                <w:sz w:val="17"/>
                <w:szCs w:val="17"/>
                <w:color w:val="auto"/>
              </w:rPr>
            </w:pPr>
          </w:p>
        </w:tc>
        <w:tc>
          <w:tcPr>
            <w:tcW w:w="362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130175</wp:posOffset>
            </wp:positionV>
            <wp:extent cx="2584450" cy="152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844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Compensation Committee further approved the following increases to the target incentive compensation for the following executives, effective August 1, 2017 for Mr. Ritts and September 1, 2017 for Messrs. Wilcox and Davila:</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Resulting Target</w:t>
            </w:r>
          </w:p>
        </w:tc>
      </w:tr>
      <w:tr>
        <w:trPr>
          <w:trHeight w:val="190"/>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Previous Target</w:t>
            </w: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New Target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Incentive</w:t>
            </w:r>
          </w:p>
        </w:tc>
      </w:tr>
      <w:tr>
        <w:trPr>
          <w:trHeight w:val="190"/>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Incentive</w:t>
            </w: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Incentive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r>
      <w:tr>
        <w:trPr>
          <w:trHeight w:val="207"/>
        </w:trPr>
        <w:tc>
          <w:tcPr>
            <w:tcW w:w="4460" w:type="dxa"/>
            <w:vAlign w:val="bottom"/>
          </w:tcPr>
          <w:p>
            <w:pPr>
              <w:ind w:left="202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Increase (%)</w:t>
            </w:r>
          </w:p>
        </w:tc>
      </w:tr>
      <w:tr>
        <w:trPr>
          <w:trHeight w:val="182"/>
        </w:trPr>
        <w:tc>
          <w:tcPr>
            <w:tcW w:w="44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Kevin J. Wilcox</w:t>
            </w:r>
          </w:p>
        </w:tc>
        <w:tc>
          <w:tcPr>
            <w:tcW w:w="200" w:type="dxa"/>
            <w:vAlign w:val="bottom"/>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rPr>
              <w:t>$461,250</w:t>
            </w:r>
          </w:p>
        </w:tc>
        <w:tc>
          <w:tcPr>
            <w:tcW w:w="200" w:type="dxa"/>
            <w:vAlign w:val="bottom"/>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rPr>
              <w:t>$475,000</w:t>
            </w:r>
          </w:p>
        </w:tc>
        <w:tc>
          <w:tcPr>
            <w:tcW w:w="200" w:type="dxa"/>
            <w:vAlign w:val="bottom"/>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rPr>
              <w:t>2.98%</w:t>
            </w:r>
          </w:p>
        </w:tc>
      </w:tr>
      <w:tr>
        <w:trPr>
          <w:trHeight w:val="190"/>
        </w:trPr>
        <w:tc>
          <w:tcPr>
            <w:tcW w:w="4460" w:type="dxa"/>
            <w:vAlign w:val="bottom"/>
          </w:tcPr>
          <w:p>
            <w:pPr>
              <w:spacing w:after="0"/>
              <w:rPr>
                <w:sz w:val="20"/>
                <w:szCs w:val="20"/>
                <w:color w:val="auto"/>
              </w:rPr>
            </w:pPr>
            <w:r>
              <w:rPr>
                <w:rFonts w:ascii="Arial" w:cs="Arial" w:eastAsia="Arial" w:hAnsi="Arial"/>
                <w:sz w:val="16"/>
                <w:szCs w:val="16"/>
                <w:color w:val="auto"/>
              </w:rPr>
              <w:t>Mr. Joseph A. Davila</w:t>
            </w:r>
          </w:p>
        </w:tc>
        <w:tc>
          <w:tcPr>
            <w:tcW w:w="1600" w:type="dxa"/>
            <w:vAlign w:val="bottom"/>
            <w:gridSpan w:val="2"/>
          </w:tcPr>
          <w:p>
            <w:pPr>
              <w:jc w:val="center"/>
              <w:ind w:left="158"/>
              <w:spacing w:after="0"/>
              <w:rPr>
                <w:sz w:val="20"/>
                <w:szCs w:val="20"/>
                <w:color w:val="auto"/>
              </w:rPr>
            </w:pPr>
            <w:r>
              <w:rPr>
                <w:rFonts w:ascii="Arial" w:cs="Arial" w:eastAsia="Arial" w:hAnsi="Arial"/>
                <w:sz w:val="16"/>
                <w:szCs w:val="16"/>
                <w:color w:val="auto"/>
              </w:rPr>
              <w:t>$300,000</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$350,000</w:t>
            </w: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16.67%</w:t>
            </w:r>
          </w:p>
        </w:tc>
      </w:tr>
      <w:tr>
        <w:trPr>
          <w:trHeight w:val="190"/>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Gregory J. Ritts</w:t>
            </w:r>
          </w:p>
        </w:tc>
        <w:tc>
          <w:tcPr>
            <w:tcW w:w="1600" w:type="dxa"/>
            <w:vAlign w:val="bottom"/>
            <w:gridSpan w:val="2"/>
            <w:shd w:val="clear" w:color="auto" w:fill="CCEEFF"/>
          </w:tcPr>
          <w:p>
            <w:pPr>
              <w:jc w:val="center"/>
              <w:ind w:left="158"/>
              <w:spacing w:after="0"/>
              <w:rPr>
                <w:sz w:val="20"/>
                <w:szCs w:val="20"/>
                <w:color w:val="auto"/>
              </w:rPr>
            </w:pPr>
            <w:r>
              <w:rPr>
                <w:rFonts w:ascii="Arial" w:cs="Arial" w:eastAsia="Arial" w:hAnsi="Arial"/>
                <w:sz w:val="16"/>
                <w:szCs w:val="16"/>
                <w:color w:val="auto"/>
              </w:rPr>
              <w:t>$225,000</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$240,000</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6.67%</w:t>
            </w:r>
          </w:p>
        </w:tc>
      </w:tr>
    </w:tbl>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For Mr. Wilcox, the Compensation Committee determined that the ratio of the base compensation and the incentive compensation to the total compensation should remain the same. For Messrs. Davila and Ritts, the Compensation Committee determined that it was appropriate that the ratio of the incentive compensation to the total compensation be increased.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Adjustment</w:t>
      </w:r>
    </w:p>
    <w:p>
      <w:pPr>
        <w:spacing w:after="0" w:line="228"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As further detailed in the Summary Compensation Table below, base salaries for our Named Executive Officers are set in U.S. dollars and paid in euros. Effective August 1, 2017, the Compensation Committee approved adjusting the exchange rate used to convert Mr. Ritts' base salary to euros from 0.80 to</w:t>
      </w:r>
    </w:p>
    <w:p>
      <w:pPr>
        <w:jc w:val="both"/>
        <w:spacing w:after="0" w:line="255" w:lineRule="auto"/>
        <w:rPr>
          <w:sz w:val="20"/>
          <w:szCs w:val="20"/>
          <w:color w:val="auto"/>
        </w:rPr>
      </w:pPr>
      <w:r>
        <w:rPr>
          <w:rFonts w:ascii="Arial" w:cs="Arial" w:eastAsia="Arial" w:hAnsi="Arial"/>
          <w:sz w:val="16"/>
          <w:szCs w:val="16"/>
          <w:color w:val="auto"/>
        </w:rPr>
        <w:t>0.83 euros to the U.S. dollar to account for the strengthening of the U.S. dollar since the last adjustment to his exchange rate and to align his exchange rate with the exchange rate of other executive officers. This exchange rate adjustment resulted in an increase in his annual base salary of 13,069 euros. His base salary remained set at $435,625.</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Compensation Discussion and Analysis included on pages 30 through 51 of this proxy statement.</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Based on this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Compensation Committee:</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Timo Vättö, Chairman</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Orin S. Kramer, Director</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Roland Müller-Ineichen, Director</w:t>
      </w:r>
    </w:p>
    <w:p>
      <w:pPr>
        <w:spacing w:after="0" w:line="6"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April [</w:t>
        <w:tab/>
        <w:t>], 2018</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compensation of our Named Executive Officers for fiscal years 2015, 2016 and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2"/>
        </w:trPr>
        <w:tc>
          <w:tcPr>
            <w:tcW w:w="2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8"/>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3"/>
                <w:szCs w:val="13"/>
                <w:b w:val="1"/>
                <w:bCs w:val="1"/>
                <w:color w:val="auto"/>
              </w:rPr>
              <w:t>Stock</w:t>
            </w:r>
          </w:p>
        </w:tc>
        <w:tc>
          <w:tcPr>
            <w:tcW w:w="108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Option</w:t>
            </w:r>
          </w:p>
        </w:tc>
        <w:tc>
          <w:tcPr>
            <w:tcW w:w="12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Plan</w:t>
            </w:r>
          </w:p>
        </w:tc>
        <w:tc>
          <w:tcPr>
            <w:tcW w:w="100" w:type="dxa"/>
            <w:vAlign w:val="bottom"/>
          </w:tcPr>
          <w:p>
            <w:pPr>
              <w:spacing w:after="0"/>
              <w:rPr>
                <w:sz w:val="12"/>
                <w:szCs w:val="12"/>
                <w:color w:val="auto"/>
              </w:rPr>
            </w:pPr>
          </w:p>
        </w:tc>
        <w:tc>
          <w:tcPr>
            <w:tcW w:w="1220" w:type="dxa"/>
            <w:vAlign w:val="bottom"/>
          </w:tcPr>
          <w:p>
            <w:pPr>
              <w:jc w:val="right"/>
              <w:ind w:right="253"/>
              <w:spacing w:after="0" w:line="148" w:lineRule="exact"/>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92"/>
        </w:trPr>
        <w:tc>
          <w:tcPr>
            <w:tcW w:w="294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22"/>
              <w:spacing w:after="0" w:line="192"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0"/>
                <w:szCs w:val="20"/>
                <w:b w:val="1"/>
                <w:bCs w:val="1"/>
                <w:color w:val="auto"/>
                <w:vertAlign w:val="superscript"/>
              </w:rPr>
              <w:t>(1)</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Bonus</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right"/>
              <w:ind w:right="22"/>
              <w:spacing w:after="0" w:line="19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ind w:right="42"/>
              <w:spacing w:after="0" w:line="19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(3)</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13"/>
                <w:szCs w:val="13"/>
                <w:b w:val="1"/>
                <w:bCs w:val="1"/>
                <w:color w:val="auto"/>
                <w:w w:val="99"/>
              </w:rPr>
              <w:t>Compensation</w:t>
            </w:r>
            <w:r>
              <w:rPr>
                <w:rFonts w:ascii="Arial" w:cs="Arial" w:eastAsia="Arial" w:hAnsi="Arial"/>
                <w:sz w:val="20"/>
                <w:szCs w:val="20"/>
                <w:b w:val="1"/>
                <w:bCs w:val="1"/>
                <w:color w:val="auto"/>
                <w:w w:val="99"/>
                <w:vertAlign w:val="superscript"/>
              </w:rPr>
              <w:t>(4)</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13"/>
              <w:spacing w:after="0" w:line="192"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(5)</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6"/>
                <w:szCs w:val="16"/>
                <w:color w:val="auto"/>
              </w:rPr>
            </w:pPr>
          </w:p>
        </w:tc>
      </w:tr>
      <w:tr>
        <w:trPr>
          <w:trHeight w:val="182"/>
        </w:trPr>
        <w:tc>
          <w:tcPr>
            <w:tcW w:w="294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William B. Shepro</w:t>
            </w:r>
          </w:p>
        </w:tc>
        <w:tc>
          <w:tcPr>
            <w:tcW w:w="540" w:type="dxa"/>
            <w:vAlign w:val="bottom"/>
            <w:gridSpan w:val="3"/>
            <w:shd w:val="clear" w:color="auto" w:fill="CCEEFF"/>
          </w:tcPr>
          <w:p>
            <w:pPr>
              <w:jc w:val="center"/>
              <w:ind w:right="20"/>
              <w:spacing w:after="0" w:line="182" w:lineRule="exact"/>
              <w:rPr>
                <w:sz w:val="20"/>
                <w:szCs w:val="20"/>
                <w:color w:val="auto"/>
              </w:rPr>
            </w:pPr>
            <w:r>
              <w:rPr>
                <w:rFonts w:ascii="Arial" w:cs="Arial" w:eastAsia="Arial" w:hAnsi="Arial"/>
                <w:sz w:val="16"/>
                <w:szCs w:val="16"/>
                <w:color w:val="auto"/>
              </w:rPr>
              <w:t>2015</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$780,000</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9"/>
              </w:rPr>
              <w:t>$1,044,270</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$524,689</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83"/>
              <w:spacing w:after="0" w:line="182" w:lineRule="exact"/>
              <w:rPr>
                <w:sz w:val="20"/>
                <w:szCs w:val="20"/>
                <w:color w:val="auto"/>
              </w:rPr>
            </w:pPr>
            <w:r>
              <w:rPr>
                <w:rFonts w:ascii="Arial" w:cs="Arial" w:eastAsia="Arial" w:hAnsi="Arial"/>
                <w:sz w:val="16"/>
                <w:szCs w:val="16"/>
                <w:color w:val="auto"/>
              </w:rPr>
              <w:t>$1,158,300</w:t>
            </w:r>
          </w:p>
        </w:tc>
        <w:tc>
          <w:tcPr>
            <w:tcW w:w="1320" w:type="dxa"/>
            <w:vAlign w:val="bottom"/>
            <w:gridSpan w:val="2"/>
            <w:shd w:val="clear" w:color="auto" w:fill="CCEEFF"/>
          </w:tcPr>
          <w:p>
            <w:pPr>
              <w:jc w:val="right"/>
              <w:ind w:right="193"/>
              <w:spacing w:after="0" w:line="182" w:lineRule="exact"/>
              <w:rPr>
                <w:sz w:val="20"/>
                <w:szCs w:val="20"/>
                <w:color w:val="auto"/>
              </w:rPr>
            </w:pPr>
            <w:r>
              <w:rPr>
                <w:rFonts w:ascii="Arial" w:cs="Arial" w:eastAsia="Arial" w:hAnsi="Arial"/>
                <w:sz w:val="16"/>
                <w:szCs w:val="16"/>
                <w:color w:val="auto"/>
              </w:rPr>
              <w:t>$1,253,780</w:t>
            </w:r>
          </w:p>
        </w:tc>
        <w:tc>
          <w:tcPr>
            <w:tcW w:w="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$4,761,039</w:t>
            </w:r>
          </w:p>
        </w:tc>
        <w:tc>
          <w:tcPr>
            <w:tcW w:w="240" w:type="dxa"/>
            <w:vAlign w:val="bottom"/>
            <w:shd w:val="clear" w:color="auto" w:fill="CCEEFF"/>
          </w:tcPr>
          <w:p>
            <w:pPr>
              <w:spacing w:after="0"/>
              <w:rPr>
                <w:sz w:val="15"/>
                <w:szCs w:val="15"/>
                <w:color w:val="auto"/>
              </w:rPr>
            </w:pP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w:t>
            </w: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$780,000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$819,000</w:t>
            </w:r>
          </w:p>
        </w:tc>
        <w:tc>
          <w:tcPr>
            <w:tcW w:w="1320" w:type="dxa"/>
            <w:vAlign w:val="bottom"/>
            <w:gridSpan w:val="2"/>
            <w:shd w:val="clear" w:color="auto" w:fill="CCEEFF"/>
          </w:tcPr>
          <w:p>
            <w:pPr>
              <w:jc w:val="right"/>
              <w:ind w:right="193"/>
              <w:spacing w:after="0"/>
              <w:rPr>
                <w:sz w:val="20"/>
                <w:szCs w:val="20"/>
                <w:color w:val="auto"/>
              </w:rPr>
            </w:pPr>
            <w:r>
              <w:rPr>
                <w:rFonts w:ascii="Arial" w:cs="Arial" w:eastAsia="Arial" w:hAnsi="Arial"/>
                <w:sz w:val="16"/>
                <w:szCs w:val="16"/>
                <w:color w:val="auto"/>
              </w:rPr>
              <w:t>$908,488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$2,507,488</w:t>
            </w:r>
          </w:p>
        </w:tc>
        <w:tc>
          <w:tcPr>
            <w:tcW w:w="2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Officer</w:t>
            </w: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2017</w:t>
            </w:r>
          </w:p>
        </w:tc>
        <w:tc>
          <w:tcPr>
            <w:tcW w:w="94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3"/>
                <w:szCs w:val="13"/>
                <w:color w:val="auto"/>
              </w:rPr>
              <w:t>$799,500</w:t>
            </w:r>
            <w:r>
              <w:rPr>
                <w:rFonts w:ascii="Arial" w:cs="Arial" w:eastAsia="Arial" w:hAnsi="Arial"/>
                <w:sz w:val="21"/>
                <w:szCs w:val="21"/>
                <w:color w:val="auto"/>
                <w:vertAlign w:val="superscript"/>
              </w:rPr>
              <w:t>(6)</w:t>
            </w:r>
          </w:p>
        </w:tc>
        <w:tc>
          <w:tcPr>
            <w:tcW w:w="110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3"/>
                <w:szCs w:val="13"/>
                <w:color w:val="auto"/>
              </w:rPr>
              <w:t>$1,500,000</w:t>
            </w:r>
            <w:r>
              <w:rPr>
                <w:rFonts w:ascii="Arial" w:cs="Arial" w:eastAsia="Arial" w:hAnsi="Arial"/>
                <w:sz w:val="21"/>
                <w:szCs w:val="21"/>
                <w:color w:val="auto"/>
                <w:vertAlign w:val="superscript"/>
              </w:rPr>
              <w:t>(7)</w:t>
            </w:r>
          </w:p>
        </w:tc>
        <w:tc>
          <w:tcPr>
            <w:tcW w:w="108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3"/>
                <w:szCs w:val="13"/>
                <w:color w:val="auto"/>
              </w:rPr>
              <w:t>$1,004,131</w:t>
            </w:r>
            <w:r>
              <w:rPr>
                <w:rFonts w:ascii="Arial" w:cs="Arial" w:eastAsia="Arial" w:hAnsi="Arial"/>
                <w:sz w:val="21"/>
                <w:szCs w:val="21"/>
                <w:color w:val="auto"/>
                <w:vertAlign w:val="superscript"/>
              </w:rPr>
              <w:t>(8)</w:t>
            </w:r>
          </w:p>
        </w:tc>
        <w:tc>
          <w:tcPr>
            <w:tcW w:w="108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3"/>
                <w:szCs w:val="13"/>
                <w:color w:val="auto"/>
              </w:rPr>
              <w:t>$1,010,405</w:t>
            </w:r>
            <w:r>
              <w:rPr>
                <w:rFonts w:ascii="Arial" w:cs="Arial" w:eastAsia="Arial" w:hAnsi="Arial"/>
                <w:sz w:val="21"/>
                <w:szCs w:val="21"/>
                <w:color w:val="auto"/>
                <w:vertAlign w:val="superscript"/>
              </w:rPr>
              <w:t>(9)</w:t>
            </w:r>
          </w:p>
        </w:tc>
        <w:tc>
          <w:tcPr>
            <w:tcW w:w="1240" w:type="dxa"/>
            <w:vAlign w:val="bottom"/>
            <w:shd w:val="clear" w:color="auto" w:fill="CCEEFF"/>
          </w:tcPr>
          <w:p>
            <w:pPr>
              <w:jc w:val="right"/>
              <w:spacing w:after="0" w:line="190" w:lineRule="exact"/>
              <w:rPr>
                <w:sz w:val="20"/>
                <w:szCs w:val="20"/>
                <w:color w:val="auto"/>
              </w:rPr>
            </w:pPr>
            <w:r>
              <w:rPr>
                <w:rFonts w:ascii="Arial" w:cs="Arial" w:eastAsia="Arial" w:hAnsi="Arial"/>
                <w:sz w:val="13"/>
                <w:szCs w:val="13"/>
                <w:color w:val="auto"/>
              </w:rPr>
              <w:t>$1,628,983</w:t>
            </w:r>
            <w:r>
              <w:rPr>
                <w:rFonts w:ascii="Arial" w:cs="Arial" w:eastAsia="Arial" w:hAnsi="Arial"/>
                <w:sz w:val="21"/>
                <w:szCs w:val="21"/>
                <w:color w:val="auto"/>
                <w:vertAlign w:val="superscript"/>
              </w:rPr>
              <w:t>(10)</w:t>
            </w:r>
          </w:p>
        </w:tc>
        <w:tc>
          <w:tcPr>
            <w:tcW w:w="132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3"/>
                <w:szCs w:val="13"/>
                <w:color w:val="auto"/>
              </w:rPr>
              <w:t>$711,582</w:t>
            </w:r>
            <w:r>
              <w:rPr>
                <w:rFonts w:ascii="Arial" w:cs="Arial" w:eastAsia="Arial" w:hAnsi="Arial"/>
                <w:sz w:val="21"/>
                <w:szCs w:val="21"/>
                <w:color w:val="auto"/>
                <w:vertAlign w:val="superscript"/>
              </w:rPr>
              <w:t>(11)</w:t>
            </w:r>
          </w:p>
        </w:tc>
        <w:tc>
          <w:tcPr>
            <w:tcW w:w="1180" w:type="dxa"/>
            <w:vAlign w:val="bottom"/>
            <w:gridSpan w:val="3"/>
            <w:shd w:val="clear" w:color="auto" w:fill="CCEEFF"/>
          </w:tcPr>
          <w:p>
            <w:pPr>
              <w:jc w:val="right"/>
              <w:spacing w:after="0" w:line="190" w:lineRule="exact"/>
              <w:rPr>
                <w:sz w:val="20"/>
                <w:szCs w:val="20"/>
                <w:color w:val="auto"/>
              </w:rPr>
            </w:pPr>
            <w:r>
              <w:rPr>
                <w:rFonts w:ascii="Arial" w:cs="Arial" w:eastAsia="Arial" w:hAnsi="Arial"/>
                <w:sz w:val="13"/>
                <w:szCs w:val="13"/>
                <w:color w:val="auto"/>
              </w:rPr>
              <w:t>$6,654,601</w:t>
            </w:r>
            <w:r>
              <w:rPr>
                <w:rFonts w:ascii="Arial" w:cs="Arial" w:eastAsia="Arial" w:hAnsi="Arial"/>
                <w:sz w:val="21"/>
                <w:szCs w:val="21"/>
                <w:color w:val="auto"/>
                <w:vertAlign w:val="superscript"/>
              </w:rPr>
              <w:t>(12)</w:t>
            </w:r>
          </w:p>
        </w:tc>
      </w:tr>
      <w:tr>
        <w:trPr>
          <w:trHeight w:val="382"/>
        </w:trPr>
        <w:tc>
          <w:tcPr>
            <w:tcW w:w="2940" w:type="dxa"/>
            <w:vAlign w:val="bottom"/>
          </w:tcPr>
          <w:p>
            <w:pPr>
              <w:spacing w:after="0"/>
              <w:rPr>
                <w:sz w:val="20"/>
                <w:szCs w:val="20"/>
                <w:color w:val="auto"/>
              </w:rPr>
            </w:pPr>
            <w:r>
              <w:rPr>
                <w:rFonts w:ascii="Arial" w:cs="Arial" w:eastAsia="Arial" w:hAnsi="Arial"/>
                <w:sz w:val="16"/>
                <w:szCs w:val="16"/>
                <w:b w:val="1"/>
                <w:bCs w:val="1"/>
                <w:color w:val="auto"/>
              </w:rPr>
              <w:t>Kevin J. Wilcox</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2015</w:t>
            </w:r>
          </w:p>
        </w:tc>
        <w:tc>
          <w:tcPr>
            <w:tcW w:w="700" w:type="dxa"/>
            <w:vAlign w:val="bottom"/>
          </w:tcPr>
          <w:p>
            <w:pPr>
              <w:jc w:val="right"/>
              <w:spacing w:after="0"/>
              <w:rPr>
                <w:sz w:val="20"/>
                <w:szCs w:val="20"/>
                <w:color w:val="auto"/>
              </w:rPr>
            </w:pPr>
            <w:r>
              <w:rPr>
                <w:rFonts w:ascii="Arial" w:cs="Arial" w:eastAsia="Arial" w:hAnsi="Arial"/>
                <w:sz w:val="16"/>
                <w:szCs w:val="16"/>
                <w:color w:val="auto"/>
              </w:rPr>
              <w:t>$450,000</w:t>
            </w:r>
          </w:p>
        </w:tc>
        <w:tc>
          <w:tcPr>
            <w:tcW w:w="2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$378,225</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$190,250</w:t>
            </w:r>
          </w:p>
        </w:tc>
        <w:tc>
          <w:tcPr>
            <w:tcW w:w="240" w:type="dxa"/>
            <w:vAlign w:val="bottom"/>
          </w:tcPr>
          <w:p>
            <w:pPr>
              <w:spacing w:after="0"/>
              <w:rPr>
                <w:sz w:val="24"/>
                <w:szCs w:val="24"/>
                <w:color w:val="auto"/>
              </w:rPr>
            </w:pP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$460,688</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$294,894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$1,774,057</w:t>
            </w:r>
          </w:p>
        </w:tc>
        <w:tc>
          <w:tcPr>
            <w:tcW w:w="240" w:type="dxa"/>
            <w:vAlign w:val="bottom"/>
          </w:tcPr>
          <w:p>
            <w:pPr>
              <w:spacing w:after="0"/>
              <w:rPr>
                <w:sz w:val="24"/>
                <w:szCs w:val="24"/>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6"/>
                <w:szCs w:val="16"/>
                <w:color w:val="auto"/>
              </w:rPr>
              <w:t>Chief Administration</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2016</w:t>
            </w:r>
          </w:p>
        </w:tc>
        <w:tc>
          <w:tcPr>
            <w:tcW w:w="700" w:type="dxa"/>
            <w:vAlign w:val="bottom"/>
          </w:tcPr>
          <w:p>
            <w:pPr>
              <w:jc w:val="right"/>
              <w:spacing w:after="0"/>
              <w:rPr>
                <w:sz w:val="20"/>
                <w:szCs w:val="20"/>
                <w:color w:val="auto"/>
              </w:rPr>
            </w:pPr>
            <w:r>
              <w:rPr>
                <w:rFonts w:ascii="Arial" w:cs="Arial" w:eastAsia="Arial" w:hAnsi="Arial"/>
                <w:sz w:val="16"/>
                <w:szCs w:val="16"/>
                <w:color w:val="auto"/>
              </w:rPr>
              <w:t>$450,000</w:t>
            </w:r>
          </w:p>
        </w:tc>
        <w:tc>
          <w:tcPr>
            <w:tcW w:w="2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$323,438</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$362,435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$1,135,873</w:t>
            </w:r>
          </w:p>
        </w:tc>
        <w:tc>
          <w:tcPr>
            <w:tcW w:w="240" w:type="dxa"/>
            <w:vAlign w:val="bottom"/>
          </w:tcPr>
          <w:p>
            <w:pPr>
              <w:spacing w:after="0"/>
              <w:rPr>
                <w:sz w:val="16"/>
                <w:szCs w:val="16"/>
                <w:color w:val="auto"/>
              </w:rPr>
            </w:pPr>
          </w:p>
        </w:tc>
      </w:tr>
      <w:tr>
        <w:trPr>
          <w:trHeight w:val="187"/>
        </w:trPr>
        <w:tc>
          <w:tcPr>
            <w:tcW w:w="2940" w:type="dxa"/>
            <w:vAlign w:val="bottom"/>
          </w:tcPr>
          <w:p>
            <w:pPr>
              <w:spacing w:after="0"/>
              <w:rPr>
                <w:sz w:val="20"/>
                <w:szCs w:val="20"/>
                <w:color w:val="auto"/>
              </w:rPr>
            </w:pPr>
            <w:r>
              <w:rPr>
                <w:rFonts w:ascii="Arial" w:cs="Arial" w:eastAsia="Arial" w:hAnsi="Arial"/>
                <w:sz w:val="16"/>
                <w:szCs w:val="16"/>
                <w:color w:val="auto"/>
              </w:rPr>
              <w:t>and Risk Officer</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2017</w:t>
            </w:r>
          </w:p>
        </w:tc>
        <w:tc>
          <w:tcPr>
            <w:tcW w:w="940" w:type="dxa"/>
            <w:vAlign w:val="bottom"/>
            <w:gridSpan w:val="2"/>
          </w:tcPr>
          <w:p>
            <w:pPr>
              <w:jc w:val="right"/>
              <w:spacing w:after="0" w:line="187" w:lineRule="exact"/>
              <w:rPr>
                <w:sz w:val="20"/>
                <w:szCs w:val="20"/>
                <w:color w:val="auto"/>
              </w:rPr>
            </w:pPr>
            <w:r>
              <w:rPr>
                <w:rFonts w:ascii="Arial" w:cs="Arial" w:eastAsia="Arial" w:hAnsi="Arial"/>
                <w:sz w:val="13"/>
                <w:szCs w:val="13"/>
                <w:color w:val="auto"/>
              </w:rPr>
              <w:t>$465,833</w:t>
            </w:r>
            <w:r>
              <w:rPr>
                <w:rFonts w:ascii="Arial" w:cs="Arial" w:eastAsia="Arial" w:hAnsi="Arial"/>
                <w:sz w:val="21"/>
                <w:szCs w:val="21"/>
                <w:color w:val="auto"/>
                <w:vertAlign w:val="superscript"/>
              </w:rPr>
              <w:t>(13)</w:t>
            </w:r>
          </w:p>
        </w:tc>
        <w:tc>
          <w:tcPr>
            <w:tcW w:w="1100" w:type="dxa"/>
            <w:vAlign w:val="bottom"/>
            <w:gridSpan w:val="2"/>
          </w:tcPr>
          <w:p>
            <w:pPr>
              <w:jc w:val="right"/>
              <w:ind w:right="100"/>
              <w:spacing w:after="0" w:line="187" w:lineRule="exact"/>
              <w:rPr>
                <w:sz w:val="20"/>
                <w:szCs w:val="20"/>
                <w:color w:val="auto"/>
              </w:rPr>
            </w:pPr>
            <w:r>
              <w:rPr>
                <w:rFonts w:ascii="Arial" w:cs="Arial" w:eastAsia="Arial" w:hAnsi="Arial"/>
                <w:sz w:val="13"/>
                <w:szCs w:val="13"/>
                <w:color w:val="auto"/>
              </w:rPr>
              <w:t>$750,000</w:t>
            </w:r>
            <w:r>
              <w:rPr>
                <w:rFonts w:ascii="Arial" w:cs="Arial" w:eastAsia="Arial" w:hAnsi="Arial"/>
                <w:sz w:val="21"/>
                <w:szCs w:val="21"/>
                <w:color w:val="auto"/>
                <w:vertAlign w:val="superscript"/>
              </w:rPr>
              <w:t>(7)</w:t>
            </w:r>
          </w:p>
        </w:tc>
        <w:tc>
          <w:tcPr>
            <w:tcW w:w="1080" w:type="dxa"/>
            <w:vAlign w:val="bottom"/>
            <w:gridSpan w:val="2"/>
          </w:tcPr>
          <w:p>
            <w:pPr>
              <w:jc w:val="right"/>
              <w:ind w:right="20"/>
              <w:spacing w:after="0" w:line="187" w:lineRule="exact"/>
              <w:rPr>
                <w:sz w:val="20"/>
                <w:szCs w:val="20"/>
                <w:color w:val="auto"/>
              </w:rPr>
            </w:pPr>
            <w:r>
              <w:rPr>
                <w:rFonts w:ascii="Arial" w:cs="Arial" w:eastAsia="Arial" w:hAnsi="Arial"/>
                <w:sz w:val="13"/>
                <w:szCs w:val="13"/>
                <w:color w:val="auto"/>
              </w:rPr>
              <w:t>$234,283</w:t>
            </w:r>
            <w:r>
              <w:rPr>
                <w:rFonts w:ascii="Arial" w:cs="Arial" w:eastAsia="Arial" w:hAnsi="Arial"/>
                <w:sz w:val="21"/>
                <w:szCs w:val="21"/>
                <w:color w:val="auto"/>
                <w:vertAlign w:val="superscript"/>
              </w:rPr>
              <w:t>(14)</w:t>
            </w:r>
          </w:p>
        </w:tc>
        <w:tc>
          <w:tcPr>
            <w:tcW w:w="1080" w:type="dxa"/>
            <w:vAlign w:val="bottom"/>
            <w:gridSpan w:val="2"/>
          </w:tcPr>
          <w:p>
            <w:pPr>
              <w:jc w:val="right"/>
              <w:spacing w:after="0" w:line="187" w:lineRule="exact"/>
              <w:rPr>
                <w:sz w:val="20"/>
                <w:szCs w:val="20"/>
                <w:color w:val="auto"/>
              </w:rPr>
            </w:pPr>
            <w:r>
              <w:rPr>
                <w:rFonts w:ascii="Arial" w:cs="Arial" w:eastAsia="Arial" w:hAnsi="Arial"/>
                <w:sz w:val="13"/>
                <w:szCs w:val="13"/>
                <w:color w:val="auto"/>
              </w:rPr>
              <w:t>$236,032</w:t>
            </w:r>
            <w:r>
              <w:rPr>
                <w:rFonts w:ascii="Arial" w:cs="Arial" w:eastAsia="Arial" w:hAnsi="Arial"/>
                <w:sz w:val="21"/>
                <w:szCs w:val="21"/>
                <w:color w:val="auto"/>
                <w:vertAlign w:val="superscript"/>
              </w:rPr>
              <w:t>(15)</w:t>
            </w:r>
          </w:p>
        </w:tc>
        <w:tc>
          <w:tcPr>
            <w:tcW w:w="1240" w:type="dxa"/>
            <w:vAlign w:val="bottom"/>
          </w:tcPr>
          <w:p>
            <w:pPr>
              <w:jc w:val="right"/>
              <w:spacing w:after="0" w:line="187" w:lineRule="exact"/>
              <w:rPr>
                <w:sz w:val="20"/>
                <w:szCs w:val="20"/>
                <w:color w:val="auto"/>
              </w:rPr>
            </w:pPr>
            <w:r>
              <w:rPr>
                <w:rFonts w:ascii="Arial" w:cs="Arial" w:eastAsia="Arial" w:hAnsi="Arial"/>
                <w:sz w:val="13"/>
                <w:szCs w:val="13"/>
                <w:color w:val="auto"/>
              </w:rPr>
              <w:t>$632,758</w:t>
            </w:r>
            <w:r>
              <w:rPr>
                <w:rFonts w:ascii="Arial" w:cs="Arial" w:eastAsia="Arial" w:hAnsi="Arial"/>
                <w:sz w:val="21"/>
                <w:szCs w:val="21"/>
                <w:color w:val="auto"/>
                <w:vertAlign w:val="superscript"/>
              </w:rPr>
              <w:t>(16)</w:t>
            </w:r>
          </w:p>
        </w:tc>
        <w:tc>
          <w:tcPr>
            <w:tcW w:w="1320" w:type="dxa"/>
            <w:vAlign w:val="bottom"/>
            <w:gridSpan w:val="2"/>
          </w:tcPr>
          <w:p>
            <w:pPr>
              <w:jc w:val="right"/>
              <w:spacing w:after="0" w:line="187" w:lineRule="exact"/>
              <w:rPr>
                <w:sz w:val="20"/>
                <w:szCs w:val="20"/>
                <w:color w:val="auto"/>
              </w:rPr>
            </w:pPr>
            <w:r>
              <w:rPr>
                <w:rFonts w:ascii="Arial" w:cs="Arial" w:eastAsia="Arial" w:hAnsi="Arial"/>
                <w:sz w:val="13"/>
                <w:szCs w:val="13"/>
                <w:color w:val="auto"/>
              </w:rPr>
              <w:t>$382,129</w:t>
            </w:r>
            <w:r>
              <w:rPr>
                <w:rFonts w:ascii="Arial" w:cs="Arial" w:eastAsia="Arial" w:hAnsi="Arial"/>
                <w:sz w:val="21"/>
                <w:szCs w:val="21"/>
                <w:color w:val="auto"/>
                <w:vertAlign w:val="superscript"/>
              </w:rPr>
              <w:t>(17)</w:t>
            </w:r>
          </w:p>
        </w:tc>
        <w:tc>
          <w:tcPr>
            <w:tcW w:w="1180" w:type="dxa"/>
            <w:vAlign w:val="bottom"/>
            <w:gridSpan w:val="3"/>
          </w:tcPr>
          <w:p>
            <w:pPr>
              <w:jc w:val="right"/>
              <w:spacing w:after="0" w:line="187" w:lineRule="exact"/>
              <w:rPr>
                <w:sz w:val="20"/>
                <w:szCs w:val="20"/>
                <w:color w:val="auto"/>
              </w:rPr>
            </w:pPr>
            <w:r>
              <w:rPr>
                <w:rFonts w:ascii="Arial" w:cs="Arial" w:eastAsia="Arial" w:hAnsi="Arial"/>
                <w:sz w:val="13"/>
                <w:szCs w:val="13"/>
                <w:color w:val="auto"/>
              </w:rPr>
              <w:t>$2,701,035</w:t>
            </w:r>
            <w:r>
              <w:rPr>
                <w:rFonts w:ascii="Arial" w:cs="Arial" w:eastAsia="Arial" w:hAnsi="Arial"/>
                <w:sz w:val="21"/>
                <w:szCs w:val="21"/>
                <w:color w:val="auto"/>
                <w:vertAlign w:val="superscript"/>
              </w:rPr>
              <w:t>(18)</w:t>
            </w:r>
          </w:p>
        </w:tc>
      </w:tr>
      <w:tr>
        <w:trPr>
          <w:trHeight w:val="379"/>
        </w:trPr>
        <w:tc>
          <w:tcPr>
            <w:tcW w:w="2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Indroneel Chatterjee</w:t>
            </w:r>
          </w:p>
        </w:tc>
        <w:tc>
          <w:tcPr>
            <w:tcW w:w="540" w:type="dxa"/>
            <w:vAlign w:val="bottom"/>
            <w:gridSpan w:val="3"/>
            <w:shd w:val="clear" w:color="auto" w:fill="CCEEFF"/>
          </w:tcPr>
          <w:p>
            <w:pPr>
              <w:jc w:val="center"/>
              <w:ind w:right="20"/>
              <w:spacing w:after="0"/>
              <w:rPr>
                <w:sz w:val="20"/>
                <w:szCs w:val="20"/>
                <w:color w:val="auto"/>
              </w:rPr>
            </w:pPr>
            <w:r>
              <w:rPr>
                <w:rFonts w:ascii="Arial" w:cs="Arial" w:eastAsia="Arial" w:hAnsi="Arial"/>
                <w:sz w:val="16"/>
                <w:szCs w:val="16"/>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93"/>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w:t>
            </w: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93"/>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28"/>
        </w:trPr>
        <w:tc>
          <w:tcPr>
            <w:tcW w:w="294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Officer</w:t>
            </w:r>
            <w:r>
              <w:rPr>
                <w:rFonts w:ascii="Arial" w:cs="Arial" w:eastAsia="Arial" w:hAnsi="Arial"/>
                <w:sz w:val="26"/>
                <w:szCs w:val="26"/>
                <w:color w:val="auto"/>
                <w:vertAlign w:val="superscript"/>
              </w:rPr>
              <w:t>(19)</w:t>
            </w:r>
          </w:p>
        </w:tc>
        <w:tc>
          <w:tcPr>
            <w:tcW w:w="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2017</w:t>
            </w:r>
          </w:p>
        </w:tc>
        <w:tc>
          <w:tcPr>
            <w:tcW w:w="94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6"/>
                <w:szCs w:val="16"/>
                <w:color w:val="auto"/>
                <w:w w:val="94"/>
              </w:rPr>
              <w:t>$113,944</w:t>
            </w:r>
            <w:r>
              <w:rPr>
                <w:rFonts w:ascii="Arial" w:cs="Arial" w:eastAsia="Arial" w:hAnsi="Arial"/>
                <w:sz w:val="26"/>
                <w:szCs w:val="26"/>
                <w:color w:val="auto"/>
                <w:w w:val="94"/>
                <w:vertAlign w:val="superscript"/>
              </w:rPr>
              <w:t>(20)</w:t>
            </w:r>
          </w:p>
        </w:tc>
        <w:tc>
          <w:tcPr>
            <w:tcW w:w="1100" w:type="dxa"/>
            <w:vAlign w:val="bottom"/>
            <w:gridSpan w:val="2"/>
            <w:shd w:val="clear" w:color="auto" w:fill="CCEEFF"/>
          </w:tcPr>
          <w:p>
            <w:pPr>
              <w:jc w:val="right"/>
              <w:ind w:right="20"/>
              <w:spacing w:after="0" w:line="227" w:lineRule="exact"/>
              <w:rPr>
                <w:sz w:val="20"/>
                <w:szCs w:val="20"/>
                <w:color w:val="auto"/>
              </w:rPr>
            </w:pPr>
            <w:r>
              <w:rPr>
                <w:rFonts w:ascii="Arial" w:cs="Arial" w:eastAsia="Arial" w:hAnsi="Arial"/>
                <w:sz w:val="16"/>
                <w:szCs w:val="16"/>
                <w:color w:val="auto"/>
              </w:rPr>
              <w:t>$485,000</w:t>
            </w:r>
            <w:r>
              <w:rPr>
                <w:rFonts w:ascii="Arial" w:cs="Arial" w:eastAsia="Arial" w:hAnsi="Arial"/>
                <w:sz w:val="26"/>
                <w:szCs w:val="26"/>
                <w:color w:val="auto"/>
                <w:vertAlign w:val="superscript"/>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$529,344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$325,734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6"/>
                <w:szCs w:val="16"/>
                <w:color w:val="auto"/>
              </w:rPr>
              <w:t>$28,438</w:t>
            </w:r>
            <w:r>
              <w:rPr>
                <w:rFonts w:ascii="Arial" w:cs="Arial" w:eastAsia="Arial" w:hAnsi="Arial"/>
                <w:sz w:val="26"/>
                <w:szCs w:val="26"/>
                <w:color w:val="auto"/>
                <w:vertAlign w:val="superscript"/>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$1,482,460</w:t>
            </w:r>
          </w:p>
        </w:tc>
        <w:tc>
          <w:tcPr>
            <w:tcW w:w="240" w:type="dxa"/>
            <w:vAlign w:val="bottom"/>
            <w:shd w:val="clear" w:color="auto" w:fill="CCEEFF"/>
          </w:tcPr>
          <w:p>
            <w:pPr>
              <w:spacing w:after="0"/>
              <w:rPr>
                <w:sz w:val="19"/>
                <w:szCs w:val="19"/>
                <w:color w:val="auto"/>
              </w:rPr>
            </w:pPr>
          </w:p>
        </w:tc>
      </w:tr>
      <w:tr>
        <w:trPr>
          <w:trHeight w:val="382"/>
        </w:trPr>
        <w:tc>
          <w:tcPr>
            <w:tcW w:w="2940" w:type="dxa"/>
            <w:vAlign w:val="bottom"/>
          </w:tcPr>
          <w:p>
            <w:pPr>
              <w:spacing w:after="0"/>
              <w:rPr>
                <w:sz w:val="20"/>
                <w:szCs w:val="20"/>
                <w:color w:val="auto"/>
              </w:rPr>
            </w:pPr>
            <w:r>
              <w:rPr>
                <w:rFonts w:ascii="Arial" w:cs="Arial" w:eastAsia="Arial" w:hAnsi="Arial"/>
                <w:sz w:val="16"/>
                <w:szCs w:val="16"/>
                <w:b w:val="1"/>
                <w:bCs w:val="1"/>
                <w:color w:val="auto"/>
              </w:rPr>
              <w:t>Michelle D. Esterman</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2015</w:t>
            </w:r>
          </w:p>
        </w:tc>
        <w:tc>
          <w:tcPr>
            <w:tcW w:w="700" w:type="dxa"/>
            <w:vAlign w:val="bottom"/>
          </w:tcPr>
          <w:p>
            <w:pPr>
              <w:jc w:val="right"/>
              <w:spacing w:after="0"/>
              <w:rPr>
                <w:sz w:val="20"/>
                <w:szCs w:val="20"/>
                <w:color w:val="auto"/>
              </w:rPr>
            </w:pPr>
            <w:r>
              <w:rPr>
                <w:rFonts w:ascii="Arial" w:cs="Arial" w:eastAsia="Arial" w:hAnsi="Arial"/>
                <w:sz w:val="16"/>
                <w:szCs w:val="16"/>
                <w:color w:val="auto"/>
              </w:rPr>
              <w:t>$415,833</w:t>
            </w:r>
          </w:p>
        </w:tc>
        <w:tc>
          <w:tcPr>
            <w:tcW w:w="2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$267,525</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$423,141</w:t>
            </w:r>
          </w:p>
        </w:tc>
        <w:tc>
          <w:tcPr>
            <w:tcW w:w="240" w:type="dxa"/>
            <w:vAlign w:val="bottom"/>
          </w:tcPr>
          <w:p>
            <w:pPr>
              <w:spacing w:after="0"/>
              <w:rPr>
                <w:sz w:val="24"/>
                <w:szCs w:val="24"/>
                <w:color w:val="auto"/>
              </w:rPr>
            </w:pP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$322,725</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$169,232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$1,598,456</w:t>
            </w:r>
          </w:p>
        </w:tc>
        <w:tc>
          <w:tcPr>
            <w:tcW w:w="240" w:type="dxa"/>
            <w:vAlign w:val="bottom"/>
          </w:tcPr>
          <w:p>
            <w:pPr>
              <w:spacing w:after="0"/>
              <w:rPr>
                <w:sz w:val="24"/>
                <w:szCs w:val="24"/>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6"/>
                <w:szCs w:val="16"/>
                <w:color w:val="auto"/>
              </w:rPr>
              <w:t>Executive Vice President,</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2016</w:t>
            </w:r>
          </w:p>
        </w:tc>
        <w:tc>
          <w:tcPr>
            <w:tcW w:w="700" w:type="dxa"/>
            <w:vAlign w:val="bottom"/>
          </w:tcPr>
          <w:p>
            <w:pPr>
              <w:jc w:val="right"/>
              <w:spacing w:after="0"/>
              <w:rPr>
                <w:sz w:val="20"/>
                <w:szCs w:val="20"/>
                <w:color w:val="auto"/>
              </w:rPr>
            </w:pPr>
            <w:r>
              <w:rPr>
                <w:rFonts w:ascii="Arial" w:cs="Arial" w:eastAsia="Arial" w:hAnsi="Arial"/>
                <w:sz w:val="16"/>
                <w:szCs w:val="16"/>
                <w:color w:val="auto"/>
              </w:rPr>
              <w:t>$420,000</w:t>
            </w:r>
          </w:p>
        </w:tc>
        <w:tc>
          <w:tcPr>
            <w:tcW w:w="2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$210,000</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$246,575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$876,575</w:t>
            </w:r>
          </w:p>
        </w:tc>
        <w:tc>
          <w:tcPr>
            <w:tcW w:w="240" w:type="dxa"/>
            <w:vAlign w:val="bottom"/>
          </w:tcPr>
          <w:p>
            <w:pPr>
              <w:spacing w:after="0"/>
              <w:rPr>
                <w:sz w:val="16"/>
                <w:szCs w:val="16"/>
                <w:color w:val="auto"/>
              </w:rPr>
            </w:pPr>
          </w:p>
        </w:tc>
      </w:tr>
      <w:tr>
        <w:trPr>
          <w:trHeight w:val="190"/>
        </w:trPr>
        <w:tc>
          <w:tcPr>
            <w:tcW w:w="2940" w:type="dxa"/>
            <w:vAlign w:val="bottom"/>
          </w:tcPr>
          <w:p>
            <w:pPr>
              <w:spacing w:after="0"/>
              <w:rPr>
                <w:sz w:val="20"/>
                <w:szCs w:val="20"/>
                <w:color w:val="auto"/>
              </w:rPr>
            </w:pPr>
            <w:r>
              <w:rPr>
                <w:rFonts w:ascii="Arial" w:cs="Arial" w:eastAsia="Arial" w:hAnsi="Arial"/>
                <w:sz w:val="16"/>
                <w:szCs w:val="16"/>
                <w:color w:val="auto"/>
              </w:rPr>
              <w:t>Finance (former Chief</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2017</w:t>
            </w:r>
          </w:p>
        </w:tc>
        <w:tc>
          <w:tcPr>
            <w:tcW w:w="940" w:type="dxa"/>
            <w:vAlign w:val="bottom"/>
            <w:gridSpan w:val="2"/>
          </w:tcPr>
          <w:p>
            <w:pPr>
              <w:jc w:val="right"/>
              <w:spacing w:after="0" w:line="190" w:lineRule="exact"/>
              <w:rPr>
                <w:sz w:val="20"/>
                <w:szCs w:val="20"/>
                <w:color w:val="auto"/>
              </w:rPr>
            </w:pPr>
            <w:r>
              <w:rPr>
                <w:rFonts w:ascii="Arial" w:cs="Arial" w:eastAsia="Arial" w:hAnsi="Arial"/>
                <w:sz w:val="13"/>
                <w:szCs w:val="13"/>
                <w:color w:val="auto"/>
              </w:rPr>
              <w:t>$430,306</w:t>
            </w:r>
            <w:r>
              <w:rPr>
                <w:rFonts w:ascii="Arial" w:cs="Arial" w:eastAsia="Arial" w:hAnsi="Arial"/>
                <w:sz w:val="21"/>
                <w:szCs w:val="21"/>
                <w:color w:val="auto"/>
                <w:vertAlign w:val="superscript"/>
              </w:rPr>
              <w:t>(24)</w:t>
            </w:r>
          </w:p>
        </w:tc>
        <w:tc>
          <w:tcPr>
            <w:tcW w:w="1100" w:type="dxa"/>
            <w:vAlign w:val="bottom"/>
            <w:gridSpan w:val="2"/>
          </w:tcPr>
          <w:p>
            <w:pPr>
              <w:jc w:val="right"/>
              <w:ind w:right="100"/>
              <w:spacing w:after="0" w:line="190" w:lineRule="exact"/>
              <w:rPr>
                <w:sz w:val="20"/>
                <w:szCs w:val="20"/>
                <w:color w:val="auto"/>
              </w:rPr>
            </w:pPr>
            <w:r>
              <w:rPr>
                <w:rFonts w:ascii="Arial" w:cs="Arial" w:eastAsia="Arial" w:hAnsi="Arial"/>
                <w:sz w:val="13"/>
                <w:szCs w:val="13"/>
                <w:color w:val="auto"/>
              </w:rPr>
              <w:t>$500,000</w:t>
            </w:r>
            <w:r>
              <w:rPr>
                <w:rFonts w:ascii="Arial" w:cs="Arial" w:eastAsia="Arial" w:hAnsi="Arial"/>
                <w:sz w:val="21"/>
                <w:szCs w:val="21"/>
                <w:color w:val="auto"/>
                <w:vertAlign w:val="superscript"/>
              </w:rPr>
              <w:t>(7)</w:t>
            </w:r>
          </w:p>
        </w:tc>
        <w:tc>
          <w:tcPr>
            <w:tcW w:w="1080" w:type="dxa"/>
            <w:vAlign w:val="bottom"/>
            <w:gridSpan w:val="2"/>
          </w:tcPr>
          <w:p>
            <w:pPr>
              <w:jc w:val="right"/>
              <w:ind w:right="20"/>
              <w:spacing w:after="0" w:line="190" w:lineRule="exact"/>
              <w:rPr>
                <w:sz w:val="20"/>
                <w:szCs w:val="20"/>
                <w:color w:val="auto"/>
              </w:rPr>
            </w:pPr>
            <w:r>
              <w:rPr>
                <w:rFonts w:ascii="Arial" w:cs="Arial" w:eastAsia="Arial" w:hAnsi="Arial"/>
                <w:sz w:val="13"/>
                <w:szCs w:val="13"/>
                <w:color w:val="auto"/>
              </w:rPr>
              <w:t>$140,562</w:t>
            </w:r>
            <w:r>
              <w:rPr>
                <w:rFonts w:ascii="Arial" w:cs="Arial" w:eastAsia="Arial" w:hAnsi="Arial"/>
                <w:sz w:val="21"/>
                <w:szCs w:val="21"/>
                <w:color w:val="auto"/>
                <w:vertAlign w:val="superscript"/>
              </w:rPr>
              <w:t>(25)</w:t>
            </w:r>
          </w:p>
        </w:tc>
        <w:tc>
          <w:tcPr>
            <w:tcW w:w="1080" w:type="dxa"/>
            <w:vAlign w:val="bottom"/>
            <w:gridSpan w:val="2"/>
          </w:tcPr>
          <w:p>
            <w:pPr>
              <w:jc w:val="right"/>
              <w:spacing w:after="0" w:line="190" w:lineRule="exact"/>
              <w:rPr>
                <w:sz w:val="20"/>
                <w:szCs w:val="20"/>
                <w:color w:val="auto"/>
              </w:rPr>
            </w:pPr>
            <w:r>
              <w:rPr>
                <w:rFonts w:ascii="Arial" w:cs="Arial" w:eastAsia="Arial" w:hAnsi="Arial"/>
                <w:sz w:val="13"/>
                <w:szCs w:val="13"/>
                <w:color w:val="auto"/>
              </w:rPr>
              <w:t>$141,625</w:t>
            </w:r>
            <w:r>
              <w:rPr>
                <w:rFonts w:ascii="Arial" w:cs="Arial" w:eastAsia="Arial" w:hAnsi="Arial"/>
                <w:sz w:val="21"/>
                <w:szCs w:val="21"/>
                <w:color w:val="auto"/>
                <w:vertAlign w:val="superscript"/>
              </w:rPr>
              <w:t>(26)</w:t>
            </w: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$374,500</w:t>
            </w:r>
          </w:p>
        </w:tc>
        <w:tc>
          <w:tcPr>
            <w:tcW w:w="1320" w:type="dxa"/>
            <w:vAlign w:val="bottom"/>
            <w:gridSpan w:val="2"/>
          </w:tcPr>
          <w:p>
            <w:pPr>
              <w:jc w:val="right"/>
              <w:spacing w:after="0" w:line="190" w:lineRule="exact"/>
              <w:rPr>
                <w:sz w:val="20"/>
                <w:szCs w:val="20"/>
                <w:color w:val="auto"/>
              </w:rPr>
            </w:pPr>
            <w:r>
              <w:rPr>
                <w:rFonts w:ascii="Arial" w:cs="Arial" w:eastAsia="Arial" w:hAnsi="Arial"/>
                <w:sz w:val="13"/>
                <w:szCs w:val="13"/>
                <w:color w:val="auto"/>
              </w:rPr>
              <w:t>$219,916</w:t>
            </w:r>
            <w:r>
              <w:rPr>
                <w:rFonts w:ascii="Arial" w:cs="Arial" w:eastAsia="Arial" w:hAnsi="Arial"/>
                <w:sz w:val="21"/>
                <w:szCs w:val="21"/>
                <w:color w:val="auto"/>
                <w:vertAlign w:val="superscript"/>
              </w:rPr>
              <w:t>(27)</w:t>
            </w:r>
          </w:p>
        </w:tc>
        <w:tc>
          <w:tcPr>
            <w:tcW w:w="1180" w:type="dxa"/>
            <w:vAlign w:val="bottom"/>
            <w:gridSpan w:val="3"/>
          </w:tcPr>
          <w:p>
            <w:pPr>
              <w:jc w:val="right"/>
              <w:spacing w:after="0" w:line="190" w:lineRule="exact"/>
              <w:rPr>
                <w:sz w:val="20"/>
                <w:szCs w:val="20"/>
                <w:color w:val="auto"/>
              </w:rPr>
            </w:pPr>
            <w:r>
              <w:rPr>
                <w:rFonts w:ascii="Arial" w:cs="Arial" w:eastAsia="Arial" w:hAnsi="Arial"/>
                <w:sz w:val="13"/>
                <w:szCs w:val="13"/>
                <w:color w:val="auto"/>
              </w:rPr>
              <w:t>$1,806,909</w:t>
            </w:r>
            <w:r>
              <w:rPr>
                <w:rFonts w:ascii="Arial" w:cs="Arial" w:eastAsia="Arial" w:hAnsi="Arial"/>
                <w:sz w:val="21"/>
                <w:szCs w:val="21"/>
                <w:color w:val="auto"/>
                <w:vertAlign w:val="superscript"/>
              </w:rPr>
              <w:t>(28)</w:t>
            </w:r>
          </w:p>
        </w:tc>
      </w:tr>
      <w:tr>
        <w:trPr>
          <w:trHeight w:val="225"/>
        </w:trPr>
        <w:tc>
          <w:tcPr>
            <w:tcW w:w="2940" w:type="dxa"/>
            <w:vAlign w:val="bottom"/>
          </w:tcPr>
          <w:p>
            <w:pPr>
              <w:spacing w:after="0" w:line="225" w:lineRule="exact"/>
              <w:rPr>
                <w:sz w:val="20"/>
                <w:szCs w:val="20"/>
                <w:color w:val="auto"/>
              </w:rPr>
            </w:pPr>
            <w:r>
              <w:rPr>
                <w:rFonts w:ascii="Arial" w:cs="Arial" w:eastAsia="Arial" w:hAnsi="Arial"/>
                <w:sz w:val="16"/>
                <w:szCs w:val="16"/>
                <w:color w:val="auto"/>
              </w:rPr>
              <w:t>Financial Officer)</w:t>
            </w:r>
            <w:r>
              <w:rPr>
                <w:rFonts w:ascii="Arial" w:cs="Arial" w:eastAsia="Arial" w:hAnsi="Arial"/>
                <w:sz w:val="26"/>
                <w:szCs w:val="26"/>
                <w:color w:val="auto"/>
                <w:vertAlign w:val="superscript"/>
              </w:rPr>
              <w:t>(23)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79"/>
        </w:trPr>
        <w:tc>
          <w:tcPr>
            <w:tcW w:w="2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Joseph A. Davila</w:t>
            </w:r>
          </w:p>
        </w:tc>
        <w:tc>
          <w:tcPr>
            <w:tcW w:w="540" w:type="dxa"/>
            <w:vAlign w:val="bottom"/>
            <w:gridSpan w:val="3"/>
            <w:shd w:val="clear" w:color="auto" w:fill="CCEEFF"/>
          </w:tcPr>
          <w:p>
            <w:pPr>
              <w:jc w:val="center"/>
              <w:ind w:right="20"/>
              <w:spacing w:after="0"/>
              <w:rPr>
                <w:sz w:val="20"/>
                <w:szCs w:val="20"/>
                <w:color w:val="auto"/>
              </w:rPr>
            </w:pPr>
            <w:r>
              <w:rPr>
                <w:rFonts w:ascii="Arial" w:cs="Arial" w:eastAsia="Arial" w:hAnsi="Arial"/>
                <w:sz w:val="16"/>
                <w:szCs w:val="16"/>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$394,124</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$72,000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$78,103</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$243,000</w:t>
            </w:r>
          </w:p>
        </w:tc>
        <w:tc>
          <w:tcPr>
            <w:tcW w:w="1320" w:type="dxa"/>
            <w:vAlign w:val="bottom"/>
            <w:gridSpan w:val="2"/>
            <w:shd w:val="clear" w:color="auto" w:fill="CCEEFF"/>
          </w:tcPr>
          <w:p>
            <w:pPr>
              <w:jc w:val="right"/>
              <w:ind w:right="193"/>
              <w:spacing w:after="0"/>
              <w:rPr>
                <w:sz w:val="20"/>
                <w:szCs w:val="20"/>
                <w:color w:val="auto"/>
              </w:rPr>
            </w:pPr>
            <w:r>
              <w:rPr>
                <w:rFonts w:ascii="Arial" w:cs="Arial" w:eastAsia="Arial" w:hAnsi="Arial"/>
                <w:sz w:val="16"/>
                <w:szCs w:val="16"/>
                <w:color w:val="auto"/>
              </w:rPr>
              <w:t>$134,345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$1,024,892</w:t>
            </w:r>
          </w:p>
        </w:tc>
        <w:tc>
          <w:tcPr>
            <w:tcW w:w="240" w:type="dxa"/>
            <w:vAlign w:val="bottom"/>
            <w:shd w:val="clear" w:color="auto" w:fill="CCEEFF"/>
          </w:tcPr>
          <w:p>
            <w:pPr>
              <w:spacing w:after="0"/>
              <w:rPr>
                <w:sz w:val="24"/>
                <w:szCs w:val="24"/>
                <w:color w:val="auto"/>
              </w:rPr>
            </w:pP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President, Servicer</w:t>
            </w: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$395,863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$9,375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$290,625</w:t>
            </w:r>
          </w:p>
        </w:tc>
        <w:tc>
          <w:tcPr>
            <w:tcW w:w="1320" w:type="dxa"/>
            <w:vAlign w:val="bottom"/>
            <w:gridSpan w:val="2"/>
            <w:shd w:val="clear" w:color="auto" w:fill="CCEEFF"/>
          </w:tcPr>
          <w:p>
            <w:pPr>
              <w:jc w:val="right"/>
              <w:ind w:right="193"/>
              <w:spacing w:after="0"/>
              <w:rPr>
                <w:sz w:val="20"/>
                <w:szCs w:val="20"/>
                <w:color w:val="auto"/>
              </w:rPr>
            </w:pPr>
            <w:r>
              <w:rPr>
                <w:rFonts w:ascii="Arial" w:cs="Arial" w:eastAsia="Arial" w:hAnsi="Arial"/>
                <w:sz w:val="16"/>
                <w:szCs w:val="16"/>
                <w:color w:val="auto"/>
              </w:rPr>
              <w:t>$143,285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$839,148</w:t>
            </w:r>
          </w:p>
        </w:tc>
        <w:tc>
          <w:tcPr>
            <w:tcW w:w="240" w:type="dxa"/>
            <w:vAlign w:val="bottom"/>
            <w:shd w:val="clear" w:color="auto" w:fill="CCEEFF"/>
          </w:tcPr>
          <w:p>
            <w:pPr>
              <w:spacing w:after="0"/>
              <w:rPr>
                <w:sz w:val="16"/>
                <w:szCs w:val="16"/>
                <w:color w:val="auto"/>
              </w:rPr>
            </w:pPr>
          </w:p>
        </w:tc>
      </w:tr>
      <w:tr>
        <w:trPr>
          <w:trHeight w:val="190"/>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Solutions</w:t>
            </w: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2017</w:t>
            </w:r>
          </w:p>
        </w:tc>
        <w:tc>
          <w:tcPr>
            <w:tcW w:w="94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3"/>
                <w:szCs w:val="13"/>
                <w:color w:val="auto"/>
              </w:rPr>
              <w:t>$412,261</w:t>
            </w:r>
            <w:r>
              <w:rPr>
                <w:rFonts w:ascii="Arial" w:cs="Arial" w:eastAsia="Arial" w:hAnsi="Arial"/>
                <w:sz w:val="21"/>
                <w:szCs w:val="21"/>
                <w:color w:val="auto"/>
                <w:vertAlign w:val="superscript"/>
              </w:rPr>
              <w:t>(29)</w:t>
            </w:r>
          </w:p>
        </w:tc>
        <w:tc>
          <w:tcPr>
            <w:tcW w:w="1100" w:type="dxa"/>
            <w:vAlign w:val="bottom"/>
            <w:gridSpan w:val="2"/>
            <w:shd w:val="clear" w:color="auto" w:fill="CCEEFF"/>
          </w:tcPr>
          <w:p>
            <w:pPr>
              <w:jc w:val="right"/>
              <w:ind w:right="20"/>
              <w:spacing w:after="0" w:line="190" w:lineRule="exact"/>
              <w:rPr>
                <w:sz w:val="20"/>
                <w:szCs w:val="20"/>
                <w:color w:val="auto"/>
              </w:rPr>
            </w:pPr>
            <w:r>
              <w:rPr>
                <w:rFonts w:ascii="Arial" w:cs="Arial" w:eastAsia="Arial" w:hAnsi="Arial"/>
                <w:sz w:val="13"/>
                <w:szCs w:val="13"/>
                <w:color w:val="auto"/>
              </w:rPr>
              <w:t>$31,486</w:t>
            </w:r>
            <w:r>
              <w:rPr>
                <w:rFonts w:ascii="Arial" w:cs="Arial" w:eastAsia="Arial" w:hAnsi="Arial"/>
                <w:sz w:val="21"/>
                <w:szCs w:val="21"/>
                <w:color w:val="auto"/>
                <w:vertAlign w:val="superscript"/>
              </w:rPr>
              <w:t>(30)</w:t>
            </w:r>
          </w:p>
        </w:tc>
        <w:tc>
          <w:tcPr>
            <w:tcW w:w="1080" w:type="dxa"/>
            <w:vAlign w:val="bottom"/>
            <w:gridSpan w:val="2"/>
            <w:shd w:val="clear" w:color="auto" w:fill="CCEEFF"/>
          </w:tcPr>
          <w:p>
            <w:pPr>
              <w:jc w:val="right"/>
              <w:ind w:right="20"/>
              <w:spacing w:after="0" w:line="190" w:lineRule="exact"/>
              <w:rPr>
                <w:sz w:val="20"/>
                <w:szCs w:val="20"/>
                <w:color w:val="auto"/>
              </w:rPr>
            </w:pPr>
            <w:r>
              <w:rPr>
                <w:rFonts w:ascii="Arial" w:cs="Arial" w:eastAsia="Arial" w:hAnsi="Arial"/>
                <w:sz w:val="13"/>
                <w:szCs w:val="13"/>
                <w:color w:val="auto"/>
              </w:rPr>
              <w:t>$635,041</w:t>
            </w:r>
            <w:r>
              <w:rPr>
                <w:rFonts w:ascii="Arial" w:cs="Arial" w:eastAsia="Arial" w:hAnsi="Arial"/>
                <w:sz w:val="21"/>
                <w:szCs w:val="21"/>
                <w:color w:val="auto"/>
                <w:vertAlign w:val="superscript"/>
              </w:rPr>
              <w:t>(31)</w:t>
            </w:r>
          </w:p>
        </w:tc>
        <w:tc>
          <w:tcPr>
            <w:tcW w:w="108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3"/>
                <w:szCs w:val="13"/>
                <w:color w:val="auto"/>
              </w:rPr>
              <w:t>$200,196</w:t>
            </w:r>
            <w:r>
              <w:rPr>
                <w:rFonts w:ascii="Arial" w:cs="Arial" w:eastAsia="Arial" w:hAnsi="Arial"/>
                <w:sz w:val="21"/>
                <w:szCs w:val="21"/>
                <w:color w:val="auto"/>
                <w:vertAlign w:val="superscript"/>
              </w:rPr>
              <w:t>(32)</w:t>
            </w:r>
          </w:p>
        </w:tc>
        <w:tc>
          <w:tcPr>
            <w:tcW w:w="1240" w:type="dxa"/>
            <w:vAlign w:val="bottom"/>
            <w:shd w:val="clear" w:color="auto" w:fill="CCEEFF"/>
          </w:tcPr>
          <w:p>
            <w:pPr>
              <w:jc w:val="right"/>
              <w:spacing w:after="0" w:line="190" w:lineRule="exact"/>
              <w:rPr>
                <w:sz w:val="20"/>
                <w:szCs w:val="20"/>
                <w:color w:val="auto"/>
              </w:rPr>
            </w:pPr>
            <w:r>
              <w:rPr>
                <w:rFonts w:ascii="Arial" w:cs="Arial" w:eastAsia="Arial" w:hAnsi="Arial"/>
                <w:sz w:val="13"/>
                <w:szCs w:val="13"/>
                <w:color w:val="auto"/>
              </w:rPr>
              <w:t>$318,514</w:t>
            </w:r>
            <w:r>
              <w:rPr>
                <w:rFonts w:ascii="Arial" w:cs="Arial" w:eastAsia="Arial" w:hAnsi="Arial"/>
                <w:sz w:val="21"/>
                <w:szCs w:val="21"/>
                <w:color w:val="auto"/>
                <w:vertAlign w:val="superscript"/>
              </w:rPr>
              <w:t>(33)</w:t>
            </w:r>
          </w:p>
        </w:tc>
        <w:tc>
          <w:tcPr>
            <w:tcW w:w="132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3"/>
                <w:szCs w:val="13"/>
                <w:color w:val="auto"/>
              </w:rPr>
              <w:t>$174,310</w:t>
            </w:r>
            <w:r>
              <w:rPr>
                <w:rFonts w:ascii="Arial" w:cs="Arial" w:eastAsia="Arial" w:hAnsi="Arial"/>
                <w:sz w:val="21"/>
                <w:szCs w:val="21"/>
                <w:color w:val="auto"/>
                <w:vertAlign w:val="superscript"/>
              </w:rPr>
              <w:t>(34)</w:t>
            </w:r>
          </w:p>
        </w:tc>
        <w:tc>
          <w:tcPr>
            <w:tcW w:w="1180" w:type="dxa"/>
            <w:vAlign w:val="bottom"/>
            <w:gridSpan w:val="3"/>
            <w:shd w:val="clear" w:color="auto" w:fill="CCEEFF"/>
          </w:tcPr>
          <w:p>
            <w:pPr>
              <w:jc w:val="right"/>
              <w:spacing w:after="0" w:line="190" w:lineRule="exact"/>
              <w:rPr>
                <w:sz w:val="20"/>
                <w:szCs w:val="20"/>
                <w:color w:val="auto"/>
              </w:rPr>
            </w:pPr>
            <w:r>
              <w:rPr>
                <w:rFonts w:ascii="Arial" w:cs="Arial" w:eastAsia="Arial" w:hAnsi="Arial"/>
                <w:sz w:val="13"/>
                <w:szCs w:val="13"/>
                <w:color w:val="auto"/>
              </w:rPr>
              <w:t>$1,771,808</w:t>
            </w:r>
            <w:r>
              <w:rPr>
                <w:rFonts w:ascii="Arial" w:cs="Arial" w:eastAsia="Arial" w:hAnsi="Arial"/>
                <w:sz w:val="21"/>
                <w:szCs w:val="21"/>
                <w:color w:val="auto"/>
                <w:vertAlign w:val="superscript"/>
              </w:rPr>
              <w:t>(35)</w:t>
            </w:r>
          </w:p>
        </w:tc>
      </w:tr>
      <w:tr>
        <w:trPr>
          <w:trHeight w:val="382"/>
        </w:trPr>
        <w:tc>
          <w:tcPr>
            <w:tcW w:w="2940" w:type="dxa"/>
            <w:vAlign w:val="bottom"/>
          </w:tcPr>
          <w:p>
            <w:pPr>
              <w:spacing w:after="0"/>
              <w:rPr>
                <w:sz w:val="20"/>
                <w:szCs w:val="20"/>
                <w:color w:val="auto"/>
              </w:rPr>
            </w:pPr>
            <w:r>
              <w:rPr>
                <w:rFonts w:ascii="Arial" w:cs="Arial" w:eastAsia="Arial" w:hAnsi="Arial"/>
                <w:sz w:val="16"/>
                <w:szCs w:val="16"/>
                <w:b w:val="1"/>
                <w:bCs w:val="1"/>
                <w:color w:val="auto"/>
              </w:rPr>
              <w:t>Gregory J. Ritts</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2015</w:t>
            </w:r>
          </w:p>
        </w:tc>
        <w:tc>
          <w:tcPr>
            <w:tcW w:w="700" w:type="dxa"/>
            <w:vAlign w:val="bottom"/>
          </w:tcPr>
          <w:p>
            <w:pPr>
              <w:jc w:val="right"/>
              <w:spacing w:after="0"/>
              <w:rPr>
                <w:sz w:val="20"/>
                <w:szCs w:val="20"/>
                <w:color w:val="auto"/>
              </w:rPr>
            </w:pPr>
            <w:r>
              <w:rPr>
                <w:rFonts w:ascii="Arial" w:cs="Arial" w:eastAsia="Arial" w:hAnsi="Arial"/>
                <w:sz w:val="16"/>
                <w:szCs w:val="16"/>
                <w:color w:val="auto"/>
              </w:rPr>
              <w:t>$425,000</w:t>
            </w:r>
          </w:p>
        </w:tc>
        <w:tc>
          <w:tcPr>
            <w:tcW w:w="2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$103,320</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$78,103</w:t>
            </w:r>
          </w:p>
        </w:tc>
        <w:tc>
          <w:tcPr>
            <w:tcW w:w="240" w:type="dxa"/>
            <w:vAlign w:val="bottom"/>
          </w:tcPr>
          <w:p>
            <w:pPr>
              <w:spacing w:after="0"/>
              <w:rPr>
                <w:sz w:val="24"/>
                <w:szCs w:val="24"/>
                <w:color w:val="auto"/>
              </w:rPr>
            </w:pP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$309,375</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$135,673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$1,051,471</w:t>
            </w:r>
          </w:p>
        </w:tc>
        <w:tc>
          <w:tcPr>
            <w:tcW w:w="240" w:type="dxa"/>
            <w:vAlign w:val="bottom"/>
          </w:tcPr>
          <w:p>
            <w:pPr>
              <w:spacing w:after="0"/>
              <w:rPr>
                <w:sz w:val="24"/>
                <w:szCs w:val="24"/>
                <w:color w:val="auto"/>
              </w:rPr>
            </w:pPr>
          </w:p>
        </w:tc>
      </w:tr>
      <w:tr>
        <w:trPr>
          <w:trHeight w:val="189"/>
        </w:trPr>
        <w:tc>
          <w:tcPr>
            <w:tcW w:w="2940" w:type="dxa"/>
            <w:vAlign w:val="bottom"/>
          </w:tcPr>
          <w:p>
            <w:pPr>
              <w:spacing w:after="0"/>
              <w:rPr>
                <w:sz w:val="20"/>
                <w:szCs w:val="20"/>
                <w:color w:val="auto"/>
              </w:rPr>
            </w:pPr>
            <w:r>
              <w:rPr>
                <w:rFonts w:ascii="Arial" w:cs="Arial" w:eastAsia="Arial" w:hAnsi="Arial"/>
                <w:sz w:val="16"/>
                <w:szCs w:val="16"/>
                <w:color w:val="auto"/>
              </w:rPr>
              <w:t>Chief Legal and</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2016</w:t>
            </w:r>
          </w:p>
        </w:tc>
        <w:tc>
          <w:tcPr>
            <w:tcW w:w="700" w:type="dxa"/>
            <w:vAlign w:val="bottom"/>
          </w:tcPr>
          <w:p>
            <w:pPr>
              <w:jc w:val="right"/>
              <w:spacing w:after="0"/>
              <w:rPr>
                <w:sz w:val="20"/>
                <w:szCs w:val="20"/>
                <w:color w:val="auto"/>
              </w:rPr>
            </w:pPr>
            <w:r>
              <w:rPr>
                <w:rFonts w:ascii="Arial" w:cs="Arial" w:eastAsia="Arial" w:hAnsi="Arial"/>
                <w:sz w:val="16"/>
                <w:szCs w:val="16"/>
                <w:color w:val="auto"/>
              </w:rPr>
              <w:t>$425,000</w:t>
            </w:r>
          </w:p>
        </w:tc>
        <w:tc>
          <w:tcPr>
            <w:tcW w:w="24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$3,938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$188,241</w:t>
            </w:r>
          </w:p>
        </w:tc>
        <w:tc>
          <w:tcPr>
            <w:tcW w:w="240" w:type="dxa"/>
            <w:vAlign w:val="bottom"/>
          </w:tcPr>
          <w:p>
            <w:pPr>
              <w:spacing w:after="0"/>
              <w:rPr>
                <w:sz w:val="16"/>
                <w:szCs w:val="16"/>
                <w:color w:val="auto"/>
              </w:rPr>
            </w:pPr>
          </w:p>
        </w:tc>
        <w:tc>
          <w:tcPr>
            <w:tcW w:w="1240" w:type="dxa"/>
            <w:vAlign w:val="bottom"/>
          </w:tcPr>
          <w:p>
            <w:pPr>
              <w:jc w:val="right"/>
              <w:ind w:right="183"/>
              <w:spacing w:after="0"/>
              <w:rPr>
                <w:sz w:val="20"/>
                <w:szCs w:val="20"/>
                <w:color w:val="auto"/>
              </w:rPr>
            </w:pPr>
            <w:r>
              <w:rPr>
                <w:rFonts w:ascii="Arial" w:cs="Arial" w:eastAsia="Arial" w:hAnsi="Arial"/>
                <w:sz w:val="16"/>
                <w:szCs w:val="16"/>
                <w:color w:val="auto"/>
              </w:rPr>
              <w:t>$266,063</w:t>
            </w:r>
          </w:p>
        </w:tc>
        <w:tc>
          <w:tcPr>
            <w:tcW w:w="1320" w:type="dxa"/>
            <w:vAlign w:val="bottom"/>
            <w:gridSpan w:val="2"/>
          </w:tcPr>
          <w:p>
            <w:pPr>
              <w:jc w:val="right"/>
              <w:ind w:right="193"/>
              <w:spacing w:after="0"/>
              <w:rPr>
                <w:sz w:val="20"/>
                <w:szCs w:val="20"/>
                <w:color w:val="auto"/>
              </w:rPr>
            </w:pPr>
            <w:r>
              <w:rPr>
                <w:rFonts w:ascii="Arial" w:cs="Arial" w:eastAsia="Arial" w:hAnsi="Arial"/>
                <w:sz w:val="16"/>
                <w:szCs w:val="16"/>
                <w:color w:val="auto"/>
              </w:rPr>
              <w:t>$133,422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$1,016,664</w:t>
            </w:r>
          </w:p>
        </w:tc>
        <w:tc>
          <w:tcPr>
            <w:tcW w:w="240" w:type="dxa"/>
            <w:vAlign w:val="bottom"/>
          </w:tcPr>
          <w:p>
            <w:pPr>
              <w:spacing w:after="0"/>
              <w:rPr>
                <w:sz w:val="16"/>
                <w:szCs w:val="16"/>
                <w:color w:val="auto"/>
              </w:rPr>
            </w:pPr>
          </w:p>
        </w:tc>
      </w:tr>
      <w:tr>
        <w:trPr>
          <w:trHeight w:val="350"/>
        </w:trPr>
        <w:tc>
          <w:tcPr>
            <w:tcW w:w="2940" w:type="dxa"/>
            <w:vAlign w:val="bottom"/>
          </w:tcPr>
          <w:p>
            <w:pPr>
              <w:spacing w:after="0"/>
              <w:rPr>
                <w:sz w:val="20"/>
                <w:szCs w:val="20"/>
                <w:color w:val="auto"/>
              </w:rPr>
            </w:pPr>
            <w:r>
              <w:rPr>
                <w:rFonts w:ascii="Arial" w:cs="Arial" w:eastAsia="Arial" w:hAnsi="Arial"/>
                <w:sz w:val="16"/>
                <w:szCs w:val="16"/>
                <w:color w:val="auto"/>
              </w:rPr>
              <w:t>Compliance Officer</w:t>
            </w:r>
          </w:p>
        </w:tc>
        <w:tc>
          <w:tcPr>
            <w:tcW w:w="540" w:type="dxa"/>
            <w:vAlign w:val="bottom"/>
            <w:gridSpan w:val="3"/>
          </w:tcPr>
          <w:p>
            <w:pPr>
              <w:jc w:val="center"/>
              <w:ind w:right="20"/>
              <w:spacing w:after="0"/>
              <w:rPr>
                <w:sz w:val="20"/>
                <w:szCs w:val="20"/>
                <w:color w:val="auto"/>
              </w:rPr>
            </w:pPr>
            <w:r>
              <w:rPr>
                <w:rFonts w:ascii="Arial" w:cs="Arial" w:eastAsia="Arial" w:hAnsi="Arial"/>
                <w:sz w:val="16"/>
                <w:szCs w:val="16"/>
                <w:color w:val="auto"/>
              </w:rPr>
              <w:t>2017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3"/>
              </w:rPr>
              <w:t>$442,432</w:t>
            </w:r>
            <w:r>
              <w:rPr>
                <w:rFonts w:ascii="Arial" w:cs="Arial" w:eastAsia="Arial" w:hAnsi="Arial"/>
                <w:sz w:val="27"/>
                <w:szCs w:val="27"/>
                <w:color w:val="auto"/>
                <w:w w:val="93"/>
                <w:vertAlign w:val="superscript"/>
              </w:rPr>
              <w:t>(36)</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$23,125</w:t>
            </w:r>
            <w:r>
              <w:rPr>
                <w:rFonts w:ascii="Arial" w:cs="Arial" w:eastAsia="Arial" w:hAnsi="Arial"/>
                <w:sz w:val="27"/>
                <w:szCs w:val="27"/>
                <w:color w:val="auto"/>
                <w:vertAlign w:val="superscript"/>
              </w:rPr>
              <w:t>(37)</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$635,041</w:t>
            </w:r>
            <w:r>
              <w:rPr>
                <w:rFonts w:ascii="Arial" w:cs="Arial" w:eastAsia="Arial" w:hAnsi="Arial"/>
                <w:sz w:val="27"/>
                <w:szCs w:val="27"/>
                <w:color w:val="auto"/>
                <w:vertAlign w:val="superscript"/>
              </w:rPr>
              <w:t>(38)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$200,196</w:t>
            </w:r>
            <w:r>
              <w:rPr>
                <w:rFonts w:ascii="Arial" w:cs="Arial" w:eastAsia="Arial" w:hAnsi="Arial"/>
                <w:sz w:val="27"/>
                <w:szCs w:val="27"/>
                <w:color w:val="auto"/>
                <w:vertAlign w:val="superscript"/>
              </w:rPr>
              <w:t>(39)</w:t>
            </w:r>
          </w:p>
        </w:tc>
        <w:tc>
          <w:tcPr>
            <w:tcW w:w="1240" w:type="dxa"/>
            <w:vAlign w:val="bottom"/>
          </w:tcPr>
          <w:p>
            <w:pPr>
              <w:jc w:val="right"/>
              <w:spacing w:after="0"/>
              <w:rPr>
                <w:sz w:val="20"/>
                <w:szCs w:val="20"/>
                <w:color w:val="auto"/>
              </w:rPr>
            </w:pPr>
            <w:r>
              <w:rPr>
                <w:rFonts w:ascii="Arial" w:cs="Arial" w:eastAsia="Arial" w:hAnsi="Arial"/>
                <w:sz w:val="16"/>
                <w:szCs w:val="16"/>
                <w:color w:val="auto"/>
              </w:rPr>
              <w:t>$231,973</w:t>
            </w:r>
            <w:r>
              <w:rPr>
                <w:rFonts w:ascii="Arial" w:cs="Arial" w:eastAsia="Arial" w:hAnsi="Arial"/>
                <w:sz w:val="27"/>
                <w:szCs w:val="27"/>
                <w:color w:val="auto"/>
                <w:vertAlign w:val="superscript"/>
              </w:rPr>
              <w:t>(40)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$148,581</w:t>
            </w:r>
            <w:r>
              <w:rPr>
                <w:rFonts w:ascii="Arial" w:cs="Arial" w:eastAsia="Arial" w:hAnsi="Arial"/>
                <w:sz w:val="27"/>
                <w:szCs w:val="27"/>
                <w:color w:val="auto"/>
                <w:vertAlign w:val="superscript"/>
              </w:rPr>
              <w:t>(41)</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$1,681,348</w:t>
            </w:r>
            <w:r>
              <w:rPr>
                <w:rFonts w:ascii="Arial" w:cs="Arial" w:eastAsia="Arial" w:hAnsi="Arial"/>
                <w:sz w:val="27"/>
                <w:szCs w:val="27"/>
                <w:color w:val="auto"/>
                <w:vertAlign w:val="superscript"/>
              </w:rPr>
              <w:t>(42)</w:t>
            </w:r>
          </w:p>
        </w:tc>
      </w:tr>
    </w:tbl>
    <w:p>
      <w:pPr>
        <w:ind w:left="500" w:hanging="499"/>
        <w:spacing w:after="0" w:line="184" w:lineRule="auto"/>
        <w:tabs>
          <w:tab w:leader="none" w:pos="500" w:val="left"/>
        </w:tabs>
        <w:numPr>
          <w:ilvl w:val="0"/>
          <w:numId w:val="50"/>
        </w:numPr>
        <w:rPr>
          <w:rFonts w:ascii="Arial" w:cs="Arial" w:eastAsia="Arial" w:hAnsi="Arial"/>
          <w:sz w:val="27"/>
          <w:szCs w:val="27"/>
          <w:color w:val="auto"/>
          <w:vertAlign w:val="superscript"/>
        </w:rPr>
      </w:pPr>
      <w:r>
        <w:rPr>
          <w:rFonts w:ascii="Arial" w:cs="Arial" w:eastAsia="Arial" w:hAnsi="Arial"/>
          <w:sz w:val="16"/>
          <w:szCs w:val="16"/>
          <w:color w:val="auto"/>
        </w:rPr>
        <w:t>Represents amounts earned in corresponding year.</w:t>
      </w:r>
    </w:p>
    <w:p>
      <w:pPr>
        <w:spacing w:after="0" w:line="196" w:lineRule="exact"/>
        <w:rPr>
          <w:rFonts w:ascii="Arial" w:cs="Arial" w:eastAsia="Arial" w:hAnsi="Arial"/>
          <w:sz w:val="27"/>
          <w:szCs w:val="27"/>
          <w:color w:val="auto"/>
          <w:vertAlign w:val="superscript"/>
        </w:rPr>
      </w:pPr>
    </w:p>
    <w:p>
      <w:pPr>
        <w:ind w:left="500" w:right="80" w:hanging="499"/>
        <w:spacing w:after="0" w:line="203" w:lineRule="auto"/>
        <w:tabs>
          <w:tab w:leader="none" w:pos="500" w:val="left"/>
        </w:tabs>
        <w:numPr>
          <w:ilvl w:val="0"/>
          <w:numId w:val="50"/>
        </w:numPr>
        <w:rPr>
          <w:rFonts w:ascii="Arial" w:cs="Arial" w:eastAsia="Arial" w:hAnsi="Arial"/>
          <w:sz w:val="27"/>
          <w:szCs w:val="27"/>
          <w:color w:val="auto"/>
          <w:vertAlign w:val="superscript"/>
        </w:rPr>
      </w:pPr>
      <w:r>
        <w:rPr>
          <w:rFonts w:ascii="Arial" w:cs="Arial" w:eastAsia="Arial" w:hAnsi="Arial"/>
          <w:sz w:val="16"/>
          <w:szCs w:val="16"/>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granted, as per the grant date.</w:t>
      </w:r>
    </w:p>
    <w:p>
      <w:pPr>
        <w:spacing w:after="0" w:line="184" w:lineRule="exact"/>
        <w:rPr>
          <w:rFonts w:ascii="Arial" w:cs="Arial" w:eastAsia="Arial" w:hAnsi="Arial"/>
          <w:sz w:val="27"/>
          <w:szCs w:val="27"/>
          <w:color w:val="auto"/>
          <w:vertAlign w:val="superscript"/>
        </w:rPr>
      </w:pPr>
    </w:p>
    <w:p>
      <w:pPr>
        <w:ind w:left="500" w:right="160" w:hanging="499"/>
        <w:spacing w:after="0" w:line="203" w:lineRule="auto"/>
        <w:tabs>
          <w:tab w:leader="none" w:pos="500" w:val="left"/>
        </w:tabs>
        <w:numPr>
          <w:ilvl w:val="0"/>
          <w:numId w:val="50"/>
        </w:numPr>
        <w:rPr>
          <w:rFonts w:ascii="Arial" w:cs="Arial" w:eastAsia="Arial" w:hAnsi="Arial"/>
          <w:sz w:val="27"/>
          <w:szCs w:val="27"/>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2017 using a Black-Scholes option-pricing model and a binomial option pricing model utilizing the following assumptions: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Service-Based and Performance-Based Awards - Black-Scholes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 Pricing Model</w:t>
      </w:r>
    </w:p>
    <w:tbl>
      <w:tblPr>
        <w:tblLayout w:type="fixed"/>
        <w:tblInd w:w="0" w:type="dxa"/>
        <w:tblCellMar>
          <w:top w:w="0" w:type="dxa"/>
          <w:left w:w="0" w:type="dxa"/>
          <w:bottom w:w="0" w:type="dxa"/>
          <w:right w:w="0" w:type="dxa"/>
        </w:tblCellMar>
      </w:tblPr>
      <w:tr>
        <w:trPr>
          <w:trHeight w:val="133"/>
        </w:trPr>
        <w:tc>
          <w:tcPr>
            <w:tcW w:w="172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left="133"/>
              <w:spacing w:after="0" w:line="133" w:lineRule="exact"/>
              <w:rPr>
                <w:sz w:val="20"/>
                <w:szCs w:val="20"/>
                <w:color w:val="auto"/>
              </w:rPr>
            </w:pPr>
            <w:r>
              <w:rPr>
                <w:rFonts w:ascii="Arial" w:cs="Arial" w:eastAsia="Arial" w:hAnsi="Arial"/>
                <w:sz w:val="13"/>
                <w:szCs w:val="13"/>
                <w:b w:val="1"/>
                <w:bCs w:val="1"/>
                <w:color w:val="auto"/>
              </w:rPr>
              <w:t>Expected</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Risk-Free</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Expected</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Performance</w:t>
            </w:r>
          </w:p>
        </w:tc>
        <w:tc>
          <w:tcPr>
            <w:tcW w:w="1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Volatility</w:t>
            </w:r>
          </w:p>
        </w:tc>
        <w:tc>
          <w:tcPr>
            <w:tcW w:w="140" w:type="dxa"/>
            <w:vAlign w:val="bottom"/>
          </w:tcPr>
          <w:p>
            <w:pPr>
              <w:spacing w:after="0"/>
              <w:rPr>
                <w:sz w:val="13"/>
                <w:szCs w:val="13"/>
                <w:color w:val="auto"/>
              </w:rPr>
            </w:pPr>
          </w:p>
        </w:tc>
        <w:tc>
          <w:tcPr>
            <w:tcW w:w="1080" w:type="dxa"/>
            <w:vAlign w:val="bottom"/>
          </w:tcPr>
          <w:p>
            <w:pPr>
              <w:jc w:val="center"/>
              <w:ind w:left="133"/>
              <w:spacing w:after="0"/>
              <w:rPr>
                <w:sz w:val="20"/>
                <w:szCs w:val="20"/>
                <w:color w:val="auto"/>
              </w:rPr>
            </w:pPr>
            <w:r>
              <w:rPr>
                <w:rFonts w:ascii="Arial" w:cs="Arial" w:eastAsia="Arial" w:hAnsi="Arial"/>
                <w:sz w:val="13"/>
                <w:szCs w:val="13"/>
                <w:b w:val="1"/>
                <w:bCs w:val="1"/>
                <w:color w:val="auto"/>
              </w:rPr>
              <w:t>Dividend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3"/>
                <w:szCs w:val="13"/>
                <w:color w:val="auto"/>
              </w:rPr>
            </w:pPr>
          </w:p>
        </w:tc>
        <w:tc>
          <w:tcPr>
            <w:tcW w:w="302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97"/>
              </w:rPr>
              <w:t>Term in</w:t>
            </w:r>
          </w:p>
        </w:tc>
        <w:tc>
          <w:tcPr>
            <w:tcW w:w="0" w:type="dxa"/>
            <w:vAlign w:val="bottom"/>
          </w:tcPr>
          <w:p>
            <w:pPr>
              <w:spacing w:after="0"/>
              <w:rPr>
                <w:sz w:val="1"/>
                <w:szCs w:val="1"/>
                <w:color w:val="auto"/>
              </w:rPr>
            </w:pPr>
          </w:p>
        </w:tc>
      </w:tr>
      <w:tr>
        <w:trPr>
          <w:trHeight w:val="163"/>
        </w:trPr>
        <w:tc>
          <w:tcPr>
            <w:tcW w:w="172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ind w:left="133"/>
              <w:spacing w:after="0"/>
              <w:rPr>
                <w:sz w:val="20"/>
                <w:szCs w:val="20"/>
                <w:color w:val="auto"/>
              </w:rPr>
            </w:pPr>
            <w:r>
              <w:rPr>
                <w:rFonts w:ascii="Arial" w:cs="Arial" w:eastAsia="Arial" w:hAnsi="Arial"/>
                <w:sz w:val="13"/>
                <w:szCs w:val="13"/>
                <w:b w:val="1"/>
                <w:bCs w:val="1"/>
                <w:color w:val="auto"/>
              </w:rPr>
              <w:t>Yield (%)</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Rate (%)</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2015</w:t>
            </w:r>
          </w:p>
        </w:tc>
        <w:tc>
          <w:tcPr>
            <w:tcW w:w="760" w:type="dxa"/>
            <w:vAlign w:val="bottom"/>
            <w:gridSpan w:val="2"/>
            <w:shd w:val="clear" w:color="auto" w:fill="CCEEFF"/>
          </w:tcPr>
          <w:p>
            <w:pPr>
              <w:jc w:val="center"/>
              <w:ind w:left="38"/>
              <w:spacing w:after="0"/>
              <w:rPr>
                <w:sz w:val="20"/>
                <w:szCs w:val="20"/>
                <w:color w:val="auto"/>
              </w:rPr>
            </w:pPr>
            <w:r>
              <w:rPr>
                <w:rFonts w:ascii="Arial" w:cs="Arial" w:eastAsia="Arial" w:hAnsi="Arial"/>
                <w:sz w:val="16"/>
                <w:szCs w:val="16"/>
                <w:color w:val="auto"/>
                <w:w w:val="99"/>
              </w:rPr>
              <w:t>55%</w:t>
            </w:r>
          </w:p>
        </w:tc>
        <w:tc>
          <w:tcPr>
            <w:tcW w:w="1220" w:type="dxa"/>
            <w:vAlign w:val="bottom"/>
            <w:gridSpan w:val="2"/>
            <w:shd w:val="clear" w:color="auto" w:fill="CCEEFF"/>
          </w:tcPr>
          <w:p>
            <w:pPr>
              <w:jc w:val="center"/>
              <w:ind w:left="278"/>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center"/>
              <w:ind w:left="258"/>
              <w:spacing w:after="0"/>
              <w:rPr>
                <w:sz w:val="20"/>
                <w:szCs w:val="20"/>
                <w:color w:val="auto"/>
              </w:rPr>
            </w:pPr>
            <w:r>
              <w:rPr>
                <w:rFonts w:ascii="Arial" w:cs="Arial" w:eastAsia="Arial" w:hAnsi="Arial"/>
                <w:sz w:val="16"/>
                <w:szCs w:val="16"/>
                <w:color w:val="auto"/>
              </w:rPr>
              <w:t>$21.89</w:t>
            </w:r>
          </w:p>
        </w:tc>
        <w:tc>
          <w:tcPr>
            <w:tcW w:w="148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1.67%</w:t>
            </w:r>
          </w:p>
        </w:tc>
        <w:tc>
          <w:tcPr>
            <w:tcW w:w="1440" w:type="dxa"/>
            <w:vAlign w:val="bottom"/>
            <w:gridSpan w:val="2"/>
            <w:shd w:val="clear" w:color="auto" w:fill="CCEEFF"/>
          </w:tcPr>
          <w:p>
            <w:pPr>
              <w:jc w:val="center"/>
              <w:ind w:left="78"/>
              <w:spacing w:after="0"/>
              <w:rPr>
                <w:sz w:val="20"/>
                <w:szCs w:val="20"/>
                <w:color w:val="auto"/>
              </w:rPr>
            </w:pPr>
            <w:r>
              <w:rPr>
                <w:rFonts w:ascii="Arial" w:cs="Arial" w:eastAsia="Arial" w:hAnsi="Arial"/>
                <w:sz w:val="16"/>
                <w:szCs w:val="16"/>
                <w:color w:val="auto"/>
              </w:rPr>
              <w:t>6.25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1800" w:type="dxa"/>
            <w:vAlign w:val="bottom"/>
            <w:vMerge w:val="continue"/>
            <w:shd w:val="clear" w:color="auto" w:fill="CCEEFF"/>
          </w:tcPr>
          <w:p>
            <w:pPr>
              <w:spacing w:after="0"/>
              <w:rPr>
                <w:sz w:val="8"/>
                <w:szCs w:val="8"/>
                <w:color w:val="auto"/>
              </w:rPr>
            </w:pPr>
          </w:p>
        </w:tc>
        <w:tc>
          <w:tcPr>
            <w:tcW w:w="760" w:type="dxa"/>
            <w:vAlign w:val="bottom"/>
            <w:gridSpan w:val="2"/>
            <w:vMerge w:val="restart"/>
            <w:shd w:val="clear" w:color="auto" w:fill="CCEEFF"/>
          </w:tcPr>
          <w:p>
            <w:pPr>
              <w:jc w:val="center"/>
              <w:ind w:left="38"/>
              <w:spacing w:after="0"/>
              <w:rPr>
                <w:sz w:val="20"/>
                <w:szCs w:val="20"/>
                <w:color w:val="auto"/>
              </w:rPr>
            </w:pPr>
            <w:r>
              <w:rPr>
                <w:rFonts w:ascii="Arial" w:cs="Arial" w:eastAsia="Arial" w:hAnsi="Arial"/>
                <w:sz w:val="16"/>
                <w:szCs w:val="16"/>
                <w:color w:val="auto"/>
                <w:w w:val="99"/>
              </w:rPr>
              <w:t>57%</w:t>
            </w:r>
          </w:p>
        </w:tc>
        <w:tc>
          <w:tcPr>
            <w:tcW w:w="1220" w:type="dxa"/>
            <w:vAlign w:val="bottom"/>
            <w:gridSpan w:val="2"/>
            <w:vMerge w:val="restart"/>
            <w:shd w:val="clear" w:color="auto" w:fill="CCEEFF"/>
          </w:tcPr>
          <w:p>
            <w:pPr>
              <w:jc w:val="center"/>
              <w:ind w:left="278"/>
              <w:spacing w:after="0"/>
              <w:rPr>
                <w:sz w:val="20"/>
                <w:szCs w:val="20"/>
                <w:color w:val="auto"/>
              </w:rPr>
            </w:pPr>
            <w:r>
              <w:rPr>
                <w:rFonts w:ascii="Arial" w:cs="Arial" w:eastAsia="Arial" w:hAnsi="Arial"/>
                <w:sz w:val="16"/>
                <w:szCs w:val="16"/>
                <w:color w:val="auto"/>
              </w:rPr>
              <w:t>-</w:t>
            </w:r>
          </w:p>
        </w:tc>
        <w:tc>
          <w:tcPr>
            <w:tcW w:w="1280" w:type="dxa"/>
            <w:vAlign w:val="bottom"/>
            <w:gridSpan w:val="3"/>
            <w:vMerge w:val="restart"/>
            <w:shd w:val="clear" w:color="auto" w:fill="CCEEFF"/>
          </w:tcPr>
          <w:p>
            <w:pPr>
              <w:jc w:val="center"/>
              <w:ind w:left="258"/>
              <w:spacing w:after="0"/>
              <w:rPr>
                <w:sz w:val="20"/>
                <w:szCs w:val="20"/>
                <w:color w:val="auto"/>
              </w:rPr>
            </w:pPr>
            <w:r>
              <w:rPr>
                <w:rFonts w:ascii="Arial" w:cs="Arial" w:eastAsia="Arial" w:hAnsi="Arial"/>
                <w:sz w:val="16"/>
                <w:szCs w:val="16"/>
                <w:color w:val="auto"/>
              </w:rPr>
              <w:t>$18.79</w:t>
            </w:r>
          </w:p>
        </w:tc>
        <w:tc>
          <w:tcPr>
            <w:tcW w:w="148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1.50%</w:t>
            </w:r>
          </w:p>
        </w:tc>
        <w:tc>
          <w:tcPr>
            <w:tcW w:w="1440" w:type="dxa"/>
            <w:vAlign w:val="bottom"/>
            <w:gridSpan w:val="2"/>
            <w:vMerge w:val="restart"/>
            <w:shd w:val="clear" w:color="auto" w:fill="CCEEFF"/>
          </w:tcPr>
          <w:p>
            <w:pPr>
              <w:jc w:val="center"/>
              <w:ind w:left="78"/>
              <w:spacing w:after="0"/>
              <w:rPr>
                <w:sz w:val="20"/>
                <w:szCs w:val="20"/>
                <w:color w:val="auto"/>
              </w:rPr>
            </w:pPr>
            <w:r>
              <w:rPr>
                <w:rFonts w:ascii="Arial" w:cs="Arial" w:eastAsia="Arial" w:hAnsi="Arial"/>
                <w:sz w:val="16"/>
                <w:szCs w:val="16"/>
                <w:color w:val="auto"/>
              </w:rPr>
              <w:t>6.00</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80" w:type="dxa"/>
            <w:vAlign w:val="bottom"/>
            <w:gridSpan w:val="3"/>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jc w:val="center"/>
              <w:ind w:left="1638"/>
              <w:spacing w:after="0"/>
              <w:rPr>
                <w:sz w:val="20"/>
                <w:szCs w:val="20"/>
                <w:color w:val="auto"/>
              </w:rPr>
            </w:pPr>
            <w:r>
              <w:rPr>
                <w:rFonts w:ascii="Arial" w:cs="Arial" w:eastAsia="Arial" w:hAnsi="Arial"/>
                <w:sz w:val="16"/>
                <w:szCs w:val="16"/>
                <w:color w:val="auto"/>
              </w:rPr>
              <w:t>2016</w:t>
            </w:r>
          </w:p>
        </w:tc>
        <w:tc>
          <w:tcPr>
            <w:tcW w:w="760" w:type="dxa"/>
            <w:vAlign w:val="bottom"/>
            <w:gridSpan w:val="2"/>
          </w:tcPr>
          <w:p>
            <w:pPr>
              <w:jc w:val="center"/>
              <w:ind w:left="38"/>
              <w:spacing w:after="0"/>
              <w:rPr>
                <w:sz w:val="20"/>
                <w:szCs w:val="20"/>
                <w:color w:val="auto"/>
              </w:rPr>
            </w:pPr>
            <w:r>
              <w:rPr>
                <w:rFonts w:ascii="Arial" w:cs="Arial" w:eastAsia="Arial" w:hAnsi="Arial"/>
                <w:sz w:val="16"/>
                <w:szCs w:val="16"/>
                <w:color w:val="auto"/>
                <w:w w:val="99"/>
              </w:rPr>
              <w:t>62%</w:t>
            </w:r>
          </w:p>
        </w:tc>
        <w:tc>
          <w:tcPr>
            <w:tcW w:w="1220" w:type="dxa"/>
            <w:vAlign w:val="bottom"/>
            <w:gridSpan w:val="2"/>
          </w:tcPr>
          <w:p>
            <w:pPr>
              <w:jc w:val="center"/>
              <w:ind w:left="278"/>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center"/>
              <w:ind w:left="258"/>
              <w:spacing w:after="0"/>
              <w:rPr>
                <w:sz w:val="20"/>
                <w:szCs w:val="20"/>
                <w:color w:val="auto"/>
              </w:rPr>
            </w:pPr>
            <w:r>
              <w:rPr>
                <w:rFonts w:ascii="Arial" w:cs="Arial" w:eastAsia="Arial" w:hAnsi="Arial"/>
                <w:sz w:val="16"/>
                <w:szCs w:val="16"/>
                <w:color w:val="auto"/>
              </w:rPr>
              <w:t>$32.64</w:t>
            </w:r>
          </w:p>
        </w:tc>
        <w:tc>
          <w:tcPr>
            <w:tcW w:w="1480" w:type="dxa"/>
            <w:vAlign w:val="bottom"/>
            <w:gridSpan w:val="2"/>
          </w:tcPr>
          <w:p>
            <w:pPr>
              <w:jc w:val="center"/>
              <w:ind w:left="58"/>
              <w:spacing w:after="0"/>
              <w:rPr>
                <w:sz w:val="20"/>
                <w:szCs w:val="20"/>
                <w:color w:val="auto"/>
              </w:rPr>
            </w:pPr>
            <w:r>
              <w:rPr>
                <w:rFonts w:ascii="Arial" w:cs="Arial" w:eastAsia="Arial" w:hAnsi="Arial"/>
                <w:sz w:val="16"/>
                <w:szCs w:val="16"/>
                <w:color w:val="auto"/>
              </w:rPr>
              <w:t>1.31%</w:t>
            </w:r>
          </w:p>
        </w:tc>
        <w:tc>
          <w:tcPr>
            <w:tcW w:w="1440" w:type="dxa"/>
            <w:vAlign w:val="bottom"/>
            <w:gridSpan w:val="2"/>
          </w:tcPr>
          <w:p>
            <w:pPr>
              <w:jc w:val="center"/>
              <w:ind w:left="78"/>
              <w:spacing w:after="0"/>
              <w:rPr>
                <w:sz w:val="20"/>
                <w:szCs w:val="20"/>
                <w:color w:val="auto"/>
              </w:rPr>
            </w:pPr>
            <w:r>
              <w:rPr>
                <w:rFonts w:ascii="Arial" w:cs="Arial" w:eastAsia="Arial" w:hAnsi="Arial"/>
                <w:sz w:val="16"/>
                <w:szCs w:val="16"/>
                <w:color w:val="auto"/>
              </w:rPr>
              <w:t>6.00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760" w:type="dxa"/>
            <w:vAlign w:val="bottom"/>
            <w:gridSpan w:val="2"/>
            <w:shd w:val="clear" w:color="auto" w:fill="CCEEFF"/>
          </w:tcPr>
          <w:p>
            <w:pPr>
              <w:jc w:val="center"/>
              <w:ind w:left="38"/>
              <w:spacing w:after="0"/>
              <w:rPr>
                <w:sz w:val="20"/>
                <w:szCs w:val="20"/>
                <w:color w:val="auto"/>
              </w:rPr>
            </w:pPr>
            <w:r>
              <w:rPr>
                <w:rFonts w:ascii="Arial" w:cs="Arial" w:eastAsia="Arial" w:hAnsi="Arial"/>
                <w:sz w:val="16"/>
                <w:szCs w:val="16"/>
                <w:color w:val="auto"/>
                <w:w w:val="99"/>
              </w:rPr>
              <w:t>61%</w:t>
            </w:r>
          </w:p>
        </w:tc>
        <w:tc>
          <w:tcPr>
            <w:tcW w:w="1220" w:type="dxa"/>
            <w:vAlign w:val="bottom"/>
            <w:gridSpan w:val="2"/>
            <w:shd w:val="clear" w:color="auto" w:fill="CCEEFF"/>
          </w:tcPr>
          <w:p>
            <w:pPr>
              <w:jc w:val="center"/>
              <w:ind w:left="278"/>
              <w:spacing w:after="0"/>
              <w:rPr>
                <w:sz w:val="20"/>
                <w:szCs w:val="20"/>
                <w:color w:val="auto"/>
              </w:rPr>
            </w:pPr>
            <w:r>
              <w:rPr>
                <w:rFonts w:ascii="Arial" w:cs="Arial" w:eastAsia="Arial" w:hAnsi="Arial"/>
                <w:sz w:val="16"/>
                <w:szCs w:val="16"/>
                <w:color w:val="auto"/>
              </w:rPr>
              <w:t>-</w:t>
            </w:r>
          </w:p>
        </w:tc>
        <w:tc>
          <w:tcPr>
            <w:tcW w:w="1280" w:type="dxa"/>
            <w:vAlign w:val="bottom"/>
            <w:gridSpan w:val="3"/>
            <w:shd w:val="clear" w:color="auto" w:fill="CCEEFF"/>
          </w:tcPr>
          <w:p>
            <w:pPr>
              <w:jc w:val="center"/>
              <w:ind w:left="258"/>
              <w:spacing w:after="0"/>
              <w:rPr>
                <w:sz w:val="20"/>
                <w:szCs w:val="20"/>
                <w:color w:val="auto"/>
              </w:rPr>
            </w:pPr>
            <w:r>
              <w:rPr>
                <w:rFonts w:ascii="Arial" w:cs="Arial" w:eastAsia="Arial" w:hAnsi="Arial"/>
                <w:sz w:val="16"/>
                <w:szCs w:val="16"/>
                <w:color w:val="auto"/>
              </w:rPr>
              <w:t>$39.13</w:t>
            </w:r>
          </w:p>
        </w:tc>
        <w:tc>
          <w:tcPr>
            <w:tcW w:w="148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2.29%</w:t>
            </w:r>
          </w:p>
        </w:tc>
        <w:tc>
          <w:tcPr>
            <w:tcW w:w="1440" w:type="dxa"/>
            <w:vAlign w:val="bottom"/>
            <w:gridSpan w:val="2"/>
            <w:shd w:val="clear" w:color="auto" w:fill="CCEEFF"/>
          </w:tcPr>
          <w:p>
            <w:pPr>
              <w:jc w:val="center"/>
              <w:ind w:left="78"/>
              <w:spacing w:after="0"/>
              <w:rPr>
                <w:sz w:val="20"/>
                <w:szCs w:val="20"/>
                <w:color w:val="auto"/>
              </w:rPr>
            </w:pPr>
            <w:r>
              <w:rPr>
                <w:rFonts w:ascii="Arial" w:cs="Arial" w:eastAsia="Arial" w:hAnsi="Arial"/>
                <w:sz w:val="16"/>
                <w:szCs w:val="16"/>
                <w:color w:val="auto"/>
              </w:rPr>
              <w:t>7.50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1800" w:type="dxa"/>
            <w:vAlign w:val="bottom"/>
            <w:vMerge w:val="continue"/>
            <w:shd w:val="clear" w:color="auto" w:fill="CCEEFF"/>
          </w:tcPr>
          <w:p>
            <w:pPr>
              <w:spacing w:after="0"/>
              <w:rPr>
                <w:sz w:val="8"/>
                <w:szCs w:val="8"/>
                <w:color w:val="auto"/>
              </w:rPr>
            </w:pPr>
          </w:p>
        </w:tc>
        <w:tc>
          <w:tcPr>
            <w:tcW w:w="760" w:type="dxa"/>
            <w:vAlign w:val="bottom"/>
            <w:gridSpan w:val="2"/>
            <w:vMerge w:val="restart"/>
            <w:shd w:val="clear" w:color="auto" w:fill="CCEEFF"/>
          </w:tcPr>
          <w:p>
            <w:pPr>
              <w:jc w:val="center"/>
              <w:ind w:left="38"/>
              <w:spacing w:after="0"/>
              <w:rPr>
                <w:sz w:val="20"/>
                <w:szCs w:val="20"/>
                <w:color w:val="auto"/>
              </w:rPr>
            </w:pPr>
            <w:r>
              <w:rPr>
                <w:rFonts w:ascii="Arial" w:cs="Arial" w:eastAsia="Arial" w:hAnsi="Arial"/>
                <w:sz w:val="16"/>
                <w:szCs w:val="16"/>
                <w:color w:val="auto"/>
                <w:w w:val="99"/>
              </w:rPr>
              <w:t>67%</w:t>
            </w:r>
          </w:p>
        </w:tc>
        <w:tc>
          <w:tcPr>
            <w:tcW w:w="1220" w:type="dxa"/>
            <w:vAlign w:val="bottom"/>
            <w:gridSpan w:val="2"/>
            <w:vMerge w:val="restart"/>
            <w:shd w:val="clear" w:color="auto" w:fill="CCEEFF"/>
          </w:tcPr>
          <w:p>
            <w:pPr>
              <w:jc w:val="center"/>
              <w:ind w:left="278"/>
              <w:spacing w:after="0"/>
              <w:rPr>
                <w:sz w:val="20"/>
                <w:szCs w:val="20"/>
                <w:color w:val="auto"/>
              </w:rPr>
            </w:pPr>
            <w:r>
              <w:rPr>
                <w:rFonts w:ascii="Arial" w:cs="Arial" w:eastAsia="Arial" w:hAnsi="Arial"/>
                <w:sz w:val="16"/>
                <w:szCs w:val="16"/>
                <w:color w:val="auto"/>
              </w:rPr>
              <w:t>-</w:t>
            </w:r>
          </w:p>
        </w:tc>
        <w:tc>
          <w:tcPr>
            <w:tcW w:w="1280" w:type="dxa"/>
            <w:vAlign w:val="bottom"/>
            <w:gridSpan w:val="3"/>
            <w:vMerge w:val="restart"/>
            <w:shd w:val="clear" w:color="auto" w:fill="CCEEFF"/>
          </w:tcPr>
          <w:p>
            <w:pPr>
              <w:jc w:val="center"/>
              <w:ind w:left="258"/>
              <w:spacing w:after="0"/>
              <w:rPr>
                <w:sz w:val="20"/>
                <w:szCs w:val="20"/>
                <w:color w:val="auto"/>
              </w:rPr>
            </w:pPr>
            <w:r>
              <w:rPr>
                <w:rFonts w:ascii="Arial" w:cs="Arial" w:eastAsia="Arial" w:hAnsi="Arial"/>
                <w:sz w:val="16"/>
                <w:szCs w:val="16"/>
                <w:color w:val="auto"/>
              </w:rPr>
              <w:t>$39.13</w:t>
            </w:r>
          </w:p>
        </w:tc>
        <w:tc>
          <w:tcPr>
            <w:tcW w:w="148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2.06%</w:t>
            </w:r>
          </w:p>
        </w:tc>
        <w:tc>
          <w:tcPr>
            <w:tcW w:w="1440" w:type="dxa"/>
            <w:vAlign w:val="bottom"/>
            <w:gridSpan w:val="2"/>
            <w:vMerge w:val="restart"/>
            <w:shd w:val="clear" w:color="auto" w:fill="CCEEFF"/>
          </w:tcPr>
          <w:p>
            <w:pPr>
              <w:jc w:val="center"/>
              <w:ind w:left="78"/>
              <w:spacing w:after="0"/>
              <w:rPr>
                <w:sz w:val="20"/>
                <w:szCs w:val="20"/>
                <w:color w:val="auto"/>
              </w:rPr>
            </w:pPr>
            <w:r>
              <w:rPr>
                <w:rFonts w:ascii="Arial" w:cs="Arial" w:eastAsia="Arial" w:hAnsi="Arial"/>
                <w:sz w:val="16"/>
                <w:szCs w:val="16"/>
                <w:color w:val="auto"/>
              </w:rPr>
              <w:t>6.00</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720" w:type="dxa"/>
            <w:vAlign w:val="bottom"/>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80" w:type="dxa"/>
            <w:vAlign w:val="bottom"/>
            <w:gridSpan w:val="3"/>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720" w:type="dxa"/>
            <w:vAlign w:val="bottom"/>
            <w:tcBorders>
              <w:bottom w:val="single" w:sz="8" w:color="808080"/>
            </w:tcBorders>
          </w:tcPr>
          <w:p>
            <w:pPr>
              <w:spacing w:after="0"/>
              <w:rPr>
                <w:sz w:val="17"/>
                <w:szCs w:val="17"/>
                <w:color w:val="auto"/>
              </w:rPr>
            </w:pPr>
          </w:p>
        </w:tc>
        <w:tc>
          <w:tcPr>
            <w:tcW w:w="18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Market-Based Awards - Binomial Option Pricing Model</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33"/>
        </w:trPr>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Risk-Free</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rPr>
              <w:t>Expected</w:t>
            </w: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Performance</w:t>
            </w:r>
          </w:p>
        </w:tc>
        <w:tc>
          <w:tcPr>
            <w:tcW w:w="620" w:type="dxa"/>
            <w:vAlign w:val="bottom"/>
          </w:tcPr>
          <w:p>
            <w:pPr>
              <w:ind w:left="40"/>
              <w:spacing w:after="0"/>
              <w:rPr>
                <w:sz w:val="20"/>
                <w:szCs w:val="20"/>
                <w:color w:val="auto"/>
              </w:rPr>
            </w:pPr>
            <w:r>
              <w:rPr>
                <w:rFonts w:ascii="Arial" w:cs="Arial" w:eastAsia="Arial" w:hAnsi="Arial"/>
                <w:sz w:val="13"/>
                <w:szCs w:val="13"/>
                <w:b w:val="1"/>
                <w:bCs w:val="1"/>
                <w:color w:val="auto"/>
              </w:rPr>
              <w:t>Volatility</w:t>
            </w:r>
          </w:p>
        </w:tc>
        <w:tc>
          <w:tcPr>
            <w:tcW w:w="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Dividend</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rPr>
              <w:t>Term in</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Yield (%)</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Rate (%)</w:t>
            </w:r>
          </w:p>
        </w:tc>
        <w:tc>
          <w:tcPr>
            <w:tcW w:w="1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w:t>
            </w:r>
          </w:p>
        </w:tc>
        <w:tc>
          <w:tcPr>
            <w:tcW w:w="0" w:type="dxa"/>
            <w:vAlign w:val="bottom"/>
          </w:tcPr>
          <w:p>
            <w:pPr>
              <w:spacing w:after="0"/>
              <w:rPr>
                <w:sz w:val="1"/>
                <w:szCs w:val="1"/>
                <w:color w:val="auto"/>
              </w:rPr>
            </w:pPr>
          </w:p>
        </w:tc>
      </w:tr>
      <w:tr>
        <w:trPr>
          <w:trHeight w:val="185"/>
        </w:trPr>
        <w:tc>
          <w:tcPr>
            <w:tcW w:w="1140" w:type="dxa"/>
            <w:vAlign w:val="bottom"/>
            <w:gridSpan w:val="2"/>
            <w:vMerge w:val="restart"/>
            <w:shd w:val="clear" w:color="auto" w:fill="CCEEFF"/>
          </w:tcPr>
          <w:p>
            <w:pPr>
              <w:jc w:val="center"/>
              <w:ind w:left="218"/>
              <w:spacing w:after="0"/>
              <w:rPr>
                <w:sz w:val="20"/>
                <w:szCs w:val="20"/>
                <w:color w:val="auto"/>
              </w:rPr>
            </w:pPr>
            <w:r>
              <w:rPr>
                <w:rFonts w:ascii="Arial" w:cs="Arial" w:eastAsia="Arial" w:hAnsi="Arial"/>
                <w:sz w:val="16"/>
                <w:szCs w:val="16"/>
                <w:color w:val="auto"/>
              </w:rPr>
              <w:t>2015</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18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c>
          <w:tcPr>
            <w:tcW w:w="1060" w:type="dxa"/>
            <w:vAlign w:val="bottom"/>
            <w:gridSpan w:val="2"/>
            <w:shd w:val="clear" w:color="auto" w:fill="CCEEFF"/>
          </w:tcPr>
          <w:p>
            <w:pPr>
              <w:jc w:val="center"/>
              <w:ind w:left="78"/>
              <w:spacing w:after="0"/>
              <w:rPr>
                <w:sz w:val="20"/>
                <w:szCs w:val="20"/>
                <w:color w:val="auto"/>
              </w:rPr>
            </w:pPr>
            <w:r>
              <w:rPr>
                <w:rFonts w:ascii="Arial" w:cs="Arial" w:eastAsia="Arial" w:hAnsi="Arial"/>
                <w:sz w:val="16"/>
                <w:szCs w:val="16"/>
                <w:color w:val="auto"/>
              </w:rPr>
              <w:t>$21.89</w:t>
            </w:r>
          </w:p>
        </w:tc>
        <w:tc>
          <w:tcPr>
            <w:tcW w:w="20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0.02% - 2.01%</w:t>
            </w:r>
          </w:p>
        </w:tc>
        <w:tc>
          <w:tcPr>
            <w:tcW w:w="15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4.45 - 4.92</w:t>
            </w:r>
          </w:p>
        </w:tc>
        <w:tc>
          <w:tcPr>
            <w:tcW w:w="0" w:type="dxa"/>
            <w:vAlign w:val="bottom"/>
          </w:tcPr>
          <w:p>
            <w:pPr>
              <w:spacing w:after="0"/>
              <w:rPr>
                <w:sz w:val="1"/>
                <w:szCs w:val="1"/>
                <w:color w:val="auto"/>
              </w:rPr>
            </w:pPr>
          </w:p>
        </w:tc>
      </w:tr>
      <w:tr>
        <w:trPr>
          <w:trHeight w:val="96"/>
        </w:trPr>
        <w:tc>
          <w:tcPr>
            <w:tcW w:w="1140" w:type="dxa"/>
            <w:vAlign w:val="bottom"/>
            <w:gridSpan w:val="2"/>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118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c>
          <w:tcPr>
            <w:tcW w:w="1060" w:type="dxa"/>
            <w:vAlign w:val="bottom"/>
            <w:gridSpan w:val="2"/>
            <w:vMerge w:val="restart"/>
            <w:shd w:val="clear" w:color="auto" w:fill="CCEEFF"/>
          </w:tcPr>
          <w:p>
            <w:pPr>
              <w:jc w:val="center"/>
              <w:ind w:left="78"/>
              <w:spacing w:after="0"/>
              <w:rPr>
                <w:sz w:val="20"/>
                <w:szCs w:val="20"/>
                <w:color w:val="auto"/>
              </w:rPr>
            </w:pPr>
            <w:r>
              <w:rPr>
                <w:rFonts w:ascii="Arial" w:cs="Arial" w:eastAsia="Arial" w:hAnsi="Arial"/>
                <w:sz w:val="16"/>
                <w:szCs w:val="16"/>
                <w:color w:val="auto"/>
              </w:rPr>
              <w:t>$18.79</w:t>
            </w:r>
          </w:p>
        </w:tc>
        <w:tc>
          <w:tcPr>
            <w:tcW w:w="202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0.02% - 1.91%</w:t>
            </w:r>
          </w:p>
        </w:tc>
        <w:tc>
          <w:tcPr>
            <w:tcW w:w="152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4.10 - 4.41</w:t>
            </w:r>
          </w:p>
        </w:tc>
        <w:tc>
          <w:tcPr>
            <w:tcW w:w="0" w:type="dxa"/>
            <w:vAlign w:val="bottom"/>
          </w:tcPr>
          <w:p>
            <w:pPr>
              <w:spacing w:after="0"/>
              <w:rPr>
                <w:sz w:val="1"/>
                <w:szCs w:val="1"/>
                <w:color w:val="auto"/>
              </w:rPr>
            </w:pPr>
          </w:p>
        </w:tc>
      </w:tr>
      <w:tr>
        <w:trPr>
          <w:trHeight w:val="91"/>
        </w:trPr>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2020" w:type="dxa"/>
            <w:vAlign w:val="bottom"/>
            <w:gridSpan w:val="2"/>
            <w:vMerge w:val="continue"/>
            <w:shd w:val="clear" w:color="auto" w:fill="CCEEFF"/>
          </w:tcPr>
          <w:p>
            <w:pPr>
              <w:spacing w:after="0"/>
              <w:rPr>
                <w:sz w:val="7"/>
                <w:szCs w:val="7"/>
                <w:color w:val="auto"/>
              </w:rPr>
            </w:pPr>
          </w:p>
        </w:tc>
        <w:tc>
          <w:tcPr>
            <w:tcW w:w="15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140" w:type="dxa"/>
            <w:vAlign w:val="bottom"/>
            <w:gridSpan w:val="2"/>
          </w:tcPr>
          <w:p>
            <w:pPr>
              <w:jc w:val="center"/>
              <w:ind w:left="218"/>
              <w:spacing w:after="0"/>
              <w:rPr>
                <w:sz w:val="20"/>
                <w:szCs w:val="20"/>
                <w:color w:val="auto"/>
              </w:rPr>
            </w:pPr>
            <w:r>
              <w:rPr>
                <w:rFonts w:ascii="Arial" w:cs="Arial" w:eastAsia="Arial" w:hAnsi="Arial"/>
                <w:sz w:val="16"/>
                <w:szCs w:val="16"/>
                <w:color w:val="auto"/>
              </w:rPr>
              <w:t>2016</w:t>
            </w:r>
          </w:p>
        </w:tc>
        <w:tc>
          <w:tcPr>
            <w:tcW w:w="4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62%</w:t>
            </w:r>
          </w:p>
        </w:tc>
        <w:tc>
          <w:tcPr>
            <w:tcW w:w="1180" w:type="dxa"/>
            <w:vAlign w:val="bottom"/>
            <w:gridSpan w:val="2"/>
          </w:tcPr>
          <w:p>
            <w:pPr>
              <w:jc w:val="center"/>
              <w:ind w:left="58"/>
              <w:spacing w:after="0"/>
              <w:rPr>
                <w:sz w:val="20"/>
                <w:szCs w:val="20"/>
                <w:color w:val="auto"/>
              </w:rPr>
            </w:pPr>
            <w:r>
              <w:rPr>
                <w:rFonts w:ascii="Arial" w:cs="Arial" w:eastAsia="Arial" w:hAnsi="Arial"/>
                <w:sz w:val="16"/>
                <w:szCs w:val="16"/>
                <w:color w:val="auto"/>
                <w:w w:val="74"/>
              </w:rPr>
              <w:t>-</w:t>
            </w:r>
          </w:p>
        </w:tc>
        <w:tc>
          <w:tcPr>
            <w:tcW w:w="1060" w:type="dxa"/>
            <w:vAlign w:val="bottom"/>
            <w:gridSpan w:val="2"/>
          </w:tcPr>
          <w:p>
            <w:pPr>
              <w:jc w:val="center"/>
              <w:ind w:left="78"/>
              <w:spacing w:after="0"/>
              <w:rPr>
                <w:sz w:val="20"/>
                <w:szCs w:val="20"/>
                <w:color w:val="auto"/>
              </w:rPr>
            </w:pPr>
            <w:r>
              <w:rPr>
                <w:rFonts w:ascii="Arial" w:cs="Arial" w:eastAsia="Arial" w:hAnsi="Arial"/>
                <w:sz w:val="16"/>
                <w:szCs w:val="16"/>
                <w:color w:val="auto"/>
              </w:rPr>
              <w:t>$32.64</w:t>
            </w:r>
          </w:p>
        </w:tc>
        <w:tc>
          <w:tcPr>
            <w:tcW w:w="2020" w:type="dxa"/>
            <w:vAlign w:val="bottom"/>
            <w:gridSpan w:val="2"/>
          </w:tcPr>
          <w:p>
            <w:pPr>
              <w:jc w:val="center"/>
              <w:ind w:left="58"/>
              <w:spacing w:after="0"/>
              <w:rPr>
                <w:sz w:val="20"/>
                <w:szCs w:val="20"/>
                <w:color w:val="auto"/>
              </w:rPr>
            </w:pPr>
            <w:r>
              <w:rPr>
                <w:rFonts w:ascii="Arial" w:cs="Arial" w:eastAsia="Arial" w:hAnsi="Arial"/>
                <w:sz w:val="16"/>
                <w:szCs w:val="16"/>
                <w:color w:val="auto"/>
              </w:rPr>
              <w:t>0.25% - 1.57%</w:t>
            </w:r>
          </w:p>
        </w:tc>
        <w:tc>
          <w:tcPr>
            <w:tcW w:w="1520" w:type="dxa"/>
            <w:vAlign w:val="bottom"/>
            <w:gridSpan w:val="2"/>
          </w:tcPr>
          <w:p>
            <w:pPr>
              <w:jc w:val="center"/>
              <w:ind w:left="58"/>
              <w:spacing w:after="0"/>
              <w:rPr>
                <w:sz w:val="20"/>
                <w:szCs w:val="20"/>
                <w:color w:val="auto"/>
              </w:rPr>
            </w:pPr>
            <w:r>
              <w:rPr>
                <w:rFonts w:ascii="Arial" w:cs="Arial" w:eastAsia="Arial" w:hAnsi="Arial"/>
                <w:sz w:val="16"/>
                <w:szCs w:val="16"/>
                <w:color w:val="auto"/>
              </w:rPr>
              <w:t>4.04 - 4.36</w:t>
            </w:r>
          </w:p>
        </w:tc>
        <w:tc>
          <w:tcPr>
            <w:tcW w:w="0" w:type="dxa"/>
            <w:vAlign w:val="bottom"/>
          </w:tcPr>
          <w:p>
            <w:pPr>
              <w:spacing w:after="0"/>
              <w:rPr>
                <w:sz w:val="1"/>
                <w:szCs w:val="1"/>
                <w:color w:val="auto"/>
              </w:rPr>
            </w:pPr>
          </w:p>
        </w:tc>
      </w:tr>
      <w:tr>
        <w:trPr>
          <w:trHeight w:val="193"/>
        </w:trPr>
        <w:tc>
          <w:tcPr>
            <w:tcW w:w="1140" w:type="dxa"/>
            <w:vAlign w:val="bottom"/>
            <w:gridSpan w:val="2"/>
            <w:vMerge w:val="restart"/>
            <w:shd w:val="clear" w:color="auto" w:fill="CCEEFF"/>
          </w:tcPr>
          <w:p>
            <w:pPr>
              <w:jc w:val="center"/>
              <w:ind w:left="218"/>
              <w:spacing w:after="0"/>
              <w:rPr>
                <w:sz w:val="20"/>
                <w:szCs w:val="20"/>
                <w:color w:val="auto"/>
              </w:rPr>
            </w:pPr>
            <w:r>
              <w:rPr>
                <w:rFonts w:ascii="Arial" w:cs="Arial" w:eastAsia="Arial" w:hAnsi="Arial"/>
                <w:sz w:val="16"/>
                <w:szCs w:val="16"/>
                <w:color w:val="auto"/>
              </w:rPr>
              <w:t>2017</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w:t>
            </w:r>
          </w:p>
        </w:tc>
        <w:tc>
          <w:tcPr>
            <w:tcW w:w="118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c>
          <w:tcPr>
            <w:tcW w:w="1060" w:type="dxa"/>
            <w:vAlign w:val="bottom"/>
            <w:gridSpan w:val="2"/>
            <w:shd w:val="clear" w:color="auto" w:fill="CCEEFF"/>
          </w:tcPr>
          <w:p>
            <w:pPr>
              <w:jc w:val="center"/>
              <w:ind w:left="78"/>
              <w:spacing w:after="0"/>
              <w:rPr>
                <w:sz w:val="20"/>
                <w:szCs w:val="20"/>
                <w:color w:val="auto"/>
              </w:rPr>
            </w:pPr>
            <w:r>
              <w:rPr>
                <w:rFonts w:ascii="Arial" w:cs="Arial" w:eastAsia="Arial" w:hAnsi="Arial"/>
                <w:sz w:val="16"/>
                <w:szCs w:val="16"/>
                <w:color w:val="auto"/>
              </w:rPr>
              <w:t>$27.65</w:t>
            </w:r>
          </w:p>
        </w:tc>
        <w:tc>
          <w:tcPr>
            <w:tcW w:w="20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1.01% - 2.32%</w:t>
            </w:r>
          </w:p>
        </w:tc>
        <w:tc>
          <w:tcPr>
            <w:tcW w:w="1520" w:type="dxa"/>
            <w:vAlign w:val="bottom"/>
            <w:gridSpan w:val="2"/>
            <w:shd w:val="clear" w:color="auto" w:fill="CCEEFF"/>
          </w:tcPr>
          <w:p>
            <w:pPr>
              <w:jc w:val="center"/>
              <w:ind w:left="58"/>
              <w:spacing w:after="0"/>
              <w:rPr>
                <w:sz w:val="20"/>
                <w:szCs w:val="20"/>
                <w:color w:val="auto"/>
              </w:rPr>
            </w:pPr>
            <w:r>
              <w:rPr>
                <w:rFonts w:ascii="Arial" w:cs="Arial" w:eastAsia="Arial" w:hAnsi="Arial"/>
                <w:sz w:val="16"/>
                <w:szCs w:val="16"/>
                <w:color w:val="auto"/>
              </w:rPr>
              <w:t>2.55 - 4.32</w:t>
            </w:r>
          </w:p>
        </w:tc>
        <w:tc>
          <w:tcPr>
            <w:tcW w:w="0" w:type="dxa"/>
            <w:vAlign w:val="bottom"/>
          </w:tcPr>
          <w:p>
            <w:pPr>
              <w:spacing w:after="0"/>
              <w:rPr>
                <w:sz w:val="1"/>
                <w:szCs w:val="1"/>
                <w:color w:val="auto"/>
              </w:rPr>
            </w:pPr>
          </w:p>
        </w:tc>
      </w:tr>
      <w:tr>
        <w:trPr>
          <w:trHeight w:val="96"/>
        </w:trPr>
        <w:tc>
          <w:tcPr>
            <w:tcW w:w="1140" w:type="dxa"/>
            <w:vAlign w:val="bottom"/>
            <w:gridSpan w:val="2"/>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72%</w:t>
            </w:r>
          </w:p>
        </w:tc>
        <w:tc>
          <w:tcPr>
            <w:tcW w:w="118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w w:val="74"/>
              </w:rPr>
              <w:t>-</w:t>
            </w:r>
          </w:p>
        </w:tc>
        <w:tc>
          <w:tcPr>
            <w:tcW w:w="1060" w:type="dxa"/>
            <w:vAlign w:val="bottom"/>
            <w:gridSpan w:val="2"/>
            <w:vMerge w:val="restart"/>
            <w:shd w:val="clear" w:color="auto" w:fill="CCEEFF"/>
          </w:tcPr>
          <w:p>
            <w:pPr>
              <w:jc w:val="center"/>
              <w:ind w:left="78"/>
              <w:spacing w:after="0"/>
              <w:rPr>
                <w:sz w:val="20"/>
                <w:szCs w:val="20"/>
                <w:color w:val="auto"/>
              </w:rPr>
            </w:pPr>
            <w:r>
              <w:rPr>
                <w:rFonts w:ascii="Arial" w:cs="Arial" w:eastAsia="Arial" w:hAnsi="Arial"/>
                <w:sz w:val="16"/>
                <w:szCs w:val="16"/>
                <w:color w:val="auto"/>
              </w:rPr>
              <w:t>$27.29</w:t>
            </w:r>
          </w:p>
        </w:tc>
        <w:tc>
          <w:tcPr>
            <w:tcW w:w="202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1.02% - 2.35%</w:t>
            </w:r>
          </w:p>
        </w:tc>
        <w:tc>
          <w:tcPr>
            <w:tcW w:w="1520" w:type="dxa"/>
            <w:vAlign w:val="bottom"/>
            <w:gridSpan w:val="2"/>
            <w:vMerge w:val="restart"/>
            <w:shd w:val="clear" w:color="auto" w:fill="CCEEFF"/>
          </w:tcPr>
          <w:p>
            <w:pPr>
              <w:jc w:val="center"/>
              <w:ind w:left="58"/>
              <w:spacing w:after="0"/>
              <w:rPr>
                <w:sz w:val="20"/>
                <w:szCs w:val="20"/>
                <w:color w:val="auto"/>
              </w:rPr>
            </w:pPr>
            <w:r>
              <w:rPr>
                <w:rFonts w:ascii="Arial" w:cs="Arial" w:eastAsia="Arial" w:hAnsi="Arial"/>
                <w:sz w:val="16"/>
                <w:szCs w:val="16"/>
                <w:color w:val="auto"/>
              </w:rPr>
              <w:t>2.55 - 4.32</w:t>
            </w:r>
          </w:p>
        </w:tc>
        <w:tc>
          <w:tcPr>
            <w:tcW w:w="0" w:type="dxa"/>
            <w:vAlign w:val="bottom"/>
          </w:tcPr>
          <w:p>
            <w:pPr>
              <w:spacing w:after="0"/>
              <w:rPr>
                <w:sz w:val="1"/>
                <w:szCs w:val="1"/>
                <w:color w:val="auto"/>
              </w:rPr>
            </w:pPr>
          </w:p>
        </w:tc>
      </w:tr>
      <w:tr>
        <w:trPr>
          <w:trHeight w:val="91"/>
        </w:trPr>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2020" w:type="dxa"/>
            <w:vAlign w:val="bottom"/>
            <w:gridSpan w:val="2"/>
            <w:vMerge w:val="continue"/>
            <w:shd w:val="clear" w:color="auto" w:fill="CCEEFF"/>
          </w:tcPr>
          <w:p>
            <w:pPr>
              <w:spacing w:after="0"/>
              <w:rPr>
                <w:sz w:val="7"/>
                <w:szCs w:val="7"/>
                <w:color w:val="auto"/>
              </w:rPr>
            </w:pPr>
          </w:p>
        </w:tc>
        <w:tc>
          <w:tcPr>
            <w:tcW w:w="15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00" w:hanging="499"/>
        <w:spacing w:after="0" w:line="187"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Consists of the cash portion of annual incentive compensation related to performance measures satisfied in the year indicated and awarded in the first quarter of the following year.</w:t>
      </w:r>
    </w:p>
    <w:p>
      <w:pPr>
        <w:spacing w:after="0" w:line="196" w:lineRule="exact"/>
        <w:rPr>
          <w:rFonts w:ascii="Arial" w:cs="Arial" w:eastAsia="Arial" w:hAnsi="Arial"/>
          <w:sz w:val="27"/>
          <w:szCs w:val="27"/>
          <w:color w:val="auto"/>
          <w:vertAlign w:val="superscript"/>
        </w:rPr>
      </w:pPr>
    </w:p>
    <w:p>
      <w:pPr>
        <w:ind w:left="500" w:hanging="499"/>
        <w:spacing w:after="0" w:line="213"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Consists of payments made by Altisource to each Named Executive Officer pursuant to their respective employment agreements and relocation plans, including housing allowances, personal use of company car(s),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182" w:lineRule="exact"/>
        <w:rPr>
          <w:rFonts w:ascii="Arial" w:cs="Arial" w:eastAsia="Arial" w:hAnsi="Arial"/>
          <w:sz w:val="27"/>
          <w:szCs w:val="27"/>
          <w:color w:val="auto"/>
          <w:vertAlign w:val="superscript"/>
        </w:rPr>
      </w:pPr>
    </w:p>
    <w:p>
      <w:pPr>
        <w:ind w:left="500" w:right="20" w:hanging="499"/>
        <w:spacing w:after="0" w:line="213"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Mr. Shepro's base salary was increased from $780,000 to $799,500 effective January 1, 2017, due to a required Luxembourg statutory compensation increase of two and a half percent (2.5%), as described in our Compensation Discussion and Analysis. Mr. Shepro's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82" w:lineRule="exact"/>
        <w:rPr>
          <w:rFonts w:ascii="Arial" w:cs="Arial" w:eastAsia="Arial" w:hAnsi="Arial"/>
          <w:sz w:val="27"/>
          <w:szCs w:val="27"/>
          <w:color w:val="auto"/>
          <w:vertAlign w:val="superscript"/>
        </w:rPr>
      </w:pPr>
    </w:p>
    <w:p>
      <w:pPr>
        <w:ind w:left="500" w:right="400" w:hanging="499"/>
        <w:spacing w:after="0" w:line="187"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Represents a payment made to the executive on March 31, 2017 in settlement of a target cash award granted on April 15, 2015. The target cash awards were payable on March 31, 2017, subject to the employee's continued employment through that date.</w:t>
      </w:r>
    </w:p>
    <w:p>
      <w:pPr>
        <w:spacing w:after="0" w:line="196" w:lineRule="exact"/>
        <w:rPr>
          <w:rFonts w:ascii="Arial" w:cs="Arial" w:eastAsia="Arial" w:hAnsi="Arial"/>
          <w:sz w:val="27"/>
          <w:szCs w:val="27"/>
          <w:color w:val="auto"/>
          <w:vertAlign w:val="superscript"/>
        </w:rPr>
      </w:pPr>
    </w:p>
    <w:p>
      <w:pPr>
        <w:ind w:left="500" w:right="80" w:hanging="499"/>
        <w:spacing w:after="0"/>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restricted shares with a grant date value of $502,046,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269" w:lineRule="exact"/>
        <w:rPr>
          <w:rFonts w:ascii="Arial" w:cs="Arial" w:eastAsia="Arial" w:hAnsi="Arial"/>
          <w:sz w:val="27"/>
          <w:szCs w:val="27"/>
          <w:color w:val="auto"/>
          <w:vertAlign w:val="superscript"/>
        </w:rPr>
      </w:pPr>
    </w:p>
    <w:p>
      <w:pPr>
        <w:ind w:left="500" w:right="180" w:hanging="499"/>
        <w:spacing w:after="0" w:line="203"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options with a grant date value of $506,720,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84" w:lineRule="exact"/>
        <w:rPr>
          <w:rFonts w:ascii="Arial" w:cs="Arial" w:eastAsia="Arial" w:hAnsi="Arial"/>
          <w:sz w:val="27"/>
          <w:szCs w:val="27"/>
          <w:color w:val="auto"/>
          <w:vertAlign w:val="superscript"/>
        </w:rPr>
      </w:pPr>
    </w:p>
    <w:p>
      <w:pPr>
        <w:ind w:left="500" w:right="40" w:hanging="499"/>
        <w:spacing w:after="0" w:line="219"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Mr. Shepro's target incentive opportunity was increased from $1,170,000 to $1,199,250 effective January 1, 2017, due to a required Luxembourg statutory compensation increase of two and a half percent (2.5%), as described in our Compensation Discussion and Analysis. Ninety percent (90%) of Mr. Shepro's incentive compensation for 2017 was paid in U.S. dollars and the remaining ten percent (10%) was paid in euros. For purposes of the table, the portion of his incentive compensation paid in euros was converted to U.S. dollars at an exchange rate of 0.8106 euros to the U.S. dollar, the exchange rate on March 6, 2018.</w:t>
      </w:r>
    </w:p>
    <w:p>
      <w:pPr>
        <w:spacing w:after="0" w:line="195" w:lineRule="exact"/>
        <w:rPr>
          <w:rFonts w:ascii="Arial" w:cs="Arial" w:eastAsia="Arial" w:hAnsi="Arial"/>
          <w:sz w:val="27"/>
          <w:szCs w:val="27"/>
          <w:color w:val="auto"/>
          <w:vertAlign w:val="superscript"/>
        </w:rPr>
      </w:pPr>
    </w:p>
    <w:p>
      <w:pPr>
        <w:ind w:left="500" w:right="260" w:hanging="499"/>
        <w:spacing w:after="0" w:line="213"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Includes $157,632 for housing allowance, $36,664 for personal use of two company cars, $69,756 for education allowance, $20,068 for goods and services allowance, $22,820 for travel allowance, $40,868 for medical benefits, $352,635 for tax normalization allowance for 2016 earnings, and $11,139 for tax preparation services. Mr. Shepro's other compensation is paid in euros and, for purposes of the table, is converted into U.S. dollars based on the OANDA one-year average exchange rate ending on December 31, 2017, 0.8867 euros to the U.S. dollar.</w:t>
      </w:r>
    </w:p>
    <w:p>
      <w:pPr>
        <w:spacing w:after="0" w:line="182" w:lineRule="exact"/>
        <w:rPr>
          <w:rFonts w:ascii="Arial" w:cs="Arial" w:eastAsia="Arial" w:hAnsi="Arial"/>
          <w:sz w:val="27"/>
          <w:szCs w:val="27"/>
          <w:color w:val="auto"/>
          <w:vertAlign w:val="superscript"/>
        </w:rPr>
      </w:pPr>
    </w:p>
    <w:p>
      <w:pPr>
        <w:ind w:left="500" w:right="220" w:hanging="499"/>
        <w:spacing w:after="0" w:line="187"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$5,645,835.</w:t>
      </w:r>
    </w:p>
    <w:p>
      <w:pPr>
        <w:spacing w:after="0" w:line="183" w:lineRule="exact"/>
        <w:rPr>
          <w:rFonts w:ascii="Arial" w:cs="Arial" w:eastAsia="Arial" w:hAnsi="Arial"/>
          <w:sz w:val="27"/>
          <w:szCs w:val="27"/>
          <w:color w:val="auto"/>
          <w:vertAlign w:val="superscript"/>
        </w:rPr>
      </w:pPr>
    </w:p>
    <w:p>
      <w:pPr>
        <w:ind w:left="500" w:right="100" w:hanging="499"/>
        <w:spacing w:after="0" w:line="213" w:lineRule="auto"/>
        <w:tabs>
          <w:tab w:leader="none" w:pos="500" w:val="left"/>
        </w:tabs>
        <w:numPr>
          <w:ilvl w:val="0"/>
          <w:numId w:val="51"/>
        </w:numPr>
        <w:rPr>
          <w:rFonts w:ascii="Arial" w:cs="Arial" w:eastAsia="Arial" w:hAnsi="Arial"/>
          <w:sz w:val="27"/>
          <w:szCs w:val="27"/>
          <w:color w:val="auto"/>
          <w:vertAlign w:val="superscript"/>
        </w:rPr>
      </w:pPr>
      <w:r>
        <w:rPr>
          <w:rFonts w:ascii="Arial" w:cs="Arial" w:eastAsia="Arial" w:hAnsi="Arial"/>
          <w:sz w:val="16"/>
          <w:szCs w:val="16"/>
          <w:color w:val="auto"/>
        </w:rPr>
        <w:t>Mr. Wilcox's base salary was increased from $450,000 to $461,250 effective January 1, 2017, due to a required Luxembourg statutory compensation increase of two and a half percent (2.5%), and from $461,250 to $475,000 effective September 1, 2017 pursuant to a Compensation Committee determination, as described in our Compensation Discussion and Analysis. Mr. Wilcox's base salary is set in U.S. dollars and paid in euros. His base salary was converted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right="60"/>
        <w:spacing w:after="0" w:line="263" w:lineRule="auto"/>
        <w:rPr>
          <w:sz w:val="20"/>
          <w:szCs w:val="20"/>
          <w:color w:val="auto"/>
        </w:rPr>
      </w:pPr>
      <w:r>
        <w:rPr>
          <w:rFonts w:ascii="Arial" w:cs="Arial" w:eastAsia="Arial" w:hAnsi="Arial"/>
          <w:sz w:val="16"/>
          <w:szCs w:val="16"/>
          <w:color w:val="auto"/>
        </w:rPr>
        <w:t>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78" w:lineRule="exact"/>
        <w:rPr>
          <w:sz w:val="20"/>
          <w:szCs w:val="20"/>
          <w:color w:val="auto"/>
        </w:rPr>
      </w:pPr>
    </w:p>
    <w:p>
      <w:pPr>
        <w:ind w:left="500" w:right="60" w:hanging="499"/>
        <w:spacing w:after="0"/>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restricted shares with a grant date value of $117,141,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282" w:lineRule="exact"/>
        <w:rPr>
          <w:rFonts w:ascii="Arial" w:cs="Arial" w:eastAsia="Arial" w:hAnsi="Arial"/>
          <w:sz w:val="27"/>
          <w:szCs w:val="27"/>
          <w:color w:val="auto"/>
          <w:vertAlign w:val="superscript"/>
        </w:rPr>
      </w:pPr>
    </w:p>
    <w:p>
      <w:pPr>
        <w:ind w:left="500" w:right="160" w:hanging="499"/>
        <w:spacing w:after="0" w:line="20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options with a grant date value of $165,527,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84" w:lineRule="exact"/>
        <w:rPr>
          <w:rFonts w:ascii="Arial" w:cs="Arial" w:eastAsia="Arial" w:hAnsi="Arial"/>
          <w:sz w:val="27"/>
          <w:szCs w:val="27"/>
          <w:color w:val="auto"/>
          <w:vertAlign w:val="superscript"/>
        </w:rPr>
      </w:pPr>
    </w:p>
    <w:p>
      <w:pPr>
        <w:ind w:left="500" w:right="20" w:hanging="499"/>
        <w:spacing w:after="0" w:line="20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Mr. Wilcox's target incentive opportunity was increased from $450,000 to $461,250 effective January 1, 2017, due to a required Luxembourg statutory compensation increase of two and a half percent (2.5%), and from $461,250 to $475,000 effective September 1, 2017 pursuant to a Compensation Committee determination, as described in our Compensation Discussion and Analysis.</w:t>
      </w:r>
    </w:p>
    <w:p>
      <w:pPr>
        <w:spacing w:after="0" w:line="184" w:lineRule="exact"/>
        <w:rPr>
          <w:rFonts w:ascii="Arial" w:cs="Arial" w:eastAsia="Arial" w:hAnsi="Arial"/>
          <w:sz w:val="27"/>
          <w:szCs w:val="27"/>
          <w:color w:val="auto"/>
          <w:vertAlign w:val="superscript"/>
        </w:rPr>
      </w:pPr>
    </w:p>
    <w:p>
      <w:pPr>
        <w:ind w:left="500" w:right="380" w:hanging="499"/>
        <w:spacing w:after="0" w:line="184"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Includes $123,462 for housing allowance, $12,007 for personal use of a company car, $20,068 for goods and services allowance, $759 for travel allowance, $13,190 for medical benefits, $201,504 for tax normalization allowance for 2016 earnings, and $11,139 for tax preparation services.</w:t>
      </w:r>
    </w:p>
    <w:p>
      <w:pPr>
        <w:ind w:left="500" w:right="40"/>
        <w:spacing w:after="0" w:line="263" w:lineRule="auto"/>
        <w:rPr>
          <w:rFonts w:ascii="Arial" w:cs="Arial" w:eastAsia="Arial" w:hAnsi="Arial"/>
          <w:sz w:val="27"/>
          <w:szCs w:val="27"/>
          <w:color w:val="auto"/>
          <w:vertAlign w:val="superscript"/>
        </w:rPr>
      </w:pPr>
      <w:r>
        <w:rPr>
          <w:rFonts w:ascii="Arial" w:cs="Arial" w:eastAsia="Arial" w:hAnsi="Arial"/>
          <w:sz w:val="16"/>
          <w:szCs w:val="16"/>
          <w:color w:val="auto"/>
        </w:rPr>
        <w:t>Mr. Wilcox's other compensation is paid in euros and, for purposes of the table, is converted into U.S. dollars based on the OANDA one-year average exchange rate ending on December 31, 2017, 0.8867 euros to the U.S. dollar.</w:t>
      </w:r>
    </w:p>
    <w:p>
      <w:pPr>
        <w:spacing w:after="0" w:line="178" w:lineRule="exact"/>
        <w:rPr>
          <w:rFonts w:ascii="Arial" w:cs="Arial" w:eastAsia="Arial" w:hAnsi="Arial"/>
          <w:sz w:val="27"/>
          <w:szCs w:val="27"/>
          <w:color w:val="auto"/>
          <w:vertAlign w:val="superscript"/>
        </w:rPr>
      </w:pPr>
    </w:p>
    <w:p>
      <w:pPr>
        <w:ind w:left="500" w:right="200" w:hanging="499"/>
        <w:spacing w:after="0" w:line="187"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$2,418,367.</w:t>
      </w:r>
    </w:p>
    <w:p>
      <w:pPr>
        <w:spacing w:after="0" w:line="69" w:lineRule="exact"/>
        <w:rPr>
          <w:rFonts w:ascii="Arial" w:cs="Arial" w:eastAsia="Arial" w:hAnsi="Arial"/>
          <w:sz w:val="27"/>
          <w:szCs w:val="27"/>
          <w:color w:val="auto"/>
          <w:vertAlign w:val="superscript"/>
        </w:rPr>
      </w:pPr>
    </w:p>
    <w:p>
      <w:pPr>
        <w:ind w:left="500" w:hanging="499"/>
        <w:spacing w:after="0"/>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Mr. Chatterjee joined the Company on October 5, 2017.</w:t>
      </w:r>
    </w:p>
    <w:p>
      <w:pPr>
        <w:spacing w:after="0" w:line="182" w:lineRule="exact"/>
        <w:rPr>
          <w:rFonts w:ascii="Arial" w:cs="Arial" w:eastAsia="Arial" w:hAnsi="Arial"/>
          <w:sz w:val="27"/>
          <w:szCs w:val="27"/>
          <w:color w:val="auto"/>
          <w:vertAlign w:val="superscript"/>
        </w:rPr>
      </w:pPr>
    </w:p>
    <w:p>
      <w:pPr>
        <w:ind w:left="500" w:hanging="499"/>
        <w:spacing w:after="0" w:line="20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Mr. Chatterjee's base salary is set in U.S. dollars and paid in euros. His base salary was converted to euros using an exchange rate of 0.89 euros to the U.S. dollar, the exchange rate applicable to his salary pursuant to his employment agreement. The number reported on the table above is the U.S. dollar base salary applicable for the period prior to conversion to euros.</w:t>
      </w:r>
    </w:p>
    <w:p>
      <w:pPr>
        <w:spacing w:after="0" w:line="197" w:lineRule="exact"/>
        <w:rPr>
          <w:rFonts w:ascii="Arial" w:cs="Arial" w:eastAsia="Arial" w:hAnsi="Arial"/>
          <w:sz w:val="27"/>
          <w:szCs w:val="27"/>
          <w:color w:val="auto"/>
          <w:vertAlign w:val="superscript"/>
        </w:rPr>
      </w:pPr>
    </w:p>
    <w:p>
      <w:pPr>
        <w:ind w:left="500" w:right="480" w:hanging="499"/>
        <w:spacing w:after="0" w:line="187"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Represents an incentive payment awarded pursuant to the terms of Mr. Chatterjee's employment agreement, as a result of meeting certain established performance criteria. Please see the "Chief Financial Officer Compensation" section of our Compensation Discussion and Analysis.</w:t>
      </w:r>
    </w:p>
    <w:p>
      <w:pPr>
        <w:spacing w:after="0" w:line="183" w:lineRule="exact"/>
        <w:rPr>
          <w:rFonts w:ascii="Arial" w:cs="Arial" w:eastAsia="Arial" w:hAnsi="Arial"/>
          <w:sz w:val="27"/>
          <w:szCs w:val="27"/>
          <w:color w:val="auto"/>
          <w:vertAlign w:val="superscript"/>
        </w:rPr>
      </w:pPr>
    </w:p>
    <w:p>
      <w:pPr>
        <w:ind w:left="500" w:right="20" w:hanging="499"/>
        <w:spacing w:after="0" w:line="20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Includes $6,767 for housing allowance, $2,868 for personal use of a company car, $1,818 for travel allowance, $5,707 for medical benefits and a one-time goods and services allowance of $11,278. Mr. Chatterjee's other compensation is paid in euros and, for purposes of the table, is converted into U.S. dollars based on the OANDA one-year average exchange rate ending on December 31, 2017, 0.8867 euros to the U.S. dollar.</w:t>
      </w:r>
    </w:p>
    <w:p>
      <w:pPr>
        <w:spacing w:after="0" w:line="184" w:lineRule="exact"/>
        <w:rPr>
          <w:rFonts w:ascii="Arial" w:cs="Arial" w:eastAsia="Arial" w:hAnsi="Arial"/>
          <w:sz w:val="27"/>
          <w:szCs w:val="27"/>
          <w:color w:val="auto"/>
          <w:vertAlign w:val="superscript"/>
        </w:rPr>
      </w:pPr>
    </w:p>
    <w:p>
      <w:pPr>
        <w:ind w:left="500" w:right="120" w:hanging="499"/>
        <w:spacing w:after="0" w:line="20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Ms. Esterman served as the Company's Chief Financial Officer and was an "executive officer" for purposes of Rule 16a-1(f) under the Exchange Act until October 4, 2017. The compensation provided in this Summary Compensation table reflects her compensation through December 31, 2017, including compensation in her capacity as Executive Vice President, Finance.</w:t>
      </w:r>
    </w:p>
    <w:p>
      <w:pPr>
        <w:spacing w:after="0" w:line="197" w:lineRule="exact"/>
        <w:rPr>
          <w:rFonts w:ascii="Arial" w:cs="Arial" w:eastAsia="Arial" w:hAnsi="Arial"/>
          <w:sz w:val="27"/>
          <w:szCs w:val="27"/>
          <w:color w:val="auto"/>
          <w:vertAlign w:val="superscript"/>
        </w:rPr>
      </w:pPr>
    </w:p>
    <w:p>
      <w:pPr>
        <w:ind w:left="500" w:right="140" w:hanging="499"/>
        <w:spacing w:after="0" w:line="223" w:lineRule="auto"/>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Ms. Esterman's base salary was increased from $420,000 to $430,500 effective January 1, 2017, due to a required Luxembourg statutory compensation increase of two and a half percent (2.5%), as described in our Compensation Discussion and Analysis. Ms. Esterman's base salary is set in U.S. dollars and was paid in euros from January 1, 2017 to October 4, 2017 and in U.S. dollars from October 5, 2017 to December 31, 2017. For the period from January 1, 2017 to October 4, 2017, her base salary was converted to euros using an exchange rate of 0.83 euros to the U.S. dollar, the exchange rate applicable to her salary since April 2015. The number reported on the table above is the U.S. dollar base salary prior to conversion to euros.</w:t>
      </w:r>
    </w:p>
    <w:p>
      <w:pPr>
        <w:spacing w:after="0" w:line="183" w:lineRule="exact"/>
        <w:rPr>
          <w:rFonts w:ascii="Arial" w:cs="Arial" w:eastAsia="Arial" w:hAnsi="Arial"/>
          <w:sz w:val="27"/>
          <w:szCs w:val="27"/>
          <w:color w:val="auto"/>
          <w:vertAlign w:val="superscript"/>
        </w:rPr>
      </w:pPr>
    </w:p>
    <w:p>
      <w:pPr>
        <w:ind w:left="500" w:right="160" w:hanging="499"/>
        <w:spacing w:after="0"/>
        <w:tabs>
          <w:tab w:leader="none" w:pos="5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restricted shares with a grant date value of $70,262,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right="140" w:hanging="499"/>
        <w:spacing w:after="0" w:line="203"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options with a grant date value of $99,302,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97" w:lineRule="exact"/>
        <w:rPr>
          <w:rFonts w:ascii="Arial" w:cs="Arial" w:eastAsia="Arial" w:hAnsi="Arial"/>
          <w:sz w:val="27"/>
          <w:szCs w:val="27"/>
          <w:color w:val="auto"/>
          <w:vertAlign w:val="superscript"/>
        </w:rPr>
      </w:pPr>
    </w:p>
    <w:p>
      <w:pPr>
        <w:ind w:left="500" w:hanging="499"/>
        <w:spacing w:after="0" w:line="213"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Includes $20,300 for housing allowance, $7,356 for personal use of a company car, $9,079 for education allowance, $16,286 for travel allowance, $25,473 for medical benefits, $129,483 for tax equalization allowances for 2016 earnings, and $11,939 for tax preparation services. Ms. Esterman's other compensation was paid in euros and, for purposes of the table, is converted into U.S. dollars based on the OANDA one-year average exchange rate ending on December 31, 2017, 0.8867 euros to the U.S. dollar.</w:t>
      </w:r>
    </w:p>
    <w:p>
      <w:pPr>
        <w:spacing w:after="0" w:line="182" w:lineRule="exact"/>
        <w:rPr>
          <w:rFonts w:ascii="Arial" w:cs="Arial" w:eastAsia="Arial" w:hAnsi="Arial"/>
          <w:sz w:val="27"/>
          <w:szCs w:val="27"/>
          <w:color w:val="auto"/>
          <w:vertAlign w:val="superscript"/>
        </w:rPr>
      </w:pPr>
    </w:p>
    <w:p>
      <w:pPr>
        <w:ind w:left="500" w:right="180" w:hanging="499"/>
        <w:spacing w:after="0" w:line="187"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$1,637,345.</w:t>
      </w:r>
    </w:p>
    <w:p>
      <w:pPr>
        <w:spacing w:after="0" w:line="183" w:lineRule="exact"/>
        <w:rPr>
          <w:rFonts w:ascii="Arial" w:cs="Arial" w:eastAsia="Arial" w:hAnsi="Arial"/>
          <w:sz w:val="27"/>
          <w:szCs w:val="27"/>
          <w:color w:val="auto"/>
          <w:vertAlign w:val="superscript"/>
        </w:rPr>
      </w:pPr>
    </w:p>
    <w:p>
      <w:pPr>
        <w:ind w:left="500" w:right="100" w:hanging="499"/>
        <w:spacing w:after="0" w:line="219"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Mr. Davila's base salary was increased from $395,863 to $405,730 effective January 1, 2007, due to a required Luxembourg statutory compensation increase of two and a half percent (2.5%), and from $405,730 to $425,000 effective September 1, 2017 pursuant to a Compensation Committee determination, as described in our Compensation Discussion and Analysis. Mr. Davila's base salary is set in U.S. dollars and paid in euros. His base salary was converted to euros using an exchange rate of 0.786 euros to the U.S. dollar, the exchange rate applicable to his salary since April 2015. The number reported on the table above is the U.S. dollar base salary applicable for the period prior to conversion to euros.</w:t>
      </w:r>
    </w:p>
    <w:p>
      <w:pPr>
        <w:spacing w:after="0" w:line="195" w:lineRule="exact"/>
        <w:rPr>
          <w:rFonts w:ascii="Arial" w:cs="Arial" w:eastAsia="Arial" w:hAnsi="Arial"/>
          <w:sz w:val="27"/>
          <w:szCs w:val="27"/>
          <w:color w:val="auto"/>
          <w:vertAlign w:val="superscript"/>
        </w:rPr>
      </w:pPr>
    </w:p>
    <w:p>
      <w:pPr>
        <w:ind w:left="500" w:right="360" w:hanging="499"/>
        <w:spacing w:after="0" w:line="187"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Represents a one-time discretionary award to reflect Mr. Davila's efforts and accomplishments leading our Servicer Solutions business and diversifying its revenue to position it for continued growth, and contribution to the completion of our Cooperative Brokerage Agreement with NRZ.</w:t>
      </w:r>
    </w:p>
    <w:p>
      <w:pPr>
        <w:spacing w:after="0" w:line="183" w:lineRule="exact"/>
        <w:rPr>
          <w:rFonts w:ascii="Arial" w:cs="Arial" w:eastAsia="Arial" w:hAnsi="Arial"/>
          <w:sz w:val="27"/>
          <w:szCs w:val="27"/>
          <w:color w:val="auto"/>
          <w:vertAlign w:val="superscript"/>
        </w:rPr>
      </w:pPr>
    </w:p>
    <w:p>
      <w:pPr>
        <w:ind w:left="500" w:right="140" w:hanging="499"/>
        <w:spacing w:after="0"/>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269" w:lineRule="exact"/>
        <w:rPr>
          <w:rFonts w:ascii="Arial" w:cs="Arial" w:eastAsia="Arial" w:hAnsi="Arial"/>
          <w:sz w:val="27"/>
          <w:szCs w:val="27"/>
          <w:color w:val="auto"/>
          <w:vertAlign w:val="superscript"/>
        </w:rPr>
      </w:pPr>
    </w:p>
    <w:p>
      <w:pPr>
        <w:ind w:left="500" w:right="140" w:hanging="499"/>
        <w:spacing w:after="0" w:line="203"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97" w:lineRule="exact"/>
        <w:rPr>
          <w:rFonts w:ascii="Arial" w:cs="Arial" w:eastAsia="Arial" w:hAnsi="Arial"/>
          <w:sz w:val="27"/>
          <w:szCs w:val="27"/>
          <w:color w:val="auto"/>
          <w:vertAlign w:val="superscript"/>
        </w:rPr>
      </w:pPr>
    </w:p>
    <w:p>
      <w:pPr>
        <w:ind w:left="500" w:right="660" w:hanging="499"/>
        <w:spacing w:after="0" w:line="187"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Mr. Davila's target incentive opportunity was increased from $300,000 to $350,000 effective September 1, 2017 pursuant to a Compensation Committee determination, as described in our Compensation Discussion and Analysis.</w:t>
      </w:r>
    </w:p>
    <w:p>
      <w:pPr>
        <w:spacing w:after="0" w:line="183" w:lineRule="exact"/>
        <w:rPr>
          <w:rFonts w:ascii="Arial" w:cs="Arial" w:eastAsia="Arial" w:hAnsi="Arial"/>
          <w:sz w:val="27"/>
          <w:szCs w:val="27"/>
          <w:color w:val="auto"/>
          <w:vertAlign w:val="superscript"/>
        </w:rPr>
      </w:pPr>
    </w:p>
    <w:p>
      <w:pPr>
        <w:jc w:val="both"/>
        <w:ind w:left="500" w:right="140" w:hanging="499"/>
        <w:spacing w:after="0" w:line="203"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Includes $27,067 for housing allowance, $20,515 for education allowance, $18,226 for travel allowance, $103,028 for tax equalization allowance for 2015 earnings, and $5,474 for tax preparation services. Mr. Davila's other compensation is paid in euros and, for purposes of the table, is converted into U.S. dollars based on the OANDA one-year average exchange rate ending on December 31, 2017, 0.8867 euros to the U.S. dollar.</w:t>
      </w:r>
    </w:p>
    <w:p>
      <w:pPr>
        <w:spacing w:after="0" w:line="184" w:lineRule="exact"/>
        <w:rPr>
          <w:rFonts w:ascii="Arial" w:cs="Arial" w:eastAsia="Arial" w:hAnsi="Arial"/>
          <w:sz w:val="27"/>
          <w:szCs w:val="27"/>
          <w:color w:val="auto"/>
          <w:vertAlign w:val="superscript"/>
        </w:rPr>
      </w:pPr>
    </w:p>
    <w:p>
      <w:pPr>
        <w:ind w:left="500" w:right="180" w:hanging="499"/>
        <w:spacing w:after="0" w:line="187"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$1,630,462.</w:t>
      </w:r>
    </w:p>
    <w:p>
      <w:pPr>
        <w:spacing w:after="0" w:line="196" w:lineRule="exact"/>
        <w:rPr>
          <w:rFonts w:ascii="Arial" w:cs="Arial" w:eastAsia="Arial" w:hAnsi="Arial"/>
          <w:sz w:val="27"/>
          <w:szCs w:val="27"/>
          <w:color w:val="auto"/>
          <w:vertAlign w:val="superscript"/>
        </w:rPr>
      </w:pPr>
    </w:p>
    <w:p>
      <w:pPr>
        <w:ind w:left="500" w:right="20" w:hanging="499"/>
        <w:spacing w:after="0" w:line="201" w:lineRule="auto"/>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Mr. Ritts' base salary was increased from $425,000 to $435,625 effective January 1, 2017, due to a required Luxembourg statutory compensation increase of two and a half percent (2.5%), as described in our Compensation Discussion and Analysis. Mr. Ritts' base salary is set in U.S. dollars and paid in euros. His base salary was converted to euros using an exchange rate of 0.80 to the U.S. dollars for the period from January 1, 2017 to</w:t>
      </w:r>
    </w:p>
    <w:p>
      <w:pPr>
        <w:jc w:val="both"/>
        <w:ind w:left="500" w:right="80"/>
        <w:spacing w:after="0" w:line="255" w:lineRule="auto"/>
        <w:rPr>
          <w:rFonts w:ascii="Arial" w:cs="Arial" w:eastAsia="Arial" w:hAnsi="Arial"/>
          <w:sz w:val="27"/>
          <w:szCs w:val="27"/>
          <w:color w:val="auto"/>
          <w:vertAlign w:val="superscript"/>
        </w:rPr>
      </w:pPr>
      <w:r>
        <w:rPr>
          <w:rFonts w:ascii="Arial" w:cs="Arial" w:eastAsia="Arial" w:hAnsi="Arial"/>
          <w:sz w:val="16"/>
          <w:szCs w:val="16"/>
          <w:color w:val="auto"/>
        </w:rPr>
        <w:t>July 30, 2017 and 0.83 euros to the U.S. dollar from August 1, 2017 to December 31, 2017, following an adjustment of his exchange rate to address the significant and expected long-term strengthening of the U.S. dollar relative to the euro. The number reported on the table above is the U.S. dollar base salary applicable for the period prior to conversion to euros.</w:t>
      </w:r>
    </w:p>
    <w:p>
      <w:pPr>
        <w:spacing w:after="0" w:line="171" w:lineRule="exact"/>
        <w:rPr>
          <w:rFonts w:ascii="Arial" w:cs="Arial" w:eastAsia="Arial" w:hAnsi="Arial"/>
          <w:sz w:val="27"/>
          <w:szCs w:val="27"/>
          <w:color w:val="auto"/>
          <w:vertAlign w:val="superscript"/>
        </w:rPr>
      </w:pPr>
    </w:p>
    <w:p>
      <w:pPr>
        <w:ind w:left="500" w:right="120" w:hanging="499"/>
        <w:spacing w:after="0"/>
        <w:tabs>
          <w:tab w:leader="none" w:pos="50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Represents a one-time discretionary award to reflect the executive's significant contributions to our corporate initiatives, including the amendment of our SSTL and the completion of the Luxembourg subsidiary restructuring, as well as the completion of our Cooperative Brokerage Agreement with NRZ.</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right="200" w:hanging="499"/>
        <w:spacing w:after="0"/>
        <w:tabs>
          <w:tab w:leader="none" w:pos="5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282" w:lineRule="exact"/>
        <w:rPr>
          <w:rFonts w:ascii="Arial" w:cs="Arial" w:eastAsia="Arial" w:hAnsi="Arial"/>
          <w:sz w:val="27"/>
          <w:szCs w:val="27"/>
          <w:color w:val="auto"/>
          <w:vertAlign w:val="superscript"/>
        </w:rPr>
      </w:pPr>
    </w:p>
    <w:p>
      <w:pPr>
        <w:ind w:left="500" w:right="200" w:hanging="499"/>
        <w:spacing w:after="0" w:line="203" w:lineRule="auto"/>
        <w:tabs>
          <w:tab w:leader="none" w:pos="5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84" w:lineRule="exact"/>
        <w:rPr>
          <w:rFonts w:ascii="Arial" w:cs="Arial" w:eastAsia="Arial" w:hAnsi="Arial"/>
          <w:sz w:val="27"/>
          <w:szCs w:val="27"/>
          <w:color w:val="auto"/>
          <w:vertAlign w:val="superscript"/>
        </w:rPr>
      </w:pPr>
    </w:p>
    <w:p>
      <w:pPr>
        <w:ind w:left="500" w:hanging="499"/>
        <w:spacing w:after="0" w:line="213" w:lineRule="auto"/>
        <w:tabs>
          <w:tab w:leader="none" w:pos="5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Mr. Ritts' target incentive opportunity was increased from $225,000 to $240,000 effective August 1, 2017 pursuant to a Compensation Committee determination, as described in our Compensation Discussion and Analysis. Mr. Ritts' incentive compensation for 2017 was paid in euros. For purposes of the table, his incentive compensation was converted to U.S. dollars at an exchange rate of 0.8106 euros to the U.S. dollar, the exchange rate on March 6, 2018.</w:t>
      </w:r>
    </w:p>
    <w:p>
      <w:pPr>
        <w:spacing w:after="0" w:line="182" w:lineRule="exact"/>
        <w:rPr>
          <w:rFonts w:ascii="Arial" w:cs="Arial" w:eastAsia="Arial" w:hAnsi="Arial"/>
          <w:sz w:val="27"/>
          <w:szCs w:val="27"/>
          <w:color w:val="auto"/>
          <w:vertAlign w:val="superscript"/>
        </w:rPr>
      </w:pPr>
    </w:p>
    <w:p>
      <w:pPr>
        <w:ind w:left="500" w:right="80" w:hanging="499"/>
        <w:spacing w:after="0" w:line="201" w:lineRule="auto"/>
        <w:tabs>
          <w:tab w:leader="none" w:pos="5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Includes $27,067 for housing allowance, $38,529 for education allowance, $13,969 for travel allowance, $24,195 for medical benefits, $38,501 for tax equalization allowance for 2014 and 2015 earnings, and $6,320 for tax preparation services. Mr. Ritts' other compensation is paid in euros and, for purposes of the table, is converted into U.S. dollars based on the OANDA one-year average exchange rate ending on December 31, 2017,</w:t>
      </w:r>
    </w:p>
    <w:p>
      <w:pPr>
        <w:ind w:left="500"/>
        <w:spacing w:after="0"/>
        <w:rPr>
          <w:rFonts w:ascii="Arial" w:cs="Arial" w:eastAsia="Arial" w:hAnsi="Arial"/>
          <w:sz w:val="27"/>
          <w:szCs w:val="27"/>
          <w:color w:val="auto"/>
          <w:vertAlign w:val="superscript"/>
        </w:rPr>
      </w:pPr>
      <w:r>
        <w:rPr>
          <w:rFonts w:ascii="Arial" w:cs="Arial" w:eastAsia="Arial" w:hAnsi="Arial"/>
          <w:sz w:val="16"/>
          <w:szCs w:val="16"/>
          <w:color w:val="auto"/>
        </w:rPr>
        <w:t>0.8867 euros to the U.S. dollar.</w:t>
      </w:r>
    </w:p>
    <w:p>
      <w:pPr>
        <w:spacing w:after="0" w:line="207" w:lineRule="exact"/>
        <w:rPr>
          <w:rFonts w:ascii="Arial" w:cs="Arial" w:eastAsia="Arial" w:hAnsi="Arial"/>
          <w:sz w:val="27"/>
          <w:szCs w:val="27"/>
          <w:color w:val="auto"/>
          <w:vertAlign w:val="superscript"/>
        </w:rPr>
      </w:pPr>
    </w:p>
    <w:p>
      <w:pPr>
        <w:ind w:left="500" w:right="240" w:hanging="499"/>
        <w:spacing w:after="0" w:line="187" w:lineRule="auto"/>
        <w:tabs>
          <w:tab w:leader="none" w:pos="500" w:val="left"/>
        </w:tabs>
        <w:numPr>
          <w:ilvl w:val="0"/>
          <w:numId w:val="54"/>
        </w:numPr>
        <w:rPr>
          <w:rFonts w:ascii="Arial" w:cs="Arial" w:eastAsia="Arial" w:hAnsi="Arial"/>
          <w:sz w:val="27"/>
          <w:szCs w:val="27"/>
          <w:color w:val="auto"/>
          <w:vertAlign w:val="superscript"/>
        </w:rPr>
      </w:pPr>
      <w:r>
        <w:rPr>
          <w:rFonts w:ascii="Arial" w:cs="Arial" w:eastAsia="Arial" w:hAnsi="Arial"/>
          <w:sz w:val="16"/>
          <w:szCs w:val="16"/>
          <w:color w:val="auto"/>
        </w:rPr>
        <w:t>When excluding the grant date value of the April 7, 2017 awards of performance-based restricted shares and performance-based options that were cancelled and forfeited in February 2018, the executive's total compensation is $1,540,002.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 elements of compensation paid to our Named Executive Officers, see "Compensation Discussion and Analysis" above.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Pay Ratio Disclosure</w:t>
      </w:r>
    </w:p>
    <w:p>
      <w:pPr>
        <w:spacing w:after="0" w:line="228"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7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2017, which consisted of 7,428 employees, of which 5,114 employees (sixty-nine percent (69%) of our total employees) were based in India, 1,477 were based in the United States, 678 were based in the Philippines, 138 were based in Uruguay and 21 were based in Luxembourg. This population consisted of our full-time and part-time employees, and excludes temporary employees.</w:t>
      </w:r>
    </w:p>
    <w:p>
      <w:pPr>
        <w:spacing w:after="0" w:line="18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To identify our median employee, our consistently applied compensation measure included the following elements, as permitted by SEC rules: base salary, stock awards, actual cash incentive paid, transportation, term life insurance, accidental insurance and medical insurance. We believe this measure reasonably reflects the annual compensation of our employees. Non-U.S. compensation was converted to U.S dollars using exchange rates of 0.83 euros to the U.S. dollar for Luxembourg, 63.87 Indian rupees to the U.S. dollar for India and 49.85 Philippine pesos for the Philippines, the applicable exchange rates on December 29, 2017 (the last working day before December 31, 2017) as disclosed by </w:t>
      </w:r>
      <w:r>
        <w:rPr>
          <w:rFonts w:ascii="Arial" w:cs="Arial" w:eastAsia="Arial" w:hAnsi="Arial"/>
          <w:sz w:val="16"/>
          <w:szCs w:val="16"/>
          <w:u w:val="single" w:color="auto"/>
          <w:color w:val="auto"/>
        </w:rPr>
        <w:t>www.bloomberg.com</w:t>
      </w:r>
      <w:r>
        <w:rPr>
          <w:rFonts w:ascii="Arial" w:cs="Arial" w:eastAsia="Arial" w:hAnsi="Arial"/>
          <w:sz w:val="16"/>
          <w:szCs w:val="16"/>
          <w:color w:val="auto"/>
        </w:rPr>
        <w:t>.</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In addition, we used a publicly available cost of living adjustment (available here: </w:t>
      </w:r>
      <w:r>
        <w:rPr>
          <w:rFonts w:ascii="Arial" w:cs="Arial" w:eastAsia="Arial" w:hAnsi="Arial"/>
          <w:sz w:val="16"/>
          <w:szCs w:val="16"/>
          <w:u w:val="single" w:color="auto"/>
          <w:color w:val="auto"/>
        </w:rPr>
        <w:t>www.numbeo.com/cost-of-living/)</w:t>
      </w:r>
      <w:r>
        <w:rPr>
          <w:rFonts w:ascii="Arial" w:cs="Arial" w:eastAsia="Arial" w:hAnsi="Arial"/>
          <w:sz w:val="16"/>
          <w:szCs w:val="16"/>
          <w:color w:val="auto"/>
        </w:rPr>
        <w:t xml:space="preserve"> to adjust the compensation of employees in jurisdictions other than Luxembourg. After application of this cost of living adjustment, we have estimated that the annual compensation for 2017 of our median employee (who is based in India) was $29,983. Without the cost of living adjustment, the median employee had total compensation of $9,486.</w:t>
      </w:r>
    </w:p>
    <w:p>
      <w:pPr>
        <w:spacing w:after="0" w:line="18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total compensation of our Chief Executive Officer in 2017, as reported in the Summary Compensation Table above was $6,654,601. This amount includes (i) a one-time special retention cash award of $1,500,000 awarded in 2015 and paid in 2017, which is not an element of his annual compensation, 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60" w:firstLine="1"/>
        <w:spacing w:after="0" w:line="252" w:lineRule="auto"/>
        <w:tabs>
          <w:tab w:leader="none" w:pos="2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April 7, 2017 awards of performance-based restricted shares and performance-based options (the "2017 Performance Awards") with a grant date value of $1,008,766, which were scheduled to vest based upon the Company's achievement against 2017 Performance Criteria. In February 2018, the Compensation Committee confirmed that the 2017 Performance Criteria were below a threshold level and the 2017 performance-based stock options and restricted shares granted to the Chief Executive Officer were cancelled and forfeited.</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 xml:space="preserve">Based on the methodology described above, we estimated our CEO Pay Ratio for 2017 to be </w:t>
      </w:r>
      <w:r>
        <w:rPr>
          <w:rFonts w:ascii="Arial" w:cs="Arial" w:eastAsia="Arial" w:hAnsi="Arial"/>
          <w:sz w:val="16"/>
          <w:szCs w:val="16"/>
          <w:b w:val="1"/>
          <w:bCs w:val="1"/>
          <w:color w:val="auto"/>
        </w:rPr>
        <w:t>222:1</w:t>
      </w:r>
      <w:r>
        <w:rPr>
          <w:rFonts w:ascii="Arial" w:cs="Arial" w:eastAsia="Arial" w:hAnsi="Arial"/>
          <w:sz w:val="16"/>
          <w:szCs w:val="16"/>
          <w:color w:val="auto"/>
        </w:rPr>
        <w:t xml:space="preserve"> (702:1 without the cost of living adjustment) as calculated according to the regulations based on the 2017 total compensation reported in the Summary Compensation Table, including the $1,500,000 special retention cash award and the 2017 Performance Awards that were subsequently cancelled and forfeited. When excluding the special retention cash award and the 2017 Performance Awards, our Chief Executive Officer to median employee pay ratio is estimated at 138:1, including the cost of living adjustment. Due to the flexibility afforded by Item 402(u) in calculating the CEO Pay Ratio, and our unique employee distribution, the ratio may or may not be comparable to CEO pay ratios presented by other companies.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 Based Awards for 2017</w:t>
      </w:r>
    </w:p>
    <w:p>
      <w:pPr>
        <w:spacing w:after="0" w:line="22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rPr>
              <w:t>Estimated Future Payouts Under</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jc w:val="center"/>
              <w:ind w:right="140"/>
              <w:spacing w:after="0" w:line="148" w:lineRule="exact"/>
              <w:rPr>
                <w:sz w:val="20"/>
                <w:szCs w:val="20"/>
                <w:color w:val="auto"/>
              </w:rPr>
            </w:pPr>
            <w:r>
              <w:rPr>
                <w:rFonts w:ascii="Arial" w:cs="Arial" w:eastAsia="Arial" w:hAnsi="Arial"/>
                <w:sz w:val="13"/>
                <w:szCs w:val="13"/>
                <w:b w:val="1"/>
                <w:bCs w:val="1"/>
                <w:color w:val="auto"/>
              </w:rPr>
              <w:t>Non-Equity Incentive Plan</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Exercise or</w:t>
            </w: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line="167" w:lineRule="exact"/>
              <w:rPr>
                <w:sz w:val="20"/>
                <w:szCs w:val="20"/>
                <w:color w:val="auto"/>
              </w:rPr>
            </w:pPr>
            <w:r>
              <w:rPr>
                <w:rFonts w:ascii="Arial" w:cs="Arial" w:eastAsia="Arial" w:hAnsi="Arial"/>
                <w:sz w:val="13"/>
                <w:szCs w:val="13"/>
                <w:b w:val="1"/>
                <w:bCs w:val="1"/>
                <w:color w:val="auto"/>
                <w:w w:val="99"/>
              </w:rPr>
              <w:t>Awards</w:t>
            </w:r>
            <w:r>
              <w:rPr>
                <w:rFonts w:ascii="Arial" w:cs="Arial" w:eastAsia="Arial" w:hAnsi="Arial"/>
                <w:sz w:val="19"/>
                <w:szCs w:val="19"/>
                <w:b w:val="1"/>
                <w:bCs w:val="1"/>
                <w:color w:val="auto"/>
                <w:w w:val="99"/>
                <w:vertAlign w:val="superscript"/>
              </w:rPr>
              <w:t>(1)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gridSpan w:val="6"/>
          </w:tcPr>
          <w:p>
            <w:pPr>
              <w:spacing w:after="0"/>
              <w:rPr>
                <w:sz w:val="20"/>
                <w:szCs w:val="20"/>
                <w:color w:val="auto"/>
              </w:rPr>
            </w:pPr>
            <w:r>
              <w:rPr>
                <w:rFonts w:ascii="Arial" w:cs="Arial" w:eastAsia="Arial" w:hAnsi="Arial"/>
                <w:sz w:val="13"/>
                <w:szCs w:val="13"/>
                <w:b w:val="1"/>
                <w:bCs w:val="1"/>
                <w:color w:val="auto"/>
              </w:rPr>
              <w:t>Estimated Future Payouts Under Equity Incentive Plan Awards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Shares of</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Base Price</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9"/>
              </w:rPr>
              <w:t>Stock or</w:t>
            </w:r>
          </w:p>
        </w:tc>
        <w:tc>
          <w:tcPr>
            <w:tcW w:w="80" w:type="dxa"/>
            <w:vAlign w:val="bottom"/>
          </w:tcPr>
          <w:p>
            <w:pPr>
              <w:spacing w:after="0"/>
              <w:rPr>
                <w:sz w:val="2"/>
                <w:szCs w:val="2"/>
                <w:color w:val="auto"/>
              </w:rPr>
            </w:pPr>
          </w:p>
        </w:tc>
        <w:tc>
          <w:tcPr>
            <w:tcW w:w="70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rPr>
              <w:t>Underlying</w:t>
            </w:r>
          </w:p>
        </w:tc>
        <w:tc>
          <w:tcPr>
            <w:tcW w:w="80" w:type="dxa"/>
            <w:vAlign w:val="bottom"/>
            <w:vMerge w:val="restart"/>
          </w:tcPr>
          <w:p>
            <w:pPr>
              <w:spacing w:after="0"/>
              <w:rPr>
                <w:sz w:val="2"/>
                <w:szCs w:val="2"/>
                <w:color w:val="auto"/>
              </w:rPr>
            </w:pPr>
          </w:p>
        </w:tc>
        <w:tc>
          <w:tcPr>
            <w:tcW w:w="800" w:type="dxa"/>
            <w:vAlign w:val="bottom"/>
            <w:gridSpan w:val="2"/>
            <w:vMerge w:val="restart"/>
          </w:tcPr>
          <w:p>
            <w:pPr>
              <w:jc w:val="center"/>
              <w:ind w:right="80"/>
              <w:spacing w:after="0" w:line="140" w:lineRule="exact"/>
              <w:rPr>
                <w:sz w:val="20"/>
                <w:szCs w:val="20"/>
                <w:color w:val="auto"/>
              </w:rPr>
            </w:pPr>
            <w:r>
              <w:rPr>
                <w:rFonts w:ascii="Arial" w:cs="Arial" w:eastAsia="Arial" w:hAnsi="Arial"/>
                <w:sz w:val="13"/>
                <w:szCs w:val="13"/>
                <w:b w:val="1"/>
                <w:bCs w:val="1"/>
                <w:color w:val="auto"/>
              </w:rPr>
              <w:t>of Option</w:t>
            </w:r>
          </w:p>
        </w:tc>
        <w:tc>
          <w:tcPr>
            <w:tcW w:w="940" w:type="dxa"/>
            <w:vAlign w:val="bottom"/>
            <w:gridSpan w:val="2"/>
            <w:vMerge w:val="restart"/>
          </w:tcPr>
          <w:p>
            <w:pPr>
              <w:jc w:val="center"/>
              <w:ind w:right="180"/>
              <w:spacing w:after="0" w:line="140"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740" w:type="dxa"/>
            <w:vAlign w:val="bottom"/>
          </w:tcPr>
          <w:p>
            <w:pPr>
              <w:ind w:left="2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Threshold</w:t>
            </w: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Target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Maximum</w:t>
            </w:r>
          </w:p>
        </w:tc>
        <w:tc>
          <w:tcPr>
            <w:tcW w:w="1280" w:type="dxa"/>
            <w:vAlign w:val="bottom"/>
          </w:tcPr>
          <w:p>
            <w:pPr>
              <w:jc w:val="right"/>
              <w:ind w:right="253"/>
              <w:spacing w:after="0"/>
              <w:rPr>
                <w:sz w:val="20"/>
                <w:szCs w:val="20"/>
                <w:color w:val="auto"/>
              </w:rPr>
            </w:pPr>
            <w:r>
              <w:rPr>
                <w:rFonts w:ascii="Arial" w:cs="Arial" w:eastAsia="Arial" w:hAnsi="Arial"/>
                <w:sz w:val="13"/>
                <w:szCs w:val="13"/>
                <w:b w:val="1"/>
                <w:bCs w:val="1"/>
                <w:color w:val="auto"/>
              </w:rPr>
              <w:t>Threshold</w:t>
            </w:r>
          </w:p>
        </w:tc>
        <w:tc>
          <w:tcPr>
            <w:tcW w:w="2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Target</w:t>
            </w:r>
          </w:p>
        </w:tc>
        <w:tc>
          <w:tcPr>
            <w:tcW w:w="1500" w:type="dxa"/>
            <w:vAlign w:val="bottom"/>
            <w:gridSpan w:val="2"/>
          </w:tcPr>
          <w:p>
            <w:pPr>
              <w:ind w:left="400"/>
              <w:spacing w:after="0"/>
              <w:rPr>
                <w:sz w:val="20"/>
                <w:szCs w:val="20"/>
                <w:color w:val="auto"/>
              </w:rPr>
            </w:pPr>
            <w:r>
              <w:rPr>
                <w:rFonts w:ascii="Arial" w:cs="Arial" w:eastAsia="Arial" w:hAnsi="Arial"/>
                <w:sz w:val="13"/>
                <w:szCs w:val="13"/>
                <w:b w:val="1"/>
                <w:bCs w:val="1"/>
                <w:color w:val="auto"/>
              </w:rPr>
              <w:t>Maximum</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Awards</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49"/>
        </w:trPr>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William B.</w:t>
            </w: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Shepro</w:t>
            </w:r>
          </w:p>
        </w:tc>
        <w:tc>
          <w:tcPr>
            <w:tcW w:w="820" w:type="dxa"/>
            <w:vAlign w:val="bottom"/>
            <w:gridSpan w:val="3"/>
            <w:shd w:val="clear" w:color="auto" w:fill="CCEEFF"/>
          </w:tcPr>
          <w:p>
            <w:pPr>
              <w:jc w:val="right"/>
              <w:ind w:right="89"/>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rPr>
              <w:t>$599,625</w:t>
            </w:r>
          </w:p>
        </w:tc>
        <w:tc>
          <w:tcPr>
            <w:tcW w:w="90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$1,199,250</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$1,798,875</w:t>
            </w:r>
          </w:p>
        </w:tc>
        <w:tc>
          <w:tcPr>
            <w:tcW w:w="128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(2)</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10,341</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12,926</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19,389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12,927</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$1,004,131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(3)</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31,162</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41,490</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62,235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$39.13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$1,010,405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40" w:type="dxa"/>
            <w:vAlign w:val="bottom"/>
          </w:tcPr>
          <w:p>
            <w:pPr>
              <w:spacing w:after="0"/>
              <w:rPr>
                <w:sz w:val="20"/>
                <w:szCs w:val="20"/>
                <w:color w:val="auto"/>
              </w:rPr>
            </w:pPr>
            <w:r>
              <w:rPr>
                <w:rFonts w:ascii="Arial" w:cs="Arial" w:eastAsia="Arial" w:hAnsi="Arial"/>
                <w:sz w:val="13"/>
                <w:szCs w:val="13"/>
                <w:color w:val="auto"/>
              </w:rPr>
              <w:t>Kevin J.</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Pr>
          <w:p>
            <w:pPr>
              <w:ind w:left="120"/>
              <w:spacing w:after="0"/>
              <w:rPr>
                <w:sz w:val="20"/>
                <w:szCs w:val="20"/>
                <w:color w:val="auto"/>
              </w:rPr>
            </w:pPr>
            <w:r>
              <w:rPr>
                <w:rFonts w:ascii="Arial" w:cs="Arial" w:eastAsia="Arial" w:hAnsi="Arial"/>
                <w:sz w:val="13"/>
                <w:szCs w:val="13"/>
                <w:color w:val="auto"/>
              </w:rPr>
              <w:t>Wilcox</w:t>
            </w:r>
          </w:p>
        </w:tc>
        <w:tc>
          <w:tcPr>
            <w:tcW w:w="820" w:type="dxa"/>
            <w:vAlign w:val="bottom"/>
            <w:gridSpan w:val="3"/>
          </w:tcPr>
          <w:p>
            <w:pPr>
              <w:jc w:val="right"/>
              <w:ind w:right="8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$232,917</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$465,834</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$698,751</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820" w:type="dxa"/>
            <w:vAlign w:val="bottom"/>
            <w:gridSpan w:val="3"/>
          </w:tcPr>
          <w:p>
            <w:pPr>
              <w:jc w:val="right"/>
              <w:spacing w:after="0" w:line="209"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(2)</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2,413</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3,016</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4,524</w:t>
            </w:r>
          </w:p>
        </w:tc>
        <w:tc>
          <w:tcPr>
            <w:tcW w:w="8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3,016</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$234,283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820" w:type="dxa"/>
            <w:vAlign w:val="bottom"/>
            <w:gridSpan w:val="3"/>
          </w:tcPr>
          <w:p>
            <w:pPr>
              <w:jc w:val="right"/>
              <w:spacing w:after="0" w:line="180"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(3)</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7,810</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9,763</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14,645</w:t>
            </w:r>
          </w:p>
        </w:tc>
        <w:tc>
          <w:tcPr>
            <w:tcW w:w="8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$236,032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Indroneel</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(4)</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(4)</w:t>
            </w: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4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w w:val="99"/>
              </w:rPr>
              <w:t>Chatterjee</w:t>
            </w:r>
          </w:p>
        </w:tc>
        <w:tc>
          <w:tcPr>
            <w:tcW w:w="820" w:type="dxa"/>
            <w:vAlign w:val="bottom"/>
            <w:gridSpan w:val="3"/>
            <w:shd w:val="clear" w:color="auto" w:fill="CCEEFF"/>
          </w:tcPr>
          <w:p>
            <w:pPr>
              <w:jc w:val="right"/>
              <w:ind w:right="89"/>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vMerge w:val="continue"/>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8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10/5/17</w:t>
            </w:r>
            <w:r>
              <w:rPr>
                <w:rFonts w:ascii="Arial" w:cs="Arial" w:eastAsia="Arial" w:hAnsi="Arial"/>
                <w:sz w:val="20"/>
                <w:szCs w:val="20"/>
                <w:color w:val="auto"/>
                <w:vertAlign w:val="superscript"/>
              </w:rPr>
              <w:t>(5)</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19,533</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$529,344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10/5/17</w:t>
            </w:r>
            <w:r>
              <w:rPr>
                <w:rFonts w:ascii="Arial" w:cs="Arial" w:eastAsia="Arial" w:hAnsi="Arial"/>
                <w:sz w:val="20"/>
                <w:szCs w:val="20"/>
                <w:color w:val="auto"/>
                <w:vertAlign w:val="superscript"/>
              </w:rPr>
              <w:t>(6)</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20,000</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$27.29</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$325,734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40" w:type="dxa"/>
            <w:vAlign w:val="bottom"/>
          </w:tcPr>
          <w:p>
            <w:pPr>
              <w:spacing w:after="0"/>
              <w:rPr>
                <w:sz w:val="20"/>
                <w:szCs w:val="20"/>
                <w:color w:val="auto"/>
              </w:rPr>
            </w:pPr>
            <w:r>
              <w:rPr>
                <w:rFonts w:ascii="Arial" w:cs="Arial" w:eastAsia="Arial" w:hAnsi="Arial"/>
                <w:sz w:val="13"/>
                <w:szCs w:val="13"/>
                <w:color w:val="auto"/>
              </w:rPr>
              <w:t>Michelle 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Pr>
          <w:p>
            <w:pPr>
              <w:ind w:left="120"/>
              <w:spacing w:after="0"/>
              <w:rPr>
                <w:sz w:val="20"/>
                <w:szCs w:val="20"/>
                <w:color w:val="auto"/>
              </w:rPr>
            </w:pPr>
            <w:r>
              <w:rPr>
                <w:rFonts w:ascii="Arial" w:cs="Arial" w:eastAsia="Arial" w:hAnsi="Arial"/>
                <w:sz w:val="13"/>
                <w:szCs w:val="13"/>
                <w:color w:val="auto"/>
              </w:rPr>
              <w:t>Esterman</w:t>
            </w:r>
          </w:p>
        </w:tc>
        <w:tc>
          <w:tcPr>
            <w:tcW w:w="820" w:type="dxa"/>
            <w:vAlign w:val="bottom"/>
            <w:gridSpan w:val="3"/>
          </w:tcPr>
          <w:p>
            <w:pPr>
              <w:jc w:val="right"/>
              <w:ind w:right="8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$140,000</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$280,000</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$420,000</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820" w:type="dxa"/>
            <w:vAlign w:val="bottom"/>
            <w:gridSpan w:val="3"/>
          </w:tcPr>
          <w:p>
            <w:pPr>
              <w:jc w:val="right"/>
              <w:spacing w:after="0" w:line="209"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(2)</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1,447</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1,809</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2,714</w:t>
            </w:r>
          </w:p>
        </w:tc>
        <w:tc>
          <w:tcPr>
            <w:tcW w:w="8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1,810</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$140,562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820" w:type="dxa"/>
            <w:vAlign w:val="bottom"/>
            <w:gridSpan w:val="3"/>
          </w:tcPr>
          <w:p>
            <w:pPr>
              <w:jc w:val="right"/>
              <w:spacing w:after="0" w:line="180"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(3)</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4,686</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5,858</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8,787</w:t>
            </w:r>
          </w:p>
        </w:tc>
        <w:tc>
          <w:tcPr>
            <w:tcW w:w="8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$141,625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Joseph A.</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4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Davila</w:t>
            </w:r>
          </w:p>
        </w:tc>
        <w:tc>
          <w:tcPr>
            <w:tcW w:w="820" w:type="dxa"/>
            <w:vAlign w:val="bottom"/>
            <w:gridSpan w:val="3"/>
            <w:shd w:val="clear" w:color="auto" w:fill="CCEEFF"/>
          </w:tcPr>
          <w:p>
            <w:pPr>
              <w:jc w:val="right"/>
              <w:ind w:right="89"/>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rPr>
              <w:t>$158,333</w:t>
            </w:r>
          </w:p>
        </w:tc>
        <w:tc>
          <w:tcPr>
            <w:tcW w:w="90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$316,666</w:t>
            </w:r>
          </w:p>
        </w:tc>
        <w:tc>
          <w:tcPr>
            <w:tcW w:w="8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$474,999</w:t>
            </w:r>
          </w:p>
        </w:tc>
        <w:tc>
          <w:tcPr>
            <w:tcW w:w="1280" w:type="dxa"/>
            <w:vAlign w:val="bottom"/>
            <w:shd w:val="clear" w:color="auto" w:fill="CCEEFF"/>
          </w:tcPr>
          <w:p>
            <w:pPr>
              <w:jc w:val="right"/>
              <w:ind w:right="113"/>
              <w:spacing w:after="0" w:line="148" w:lineRule="exact"/>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(2)</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1,206</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1,508</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2,262</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1,508</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$117,141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(3)</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3,906</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4,882</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7,323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$39.13</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$118,028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7/27/17</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(7)</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7/27/17</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(6)</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5,000</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$27.65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$82,168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11/13/17</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7"/>
              </w:rPr>
              <w:t>(5)</w:t>
            </w:r>
          </w:p>
        </w:tc>
        <w:tc>
          <w:tcPr>
            <w:tcW w:w="8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15,000</w:t>
            </w:r>
          </w:p>
        </w:tc>
        <w:tc>
          <w:tcPr>
            <w:tcW w:w="7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$381,525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40" w:type="dxa"/>
            <w:vAlign w:val="bottom"/>
          </w:tcPr>
          <w:p>
            <w:pPr>
              <w:spacing w:after="0"/>
              <w:rPr>
                <w:sz w:val="20"/>
                <w:szCs w:val="20"/>
                <w:color w:val="auto"/>
              </w:rPr>
            </w:pPr>
            <w:r>
              <w:rPr>
                <w:rFonts w:ascii="Arial" w:cs="Arial" w:eastAsia="Arial" w:hAnsi="Arial"/>
                <w:sz w:val="13"/>
                <w:szCs w:val="13"/>
                <w:color w:val="auto"/>
              </w:rPr>
              <w:t>Gregory J.</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Pr>
          <w:p>
            <w:pPr>
              <w:ind w:left="120"/>
              <w:spacing w:after="0"/>
              <w:rPr>
                <w:sz w:val="20"/>
                <w:szCs w:val="20"/>
                <w:color w:val="auto"/>
              </w:rPr>
            </w:pPr>
            <w:r>
              <w:rPr>
                <w:rFonts w:ascii="Arial" w:cs="Arial" w:eastAsia="Arial" w:hAnsi="Arial"/>
                <w:sz w:val="13"/>
                <w:szCs w:val="13"/>
                <w:color w:val="auto"/>
              </w:rPr>
              <w:t>Ritts</w:t>
            </w:r>
          </w:p>
        </w:tc>
        <w:tc>
          <w:tcPr>
            <w:tcW w:w="820" w:type="dxa"/>
            <w:vAlign w:val="bottom"/>
            <w:gridSpan w:val="3"/>
          </w:tcPr>
          <w:p>
            <w:pPr>
              <w:jc w:val="right"/>
              <w:ind w:right="89"/>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$115,625</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$231,250</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$346,875</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820" w:type="dxa"/>
            <w:vAlign w:val="bottom"/>
            <w:gridSpan w:val="3"/>
          </w:tcPr>
          <w:p>
            <w:pPr>
              <w:jc w:val="right"/>
              <w:spacing w:after="0" w:line="209"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(2)</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1,206</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1,508</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2,262</w:t>
            </w:r>
          </w:p>
        </w:tc>
        <w:tc>
          <w:tcPr>
            <w:tcW w:w="8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1,508</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$117,141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Arial" w:cs="Arial" w:eastAsia="Arial" w:hAnsi="Arial"/>
                <w:sz w:val="13"/>
                <w:szCs w:val="13"/>
                <w:color w:val="auto"/>
              </w:rPr>
              <w:t>4/7/17</w:t>
            </w:r>
            <w:r>
              <w:rPr>
                <w:rFonts w:ascii="Arial" w:cs="Arial" w:eastAsia="Arial" w:hAnsi="Arial"/>
                <w:sz w:val="20"/>
                <w:szCs w:val="20"/>
                <w:color w:val="auto"/>
                <w:vertAlign w:val="superscript"/>
              </w:rPr>
              <w:t>(3)</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3,906</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4,882</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7,323</w:t>
            </w:r>
          </w:p>
        </w:tc>
        <w:tc>
          <w:tcPr>
            <w:tcW w:w="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$39.13</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$118,028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Arial" w:cs="Arial" w:eastAsia="Arial" w:hAnsi="Arial"/>
                <w:sz w:val="13"/>
                <w:szCs w:val="13"/>
                <w:color w:val="auto"/>
              </w:rPr>
              <w:t>7/27/17</w:t>
            </w:r>
            <w:r>
              <w:rPr>
                <w:rFonts w:ascii="Arial" w:cs="Arial" w:eastAsia="Arial" w:hAnsi="Arial"/>
                <w:sz w:val="20"/>
                <w:szCs w:val="20"/>
                <w:color w:val="auto"/>
                <w:vertAlign w:val="superscript"/>
              </w:rPr>
              <w:t>(7)</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5,000</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$136,375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Arial" w:cs="Arial" w:eastAsia="Arial" w:hAnsi="Arial"/>
                <w:sz w:val="13"/>
                <w:szCs w:val="13"/>
                <w:color w:val="auto"/>
              </w:rPr>
              <w:t>7/27/17</w:t>
            </w:r>
            <w:r>
              <w:rPr>
                <w:rFonts w:ascii="Arial" w:cs="Arial" w:eastAsia="Arial" w:hAnsi="Arial"/>
                <w:sz w:val="20"/>
                <w:szCs w:val="20"/>
                <w:color w:val="auto"/>
                <w:vertAlign w:val="superscript"/>
              </w:rPr>
              <w:t>(6)</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5,000</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$27.65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$82,168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4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11/13/17</w:t>
            </w:r>
            <w:r>
              <w:rPr>
                <w:rFonts w:ascii="Arial" w:cs="Arial" w:eastAsia="Arial" w:hAnsi="Arial"/>
                <w:sz w:val="20"/>
                <w:szCs w:val="20"/>
                <w:color w:val="auto"/>
                <w:vertAlign w:val="superscript"/>
              </w:rPr>
              <w:t>(5)</w:t>
            </w:r>
          </w:p>
        </w:tc>
        <w:tc>
          <w:tcPr>
            <w:tcW w:w="8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15,000</w:t>
            </w:r>
          </w:p>
        </w:tc>
        <w:tc>
          <w:tcPr>
            <w:tcW w:w="78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$381,525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500" w:right="60" w:hanging="499"/>
        <w:spacing w:after="0" w:line="257" w:lineRule="auto"/>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These amounts represent the possible non-equity compensation that may have been earned by each respective executive officer in 2017 under the different achievement levels presented on their personal scorecards which are more fully discussed in our Compensation Discussion and Analysis. Performance that is below the threshold level generally results in no payout.</w:t>
      </w:r>
    </w:p>
    <w:p>
      <w:pPr>
        <w:spacing w:after="0" w:line="286" w:lineRule="exact"/>
        <w:rPr>
          <w:rFonts w:ascii="Arial" w:cs="Arial" w:eastAsia="Arial" w:hAnsi="Arial"/>
          <w:sz w:val="13"/>
          <w:szCs w:val="13"/>
          <w:color w:val="auto"/>
        </w:rPr>
      </w:pPr>
    </w:p>
    <w:p>
      <w:pPr>
        <w:ind w:left="500" w:right="40" w:hanging="499"/>
        <w:spacing w:after="0" w:line="250" w:lineRule="auto"/>
        <w:tabs>
          <w:tab w:leader="none" w:pos="5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The time-based restricted share awards are scheduled to vest in three annual installments on the first, second and third anniversaries of the grant date. The performance-based restricted shares were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60"/>
          </w:cols>
          <w:pgMar w:left="240" w:top="142" w:right="19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hanging="499"/>
        <w:spacing w:after="0" w:line="245" w:lineRule="auto"/>
        <w:tabs>
          <w:tab w:leader="none" w:pos="5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The 2017 performance-based stock options were scheduled to vest based upon the Company's achievement against the 2017 Performance Criteria. In February 2018, the Compensation Committee confirmed that the 2017 Performance Criteria were below a threshold level, and the 2017 performance-based stock options granted to each of the Named Executive Officers were cancelled and forfeited. 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293" w:lineRule="exact"/>
        <w:rPr>
          <w:rFonts w:ascii="Arial" w:cs="Arial" w:eastAsia="Arial" w:hAnsi="Arial"/>
          <w:sz w:val="13"/>
          <w:szCs w:val="13"/>
          <w:color w:val="auto"/>
        </w:rPr>
      </w:pPr>
    </w:p>
    <w:p>
      <w:pPr>
        <w:ind w:left="500" w:right="60" w:hanging="499"/>
        <w:spacing w:after="0" w:line="253" w:lineRule="auto"/>
        <w:tabs>
          <w:tab w:leader="none" w:pos="5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Chatterjee joined the Company in October 2017 and, therefore, did not participate in the Company's 2017 annual non-equity incentive plan. However, pursuant to the terms of his employment agreement, Mr. Chatterjee was provided the opportunity to earn an incentive compensation award of $485,000, subject to meeting performance expectations. Please see the "Chief Financial Officer Compensation" section of our Compensation Discussion and Analysis.</w:t>
      </w:r>
    </w:p>
    <w:p>
      <w:pPr>
        <w:spacing w:after="0" w:line="133" w:lineRule="exact"/>
        <w:rPr>
          <w:rFonts w:ascii="Arial" w:cs="Arial" w:eastAsia="Arial" w:hAnsi="Arial"/>
          <w:sz w:val="13"/>
          <w:szCs w:val="13"/>
          <w:color w:val="auto"/>
        </w:rPr>
      </w:pPr>
    </w:p>
    <w:p>
      <w:pPr>
        <w:ind w:left="500" w:right="540" w:hanging="499"/>
        <w:spacing w:after="0" w:line="263" w:lineRule="auto"/>
        <w:tabs>
          <w:tab w:leader="none" w:pos="5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Time-based restricted share awards are scheduled to vest in four annual installments on the first, second, third and fourth anniversaries of the grant date.</w:t>
      </w:r>
    </w:p>
    <w:p>
      <w:pPr>
        <w:spacing w:after="0" w:line="127" w:lineRule="exact"/>
        <w:rPr>
          <w:rFonts w:ascii="Arial" w:cs="Arial" w:eastAsia="Arial" w:hAnsi="Arial"/>
          <w:sz w:val="13"/>
          <w:szCs w:val="13"/>
          <w:color w:val="auto"/>
        </w:rPr>
      </w:pPr>
    </w:p>
    <w:p>
      <w:pPr>
        <w:jc w:val="both"/>
        <w:ind w:left="500" w:right="120" w:hanging="499"/>
        <w:spacing w:after="0" w:line="248" w:lineRule="auto"/>
        <w:tabs>
          <w:tab w:leader="none" w:pos="5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Market-based stock options which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twenty percent (20%) over the exercise price, so long as the stock price is at least double the exercise price. The remaining third of the market-based options would commence vesting if the stock price realizes a twenty-five percent (25%) compounded annual gain, so long as it is at least triple the exercise price.</w:t>
      </w:r>
    </w:p>
    <w:p>
      <w:pPr>
        <w:spacing w:after="0" w:line="137" w:lineRule="exact"/>
        <w:rPr>
          <w:rFonts w:ascii="Arial" w:cs="Arial" w:eastAsia="Arial" w:hAnsi="Arial"/>
          <w:sz w:val="13"/>
          <w:szCs w:val="13"/>
          <w:color w:val="auto"/>
        </w:rPr>
      </w:pPr>
    </w:p>
    <w:p>
      <w:pPr>
        <w:ind w:left="500" w:right="40" w:hanging="499"/>
        <w:spacing w:after="0" w:line="263" w:lineRule="auto"/>
        <w:tabs>
          <w:tab w:leader="none" w:pos="5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Granted pursuant to our 2009 Equity Incentive Plan. Time-based restricted share awards are scheduled to vest in three annual installments on the first, second and third anniversaries of the grant date.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table provides information regarding outstanding equity awards as of December 31, 2017 for the individuals named in the Summary Compensation Table.</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800"/>
              <w:spacing w:after="0"/>
              <w:rPr>
                <w:sz w:val="20"/>
                <w:szCs w:val="20"/>
                <w:color w:val="auto"/>
              </w:rPr>
            </w:pPr>
            <w:r>
              <w:rPr>
                <w:rFonts w:ascii="Arial" w:cs="Arial" w:eastAsia="Arial" w:hAnsi="Arial"/>
                <w:sz w:val="13"/>
                <w:szCs w:val="13"/>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Equity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Incentive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Incentive</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w:t>
            </w:r>
          </w:p>
        </w:tc>
        <w:tc>
          <w:tcPr>
            <w:tcW w:w="8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Value of</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w:t>
            </w: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Underlying</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Unexercised</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Unexercised</w:t>
            </w: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Unexercised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8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That Have</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That Have</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Have</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Options</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Unearned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Exercise</w:t>
            </w:r>
          </w:p>
        </w:tc>
        <w:tc>
          <w:tcPr>
            <w:tcW w:w="8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Not</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Not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Unearned</w:t>
            </w:r>
          </w:p>
        </w:tc>
        <w:tc>
          <w:tcPr>
            <w:tcW w:w="100" w:type="dxa"/>
            <w:vAlign w:val="bottom"/>
          </w:tcPr>
          <w:p>
            <w:pPr>
              <w:spacing w:after="0"/>
              <w:rPr>
                <w:sz w:val="13"/>
                <w:szCs w:val="13"/>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3"/>
                <w:szCs w:val="13"/>
                <w:b w:val="1"/>
                <w:bCs w:val="1"/>
                <w:color w:val="auto"/>
                <w:w w:val="99"/>
              </w:rPr>
              <w:t>Unexercisable</w:t>
            </w:r>
            <w:r>
              <w:rPr>
                <w:rFonts w:ascii="Arial" w:cs="Arial" w:eastAsia="Arial" w:hAnsi="Arial"/>
                <w:sz w:val="20"/>
                <w:szCs w:val="20"/>
                <w:b w:val="1"/>
                <w:bCs w:val="1"/>
                <w:color w:val="auto"/>
                <w:w w:val="99"/>
                <w:vertAlign w:val="superscript"/>
              </w:rPr>
              <w:t>(1)</w:t>
            </w: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(2)</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20"/>
                <w:szCs w:val="20"/>
                <w:b w:val="1"/>
                <w:bCs w:val="1"/>
                <w:color w:val="auto"/>
                <w:w w:val="95"/>
                <w:vertAlign w:val="superscript"/>
              </w:rPr>
              <w:t>(3)</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4"/>
              </w:rPr>
              <w:t>Vested</w:t>
            </w:r>
            <w:r>
              <w:rPr>
                <w:rFonts w:ascii="Arial" w:cs="Arial" w:eastAsia="Arial" w:hAnsi="Arial"/>
                <w:sz w:val="20"/>
                <w:szCs w:val="20"/>
                <w:b w:val="1"/>
                <w:bCs w:val="1"/>
                <w:color w:val="auto"/>
                <w:w w:val="94"/>
                <w:vertAlign w:val="superscript"/>
              </w:rPr>
              <w:t>(4)</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Vested</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7"/>
              </w:rPr>
              <w:t>Shares</w:t>
            </w:r>
            <w:r>
              <w:rPr>
                <w:rFonts w:ascii="Arial" w:cs="Arial" w:eastAsia="Arial" w:hAnsi="Arial"/>
                <w:sz w:val="20"/>
                <w:szCs w:val="20"/>
                <w:b w:val="1"/>
                <w:bCs w:val="1"/>
                <w:color w:val="auto"/>
                <w:w w:val="97"/>
                <w:vertAlign w:val="superscript"/>
              </w:rPr>
              <w:t>(5)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Vested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William B. Shepro</w:t>
            </w:r>
          </w:p>
        </w:tc>
        <w:tc>
          <w:tcPr>
            <w:tcW w:w="900" w:type="dxa"/>
            <w:vAlign w:val="bottom"/>
            <w:gridSpan w:val="2"/>
            <w:shd w:val="clear" w:color="auto" w:fill="CCEEFF"/>
          </w:tcPr>
          <w:p>
            <w:pPr>
              <w:jc w:val="right"/>
              <w:ind w:right="73"/>
              <w:spacing w:after="0" w:line="119" w:lineRule="exact"/>
              <w:rPr>
                <w:sz w:val="20"/>
                <w:szCs w:val="20"/>
                <w:color w:val="auto"/>
              </w:rPr>
            </w:pPr>
            <w:r>
              <w:rPr>
                <w:rFonts w:ascii="Arial" w:cs="Arial" w:eastAsia="Arial" w:hAnsi="Arial"/>
                <w:sz w:val="13"/>
                <w:szCs w:val="13"/>
                <w:color w:val="auto"/>
              </w:rPr>
              <w:t>34,375</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09"/>
              <w:spacing w:after="0" w:line="119"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line="11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3"/>
                <w:szCs w:val="13"/>
                <w:color w:val="auto"/>
              </w:rPr>
              <w:t>$9.14</w:t>
            </w:r>
          </w:p>
        </w:tc>
        <w:tc>
          <w:tcPr>
            <w:tcW w:w="840" w:type="dxa"/>
            <w:vAlign w:val="bottom"/>
            <w:gridSpan w:val="3"/>
            <w:shd w:val="clear" w:color="auto" w:fill="CCEEFF"/>
          </w:tcPr>
          <w:p>
            <w:pPr>
              <w:jc w:val="right"/>
              <w:ind w:right="40"/>
              <w:spacing w:after="0" w:line="119" w:lineRule="exact"/>
              <w:rPr>
                <w:sz w:val="20"/>
                <w:szCs w:val="20"/>
                <w:color w:val="auto"/>
              </w:rPr>
            </w:pPr>
            <w:r>
              <w:rPr>
                <w:rFonts w:ascii="Arial" w:cs="Arial" w:eastAsia="Arial" w:hAnsi="Arial"/>
                <w:sz w:val="9"/>
                <w:szCs w:val="9"/>
                <w:color w:val="auto"/>
              </w:rPr>
              <w:t>7/14/2018</w:t>
            </w:r>
            <w:r>
              <w:rPr>
                <w:rFonts w:ascii="Arial" w:cs="Arial" w:eastAsia="Arial" w:hAnsi="Arial"/>
                <w:sz w:val="13"/>
                <w:szCs w:val="13"/>
                <w:color w:val="auto"/>
                <w:vertAlign w:val="superscript"/>
              </w:rPr>
              <w:t>(6)</w:t>
            </w:r>
          </w:p>
        </w:tc>
        <w:tc>
          <w:tcPr>
            <w:tcW w:w="800" w:type="dxa"/>
            <w:vAlign w:val="bottom"/>
            <w:shd w:val="clear" w:color="auto" w:fill="CCEEFF"/>
          </w:tcPr>
          <w:p>
            <w:pPr>
              <w:jc w:val="right"/>
              <w:ind w:right="133"/>
              <w:spacing w:after="0" w:line="119"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1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82,814</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$9.14</w:t>
            </w:r>
          </w:p>
        </w:tc>
        <w:tc>
          <w:tcPr>
            <w:tcW w:w="840" w:type="dxa"/>
            <w:vAlign w:val="bottom"/>
            <w:gridSpan w:val="3"/>
            <w:shd w:val="clear" w:color="auto" w:fill="CCEEFF"/>
          </w:tcPr>
          <w:p>
            <w:pPr>
              <w:jc w:val="right"/>
              <w:ind w:right="40"/>
              <w:spacing w:after="0" w:line="152" w:lineRule="exact"/>
              <w:rPr>
                <w:sz w:val="20"/>
                <w:szCs w:val="20"/>
                <w:color w:val="auto"/>
              </w:rPr>
            </w:pPr>
            <w:r>
              <w:rPr>
                <w:rFonts w:ascii="Arial" w:cs="Arial" w:eastAsia="Arial" w:hAnsi="Arial"/>
                <w:sz w:val="12"/>
                <w:szCs w:val="12"/>
                <w:color w:val="auto"/>
              </w:rPr>
              <w:t>7/14/2018</w:t>
            </w:r>
            <w:r>
              <w:rPr>
                <w:rFonts w:ascii="Arial" w:cs="Arial" w:eastAsia="Arial" w:hAnsi="Arial"/>
                <w:sz w:val="17"/>
                <w:szCs w:val="17"/>
                <w:color w:val="auto"/>
                <w:vertAlign w:val="superscript"/>
              </w:rPr>
              <w:t>(6)</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51,562</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$9.14</w:t>
            </w:r>
          </w:p>
        </w:tc>
        <w:tc>
          <w:tcPr>
            <w:tcW w:w="840" w:type="dxa"/>
            <w:vAlign w:val="bottom"/>
            <w:gridSpan w:val="3"/>
            <w:shd w:val="clear" w:color="auto" w:fill="CCEEFF"/>
          </w:tcPr>
          <w:p>
            <w:pPr>
              <w:jc w:val="right"/>
              <w:ind w:right="40"/>
              <w:spacing w:after="0" w:line="177" w:lineRule="exact"/>
              <w:rPr>
                <w:sz w:val="20"/>
                <w:szCs w:val="20"/>
                <w:color w:val="auto"/>
              </w:rPr>
            </w:pPr>
            <w:r>
              <w:rPr>
                <w:rFonts w:ascii="Arial" w:cs="Arial" w:eastAsia="Arial" w:hAnsi="Arial"/>
                <w:sz w:val="13"/>
                <w:szCs w:val="13"/>
                <w:color w:val="auto"/>
              </w:rPr>
              <w:t>7/14/2018</w:t>
            </w:r>
            <w:r>
              <w:rPr>
                <w:rFonts w:ascii="Arial" w:cs="Arial" w:eastAsia="Arial" w:hAnsi="Arial"/>
                <w:sz w:val="20"/>
                <w:szCs w:val="20"/>
                <w:color w:val="auto"/>
                <w:vertAlign w:val="superscript"/>
              </w:rPr>
              <w:t>(6)</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60,000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5/19/2020</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120,000</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5/19/2020</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73"/>
              <w:spacing w:after="0" w:line="126" w:lineRule="exact"/>
              <w:rPr>
                <w:sz w:val="20"/>
                <w:szCs w:val="20"/>
                <w:color w:val="auto"/>
              </w:rPr>
            </w:pPr>
            <w:r>
              <w:rPr>
                <w:rFonts w:ascii="Arial" w:cs="Arial" w:eastAsia="Arial" w:hAnsi="Arial"/>
                <w:sz w:val="13"/>
                <w:szCs w:val="13"/>
                <w:color w:val="auto"/>
              </w:rPr>
              <w:t>60,000</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09"/>
              <w:spacing w:after="0" w:line="126"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$23.80</w:t>
            </w:r>
          </w:p>
        </w:tc>
        <w:tc>
          <w:tcPr>
            <w:tcW w:w="800" w:type="dxa"/>
            <w:vAlign w:val="bottom"/>
            <w:gridSpan w:val="2"/>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5/19/2020</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33"/>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34,933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17,467</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97"/>
              </w:rPr>
              <w:t>(7)</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4/15/2025</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9"/>
              <w:spacing w:after="0" w:line="152" w:lineRule="exact"/>
              <w:rPr>
                <w:sz w:val="20"/>
                <w:szCs w:val="20"/>
                <w:color w:val="auto"/>
              </w:rPr>
            </w:pPr>
            <w:r>
              <w:rPr>
                <w:rFonts w:ascii="Arial" w:cs="Arial" w:eastAsia="Arial" w:hAnsi="Arial"/>
                <w:sz w:val="12"/>
                <w:szCs w:val="12"/>
                <w:color w:val="auto"/>
              </w:rPr>
              <w:t>10,594</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9"/>
              <w:spacing w:after="0" w:line="152" w:lineRule="exact"/>
              <w:rPr>
                <w:sz w:val="20"/>
                <w:szCs w:val="20"/>
                <w:color w:val="auto"/>
              </w:rPr>
            </w:pPr>
            <w:r>
              <w:rPr>
                <w:rFonts w:ascii="Arial" w:cs="Arial" w:eastAsia="Arial" w:hAnsi="Arial"/>
                <w:sz w:val="12"/>
                <w:szCs w:val="12"/>
                <w:color w:val="auto"/>
              </w:rPr>
              <w:t>10,593</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81"/>
              </w:rPr>
              <w:t>(9)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2"/>
                <w:szCs w:val="12"/>
                <w:color w:val="auto"/>
              </w:rPr>
              <w:t>37,733</w:t>
            </w:r>
            <w:r>
              <w:rPr>
                <w:rFonts w:ascii="Arial" w:cs="Arial" w:eastAsia="Arial" w:hAnsi="Arial"/>
                <w:sz w:val="17"/>
                <w:szCs w:val="17"/>
                <w:color w:val="auto"/>
                <w:vertAlign w:val="superscript"/>
              </w:rPr>
              <w:t>(10)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$1,056,524</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3"/>
                <w:szCs w:val="13"/>
                <w:color w:val="auto"/>
              </w:rPr>
              <w:t>12,927</w:t>
            </w:r>
            <w:r>
              <w:rPr>
                <w:rFonts w:ascii="Arial" w:cs="Arial" w:eastAsia="Arial" w:hAnsi="Arial"/>
                <w:sz w:val="20"/>
                <w:szCs w:val="20"/>
                <w:color w:val="auto"/>
                <w:vertAlign w:val="superscript"/>
              </w:rPr>
              <w:t>(11)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$361,956</w:t>
            </w: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3"/>
                <w:szCs w:val="13"/>
                <w:color w:val="auto"/>
              </w:rPr>
              <w:t>12,926</w:t>
            </w:r>
            <w:r>
              <w:rPr>
                <w:rFonts w:ascii="Arial" w:cs="Arial" w:eastAsia="Arial" w:hAnsi="Arial"/>
                <w:sz w:val="20"/>
                <w:szCs w:val="20"/>
                <w:color w:val="auto"/>
                <w:vertAlign w:val="superscript"/>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361,928</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180" w:type="dxa"/>
            <w:vAlign w:val="bottom"/>
          </w:tcPr>
          <w:p>
            <w:pPr>
              <w:spacing w:after="0"/>
              <w:rPr>
                <w:sz w:val="20"/>
                <w:szCs w:val="20"/>
                <w:color w:val="auto"/>
              </w:rPr>
            </w:pPr>
            <w:r>
              <w:rPr>
                <w:rFonts w:ascii="Arial" w:cs="Arial" w:eastAsia="Arial" w:hAnsi="Arial"/>
                <w:sz w:val="13"/>
                <w:szCs w:val="13"/>
                <w:color w:val="auto"/>
              </w:rPr>
              <w:t>Kevin J. Wilcox</w:t>
            </w: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25,833</w:t>
            </w:r>
          </w:p>
        </w:tc>
        <w:tc>
          <w:tcPr>
            <w:tcW w:w="100" w:type="dxa"/>
            <w:vAlign w:val="bottom"/>
          </w:tcPr>
          <w:p>
            <w:pPr>
              <w:spacing w:after="0"/>
              <w:rPr>
                <w:sz w:val="24"/>
                <w:szCs w:val="24"/>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$9.14</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7/14/2018</w:t>
            </w:r>
            <w:r>
              <w:rPr>
                <w:rFonts w:ascii="Arial" w:cs="Arial" w:eastAsia="Arial" w:hAnsi="Arial"/>
                <w:sz w:val="20"/>
                <w:szCs w:val="20"/>
                <w:color w:val="auto"/>
                <w:vertAlign w:val="superscript"/>
              </w:rPr>
              <w:t>(6)</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52,918</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$9.14</w:t>
            </w:r>
          </w:p>
        </w:tc>
        <w:tc>
          <w:tcPr>
            <w:tcW w:w="840" w:type="dxa"/>
            <w:vAlign w:val="bottom"/>
            <w:gridSpan w:val="3"/>
          </w:tcPr>
          <w:p>
            <w:pPr>
              <w:jc w:val="right"/>
              <w:ind w:right="40"/>
              <w:spacing w:after="0" w:line="152" w:lineRule="exact"/>
              <w:rPr>
                <w:sz w:val="20"/>
                <w:szCs w:val="20"/>
                <w:color w:val="auto"/>
              </w:rPr>
            </w:pPr>
            <w:r>
              <w:rPr>
                <w:rFonts w:ascii="Arial" w:cs="Arial" w:eastAsia="Arial" w:hAnsi="Arial"/>
                <w:sz w:val="12"/>
                <w:szCs w:val="12"/>
                <w:color w:val="auto"/>
              </w:rPr>
              <w:t>7/14/2018</w:t>
            </w:r>
            <w:r>
              <w:rPr>
                <w:rFonts w:ascii="Arial" w:cs="Arial" w:eastAsia="Arial" w:hAnsi="Arial"/>
                <w:sz w:val="17"/>
                <w:szCs w:val="17"/>
                <w:color w:val="auto"/>
                <w:vertAlign w:val="superscript"/>
              </w:rPr>
              <w:t>(6)</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80" w:type="dxa"/>
            <w:vAlign w:val="bottom"/>
          </w:tcPr>
          <w:p>
            <w:pPr>
              <w:spacing w:after="0"/>
              <w:rPr>
                <w:sz w:val="15"/>
                <w:szCs w:val="15"/>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38,750</w:t>
            </w:r>
          </w:p>
        </w:tc>
        <w:tc>
          <w:tcPr>
            <w:tcW w:w="100" w:type="dxa"/>
            <w:vAlign w:val="bottom"/>
          </w:tcPr>
          <w:p>
            <w:pPr>
              <w:spacing w:after="0"/>
              <w:rPr>
                <w:sz w:val="15"/>
                <w:szCs w:val="15"/>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$9.14</w:t>
            </w:r>
          </w:p>
        </w:tc>
        <w:tc>
          <w:tcPr>
            <w:tcW w:w="840" w:type="dxa"/>
            <w:vAlign w:val="bottom"/>
            <w:gridSpan w:val="3"/>
          </w:tcPr>
          <w:p>
            <w:pPr>
              <w:jc w:val="right"/>
              <w:ind w:right="40"/>
              <w:spacing w:after="0" w:line="182" w:lineRule="exact"/>
              <w:rPr>
                <w:sz w:val="20"/>
                <w:szCs w:val="20"/>
                <w:color w:val="auto"/>
              </w:rPr>
            </w:pPr>
            <w:r>
              <w:rPr>
                <w:rFonts w:ascii="Arial" w:cs="Arial" w:eastAsia="Arial" w:hAnsi="Arial"/>
                <w:sz w:val="13"/>
                <w:szCs w:val="13"/>
                <w:color w:val="auto"/>
              </w:rPr>
              <w:t>7/14/2018</w:t>
            </w:r>
            <w:r>
              <w:rPr>
                <w:rFonts w:ascii="Arial" w:cs="Arial" w:eastAsia="Arial" w:hAnsi="Arial"/>
                <w:sz w:val="20"/>
                <w:szCs w:val="20"/>
                <w:color w:val="auto"/>
                <w:vertAlign w:val="superscript"/>
              </w:rPr>
              <w:t>(6)</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30,000</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$23.80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5/19/2020</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60,000</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$23.80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5/19/2020</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900" w:type="dxa"/>
            <w:vAlign w:val="bottom"/>
            <w:gridSpan w:val="2"/>
          </w:tcPr>
          <w:p>
            <w:pPr>
              <w:jc w:val="right"/>
              <w:ind w:right="73"/>
              <w:spacing w:after="0" w:line="122" w:lineRule="exact"/>
              <w:rPr>
                <w:sz w:val="20"/>
                <w:szCs w:val="20"/>
                <w:color w:val="auto"/>
              </w:rPr>
            </w:pPr>
            <w:r>
              <w:rPr>
                <w:rFonts w:ascii="Arial" w:cs="Arial" w:eastAsia="Arial" w:hAnsi="Arial"/>
                <w:sz w:val="13"/>
                <w:szCs w:val="13"/>
                <w:color w:val="auto"/>
              </w:rPr>
              <w:t>30,000</w:t>
            </w:r>
          </w:p>
        </w:tc>
        <w:tc>
          <w:tcPr>
            <w:tcW w:w="100" w:type="dxa"/>
            <w:vAlign w:val="bottom"/>
          </w:tcPr>
          <w:p>
            <w:pPr>
              <w:spacing w:after="0"/>
              <w:rPr>
                <w:sz w:val="10"/>
                <w:szCs w:val="10"/>
                <w:color w:val="auto"/>
              </w:rPr>
            </w:pPr>
          </w:p>
        </w:tc>
        <w:tc>
          <w:tcPr>
            <w:tcW w:w="1060" w:type="dxa"/>
            <w:vAlign w:val="bottom"/>
            <w:gridSpan w:val="2"/>
          </w:tcPr>
          <w:p>
            <w:pPr>
              <w:jc w:val="right"/>
              <w:ind w:right="209"/>
              <w:spacing w:after="0" w:line="122"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line="12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$23.80</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3"/>
                <w:szCs w:val="13"/>
                <w:color w:val="auto"/>
              </w:rPr>
              <w:t>5/19/2020</w:t>
            </w:r>
          </w:p>
        </w:tc>
        <w:tc>
          <w:tcPr>
            <w:tcW w:w="40" w:type="dxa"/>
            <w:vAlign w:val="bottom"/>
          </w:tcPr>
          <w:p>
            <w:pPr>
              <w:spacing w:after="0"/>
              <w:rPr>
                <w:sz w:val="10"/>
                <w:szCs w:val="10"/>
                <w:color w:val="auto"/>
              </w:rPr>
            </w:pPr>
          </w:p>
        </w:tc>
        <w:tc>
          <w:tcPr>
            <w:tcW w:w="800" w:type="dxa"/>
            <w:vAlign w:val="bottom"/>
          </w:tcPr>
          <w:p>
            <w:pPr>
              <w:jc w:val="right"/>
              <w:ind w:right="133"/>
              <w:spacing w:after="0" w:line="122"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2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line="12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12,667</w:t>
            </w:r>
          </w:p>
        </w:tc>
        <w:tc>
          <w:tcPr>
            <w:tcW w:w="100" w:type="dxa"/>
            <w:vAlign w:val="bottom"/>
          </w:tcPr>
          <w:p>
            <w:pPr>
              <w:spacing w:after="0"/>
              <w:rPr>
                <w:sz w:val="13"/>
                <w:szCs w:val="13"/>
                <w:color w:val="auto"/>
              </w:rPr>
            </w:pPr>
          </w:p>
        </w:tc>
        <w:tc>
          <w:tcPr>
            <w:tcW w:w="1060" w:type="dxa"/>
            <w:vAlign w:val="bottom"/>
            <w:gridSpan w:val="2"/>
          </w:tcPr>
          <w:p>
            <w:pPr>
              <w:jc w:val="right"/>
              <w:ind w:right="69"/>
              <w:spacing w:after="0" w:line="152" w:lineRule="exact"/>
              <w:rPr>
                <w:sz w:val="20"/>
                <w:szCs w:val="20"/>
                <w:color w:val="auto"/>
              </w:rPr>
            </w:pPr>
            <w:r>
              <w:rPr>
                <w:rFonts w:ascii="Arial" w:cs="Arial" w:eastAsia="Arial" w:hAnsi="Arial"/>
                <w:sz w:val="12"/>
                <w:szCs w:val="12"/>
                <w:color w:val="auto"/>
              </w:rPr>
              <w:t>6,333</w:t>
            </w:r>
            <w:r>
              <w:rPr>
                <w:rFonts w:ascii="Arial" w:cs="Arial" w:eastAsia="Arial" w:hAnsi="Arial"/>
                <w:sz w:val="17"/>
                <w:szCs w:val="17"/>
                <w:color w:val="auto"/>
                <w:vertAlign w:val="superscript"/>
              </w:rPr>
              <w:t>(7)</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$18.79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4/15/2025</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3,461</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3,460</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2,842</w:t>
            </w:r>
            <w:r>
              <w:rPr>
                <w:rFonts w:ascii="Arial" w:cs="Arial" w:eastAsia="Arial" w:hAnsi="Arial"/>
                <w:sz w:val="17"/>
                <w:szCs w:val="17"/>
                <w:color w:val="auto"/>
                <w:vertAlign w:val="superscript"/>
              </w:rPr>
              <w:t>(9)</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2"/>
                <w:szCs w:val="12"/>
                <w:color w:val="auto"/>
              </w:rPr>
              <w:t>13,667</w:t>
            </w:r>
            <w:r>
              <w:rPr>
                <w:rFonts w:ascii="Arial" w:cs="Arial" w:eastAsia="Arial" w:hAnsi="Arial"/>
                <w:sz w:val="17"/>
                <w:szCs w:val="17"/>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$382,676</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3"/>
                <w:szCs w:val="13"/>
                <w:color w:val="auto"/>
              </w:rPr>
              <w:t>3,016</w:t>
            </w:r>
            <w:r>
              <w:rPr>
                <w:rFonts w:ascii="Arial" w:cs="Arial" w:eastAsia="Arial" w:hAnsi="Arial"/>
                <w:sz w:val="20"/>
                <w:szCs w:val="20"/>
                <w:color w:val="auto"/>
                <w:vertAlign w:val="superscript"/>
              </w:rPr>
              <w:t>(11)</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$84,448</w:t>
            </w:r>
          </w:p>
        </w:tc>
        <w:tc>
          <w:tcPr>
            <w:tcW w:w="860" w:type="dxa"/>
            <w:vAlign w:val="bottom"/>
          </w:tcPr>
          <w:p>
            <w:pPr>
              <w:jc w:val="right"/>
              <w:spacing w:after="0" w:line="177" w:lineRule="exact"/>
              <w:rPr>
                <w:sz w:val="20"/>
                <w:szCs w:val="20"/>
                <w:color w:val="auto"/>
              </w:rPr>
            </w:pPr>
            <w:r>
              <w:rPr>
                <w:rFonts w:ascii="Arial" w:cs="Arial" w:eastAsia="Arial" w:hAnsi="Arial"/>
                <w:sz w:val="13"/>
                <w:szCs w:val="13"/>
                <w:color w:val="auto"/>
              </w:rPr>
              <w:t>3,016</w:t>
            </w:r>
            <w:r>
              <w:rPr>
                <w:rFonts w:ascii="Arial" w:cs="Arial" w:eastAsia="Arial" w:hAnsi="Arial"/>
                <w:sz w:val="20"/>
                <w:szCs w:val="20"/>
                <w:color w:val="auto"/>
                <w:vertAlign w:val="superscript"/>
              </w:rPr>
              <w:t>(12)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84,448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Indroneel</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13,333</w:t>
            </w:r>
            <w:r>
              <w:rPr>
                <w:rFonts w:ascii="Arial" w:cs="Arial" w:eastAsia="Arial" w:hAnsi="Arial"/>
                <w:sz w:val="20"/>
                <w:szCs w:val="20"/>
                <w:color w:val="auto"/>
                <w:vertAlign w:val="superscript"/>
              </w:rPr>
              <w:t>(13)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Chatterjee</w:t>
            </w:r>
          </w:p>
        </w:tc>
        <w:tc>
          <w:tcPr>
            <w:tcW w:w="900" w:type="dxa"/>
            <w:vAlign w:val="bottom"/>
            <w:gridSpan w:val="2"/>
            <w:shd w:val="clear" w:color="auto" w:fill="CCEEFF"/>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09"/>
              <w:spacing w:after="0" w:line="122" w:lineRule="exact"/>
              <w:rPr>
                <w:sz w:val="20"/>
                <w:szCs w:val="20"/>
                <w:color w:val="auto"/>
              </w:rPr>
            </w:pPr>
            <w:r>
              <w:rPr>
                <w:rFonts w:ascii="Arial" w:cs="Arial" w:eastAsia="Arial" w:hAnsi="Arial"/>
                <w:sz w:val="13"/>
                <w:szCs w:val="13"/>
                <w:color w:val="auto"/>
              </w:rPr>
              <w:t>-</w:t>
            </w:r>
          </w:p>
        </w:tc>
        <w:tc>
          <w:tcPr>
            <w:tcW w:w="940" w:type="dxa"/>
            <w:vAlign w:val="bottom"/>
            <w:gridSpan w:val="3"/>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$27.29</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rPr>
              <w:t>10/5/2027</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33"/>
              <w:spacing w:after="0" w:line="122"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2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52" w:lineRule="exact"/>
              <w:rPr>
                <w:sz w:val="20"/>
                <w:szCs w:val="20"/>
                <w:color w:val="auto"/>
              </w:rPr>
            </w:pPr>
            <w:r>
              <w:rPr>
                <w:rFonts w:ascii="Arial" w:cs="Arial" w:eastAsia="Arial" w:hAnsi="Arial"/>
                <w:sz w:val="12"/>
                <w:szCs w:val="12"/>
                <w:color w:val="auto"/>
              </w:rPr>
              <w:t>6,667</w:t>
            </w:r>
            <w:r>
              <w:rPr>
                <w:rFonts w:ascii="Arial" w:cs="Arial" w:eastAsia="Arial" w:hAnsi="Arial"/>
                <w:sz w:val="17"/>
                <w:szCs w:val="17"/>
                <w:color w:val="auto"/>
                <w:vertAlign w:val="superscript"/>
              </w:rPr>
              <w:t>(14)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10/5/2027</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3"/>
                <w:szCs w:val="13"/>
                <w:color w:val="auto"/>
              </w:rPr>
              <w:t>19,533</w:t>
            </w:r>
            <w:r>
              <w:rPr>
                <w:rFonts w:ascii="Arial" w:cs="Arial" w:eastAsia="Arial" w:hAnsi="Arial"/>
                <w:sz w:val="20"/>
                <w:szCs w:val="20"/>
                <w:color w:val="auto"/>
                <w:vertAlign w:val="superscript"/>
              </w:rPr>
              <w:t>(15)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$546,924</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1180" w:type="dxa"/>
            <w:vAlign w:val="bottom"/>
          </w:tcPr>
          <w:p>
            <w:pPr>
              <w:spacing w:after="0"/>
              <w:rPr>
                <w:sz w:val="20"/>
                <w:szCs w:val="20"/>
                <w:color w:val="auto"/>
              </w:rPr>
            </w:pPr>
            <w:r>
              <w:rPr>
                <w:rFonts w:ascii="Arial" w:cs="Arial" w:eastAsia="Arial" w:hAnsi="Arial"/>
                <w:sz w:val="13"/>
                <w:szCs w:val="13"/>
                <w:color w:val="auto"/>
              </w:rPr>
              <w:t>Michelle 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20"/>
                <w:szCs w:val="20"/>
                <w:color w:val="auto"/>
              </w:rPr>
            </w:pPr>
            <w:r>
              <w:rPr>
                <w:rFonts w:ascii="Arial" w:cs="Arial" w:eastAsia="Arial" w:hAnsi="Arial"/>
                <w:sz w:val="13"/>
                <w:szCs w:val="13"/>
                <w:color w:val="auto"/>
              </w:rPr>
              <w:t>Esterman</w:t>
            </w: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14,625</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$60.76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3/12/2022</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900" w:type="dxa"/>
            <w:vAlign w:val="bottom"/>
            <w:gridSpan w:val="2"/>
          </w:tcPr>
          <w:p>
            <w:pPr>
              <w:jc w:val="right"/>
              <w:ind w:right="73"/>
              <w:spacing w:after="0" w:line="122" w:lineRule="exact"/>
              <w:rPr>
                <w:sz w:val="20"/>
                <w:szCs w:val="20"/>
                <w:color w:val="auto"/>
              </w:rPr>
            </w:pPr>
            <w:r>
              <w:rPr>
                <w:rFonts w:ascii="Arial" w:cs="Arial" w:eastAsia="Arial" w:hAnsi="Arial"/>
                <w:sz w:val="13"/>
                <w:szCs w:val="13"/>
                <w:color w:val="auto"/>
              </w:rPr>
              <w:t>29,250</w:t>
            </w:r>
          </w:p>
        </w:tc>
        <w:tc>
          <w:tcPr>
            <w:tcW w:w="100" w:type="dxa"/>
            <w:vAlign w:val="bottom"/>
          </w:tcPr>
          <w:p>
            <w:pPr>
              <w:spacing w:after="0"/>
              <w:rPr>
                <w:sz w:val="10"/>
                <w:szCs w:val="10"/>
                <w:color w:val="auto"/>
              </w:rPr>
            </w:pPr>
          </w:p>
        </w:tc>
        <w:tc>
          <w:tcPr>
            <w:tcW w:w="1060" w:type="dxa"/>
            <w:vAlign w:val="bottom"/>
            <w:gridSpan w:val="2"/>
          </w:tcPr>
          <w:p>
            <w:pPr>
              <w:jc w:val="right"/>
              <w:ind w:right="209"/>
              <w:spacing w:after="0" w:line="122"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line="12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$60.76</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3"/>
                <w:szCs w:val="13"/>
                <w:color w:val="auto"/>
              </w:rPr>
              <w:t>3/12/2022</w:t>
            </w:r>
          </w:p>
        </w:tc>
        <w:tc>
          <w:tcPr>
            <w:tcW w:w="40" w:type="dxa"/>
            <w:vAlign w:val="bottom"/>
          </w:tcPr>
          <w:p>
            <w:pPr>
              <w:spacing w:after="0"/>
              <w:rPr>
                <w:sz w:val="10"/>
                <w:szCs w:val="10"/>
                <w:color w:val="auto"/>
              </w:rPr>
            </w:pPr>
          </w:p>
        </w:tc>
        <w:tc>
          <w:tcPr>
            <w:tcW w:w="800" w:type="dxa"/>
            <w:vAlign w:val="bottom"/>
          </w:tcPr>
          <w:p>
            <w:pPr>
              <w:jc w:val="right"/>
              <w:ind w:right="133"/>
              <w:spacing w:after="0" w:line="122"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2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line="12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14,625</w:t>
            </w:r>
            <w:r>
              <w:rPr>
                <w:rFonts w:ascii="Arial" w:cs="Arial" w:eastAsia="Arial" w:hAnsi="Arial"/>
                <w:sz w:val="17"/>
                <w:szCs w:val="17"/>
                <w:color w:val="auto"/>
                <w:vertAlign w:val="superscript"/>
              </w:rPr>
              <w:t>(16)</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$60.76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3/12/2022</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3,125</w:t>
            </w:r>
          </w:p>
        </w:tc>
        <w:tc>
          <w:tcPr>
            <w:tcW w:w="100" w:type="dxa"/>
            <w:vAlign w:val="bottom"/>
          </w:tcPr>
          <w:p>
            <w:pPr>
              <w:spacing w:after="0"/>
              <w:rPr>
                <w:sz w:val="13"/>
                <w:szCs w:val="13"/>
                <w:color w:val="auto"/>
              </w:rPr>
            </w:pPr>
          </w:p>
        </w:tc>
        <w:tc>
          <w:tcPr>
            <w:tcW w:w="1060" w:type="dxa"/>
            <w:vAlign w:val="bottom"/>
            <w:gridSpan w:val="2"/>
          </w:tcPr>
          <w:p>
            <w:pPr>
              <w:jc w:val="right"/>
              <w:ind w:right="29"/>
              <w:spacing w:after="0" w:line="152" w:lineRule="exact"/>
              <w:rPr>
                <w:sz w:val="20"/>
                <w:szCs w:val="20"/>
                <w:color w:val="auto"/>
              </w:rPr>
            </w:pPr>
            <w:r>
              <w:rPr>
                <w:rFonts w:ascii="Arial" w:cs="Arial" w:eastAsia="Arial" w:hAnsi="Arial"/>
                <w:sz w:val="12"/>
                <w:szCs w:val="12"/>
                <w:color w:val="auto"/>
              </w:rPr>
              <w:t>3,125</w:t>
            </w:r>
            <w:r>
              <w:rPr>
                <w:rFonts w:ascii="Arial" w:cs="Arial" w:eastAsia="Arial" w:hAnsi="Arial"/>
                <w:sz w:val="17"/>
                <w:szCs w:val="17"/>
                <w:color w:val="auto"/>
                <w:vertAlign w:val="superscript"/>
              </w:rPr>
              <w:t>(17)</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$21.89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2/10/2025</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3,125</w:t>
            </w:r>
          </w:p>
        </w:tc>
        <w:tc>
          <w:tcPr>
            <w:tcW w:w="100" w:type="dxa"/>
            <w:vAlign w:val="bottom"/>
          </w:tcPr>
          <w:p>
            <w:pPr>
              <w:spacing w:after="0"/>
              <w:rPr>
                <w:sz w:val="13"/>
                <w:szCs w:val="13"/>
                <w:color w:val="auto"/>
              </w:rPr>
            </w:pPr>
          </w:p>
        </w:tc>
        <w:tc>
          <w:tcPr>
            <w:tcW w:w="1060" w:type="dxa"/>
            <w:vAlign w:val="bottom"/>
            <w:gridSpan w:val="2"/>
          </w:tcPr>
          <w:p>
            <w:pPr>
              <w:jc w:val="right"/>
              <w:ind w:right="29"/>
              <w:spacing w:after="0" w:line="152" w:lineRule="exact"/>
              <w:rPr>
                <w:sz w:val="20"/>
                <w:szCs w:val="20"/>
                <w:color w:val="auto"/>
              </w:rPr>
            </w:pPr>
            <w:r>
              <w:rPr>
                <w:rFonts w:ascii="Arial" w:cs="Arial" w:eastAsia="Arial" w:hAnsi="Arial"/>
                <w:sz w:val="12"/>
                <w:szCs w:val="12"/>
                <w:color w:val="auto"/>
              </w:rPr>
              <w:t>9,375</w:t>
            </w:r>
            <w:r>
              <w:rPr>
                <w:rFonts w:ascii="Arial" w:cs="Arial" w:eastAsia="Arial" w:hAnsi="Arial"/>
                <w:sz w:val="17"/>
                <w:szCs w:val="17"/>
                <w:color w:val="auto"/>
                <w:vertAlign w:val="superscript"/>
              </w:rPr>
              <w:t>(18)</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$21.89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2/10/2025</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6,250</w:t>
            </w:r>
            <w:r>
              <w:rPr>
                <w:rFonts w:ascii="Arial" w:cs="Arial" w:eastAsia="Arial" w:hAnsi="Arial"/>
                <w:sz w:val="17"/>
                <w:szCs w:val="17"/>
                <w:color w:val="auto"/>
                <w:vertAlign w:val="superscript"/>
              </w:rPr>
              <w:t>(19)</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$21.89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2/10/2025</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8,933</w:t>
            </w:r>
          </w:p>
        </w:tc>
        <w:tc>
          <w:tcPr>
            <w:tcW w:w="100" w:type="dxa"/>
            <w:vAlign w:val="bottom"/>
          </w:tcPr>
          <w:p>
            <w:pPr>
              <w:spacing w:after="0"/>
              <w:rPr>
                <w:sz w:val="13"/>
                <w:szCs w:val="13"/>
                <w:color w:val="auto"/>
              </w:rPr>
            </w:pPr>
          </w:p>
        </w:tc>
        <w:tc>
          <w:tcPr>
            <w:tcW w:w="1060" w:type="dxa"/>
            <w:vAlign w:val="bottom"/>
            <w:gridSpan w:val="2"/>
          </w:tcPr>
          <w:p>
            <w:pPr>
              <w:jc w:val="right"/>
              <w:ind w:right="69"/>
              <w:spacing w:after="0" w:line="152" w:lineRule="exact"/>
              <w:rPr>
                <w:sz w:val="20"/>
                <w:szCs w:val="20"/>
                <w:color w:val="auto"/>
              </w:rPr>
            </w:pPr>
            <w:r>
              <w:rPr>
                <w:rFonts w:ascii="Arial" w:cs="Arial" w:eastAsia="Arial" w:hAnsi="Arial"/>
                <w:sz w:val="12"/>
                <w:szCs w:val="12"/>
                <w:color w:val="auto"/>
              </w:rPr>
              <w:t>4,467</w:t>
            </w:r>
            <w:r>
              <w:rPr>
                <w:rFonts w:ascii="Arial" w:cs="Arial" w:eastAsia="Arial" w:hAnsi="Arial"/>
                <w:sz w:val="17"/>
                <w:szCs w:val="17"/>
                <w:color w:val="auto"/>
                <w:vertAlign w:val="superscript"/>
              </w:rPr>
              <w:t>(7)</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$18.79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4/15/2025</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2,076</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2,076</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1,706</w:t>
            </w:r>
            <w:r>
              <w:rPr>
                <w:rFonts w:ascii="Arial" w:cs="Arial" w:eastAsia="Arial" w:hAnsi="Arial"/>
                <w:sz w:val="17"/>
                <w:szCs w:val="17"/>
                <w:color w:val="auto"/>
                <w:vertAlign w:val="superscript"/>
              </w:rPr>
              <w:t>(9)</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4/7/2027</w:t>
            </w:r>
          </w:p>
        </w:tc>
        <w:tc>
          <w:tcPr>
            <w:tcW w:w="4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2"/>
                <w:szCs w:val="12"/>
                <w:color w:val="auto"/>
              </w:rPr>
              <w:t>9,667</w:t>
            </w:r>
            <w:r>
              <w:rPr>
                <w:rFonts w:ascii="Arial" w:cs="Arial" w:eastAsia="Arial" w:hAnsi="Arial"/>
                <w:sz w:val="17"/>
                <w:szCs w:val="17"/>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$270,676</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180" w:type="dxa"/>
            <w:vAlign w:val="bottom"/>
          </w:tcPr>
          <w:p>
            <w:pPr>
              <w:spacing w:after="0"/>
              <w:rPr>
                <w:sz w:val="22"/>
                <w:szCs w:val="22"/>
                <w:color w:val="auto"/>
              </w:rPr>
            </w:pPr>
          </w:p>
        </w:tc>
        <w:tc>
          <w:tcPr>
            <w:tcW w:w="9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1,810</w:t>
            </w:r>
            <w:r>
              <w:rPr>
                <w:rFonts w:ascii="Arial" w:cs="Arial" w:eastAsia="Arial" w:hAnsi="Arial"/>
                <w:sz w:val="20"/>
                <w:szCs w:val="20"/>
                <w:color w:val="auto"/>
                <w:vertAlign w:val="superscript"/>
              </w:rPr>
              <w:t>(11)</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$50,680</w:t>
            </w:r>
          </w:p>
        </w:tc>
        <w:tc>
          <w:tcPr>
            <w:tcW w:w="860" w:type="dxa"/>
            <w:vAlign w:val="bottom"/>
          </w:tcPr>
          <w:p>
            <w:pPr>
              <w:jc w:val="right"/>
              <w:spacing w:after="0"/>
              <w:rPr>
                <w:sz w:val="20"/>
                <w:szCs w:val="20"/>
                <w:color w:val="auto"/>
              </w:rPr>
            </w:pPr>
            <w:r>
              <w:rPr>
                <w:rFonts w:ascii="Arial" w:cs="Arial" w:eastAsia="Arial" w:hAnsi="Arial"/>
                <w:sz w:val="13"/>
                <w:szCs w:val="13"/>
                <w:color w:val="auto"/>
              </w:rPr>
              <w:t>1,809</w:t>
            </w:r>
            <w:r>
              <w:rPr>
                <w:rFonts w:ascii="Arial" w:cs="Arial" w:eastAsia="Arial" w:hAnsi="Arial"/>
                <w:sz w:val="20"/>
                <w:szCs w:val="20"/>
                <w:color w:val="auto"/>
                <w:vertAlign w:val="superscript"/>
              </w:rPr>
              <w:t>(12)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50,652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0540"/>
          </w:cols>
          <w:pgMar w:left="240" w:top="143" w:right="111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rPr>
              <w:t>Equity</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Incentive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Incentive</w:t>
            </w: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Plan Awards: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Plan Awards:</w:t>
            </w: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Number</w:t>
            </w:r>
          </w:p>
        </w:tc>
        <w:tc>
          <w:tcPr>
            <w:tcW w:w="8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Securities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Value of</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w:t>
            </w: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Securities</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Unexercised</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Unexercised</w:t>
            </w:r>
          </w:p>
        </w:tc>
        <w:tc>
          <w:tcPr>
            <w:tcW w:w="10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Unexercised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That Have</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That Have</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Have</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Options</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Unearned</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Exercise</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Expiration</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Not</w:t>
            </w: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Not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Unearned</w:t>
            </w:r>
          </w:p>
        </w:tc>
        <w:tc>
          <w:tcPr>
            <w:tcW w:w="100" w:type="dxa"/>
            <w:vAlign w:val="bottom"/>
          </w:tcPr>
          <w:p>
            <w:pPr>
              <w:spacing w:after="0"/>
              <w:rPr>
                <w:sz w:val="13"/>
                <w:szCs w:val="13"/>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77"/>
        </w:trPr>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1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3"/>
                <w:szCs w:val="13"/>
                <w:b w:val="1"/>
                <w:bCs w:val="1"/>
                <w:color w:val="auto"/>
                <w:w w:val="99"/>
              </w:rPr>
              <w:t>Unexercisable</w:t>
            </w:r>
            <w:r>
              <w:rPr>
                <w:rFonts w:ascii="Arial" w:cs="Arial" w:eastAsia="Arial" w:hAnsi="Arial"/>
                <w:sz w:val="20"/>
                <w:szCs w:val="20"/>
                <w:b w:val="1"/>
                <w:bCs w:val="1"/>
                <w:color w:val="auto"/>
                <w:w w:val="99"/>
                <w:vertAlign w:val="superscript"/>
              </w:rPr>
              <w:t>(1)</w:t>
            </w:r>
          </w:p>
        </w:tc>
        <w:tc>
          <w:tcPr>
            <w:tcW w:w="100" w:type="dxa"/>
            <w:vAlign w:val="bottom"/>
          </w:tcPr>
          <w:p>
            <w:pPr>
              <w:spacing w:after="0"/>
              <w:rPr>
                <w:sz w:val="15"/>
                <w:szCs w:val="15"/>
                <w:color w:val="auto"/>
              </w:rPr>
            </w:pPr>
          </w:p>
        </w:tc>
        <w:tc>
          <w:tcPr>
            <w:tcW w:w="86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(2)</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1"/>
              </w:rPr>
              <w:t>Price</w:t>
            </w:r>
            <w:r>
              <w:rPr>
                <w:rFonts w:ascii="Arial" w:cs="Arial" w:eastAsia="Arial" w:hAnsi="Arial"/>
                <w:sz w:val="20"/>
                <w:szCs w:val="20"/>
                <w:b w:val="1"/>
                <w:bCs w:val="1"/>
                <w:color w:val="auto"/>
                <w:w w:val="91"/>
                <w:vertAlign w:val="superscript"/>
              </w:rPr>
              <w:t>(3)</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line="177" w:lineRule="exact"/>
              <w:rPr>
                <w:sz w:val="20"/>
                <w:szCs w:val="20"/>
                <w:color w:val="auto"/>
              </w:rPr>
            </w:pPr>
            <w:r>
              <w:rPr>
                <w:rFonts w:ascii="Arial" w:cs="Arial" w:eastAsia="Arial" w:hAnsi="Arial"/>
                <w:sz w:val="13"/>
                <w:szCs w:val="13"/>
                <w:b w:val="1"/>
                <w:bCs w:val="1"/>
                <w:color w:val="auto"/>
                <w:w w:val="94"/>
              </w:rPr>
              <w:t>Vested</w:t>
            </w:r>
            <w:r>
              <w:rPr>
                <w:rFonts w:ascii="Arial" w:cs="Arial" w:eastAsia="Arial" w:hAnsi="Arial"/>
                <w:sz w:val="20"/>
                <w:szCs w:val="20"/>
                <w:b w:val="1"/>
                <w:bCs w:val="1"/>
                <w:color w:val="auto"/>
                <w:w w:val="94"/>
                <w:vertAlign w:val="superscript"/>
              </w:rPr>
              <w:t>(4)</w:t>
            </w:r>
          </w:p>
        </w:tc>
        <w:tc>
          <w:tcPr>
            <w:tcW w:w="12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Vested</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w w:val="97"/>
              </w:rPr>
              <w:t>Shares</w:t>
            </w:r>
            <w:r>
              <w:rPr>
                <w:rFonts w:ascii="Arial" w:cs="Arial" w:eastAsia="Arial" w:hAnsi="Arial"/>
                <w:sz w:val="20"/>
                <w:szCs w:val="20"/>
                <w:b w:val="1"/>
                <w:bCs w:val="1"/>
                <w:color w:val="auto"/>
                <w:w w:val="97"/>
                <w:vertAlign w:val="superscript"/>
              </w:rPr>
              <w:t>(5)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Vested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Joseph A. Davila</w:t>
            </w:r>
          </w:p>
        </w:tc>
        <w:tc>
          <w:tcPr>
            <w:tcW w:w="92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3"/>
                <w:szCs w:val="13"/>
                <w:color w:val="auto"/>
              </w:rPr>
              <w:t>6,250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9"/>
              <w:spacing w:after="0" w:line="144"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9"/>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$32.55</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7/28/2021</w:t>
            </w:r>
          </w:p>
        </w:tc>
        <w:tc>
          <w:tcPr>
            <w:tcW w:w="820" w:type="dxa"/>
            <w:vAlign w:val="bottom"/>
            <w:gridSpan w:val="2"/>
            <w:shd w:val="clear" w:color="auto" w:fill="CCEEFF"/>
          </w:tcPr>
          <w:p>
            <w:pPr>
              <w:jc w:val="right"/>
              <w:ind w:right="129"/>
              <w:spacing w:after="0" w:line="144"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12,500</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7/28/2021</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6,250</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7/28/2021</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ind w:left="340"/>
              <w:spacing w:after="0" w:line="126" w:lineRule="exact"/>
              <w:rPr>
                <w:sz w:val="20"/>
                <w:szCs w:val="20"/>
                <w:color w:val="auto"/>
              </w:rPr>
            </w:pPr>
            <w:r>
              <w:rPr>
                <w:rFonts w:ascii="Arial" w:cs="Arial" w:eastAsia="Arial" w:hAnsi="Arial"/>
                <w:sz w:val="13"/>
                <w:szCs w:val="13"/>
                <w:color w:val="auto"/>
              </w:rPr>
              <w:t>1,875</w:t>
            </w:r>
          </w:p>
        </w:tc>
        <w:tc>
          <w:tcPr>
            <w:tcW w:w="1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89"/>
              <w:spacing w:after="0" w:line="126"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149"/>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$95.12</w:t>
            </w:r>
          </w:p>
        </w:tc>
        <w:tc>
          <w:tcPr>
            <w:tcW w:w="7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5/15/2023</w:t>
            </w:r>
          </w:p>
        </w:tc>
        <w:tc>
          <w:tcPr>
            <w:tcW w:w="820" w:type="dxa"/>
            <w:vAlign w:val="bottom"/>
            <w:gridSpan w:val="2"/>
            <w:shd w:val="clear" w:color="auto" w:fill="CCEEFF"/>
          </w:tcPr>
          <w:p>
            <w:pPr>
              <w:jc w:val="right"/>
              <w:ind w:right="129"/>
              <w:spacing w:after="0" w:line="126"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1,406</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9"/>
              <w:spacing w:after="0" w:line="152" w:lineRule="exact"/>
              <w:rPr>
                <w:sz w:val="20"/>
                <w:szCs w:val="20"/>
                <w:color w:val="auto"/>
              </w:rPr>
            </w:pPr>
            <w:r>
              <w:rPr>
                <w:rFonts w:ascii="Arial" w:cs="Arial" w:eastAsia="Arial" w:hAnsi="Arial"/>
                <w:sz w:val="17"/>
                <w:szCs w:val="17"/>
                <w:color w:val="auto"/>
                <w:vertAlign w:val="subscript"/>
              </w:rPr>
              <w:t>469</w:t>
            </w:r>
            <w:r>
              <w:rPr>
                <w:rFonts w:ascii="Arial" w:cs="Arial" w:eastAsia="Arial" w:hAnsi="Arial"/>
                <w:sz w:val="8"/>
                <w:szCs w:val="8"/>
                <w:color w:val="auto"/>
              </w:rPr>
              <w:t>(20)</w:t>
            </w:r>
          </w:p>
        </w:tc>
        <w:tc>
          <w:tcPr>
            <w:tcW w:w="960" w:type="dxa"/>
            <w:vAlign w:val="bottom"/>
            <w:gridSpan w:val="3"/>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5/15/2024</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4,688</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9"/>
              <w:spacing w:after="0" w:line="152" w:lineRule="exact"/>
              <w:rPr>
                <w:sz w:val="20"/>
                <w:szCs w:val="20"/>
                <w:color w:val="auto"/>
              </w:rPr>
            </w:pPr>
            <w:r>
              <w:rPr>
                <w:rFonts w:ascii="Arial" w:cs="Arial" w:eastAsia="Arial" w:hAnsi="Arial"/>
                <w:sz w:val="12"/>
                <w:szCs w:val="12"/>
                <w:color w:val="auto"/>
              </w:rPr>
              <w:t>1,562</w:t>
            </w:r>
            <w:r>
              <w:rPr>
                <w:rFonts w:ascii="Arial" w:cs="Arial" w:eastAsia="Arial" w:hAnsi="Arial"/>
                <w:sz w:val="17"/>
                <w:szCs w:val="17"/>
                <w:color w:val="auto"/>
                <w:vertAlign w:val="superscript"/>
              </w:rPr>
              <w:t>(21)</w:t>
            </w:r>
          </w:p>
        </w:tc>
        <w:tc>
          <w:tcPr>
            <w:tcW w:w="960" w:type="dxa"/>
            <w:vAlign w:val="bottom"/>
            <w:gridSpan w:val="3"/>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11/11/2024</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spacing w:after="0" w:line="152" w:lineRule="exact"/>
              <w:rPr>
                <w:sz w:val="20"/>
                <w:szCs w:val="20"/>
                <w:color w:val="auto"/>
              </w:rPr>
            </w:pPr>
            <w:r>
              <w:rPr>
                <w:rFonts w:ascii="Arial" w:cs="Arial" w:eastAsia="Arial" w:hAnsi="Arial"/>
                <w:sz w:val="12"/>
                <w:szCs w:val="12"/>
                <w:color w:val="auto"/>
              </w:rPr>
              <w:t>12,500</w:t>
            </w:r>
            <w:r>
              <w:rPr>
                <w:rFonts w:ascii="Arial" w:cs="Arial" w:eastAsia="Arial" w:hAnsi="Arial"/>
                <w:sz w:val="17"/>
                <w:szCs w:val="17"/>
                <w:color w:val="auto"/>
                <w:vertAlign w:val="superscript"/>
              </w:rPr>
              <w:t>(22)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11/11/2024</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81"/>
              </w:rPr>
              <w:t>(7)</w:t>
            </w:r>
          </w:p>
        </w:tc>
        <w:tc>
          <w:tcPr>
            <w:tcW w:w="960" w:type="dxa"/>
            <w:vAlign w:val="bottom"/>
            <w:gridSpan w:val="3"/>
            <w:shd w:val="clear" w:color="auto" w:fill="CCEEFF"/>
          </w:tcPr>
          <w:p>
            <w:pPr>
              <w:jc w:val="right"/>
              <w:spacing w:after="0" w:line="177" w:lineRule="exact"/>
              <w:rPr>
                <w:sz w:val="20"/>
                <w:szCs w:val="20"/>
                <w:color w:val="auto"/>
              </w:rPr>
            </w:pPr>
            <w:r>
              <w:rPr>
                <w:rFonts w:ascii="Arial" w:cs="Arial" w:eastAsia="Arial" w:hAnsi="Arial"/>
                <w:sz w:val="13"/>
                <w:szCs w:val="13"/>
                <w:color w:val="auto"/>
              </w:rPr>
              <w:t>6,250</w:t>
            </w:r>
            <w:r>
              <w:rPr>
                <w:rFonts w:ascii="Arial" w:cs="Arial" w:eastAsia="Arial" w:hAnsi="Arial"/>
                <w:sz w:val="20"/>
                <w:szCs w:val="20"/>
                <w:color w:val="auto"/>
                <w:vertAlign w:val="superscript"/>
              </w:rPr>
              <w:t>(23)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11/11/2024</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ind w:left="340"/>
              <w:spacing w:after="0" w:line="126" w:lineRule="exact"/>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2,600</w:t>
            </w: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9"/>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$18.79</w:t>
            </w:r>
          </w:p>
        </w:tc>
        <w:tc>
          <w:tcPr>
            <w:tcW w:w="7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4/15/2025</w:t>
            </w:r>
          </w:p>
        </w:tc>
        <w:tc>
          <w:tcPr>
            <w:tcW w:w="820" w:type="dxa"/>
            <w:vAlign w:val="bottom"/>
            <w:gridSpan w:val="2"/>
            <w:shd w:val="clear" w:color="auto" w:fill="CCEEFF"/>
          </w:tcPr>
          <w:p>
            <w:pPr>
              <w:jc w:val="right"/>
              <w:ind w:right="129"/>
              <w:spacing w:after="0" w:line="126"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26"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line="12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7/27/2027</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w:t>
            </w:r>
          </w:p>
        </w:tc>
        <w:tc>
          <w:tcPr>
            <w:tcW w:w="200" w:type="dxa"/>
            <w:vAlign w:val="bottom"/>
            <w:shd w:val="clear" w:color="auto" w:fill="CCEEFF"/>
          </w:tcPr>
          <w:p>
            <w:pPr>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7/27/2027</w:t>
            </w:r>
          </w:p>
        </w:tc>
        <w:tc>
          <w:tcPr>
            <w:tcW w:w="82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2"/>
                <w:szCs w:val="12"/>
                <w:color w:val="auto"/>
              </w:rPr>
              <w:t>3,733</w:t>
            </w:r>
            <w:r>
              <w:rPr>
                <w:rFonts w:ascii="Arial" w:cs="Arial" w:eastAsia="Arial" w:hAnsi="Arial"/>
                <w:sz w:val="17"/>
                <w:szCs w:val="17"/>
                <w:color w:val="auto"/>
                <w:vertAlign w:val="superscript"/>
              </w:rPr>
              <w:t>(10)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$104,524</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2"/>
                <w:szCs w:val="12"/>
                <w:color w:val="auto"/>
              </w:rPr>
              <w:t>1,508</w:t>
            </w:r>
            <w:r>
              <w:rPr>
                <w:rFonts w:ascii="Arial" w:cs="Arial" w:eastAsia="Arial" w:hAnsi="Arial"/>
                <w:sz w:val="17"/>
                <w:szCs w:val="17"/>
                <w:color w:val="auto"/>
                <w:vertAlign w:val="superscript"/>
              </w:rPr>
              <w:t>(11)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$42,224</w:t>
            </w:r>
          </w:p>
        </w:tc>
        <w:tc>
          <w:tcPr>
            <w:tcW w:w="860" w:type="dxa"/>
            <w:vAlign w:val="bottom"/>
            <w:shd w:val="clear" w:color="auto" w:fill="CCEEFF"/>
          </w:tcPr>
          <w:p>
            <w:pPr>
              <w:jc w:val="right"/>
              <w:spacing w:after="0" w:line="152" w:lineRule="exact"/>
              <w:rPr>
                <w:sz w:val="20"/>
                <w:szCs w:val="20"/>
                <w:color w:val="auto"/>
              </w:rPr>
            </w:pPr>
            <w:r>
              <w:rPr>
                <w:rFonts w:ascii="Arial" w:cs="Arial" w:eastAsia="Arial" w:hAnsi="Arial"/>
                <w:sz w:val="12"/>
                <w:szCs w:val="12"/>
                <w:color w:val="auto"/>
              </w:rPr>
              <w:t>1,508</w:t>
            </w:r>
            <w:r>
              <w:rPr>
                <w:rFonts w:ascii="Arial" w:cs="Arial" w:eastAsia="Arial" w:hAnsi="Arial"/>
                <w:sz w:val="17"/>
                <w:szCs w:val="17"/>
                <w:color w:val="auto"/>
                <w:vertAlign w:val="superscript"/>
              </w:rPr>
              <w:t>(12)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42,224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(26)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$140,000</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(27)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$420,000</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0"/>
                <w:szCs w:val="20"/>
                <w:color w:val="auto"/>
              </w:rPr>
            </w:pPr>
            <w:r>
              <w:rPr>
                <w:rFonts w:ascii="Arial" w:cs="Arial" w:eastAsia="Arial" w:hAnsi="Arial"/>
                <w:sz w:val="13"/>
                <w:szCs w:val="13"/>
                <w:color w:val="auto"/>
              </w:rPr>
              <w:t>Gregory J. Ritts</w:t>
            </w: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5,625</w:t>
            </w:r>
          </w:p>
        </w:tc>
        <w:tc>
          <w:tcPr>
            <w:tcW w:w="100" w:type="dxa"/>
            <w:vAlign w:val="bottom"/>
          </w:tcPr>
          <w:p>
            <w:pPr>
              <w:spacing w:after="0"/>
              <w:rPr>
                <w:sz w:val="24"/>
                <w:szCs w:val="24"/>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3"/>
                <w:szCs w:val="13"/>
                <w:color w:val="auto"/>
              </w:rPr>
              <w:t>1,875</w:t>
            </w:r>
            <w:r>
              <w:rPr>
                <w:rFonts w:ascii="Arial" w:cs="Arial" w:eastAsia="Arial" w:hAnsi="Arial"/>
                <w:sz w:val="20"/>
                <w:szCs w:val="20"/>
                <w:color w:val="auto"/>
                <w:vertAlign w:val="superscript"/>
              </w:rPr>
              <w:t>(28)</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$96.87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10/1/2024</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15,000</w:t>
            </w:r>
            <w:r>
              <w:rPr>
                <w:rFonts w:ascii="Arial" w:cs="Arial" w:eastAsia="Arial" w:hAnsi="Arial"/>
                <w:sz w:val="17"/>
                <w:szCs w:val="17"/>
                <w:color w:val="auto"/>
                <w:vertAlign w:val="superscript"/>
              </w:rPr>
              <w:t>(29)</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$96.87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10/1/2024</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7,500</w:t>
            </w:r>
            <w:r>
              <w:rPr>
                <w:rFonts w:ascii="Arial" w:cs="Arial" w:eastAsia="Arial" w:hAnsi="Arial"/>
                <w:sz w:val="17"/>
                <w:szCs w:val="17"/>
                <w:color w:val="auto"/>
                <w:vertAlign w:val="superscript"/>
              </w:rPr>
              <w:t>(30)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$96.87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10/1/2024</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1,667</w:t>
            </w:r>
          </w:p>
        </w:tc>
        <w:tc>
          <w:tcPr>
            <w:tcW w:w="100" w:type="dxa"/>
            <w:vAlign w:val="bottom"/>
          </w:tcPr>
          <w:p>
            <w:pPr>
              <w:spacing w:after="0"/>
              <w:rPr>
                <w:sz w:val="13"/>
                <w:szCs w:val="13"/>
                <w:color w:val="auto"/>
              </w:rPr>
            </w:pPr>
          </w:p>
        </w:tc>
        <w:tc>
          <w:tcPr>
            <w:tcW w:w="1040" w:type="dxa"/>
            <w:vAlign w:val="bottom"/>
            <w:gridSpan w:val="2"/>
          </w:tcPr>
          <w:p>
            <w:pPr>
              <w:jc w:val="right"/>
              <w:ind w:right="9"/>
              <w:spacing w:after="0" w:line="152" w:lineRule="exact"/>
              <w:rPr>
                <w:sz w:val="20"/>
                <w:szCs w:val="20"/>
                <w:color w:val="auto"/>
              </w:rPr>
            </w:pPr>
            <w:r>
              <w:rPr>
                <w:rFonts w:ascii="Arial" w:cs="Arial" w:eastAsia="Arial" w:hAnsi="Arial"/>
                <w:sz w:val="12"/>
                <w:szCs w:val="12"/>
                <w:color w:val="auto"/>
              </w:rPr>
              <w:t>3,333</w:t>
            </w:r>
            <w:r>
              <w:rPr>
                <w:rFonts w:ascii="Arial" w:cs="Arial" w:eastAsia="Arial" w:hAnsi="Arial"/>
                <w:sz w:val="17"/>
                <w:szCs w:val="17"/>
                <w:color w:val="auto"/>
                <w:vertAlign w:val="superscript"/>
              </w:rPr>
              <w:t>(31)</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$32.64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8/29/2026</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3,333</w:t>
            </w:r>
            <w:r>
              <w:rPr>
                <w:rFonts w:ascii="Arial" w:cs="Arial" w:eastAsia="Arial" w:hAnsi="Arial"/>
                <w:sz w:val="17"/>
                <w:szCs w:val="17"/>
                <w:color w:val="auto"/>
                <w:vertAlign w:val="superscript"/>
              </w:rPr>
              <w:t>(32)</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$32.64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8/29/2026</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1,667</w:t>
            </w:r>
            <w:r>
              <w:rPr>
                <w:rFonts w:ascii="Arial" w:cs="Arial" w:eastAsia="Arial" w:hAnsi="Arial"/>
                <w:sz w:val="17"/>
                <w:szCs w:val="17"/>
                <w:color w:val="auto"/>
                <w:vertAlign w:val="superscript"/>
              </w:rPr>
              <w:t>(33)</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$32.64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8/29/2026</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440"/>
              <w:spacing w:after="0"/>
              <w:rPr>
                <w:sz w:val="20"/>
                <w:szCs w:val="20"/>
                <w:color w:val="auto"/>
              </w:rPr>
            </w:pPr>
            <w:r>
              <w:rPr>
                <w:rFonts w:ascii="Arial" w:cs="Arial" w:eastAsia="Arial" w:hAnsi="Arial"/>
                <w:sz w:val="13"/>
                <w:szCs w:val="13"/>
                <w:color w:val="auto"/>
              </w:rPr>
              <w:t>5,200</w:t>
            </w:r>
          </w:p>
        </w:tc>
        <w:tc>
          <w:tcPr>
            <w:tcW w:w="100" w:type="dxa"/>
            <w:vAlign w:val="bottom"/>
          </w:tcPr>
          <w:p>
            <w:pPr>
              <w:spacing w:after="0"/>
              <w:rPr>
                <w:sz w:val="13"/>
                <w:szCs w:val="13"/>
                <w:color w:val="auto"/>
              </w:rPr>
            </w:pPr>
          </w:p>
        </w:tc>
        <w:tc>
          <w:tcPr>
            <w:tcW w:w="1040" w:type="dxa"/>
            <w:vAlign w:val="bottom"/>
            <w:gridSpan w:val="2"/>
          </w:tcPr>
          <w:p>
            <w:pPr>
              <w:jc w:val="right"/>
              <w:ind w:right="69"/>
              <w:spacing w:after="0" w:line="152" w:lineRule="exact"/>
              <w:rPr>
                <w:sz w:val="20"/>
                <w:szCs w:val="20"/>
                <w:color w:val="auto"/>
              </w:rPr>
            </w:pPr>
            <w:r>
              <w:rPr>
                <w:rFonts w:ascii="Arial" w:cs="Arial" w:eastAsia="Arial" w:hAnsi="Arial"/>
                <w:sz w:val="12"/>
                <w:szCs w:val="12"/>
                <w:color w:val="auto"/>
              </w:rPr>
              <w:t>2,600</w:t>
            </w:r>
            <w:r>
              <w:rPr>
                <w:rFonts w:ascii="Arial" w:cs="Arial" w:eastAsia="Arial" w:hAnsi="Arial"/>
                <w:sz w:val="17"/>
                <w:szCs w:val="17"/>
                <w:color w:val="auto"/>
                <w:vertAlign w:val="superscript"/>
              </w:rPr>
              <w:t>(7)</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$18.79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4/15/2025</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1,731</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1,730</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9"/>
              <w:spacing w:after="0" w:line="152" w:lineRule="exact"/>
              <w:rPr>
                <w:sz w:val="20"/>
                <w:szCs w:val="20"/>
                <w:color w:val="auto"/>
              </w:rPr>
            </w:pPr>
            <w:r>
              <w:rPr>
                <w:rFonts w:ascii="Arial" w:cs="Arial" w:eastAsia="Arial" w:hAnsi="Arial"/>
                <w:sz w:val="12"/>
                <w:szCs w:val="12"/>
                <w:color w:val="auto"/>
              </w:rPr>
              <w:t>1,421</w:t>
            </w:r>
            <w:r>
              <w:rPr>
                <w:rFonts w:ascii="Arial" w:cs="Arial" w:eastAsia="Arial" w:hAnsi="Arial"/>
                <w:sz w:val="17"/>
                <w:szCs w:val="17"/>
                <w:color w:val="auto"/>
                <w:vertAlign w:val="superscript"/>
              </w:rPr>
              <w:t>(9)</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$39.13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4/7/2027</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3,333</w:t>
            </w:r>
            <w:r>
              <w:rPr>
                <w:rFonts w:ascii="Arial" w:cs="Arial" w:eastAsia="Arial" w:hAnsi="Arial"/>
                <w:sz w:val="17"/>
                <w:szCs w:val="17"/>
                <w:color w:val="auto"/>
                <w:vertAlign w:val="superscript"/>
              </w:rPr>
              <w:t>(24)</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$27.65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7/27/2027</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line="152" w:lineRule="exact"/>
              <w:rPr>
                <w:sz w:val="20"/>
                <w:szCs w:val="20"/>
                <w:color w:val="auto"/>
              </w:rPr>
            </w:pPr>
            <w:r>
              <w:rPr>
                <w:rFonts w:ascii="Arial" w:cs="Arial" w:eastAsia="Arial" w:hAnsi="Arial"/>
                <w:sz w:val="12"/>
                <w:szCs w:val="12"/>
                <w:color w:val="auto"/>
              </w:rPr>
              <w:t>1,667</w:t>
            </w:r>
            <w:r>
              <w:rPr>
                <w:rFonts w:ascii="Arial" w:cs="Arial" w:eastAsia="Arial" w:hAnsi="Arial"/>
                <w:sz w:val="17"/>
                <w:szCs w:val="17"/>
                <w:color w:val="auto"/>
                <w:vertAlign w:val="superscript"/>
              </w:rPr>
              <w:t>(25)</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$27.65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7/27/2027</w:t>
            </w:r>
          </w:p>
        </w:tc>
        <w:tc>
          <w:tcPr>
            <w:tcW w:w="8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52" w:lineRule="exact"/>
              <w:rPr>
                <w:sz w:val="20"/>
                <w:szCs w:val="20"/>
                <w:color w:val="auto"/>
              </w:rPr>
            </w:pPr>
            <w:r>
              <w:rPr>
                <w:rFonts w:ascii="Arial" w:cs="Arial" w:eastAsia="Arial" w:hAnsi="Arial"/>
                <w:sz w:val="12"/>
                <w:szCs w:val="12"/>
                <w:color w:val="auto"/>
              </w:rPr>
              <w:t>3,733</w:t>
            </w:r>
            <w:r>
              <w:rPr>
                <w:rFonts w:ascii="Arial" w:cs="Arial" w:eastAsia="Arial" w:hAnsi="Arial"/>
                <w:sz w:val="17"/>
                <w:szCs w:val="17"/>
                <w:color w:val="auto"/>
                <w:vertAlign w:val="superscript"/>
              </w:rPr>
              <w:t>(10)</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$104,524</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52" w:lineRule="exact"/>
              <w:rPr>
                <w:sz w:val="20"/>
                <w:szCs w:val="20"/>
                <w:color w:val="auto"/>
              </w:rPr>
            </w:pPr>
            <w:r>
              <w:rPr>
                <w:rFonts w:ascii="Arial" w:cs="Arial" w:eastAsia="Arial" w:hAnsi="Arial"/>
                <w:sz w:val="12"/>
                <w:szCs w:val="12"/>
                <w:color w:val="auto"/>
              </w:rPr>
              <w:t>1,508</w:t>
            </w:r>
            <w:r>
              <w:rPr>
                <w:rFonts w:ascii="Arial" w:cs="Arial" w:eastAsia="Arial" w:hAnsi="Arial"/>
                <w:sz w:val="17"/>
                <w:szCs w:val="17"/>
                <w:color w:val="auto"/>
                <w:vertAlign w:val="superscript"/>
              </w:rPr>
              <w:t>(11)</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$42,224</w:t>
            </w:r>
          </w:p>
        </w:tc>
        <w:tc>
          <w:tcPr>
            <w:tcW w:w="860" w:type="dxa"/>
            <w:vAlign w:val="bottom"/>
          </w:tcPr>
          <w:p>
            <w:pPr>
              <w:jc w:val="right"/>
              <w:spacing w:after="0" w:line="152" w:lineRule="exact"/>
              <w:rPr>
                <w:sz w:val="20"/>
                <w:szCs w:val="20"/>
                <w:color w:val="auto"/>
              </w:rPr>
            </w:pPr>
            <w:r>
              <w:rPr>
                <w:rFonts w:ascii="Arial" w:cs="Arial" w:eastAsia="Arial" w:hAnsi="Arial"/>
                <w:sz w:val="12"/>
                <w:szCs w:val="12"/>
                <w:color w:val="auto"/>
              </w:rPr>
              <w:t>1,508</w:t>
            </w:r>
            <w:r>
              <w:rPr>
                <w:rFonts w:ascii="Arial" w:cs="Arial" w:eastAsia="Arial" w:hAnsi="Arial"/>
                <w:sz w:val="17"/>
                <w:szCs w:val="17"/>
                <w:color w:val="auto"/>
                <w:vertAlign w:val="superscript"/>
              </w:rPr>
              <w:t>(12)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42,224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52" w:lineRule="exact"/>
              <w:rPr>
                <w:sz w:val="20"/>
                <w:szCs w:val="20"/>
                <w:color w:val="auto"/>
              </w:rPr>
            </w:pPr>
            <w:r>
              <w:rPr>
                <w:rFonts w:ascii="Arial" w:cs="Arial" w:eastAsia="Arial" w:hAnsi="Arial"/>
                <w:sz w:val="12"/>
                <w:szCs w:val="12"/>
                <w:color w:val="auto"/>
              </w:rPr>
              <w:t>5,000</w:t>
            </w:r>
            <w:r>
              <w:rPr>
                <w:rFonts w:ascii="Arial" w:cs="Arial" w:eastAsia="Arial" w:hAnsi="Arial"/>
                <w:sz w:val="17"/>
                <w:szCs w:val="17"/>
                <w:color w:val="auto"/>
                <w:vertAlign w:val="superscript"/>
              </w:rPr>
              <w:t>(26)</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$140,000</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220" w:type="dxa"/>
            <w:vAlign w:val="bottom"/>
          </w:tcPr>
          <w:p>
            <w:pPr>
              <w:spacing w:after="0"/>
              <w:rPr>
                <w:sz w:val="22"/>
                <w:szCs w:val="22"/>
                <w:color w:val="auto"/>
              </w:rPr>
            </w:pPr>
          </w:p>
        </w:tc>
        <w:tc>
          <w:tcPr>
            <w:tcW w:w="92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89"/>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15,000</w:t>
            </w:r>
            <w:r>
              <w:rPr>
                <w:rFonts w:ascii="Arial" w:cs="Arial" w:eastAsia="Arial" w:hAnsi="Arial"/>
                <w:sz w:val="20"/>
                <w:szCs w:val="20"/>
                <w:color w:val="auto"/>
                <w:vertAlign w:val="superscript"/>
              </w:rPr>
              <w:t>(27)</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$420,000</w:t>
            </w: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Options awarded for which the performance hurdles have been achieved but remain subject to additional service-based criteria.</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Options awarded for which the performance hurdles have not been achieved.</w:t>
      </w:r>
    </w:p>
    <w:p>
      <w:pPr>
        <w:spacing w:after="0" w:line="141" w:lineRule="exact"/>
        <w:rPr>
          <w:rFonts w:ascii="Arial" w:cs="Arial" w:eastAsia="Arial" w:hAnsi="Arial"/>
          <w:sz w:val="20"/>
          <w:szCs w:val="20"/>
          <w:color w:val="auto"/>
          <w:vertAlign w:val="superscript"/>
        </w:rPr>
      </w:pPr>
    </w:p>
    <w:p>
      <w:pPr>
        <w:ind w:left="1640" w:right="120" w:hanging="496"/>
        <w:spacing w:after="0" w:line="211" w:lineRule="auto"/>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The exercise price of each outstanding stock option of Altisource was adjusted to reflect the value of Altisource Asset Management Corporation and Front Yard Residential Corporation (formerly Altisource Residential Corporation) common stock distributed to Altisource shareholders in connection with the spin-off transactions completed on December 21, 2012.</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Restricted shares awarded but remain subject to additional service-based criteria.</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Restricted shares awarded for which the performance hurdles have not been achieved.</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These options were exercised on February 9, 2018.</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Options vest on April 15, 2018.</w:t>
      </w:r>
    </w:p>
    <w:p>
      <w:pPr>
        <w:spacing w:after="0" w:line="141" w:lineRule="exact"/>
        <w:rPr>
          <w:rFonts w:ascii="Arial" w:cs="Arial" w:eastAsia="Arial" w:hAnsi="Arial"/>
          <w:sz w:val="20"/>
          <w:szCs w:val="20"/>
          <w:color w:val="auto"/>
          <w:vertAlign w:val="superscript"/>
        </w:rPr>
      </w:pPr>
    </w:p>
    <w:p>
      <w:pPr>
        <w:ind w:left="1640" w:hanging="496"/>
        <w:spacing w:after="0" w:line="198" w:lineRule="auto"/>
        <w:tabs>
          <w:tab w:leader="none" w:pos="1640" w:val="left"/>
        </w:tabs>
        <w:numPr>
          <w:ilvl w:val="0"/>
          <w:numId w:val="58"/>
        </w:numPr>
        <w:rPr>
          <w:rFonts w:ascii="Arial" w:cs="Arial" w:eastAsia="Arial" w:hAnsi="Arial"/>
          <w:sz w:val="20"/>
          <w:szCs w:val="20"/>
          <w:color w:val="auto"/>
          <w:vertAlign w:val="superscript"/>
        </w:rPr>
      </w:pPr>
      <w:r>
        <w:rPr>
          <w:rFonts w:ascii="Arial" w:cs="Arial" w:eastAsia="Arial" w:hAnsi="Arial"/>
          <w:sz w:val="13"/>
          <w:szCs w:val="13"/>
          <w:color w:val="auto"/>
        </w:rPr>
        <w:t>The 2017 performance-based stock options were scheduled to vest based upon the Company's achievement against the 2017 Performance Criteria. In February 2018, the Compensation Committee confirmed that the 2017 Performance Criteria were below</w:t>
      </w:r>
    </w:p>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40" w:right="40"/>
        <w:spacing w:after="0" w:line="263" w:lineRule="auto"/>
        <w:rPr>
          <w:sz w:val="20"/>
          <w:szCs w:val="20"/>
          <w:color w:val="auto"/>
        </w:rPr>
      </w:pPr>
      <w:r>
        <w:rPr>
          <w:rFonts w:ascii="Arial" w:cs="Arial" w:eastAsia="Arial" w:hAnsi="Arial"/>
          <w:sz w:val="16"/>
          <w:szCs w:val="16"/>
          <w:color w:val="auto"/>
        </w:rPr>
        <w:t>a threshold level and the 2017 performance-based stock options granted to each of the Named Executive Officers were cancelled and forfeited.</w:t>
      </w:r>
    </w:p>
    <w:p>
      <w:pPr>
        <w:spacing w:after="0" w:line="180" w:lineRule="exact"/>
        <w:rPr>
          <w:sz w:val="20"/>
          <w:szCs w:val="20"/>
          <w:color w:val="auto"/>
        </w:rPr>
      </w:pPr>
    </w:p>
    <w:p>
      <w:pPr>
        <w:ind w:left="1640" w:hanging="496"/>
        <w:spacing w:after="0" w:line="232"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77"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Restricted shares vest in two (2) equal installments on April 15, 2018 and April 15, 2019.</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Restricted shares vest in three (3) equal installments on April 7, 2018, April 7, 2019 and April 7, 2020.</w:t>
      </w:r>
    </w:p>
    <w:p>
      <w:pPr>
        <w:spacing w:after="0" w:line="141" w:lineRule="exact"/>
        <w:rPr>
          <w:rFonts w:ascii="Arial" w:cs="Arial" w:eastAsia="Arial" w:hAnsi="Arial"/>
          <w:sz w:val="20"/>
          <w:szCs w:val="20"/>
          <w:color w:val="auto"/>
          <w:vertAlign w:val="superscript"/>
        </w:rPr>
      </w:pPr>
    </w:p>
    <w:p>
      <w:pPr>
        <w:jc w:val="both"/>
        <w:ind w:left="1640" w:right="40" w:hanging="496"/>
        <w:spacing w:after="0" w:line="211"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Performance-based restricted shares are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41" w:lineRule="exact"/>
        <w:rPr>
          <w:rFonts w:ascii="Arial" w:cs="Arial" w:eastAsia="Arial" w:hAnsi="Arial"/>
          <w:sz w:val="20"/>
          <w:szCs w:val="20"/>
          <w:color w:val="auto"/>
          <w:vertAlign w:val="superscript"/>
        </w:rPr>
      </w:pPr>
    </w:p>
    <w:p>
      <w:pPr>
        <w:ind w:left="1640" w:right="28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$54.58 and an annual rate of return of twenty percent (20%) over the exercise price with the balance vesting one-third each subsequent anniversary thereof.</w:t>
      </w:r>
    </w:p>
    <w:p>
      <w:pPr>
        <w:spacing w:after="0" w:line="141" w:lineRule="exact"/>
        <w:rPr>
          <w:rFonts w:ascii="Arial" w:cs="Arial" w:eastAsia="Arial" w:hAnsi="Arial"/>
          <w:sz w:val="20"/>
          <w:szCs w:val="20"/>
          <w:color w:val="auto"/>
          <w:vertAlign w:val="superscript"/>
        </w:rPr>
      </w:pPr>
    </w:p>
    <w:p>
      <w:pPr>
        <w:ind w:left="1640" w:right="4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$81.87 and an annual rate of return of twenty-five percent (25%) over the exercise price with the balance vesting one-third each subsequent anniversary thereof.</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Restricted shares vest in four (4) equal installments on October 5, 2018, October 5, 2019, October 5, 2020 and October 5, 2021.</w:t>
      </w:r>
    </w:p>
    <w:p>
      <w:pPr>
        <w:spacing w:after="0" w:line="141" w:lineRule="exact"/>
        <w:rPr>
          <w:rFonts w:ascii="Arial" w:cs="Arial" w:eastAsia="Arial" w:hAnsi="Arial"/>
          <w:sz w:val="20"/>
          <w:szCs w:val="20"/>
          <w:color w:val="auto"/>
          <w:vertAlign w:val="superscript"/>
        </w:rPr>
      </w:pPr>
    </w:p>
    <w:p>
      <w:pPr>
        <w:ind w:left="1640" w:right="32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Options vest in two (2) equal installments on February 10, 2018 and February 10, 2019.</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Options vest in three (3) equal installments on April 12, 2018, April 12, 2019 and April 12, 2020.</w:t>
      </w:r>
    </w:p>
    <w:p>
      <w:pPr>
        <w:spacing w:after="0" w:line="141" w:lineRule="exact"/>
        <w:rPr>
          <w:rFonts w:ascii="Arial" w:cs="Arial" w:eastAsia="Arial" w:hAnsi="Arial"/>
          <w:sz w:val="20"/>
          <w:szCs w:val="20"/>
          <w:color w:val="auto"/>
          <w:vertAlign w:val="superscript"/>
        </w:rPr>
      </w:pPr>
    </w:p>
    <w:p>
      <w:pPr>
        <w:ind w:left="1640" w:right="40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Options vest on May 15, 2018.</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Options vest on November 11, 2018.</w:t>
      </w:r>
    </w:p>
    <w:p>
      <w:pPr>
        <w:spacing w:after="0" w:line="141" w:lineRule="exact"/>
        <w:rPr>
          <w:rFonts w:ascii="Arial" w:cs="Arial" w:eastAsia="Arial" w:hAnsi="Arial"/>
          <w:sz w:val="20"/>
          <w:szCs w:val="20"/>
          <w:color w:val="auto"/>
          <w:vertAlign w:val="superscript"/>
        </w:rPr>
      </w:pPr>
    </w:p>
    <w:p>
      <w:pPr>
        <w:ind w:left="1640" w:right="4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$145.56 and an annual rate of return of twenty percent (20%) over the exercise price with the balance vesting twenty-five percent (25%) each subsequent anniversary thereof.</w:t>
      </w:r>
    </w:p>
    <w:p>
      <w:pPr>
        <w:spacing w:after="0" w:line="141" w:lineRule="exact"/>
        <w:rPr>
          <w:rFonts w:ascii="Arial" w:cs="Arial" w:eastAsia="Arial" w:hAnsi="Arial"/>
          <w:sz w:val="20"/>
          <w:szCs w:val="20"/>
          <w:color w:val="auto"/>
          <w:vertAlign w:val="superscript"/>
        </w:rPr>
      </w:pPr>
    </w:p>
    <w:p>
      <w:pPr>
        <w:ind w:left="1640" w:right="32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$218.34 and an annual rate of return of twenty-five percent (25%) over the exercise price with the balance vesting twenty-five percent (25%) each subsequent anniversary thereof.</w:t>
      </w:r>
    </w:p>
    <w:p>
      <w:pPr>
        <w:spacing w:after="0" w:line="141" w:lineRule="exact"/>
        <w:rPr>
          <w:rFonts w:ascii="Arial" w:cs="Arial" w:eastAsia="Arial" w:hAnsi="Arial"/>
          <w:sz w:val="20"/>
          <w:szCs w:val="20"/>
          <w:color w:val="auto"/>
          <w:vertAlign w:val="superscript"/>
        </w:rPr>
      </w:pPr>
    </w:p>
    <w:p>
      <w:pPr>
        <w:ind w:left="1640" w:right="28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41" w:lineRule="exact"/>
        <w:rPr>
          <w:rFonts w:ascii="Arial" w:cs="Arial" w:eastAsia="Arial" w:hAnsi="Arial"/>
          <w:sz w:val="20"/>
          <w:szCs w:val="20"/>
          <w:color w:val="auto"/>
          <w:vertAlign w:val="superscript"/>
        </w:rPr>
      </w:pPr>
    </w:p>
    <w:p>
      <w:pPr>
        <w:ind w:left="1640" w:right="40" w:hanging="496"/>
        <w:spacing w:after="0" w:line="198" w:lineRule="auto"/>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Restricted shares vest in three (3) equal installments on July 27, 2018, July 27, 2019 and July 27, 2020.</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59"/>
        </w:numPr>
        <w:rPr>
          <w:rFonts w:ascii="Arial" w:cs="Arial" w:eastAsia="Arial" w:hAnsi="Arial"/>
          <w:sz w:val="20"/>
          <w:szCs w:val="20"/>
          <w:color w:val="auto"/>
          <w:vertAlign w:val="superscript"/>
        </w:rPr>
      </w:pPr>
      <w:r>
        <w:rPr>
          <w:rFonts w:ascii="Arial" w:cs="Arial" w:eastAsia="Arial" w:hAnsi="Arial"/>
          <w:sz w:val="13"/>
          <w:szCs w:val="13"/>
          <w:color w:val="auto"/>
        </w:rPr>
        <w:t>Restricted shares vest in four (4) equal installments on November 13, 2018, November 13, 2019, November 13, 2020 and November 13, 2021.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640" w:hanging="496"/>
        <w:spacing w:after="0"/>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Options vest on October 1, 2018.</w:t>
      </w:r>
    </w:p>
    <w:p>
      <w:pPr>
        <w:spacing w:after="0" w:line="141" w:lineRule="exact"/>
        <w:rPr>
          <w:rFonts w:ascii="Arial" w:cs="Arial" w:eastAsia="Arial" w:hAnsi="Arial"/>
          <w:sz w:val="20"/>
          <w:szCs w:val="20"/>
          <w:color w:val="auto"/>
          <w:vertAlign w:val="superscript"/>
        </w:rPr>
      </w:pPr>
    </w:p>
    <w:p>
      <w:pPr>
        <w:ind w:left="1640" w:right="20" w:hanging="496"/>
        <w:spacing w:after="0" w:line="198"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41" w:lineRule="exact"/>
        <w:rPr>
          <w:rFonts w:ascii="Arial" w:cs="Arial" w:eastAsia="Arial" w:hAnsi="Arial"/>
          <w:sz w:val="20"/>
          <w:szCs w:val="20"/>
          <w:color w:val="auto"/>
          <w:vertAlign w:val="superscript"/>
        </w:rPr>
      </w:pPr>
    </w:p>
    <w:p>
      <w:pPr>
        <w:ind w:left="1640" w:right="300" w:hanging="496"/>
        <w:spacing w:after="0" w:line="198"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Twenty-five percent (25%) of options vest upon Altisource achieving a stock price of $290.61 and an annual rate of return of twenty-five percent (25%) over the exercise price with the balance vesting twenty-five percent (25%) each subsequent anniversary thereof.</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Options vest in two (2) equal installments on August 29, 2018 and August 29, 2019.</w:t>
      </w:r>
    </w:p>
    <w:p>
      <w:pPr>
        <w:spacing w:after="0" w:line="141" w:lineRule="exact"/>
        <w:rPr>
          <w:rFonts w:ascii="Arial" w:cs="Arial" w:eastAsia="Arial" w:hAnsi="Arial"/>
          <w:sz w:val="20"/>
          <w:szCs w:val="20"/>
          <w:color w:val="auto"/>
          <w:vertAlign w:val="superscript"/>
        </w:rPr>
      </w:pPr>
    </w:p>
    <w:p>
      <w:pPr>
        <w:ind w:left="1640" w:right="260" w:hanging="496"/>
        <w:spacing w:after="0" w:line="198"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41" w:lineRule="exact"/>
        <w:rPr>
          <w:rFonts w:ascii="Arial" w:cs="Arial" w:eastAsia="Arial" w:hAnsi="Arial"/>
          <w:sz w:val="20"/>
          <w:szCs w:val="20"/>
          <w:color w:val="auto"/>
          <w:vertAlign w:val="superscript"/>
        </w:rPr>
      </w:pPr>
    </w:p>
    <w:p>
      <w:pPr>
        <w:ind w:left="1640" w:right="20" w:hanging="496"/>
        <w:spacing w:after="0" w:line="198" w:lineRule="auto"/>
        <w:tabs>
          <w:tab w:leader="none" w:pos="164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during 2017</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exercise of stock options and vesting of restricted stock awards during the fiscal year ended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for our Named Executive Officers: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6"/>
                <w:szCs w:val="16"/>
                <w:b w:val="1"/>
                <w:bCs w:val="1"/>
                <w:color w:val="auto"/>
              </w:rPr>
              <w:t>Option Awards</w:t>
            </w:r>
          </w:p>
        </w:tc>
        <w:tc>
          <w:tcPr>
            <w:tcW w:w="200" w:type="dxa"/>
            <w:vAlign w:val="bottom"/>
          </w:tcPr>
          <w:p>
            <w:pPr>
              <w:spacing w:after="0"/>
              <w:rPr>
                <w:sz w:val="17"/>
                <w:szCs w:val="17"/>
                <w:color w:val="auto"/>
              </w:rPr>
            </w:pPr>
          </w:p>
        </w:tc>
        <w:tc>
          <w:tcPr>
            <w:tcW w:w="278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6"/>
                <w:szCs w:val="16"/>
                <w:b w:val="1"/>
                <w:bCs w:val="1"/>
                <w:color w:val="auto"/>
              </w:rPr>
              <w:t>Stock Awards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00"/>
              <w:spacing w:after="0" w:line="165" w:lineRule="exact"/>
              <w:rPr>
                <w:sz w:val="20"/>
                <w:szCs w:val="20"/>
                <w:color w:val="auto"/>
              </w:rPr>
            </w:pPr>
            <w:r>
              <w:rPr>
                <w:rFonts w:ascii="Arial" w:cs="Arial" w:eastAsia="Arial" w:hAnsi="Arial"/>
                <w:sz w:val="16"/>
                <w:szCs w:val="16"/>
                <w:b w:val="1"/>
                <w:bCs w:val="1"/>
                <w:color w:val="auto"/>
              </w:rPr>
              <w:t>Number of Shares</w:t>
            </w:r>
          </w:p>
        </w:tc>
        <w:tc>
          <w:tcPr>
            <w:tcW w:w="1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Value Realized</w:t>
            </w:r>
          </w:p>
        </w:tc>
        <w:tc>
          <w:tcPr>
            <w:tcW w:w="1620" w:type="dxa"/>
            <w:vAlign w:val="bottom"/>
            <w:gridSpan w:val="2"/>
          </w:tcPr>
          <w:p>
            <w:pPr>
              <w:jc w:val="center"/>
              <w:ind w:right="160"/>
              <w:spacing w:after="0" w:line="165" w:lineRule="exact"/>
              <w:rPr>
                <w:sz w:val="20"/>
                <w:szCs w:val="20"/>
                <w:color w:val="auto"/>
              </w:rPr>
            </w:pPr>
            <w:r>
              <w:rPr>
                <w:rFonts w:ascii="Arial" w:cs="Arial" w:eastAsia="Arial" w:hAnsi="Arial"/>
                <w:sz w:val="16"/>
                <w:szCs w:val="16"/>
                <w:b w:val="1"/>
                <w:bCs w:val="1"/>
                <w:color w:val="auto"/>
              </w:rPr>
              <w:t>Number of Shares</w:t>
            </w: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Value Realized</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180"/>
              <w:spacing w:after="0" w:line="169" w:lineRule="exact"/>
              <w:rPr>
                <w:sz w:val="20"/>
                <w:szCs w:val="20"/>
                <w:color w:val="auto"/>
              </w:rPr>
            </w:pPr>
            <w:r>
              <w:rPr>
                <w:rFonts w:ascii="Arial" w:cs="Arial" w:eastAsia="Arial" w:hAnsi="Arial"/>
                <w:sz w:val="16"/>
                <w:szCs w:val="16"/>
                <w:b w:val="1"/>
                <w:bCs w:val="1"/>
                <w:color w:val="auto"/>
              </w:rPr>
              <w:t>Acquired on</w:t>
            </w:r>
          </w:p>
        </w:tc>
        <w:tc>
          <w:tcPr>
            <w:tcW w:w="1340" w:type="dxa"/>
            <w:vAlign w:val="bottom"/>
            <w:gridSpan w:val="2"/>
            <w:vMerge w:val="continue"/>
          </w:tcPr>
          <w:p>
            <w:pPr>
              <w:spacing w:after="0"/>
              <w:rPr>
                <w:sz w:val="14"/>
                <w:szCs w:val="14"/>
                <w:color w:val="auto"/>
              </w:rPr>
            </w:pPr>
          </w:p>
        </w:tc>
        <w:tc>
          <w:tcPr>
            <w:tcW w:w="1620" w:type="dxa"/>
            <w:vAlign w:val="bottom"/>
            <w:gridSpan w:val="2"/>
          </w:tcPr>
          <w:p>
            <w:pPr>
              <w:jc w:val="center"/>
              <w:ind w:right="180"/>
              <w:spacing w:after="0" w:line="169" w:lineRule="exact"/>
              <w:rPr>
                <w:sz w:val="20"/>
                <w:szCs w:val="20"/>
                <w:color w:val="auto"/>
              </w:rPr>
            </w:pPr>
            <w:r>
              <w:rPr>
                <w:rFonts w:ascii="Arial" w:cs="Arial" w:eastAsia="Arial" w:hAnsi="Arial"/>
                <w:sz w:val="16"/>
                <w:szCs w:val="16"/>
                <w:b w:val="1"/>
                <w:bCs w:val="1"/>
                <w:color w:val="auto"/>
              </w:rPr>
              <w:t>Acquired on</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06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Exercise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6"/>
                <w:szCs w:val="16"/>
                <w:b w:val="1"/>
                <w:bCs w:val="1"/>
                <w:color w:val="auto"/>
                <w:w w:val="99"/>
              </w:rPr>
              <w:t>on Exercise</w:t>
            </w:r>
            <w:r>
              <w:rPr>
                <w:rFonts w:ascii="Arial" w:cs="Arial" w:eastAsia="Arial" w:hAnsi="Arial"/>
                <w:sz w:val="26"/>
                <w:szCs w:val="26"/>
                <w:b w:val="1"/>
                <w:bCs w:val="1"/>
                <w:color w:val="auto"/>
                <w:w w:val="99"/>
                <w:vertAlign w:val="superscript"/>
              </w:rPr>
              <w:t>(1)</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Vesting</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16"/>
                <w:szCs w:val="16"/>
                <w:b w:val="1"/>
                <w:bCs w:val="1"/>
                <w:color w:val="auto"/>
              </w:rPr>
              <w:t>on Vesting</w:t>
            </w:r>
            <w:r>
              <w:rPr>
                <w:rFonts w:ascii="Arial" w:cs="Arial" w:eastAsia="Arial" w:hAnsi="Arial"/>
                <w:sz w:val="26"/>
                <w:szCs w:val="26"/>
                <w:b w:val="1"/>
                <w:bCs w:val="1"/>
                <w:color w:val="auto"/>
                <w:vertAlign w:val="superscript"/>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William B. Shepro</w:t>
            </w:r>
          </w:p>
        </w:tc>
        <w:tc>
          <w:tcPr>
            <w:tcW w:w="1420" w:type="dxa"/>
            <w:vAlign w:val="bottom"/>
            <w:shd w:val="clear" w:color="auto" w:fill="CCEEFF"/>
          </w:tcPr>
          <w:p>
            <w:pPr>
              <w:jc w:val="right"/>
              <w:ind w:right="202"/>
              <w:spacing w:after="0" w:line="183" w:lineRule="exact"/>
              <w:rPr>
                <w:sz w:val="20"/>
                <w:szCs w:val="20"/>
                <w:color w:val="auto"/>
              </w:rPr>
            </w:pPr>
            <w:r>
              <w:rPr>
                <w:rFonts w:ascii="Arial" w:cs="Arial" w:eastAsia="Arial" w:hAnsi="Arial"/>
                <w:sz w:val="13"/>
                <w:szCs w:val="13"/>
                <w:color w:val="auto"/>
              </w:rPr>
              <w:t>56,250</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8"/>
              <w:spacing w:after="0" w:line="182" w:lineRule="exact"/>
              <w:rPr>
                <w:sz w:val="20"/>
                <w:szCs w:val="20"/>
                <w:color w:val="auto"/>
              </w:rPr>
            </w:pPr>
            <w:r>
              <w:rPr>
                <w:rFonts w:ascii="Arial" w:cs="Arial" w:eastAsia="Arial" w:hAnsi="Arial"/>
                <w:sz w:val="16"/>
                <w:szCs w:val="16"/>
                <w:color w:val="auto"/>
              </w:rPr>
              <w:t>$767,250</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04"/>
              <w:spacing w:after="0" w:line="183" w:lineRule="exact"/>
              <w:rPr>
                <w:sz w:val="20"/>
                <w:szCs w:val="20"/>
                <w:color w:val="auto"/>
              </w:rPr>
            </w:pPr>
            <w:r>
              <w:rPr>
                <w:rFonts w:ascii="Arial" w:cs="Arial" w:eastAsia="Arial" w:hAnsi="Arial"/>
                <w:sz w:val="13"/>
                <w:szCs w:val="13"/>
                <w:color w:val="auto"/>
              </w:rPr>
              <w:t>18,867</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8"/>
              <w:spacing w:after="0" w:line="182" w:lineRule="exact"/>
              <w:rPr>
                <w:sz w:val="20"/>
                <w:szCs w:val="20"/>
                <w:color w:val="auto"/>
              </w:rPr>
            </w:pPr>
            <w:r>
              <w:rPr>
                <w:rFonts w:ascii="Arial" w:cs="Arial" w:eastAsia="Arial" w:hAnsi="Arial"/>
                <w:sz w:val="16"/>
                <w:szCs w:val="16"/>
                <w:color w:val="auto"/>
              </w:rPr>
              <w:t>$807,130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60" w:type="dxa"/>
            <w:vAlign w:val="bottom"/>
            <w:gridSpan w:val="2"/>
          </w:tcPr>
          <w:p>
            <w:pPr>
              <w:spacing w:after="0"/>
              <w:rPr>
                <w:sz w:val="20"/>
                <w:szCs w:val="20"/>
                <w:color w:val="auto"/>
              </w:rPr>
            </w:pPr>
            <w:r>
              <w:rPr>
                <w:rFonts w:ascii="Arial" w:cs="Arial" w:eastAsia="Arial" w:hAnsi="Arial"/>
                <w:sz w:val="16"/>
                <w:szCs w:val="16"/>
                <w:color w:val="auto"/>
              </w:rPr>
              <w:t>Kevin J. Wilcox</w:t>
            </w:r>
          </w:p>
        </w:tc>
        <w:tc>
          <w:tcPr>
            <w:tcW w:w="1420" w:type="dxa"/>
            <w:vAlign w:val="bottom"/>
          </w:tcPr>
          <w:p>
            <w:pPr>
              <w:jc w:val="right"/>
              <w:ind w:right="202"/>
              <w:spacing w:after="0" w:line="190" w:lineRule="exact"/>
              <w:rPr>
                <w:sz w:val="20"/>
                <w:szCs w:val="20"/>
                <w:color w:val="auto"/>
              </w:rPr>
            </w:pPr>
            <w:r>
              <w:rPr>
                <w:rFonts w:ascii="Arial" w:cs="Arial" w:eastAsia="Arial" w:hAnsi="Arial"/>
                <w:sz w:val="13"/>
                <w:szCs w:val="13"/>
                <w:color w:val="auto"/>
              </w:rPr>
              <w:t>39,167</w:t>
            </w:r>
            <w:r>
              <w:rPr>
                <w:rFonts w:ascii="Arial" w:cs="Arial" w:eastAsia="Arial" w:hAnsi="Arial"/>
                <w:sz w:val="21"/>
                <w:szCs w:val="21"/>
                <w:color w:val="auto"/>
                <w:vertAlign w:val="superscript"/>
              </w:rPr>
              <w:t>(5)</w:t>
            </w:r>
          </w:p>
        </w:tc>
        <w:tc>
          <w:tcPr>
            <w:tcW w:w="20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Arial" w:cs="Arial" w:eastAsia="Arial" w:hAnsi="Arial"/>
                <w:sz w:val="16"/>
                <w:szCs w:val="16"/>
                <w:color w:val="auto"/>
              </w:rPr>
              <w:t>$534,238</w:t>
            </w:r>
          </w:p>
        </w:tc>
        <w:tc>
          <w:tcPr>
            <w:tcW w:w="200" w:type="dxa"/>
            <w:vAlign w:val="bottom"/>
          </w:tcPr>
          <w:p>
            <w:pPr>
              <w:spacing w:after="0"/>
              <w:rPr>
                <w:sz w:val="16"/>
                <w:szCs w:val="16"/>
                <w:color w:val="auto"/>
              </w:rPr>
            </w:pPr>
          </w:p>
        </w:tc>
        <w:tc>
          <w:tcPr>
            <w:tcW w:w="1420" w:type="dxa"/>
            <w:vAlign w:val="bottom"/>
          </w:tcPr>
          <w:p>
            <w:pPr>
              <w:jc w:val="right"/>
              <w:ind w:right="204"/>
              <w:spacing w:after="0" w:line="190" w:lineRule="exact"/>
              <w:rPr>
                <w:sz w:val="20"/>
                <w:szCs w:val="20"/>
                <w:color w:val="auto"/>
              </w:rPr>
            </w:pPr>
            <w:r>
              <w:rPr>
                <w:rFonts w:ascii="Arial" w:cs="Arial" w:eastAsia="Arial" w:hAnsi="Arial"/>
                <w:sz w:val="13"/>
                <w:szCs w:val="13"/>
                <w:color w:val="auto"/>
              </w:rPr>
              <w:t>6,833</w:t>
            </w:r>
            <w:r>
              <w:rPr>
                <w:rFonts w:ascii="Arial" w:cs="Arial" w:eastAsia="Arial" w:hAnsi="Arial"/>
                <w:sz w:val="21"/>
                <w:szCs w:val="21"/>
                <w:color w:val="auto"/>
                <w:vertAlign w:val="superscript"/>
              </w:rPr>
              <w:t>(6)</w:t>
            </w:r>
          </w:p>
        </w:tc>
        <w:tc>
          <w:tcPr>
            <w:tcW w:w="200" w:type="dxa"/>
            <w:vAlign w:val="bottom"/>
          </w:tcPr>
          <w:p>
            <w:pPr>
              <w:spacing w:after="0"/>
              <w:rPr>
                <w:sz w:val="16"/>
                <w:szCs w:val="16"/>
                <w:color w:val="auto"/>
              </w:rPr>
            </w:pP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$292,316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Indroneel Chatterjee</w:t>
            </w:r>
          </w:p>
        </w:tc>
        <w:tc>
          <w:tcPr>
            <w:tcW w:w="14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2"/>
          </w:tcPr>
          <w:p>
            <w:pPr>
              <w:spacing w:after="0"/>
              <w:rPr>
                <w:sz w:val="20"/>
                <w:szCs w:val="20"/>
                <w:color w:val="auto"/>
              </w:rPr>
            </w:pPr>
            <w:r>
              <w:rPr>
                <w:rFonts w:ascii="Arial" w:cs="Arial" w:eastAsia="Arial" w:hAnsi="Arial"/>
                <w:sz w:val="16"/>
                <w:szCs w:val="16"/>
                <w:color w:val="auto"/>
              </w:rPr>
              <w:t>Michelle D. Esterman</w:t>
            </w:r>
          </w:p>
        </w:tc>
        <w:tc>
          <w:tcPr>
            <w:tcW w:w="142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20" w:type="dxa"/>
            <w:vAlign w:val="bottom"/>
          </w:tcPr>
          <w:p>
            <w:pPr>
              <w:jc w:val="right"/>
              <w:ind w:right="204"/>
              <w:spacing w:after="0" w:line="190" w:lineRule="exact"/>
              <w:rPr>
                <w:sz w:val="20"/>
                <w:szCs w:val="20"/>
                <w:color w:val="auto"/>
              </w:rPr>
            </w:pPr>
            <w:r>
              <w:rPr>
                <w:rFonts w:ascii="Arial" w:cs="Arial" w:eastAsia="Arial" w:hAnsi="Arial"/>
                <w:sz w:val="13"/>
                <w:szCs w:val="13"/>
                <w:color w:val="auto"/>
              </w:rPr>
              <w:t>4,833</w:t>
            </w:r>
            <w:r>
              <w:rPr>
                <w:rFonts w:ascii="Arial" w:cs="Arial" w:eastAsia="Arial" w:hAnsi="Arial"/>
                <w:sz w:val="21"/>
                <w:szCs w:val="21"/>
                <w:color w:val="auto"/>
                <w:vertAlign w:val="superscript"/>
              </w:rPr>
              <w:t>(7)</w:t>
            </w:r>
          </w:p>
        </w:tc>
        <w:tc>
          <w:tcPr>
            <w:tcW w:w="200" w:type="dxa"/>
            <w:vAlign w:val="bottom"/>
          </w:tcPr>
          <w:p>
            <w:pPr>
              <w:spacing w:after="0"/>
              <w:rPr>
                <w:sz w:val="16"/>
                <w:szCs w:val="16"/>
                <w:color w:val="auto"/>
              </w:rPr>
            </w:pP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$206,756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A. Davila</w:t>
            </w:r>
          </w:p>
        </w:tc>
        <w:tc>
          <w:tcPr>
            <w:tcW w:w="1420" w:type="dxa"/>
            <w:vAlign w:val="bottom"/>
            <w:shd w:val="clear" w:color="auto" w:fill="CCEEFF"/>
          </w:tcPr>
          <w:p>
            <w:pPr>
              <w:jc w:val="right"/>
              <w:ind w:right="202"/>
              <w:spacing w:after="0" w:line="190" w:lineRule="exact"/>
              <w:rPr>
                <w:sz w:val="20"/>
                <w:szCs w:val="20"/>
                <w:color w:val="auto"/>
              </w:rPr>
            </w:pPr>
            <w:r>
              <w:rPr>
                <w:rFonts w:ascii="Arial" w:cs="Arial" w:eastAsia="Arial" w:hAnsi="Arial"/>
                <w:sz w:val="13"/>
                <w:szCs w:val="13"/>
                <w:color w:val="auto"/>
              </w:rPr>
              <w:t>1,100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$4,356</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04"/>
              <w:spacing w:after="0" w:line="190" w:lineRule="exact"/>
              <w:rPr>
                <w:sz w:val="20"/>
                <w:szCs w:val="20"/>
                <w:color w:val="auto"/>
              </w:rPr>
            </w:pPr>
            <w:r>
              <w:rPr>
                <w:rFonts w:ascii="Arial" w:cs="Arial" w:eastAsia="Arial" w:hAnsi="Arial"/>
                <w:sz w:val="13"/>
                <w:szCs w:val="13"/>
                <w:color w:val="auto"/>
              </w:rPr>
              <w:t>1,867</w:t>
            </w:r>
            <w:r>
              <w:rPr>
                <w:rFonts w:ascii="Arial" w:cs="Arial" w:eastAsia="Arial" w:hAnsi="Arial"/>
                <w:sz w:val="21"/>
                <w:szCs w:val="21"/>
                <w:color w:val="auto"/>
                <w:vertAlign w:val="superscript"/>
              </w:rPr>
              <w:t>(9)</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$79,870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26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142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420" w:type="dxa"/>
            <w:vAlign w:val="bottom"/>
          </w:tcPr>
          <w:p>
            <w:pPr>
              <w:jc w:val="right"/>
              <w:ind w:right="124"/>
              <w:spacing w:after="0"/>
              <w:rPr>
                <w:sz w:val="20"/>
                <w:szCs w:val="20"/>
                <w:color w:val="auto"/>
              </w:rPr>
            </w:pPr>
            <w:r>
              <w:rPr>
                <w:rFonts w:ascii="Arial" w:cs="Arial" w:eastAsia="Arial" w:hAnsi="Arial"/>
                <w:sz w:val="16"/>
                <w:szCs w:val="16"/>
                <w:color w:val="auto"/>
              </w:rPr>
              <w:t>1,867</w:t>
            </w:r>
            <w:r>
              <w:rPr>
                <w:rFonts w:ascii="Arial" w:cs="Arial" w:eastAsia="Arial" w:hAnsi="Arial"/>
                <w:sz w:val="27"/>
                <w:szCs w:val="27"/>
                <w:color w:val="auto"/>
                <w:vertAlign w:val="superscript"/>
              </w:rPr>
              <w:t>(10)</w:t>
            </w:r>
          </w:p>
        </w:tc>
        <w:tc>
          <w:tcPr>
            <w:tcW w:w="200" w:type="dxa"/>
            <w:vAlign w:val="bottom"/>
          </w:tcPr>
          <w:p>
            <w:pPr>
              <w:spacing w:after="0"/>
              <w:rPr>
                <w:sz w:val="24"/>
                <w:szCs w:val="24"/>
                <w:color w:val="auto"/>
              </w:rPr>
            </w:pPr>
          </w:p>
        </w:tc>
        <w:tc>
          <w:tcPr>
            <w:tcW w:w="1160" w:type="dxa"/>
            <w:vAlign w:val="bottom"/>
          </w:tcPr>
          <w:p>
            <w:pPr>
              <w:jc w:val="right"/>
              <w:ind w:right="138"/>
              <w:spacing w:after="0"/>
              <w:rPr>
                <w:sz w:val="20"/>
                <w:szCs w:val="20"/>
                <w:color w:val="auto"/>
              </w:rPr>
            </w:pPr>
            <w:r>
              <w:rPr>
                <w:rFonts w:ascii="Arial" w:cs="Arial" w:eastAsia="Arial" w:hAnsi="Arial"/>
                <w:sz w:val="16"/>
                <w:szCs w:val="16"/>
                <w:color w:val="auto"/>
              </w:rPr>
              <w:t>$79,870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640" w:right="40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73" w:lineRule="exact"/>
        <w:rPr>
          <w:rFonts w:ascii="Arial" w:cs="Arial" w:eastAsia="Arial" w:hAnsi="Arial"/>
          <w:sz w:val="20"/>
          <w:szCs w:val="20"/>
          <w:color w:val="auto"/>
          <w:vertAlign w:val="superscript"/>
        </w:rPr>
      </w:pPr>
    </w:p>
    <w:p>
      <w:pPr>
        <w:ind w:left="1640" w:hanging="496"/>
        <w:spacing w:after="0"/>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41" w:lineRule="exact"/>
        <w:rPr>
          <w:rFonts w:ascii="Arial" w:cs="Arial" w:eastAsia="Arial" w:hAnsi="Arial"/>
          <w:sz w:val="20"/>
          <w:szCs w:val="20"/>
          <w:color w:val="auto"/>
          <w:vertAlign w:val="superscript"/>
        </w:rPr>
      </w:pPr>
    </w:p>
    <w:p>
      <w:pPr>
        <w:ind w:left="1640" w:right="28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56,250 shares were acquired as a result of the exercise of 56,250 stock options awarded as part of the July 14, 2008 stock option grant that expires on July 14, 2018. Mr. Shepro elected to pay the exercise price and taxes associated with all 56,250 exercised options and retain the resulting 56,250 shares.</w:t>
      </w:r>
    </w:p>
    <w:p>
      <w:pPr>
        <w:spacing w:after="0" w:line="141" w:lineRule="exact"/>
        <w:rPr>
          <w:rFonts w:ascii="Arial" w:cs="Arial" w:eastAsia="Arial" w:hAnsi="Arial"/>
          <w:sz w:val="20"/>
          <w:szCs w:val="20"/>
          <w:color w:val="auto"/>
          <w:vertAlign w:val="superscript"/>
        </w:rPr>
      </w:pPr>
    </w:p>
    <w:p>
      <w:pPr>
        <w:ind w:left="1640" w:right="32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18,867 shares were acquired as a result of the vesting of 18,867 restricted shares awarded as part of the April 15, 2015 restricted share award, of which 8,901 shares were surrendered to pay for tax withholdings.</w:t>
      </w:r>
    </w:p>
    <w:p>
      <w:pPr>
        <w:spacing w:after="0" w:line="141" w:lineRule="exact"/>
        <w:rPr>
          <w:rFonts w:ascii="Arial" w:cs="Arial" w:eastAsia="Arial" w:hAnsi="Arial"/>
          <w:sz w:val="20"/>
          <w:szCs w:val="20"/>
          <w:color w:val="auto"/>
          <w:vertAlign w:val="superscript"/>
        </w:rPr>
      </w:pPr>
    </w:p>
    <w:p>
      <w:pPr>
        <w:ind w:left="1640" w:right="28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39,167 shares were acquired as a result of the exercise of 39,167 stock options awarded as part of the July 14, 2008 stock option grant that expires on July 14, 2018. Mr. Wilcox elected to pay the exercise price and taxes associated with all 39,167 exercised options and retain the resulting 39,167 shares.</w:t>
      </w:r>
    </w:p>
    <w:p>
      <w:pPr>
        <w:spacing w:after="0" w:line="141" w:lineRule="exact"/>
        <w:rPr>
          <w:rFonts w:ascii="Arial" w:cs="Arial" w:eastAsia="Arial" w:hAnsi="Arial"/>
          <w:sz w:val="20"/>
          <w:szCs w:val="20"/>
          <w:color w:val="auto"/>
          <w:vertAlign w:val="superscript"/>
        </w:rPr>
      </w:pPr>
    </w:p>
    <w:p>
      <w:pPr>
        <w:ind w:left="1640" w:right="4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6,833 shares were acquired as a result of the vesting of 6,833 restricted shares awarded as part of the April 15, 2015 restricted share award, of which 3,223 shares were surrendered to pay for tax withholdings.</w:t>
      </w:r>
    </w:p>
    <w:p>
      <w:pPr>
        <w:spacing w:after="0" w:line="141" w:lineRule="exact"/>
        <w:rPr>
          <w:rFonts w:ascii="Arial" w:cs="Arial" w:eastAsia="Arial" w:hAnsi="Arial"/>
          <w:sz w:val="20"/>
          <w:szCs w:val="20"/>
          <w:color w:val="auto"/>
          <w:vertAlign w:val="superscript"/>
        </w:rPr>
      </w:pPr>
    </w:p>
    <w:p>
      <w:pPr>
        <w:ind w:left="1640" w:right="4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4,833 shares were acquired as a result of the vesting of 4,833 restricted shares awarded as part of the April 15, 2015 restricted share award, of which 2,280 shares were surrendered to pay for tax withholdings.</w:t>
      </w:r>
    </w:p>
    <w:p>
      <w:pPr>
        <w:spacing w:after="0" w:line="141" w:lineRule="exact"/>
        <w:rPr>
          <w:rFonts w:ascii="Arial" w:cs="Arial" w:eastAsia="Arial" w:hAnsi="Arial"/>
          <w:sz w:val="20"/>
          <w:szCs w:val="20"/>
          <w:color w:val="auto"/>
          <w:vertAlign w:val="superscript"/>
        </w:rPr>
      </w:pPr>
    </w:p>
    <w:p>
      <w:pPr>
        <w:ind w:left="164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1,100 shares were acquired as a result of the exercise of 1,100 stock options awarded as part of the April 15, 2015 stock option grant that expires on April 15, 2025. Mr. Davila elected to pay the exercise price and taxes associated with all 1,100 exercised options and retain the resulting 1,100 shares.</w:t>
      </w:r>
    </w:p>
    <w:p>
      <w:pPr>
        <w:spacing w:after="0" w:line="141" w:lineRule="exact"/>
        <w:rPr>
          <w:rFonts w:ascii="Arial" w:cs="Arial" w:eastAsia="Arial" w:hAnsi="Arial"/>
          <w:sz w:val="20"/>
          <w:szCs w:val="20"/>
          <w:color w:val="auto"/>
          <w:vertAlign w:val="superscript"/>
        </w:rPr>
      </w:pPr>
    </w:p>
    <w:p>
      <w:pPr>
        <w:ind w:left="1640" w:right="140" w:hanging="496"/>
        <w:spacing w:after="0" w:line="198" w:lineRule="auto"/>
        <w:tabs>
          <w:tab w:leader="none" w:pos="164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1,867 shares were acquired as a result of the vesting of 1,867 restricted shares awarded as part of the April 15, 2015 restricted share award, of which 880 shares were surrendered to pay for tax withholdings.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40" w:right="160" w:hanging="496"/>
        <w:spacing w:after="0" w:line="198" w:lineRule="auto"/>
        <w:tabs>
          <w:tab w:leader="none" w:pos="1640" w:val="left"/>
        </w:tabs>
        <w:numPr>
          <w:ilvl w:val="0"/>
          <w:numId w:val="62"/>
        </w:numPr>
        <w:rPr>
          <w:rFonts w:ascii="Arial" w:cs="Arial" w:eastAsia="Arial" w:hAnsi="Arial"/>
          <w:sz w:val="20"/>
          <w:szCs w:val="20"/>
          <w:color w:val="auto"/>
          <w:vertAlign w:val="superscript"/>
        </w:rPr>
      </w:pPr>
      <w:r>
        <w:rPr>
          <w:rFonts w:ascii="Arial" w:cs="Arial" w:eastAsia="Arial" w:hAnsi="Arial"/>
          <w:sz w:val="13"/>
          <w:szCs w:val="13"/>
          <w:color w:val="auto"/>
        </w:rPr>
        <w:t>1,867 shares were acquired as a result of the vesting of 1,867 restricted shares awarded as part of the April 15, 2015 restricted share award, of which 880 shares were surrendered to pay for tax withholdings.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required by Luxembourg law, Altisource has entered into employment agreements with each of our Named Executive Officers, other than Ms. Esterman whose Luxembourg employment agreement ended following her relocation to the United States. The employment terms of each agreement continue indefinitely until the executive's separation from the Company or their relocation outside of Luxembourg.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19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2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Below is a description of the amounts payable to each Named Executive Officer assuming the executive's employment had terminated under various scenarios, or a change of control had occurred, on December 31, 2017. Due to the number of factors that affect the nature and amount of any benefits under the various scenarios, actual amounts paid or distributed may be different.</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discussed in our Compensation Discussion and Analysis, our Chief Executive Officer and other Named Executive Officers have entered into employment agreements with the Company. Under these agreements, if employment is terminated as a result of the executive officer's retirement or disability or termination without cause,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and Chief Administration and Risk Officer, the Company shall also pay at least one (1) year's target incentive compensation in such instance.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6"/>
          <w:szCs w:val="16"/>
          <w:i w:val="1"/>
          <w:iCs w:val="1"/>
          <w:color w:val="auto"/>
        </w:rPr>
        <w:t>inter alia</w:t>
      </w:r>
      <w:r>
        <w:rPr>
          <w:rFonts w:ascii="Arial" w:cs="Arial" w:eastAsia="Arial" w:hAnsi="Arial"/>
          <w:sz w:val="16"/>
          <w:szCs w:val="16"/>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the executive officer has six (6) months within which to exercise vested stock options pursuant to our stock option agreements.</w:t>
      </w:r>
    </w:p>
    <w:p>
      <w:pPr>
        <w:spacing w:after="0" w:line="38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With respect to restricted shares granted to our Named Executive Officers, in some instances, if the executive officer's employment is terminated due to death or disability,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some cases, if the Company terminates the executive officer's employment for reasons other than "Cause," as defined by the applicable award agreement, unvested restricted shares will vest within thirty (30) days of such termination. In addition, certain restricted share awards provide for the vesting of unvested restricted shares in the event of a Transaction.</w:t>
      </w:r>
    </w:p>
    <w:p>
      <w:pPr>
        <w:spacing w:after="0" w:line="190"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Except as specified above, any portion of an equity award not vested will generally be forfeited unless alternate arrangements are made at the discretion of the Compensation Committee.</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following table estimates and summarizes the potential payments and benefits that each of our Named Executive Officers would have received if their employment had been terminated on December 31, 2017 under each of the circumstances described below, excluding benefits ordinarily available to all employees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130175</wp:posOffset>
            </wp:positionV>
            <wp:extent cx="1661160" cy="152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116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(such as benefits mandated by Luxembourg law) and any relocation benefits that may be provided in connection with such termination.</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72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William B.</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Kevin J.</w:t>
            </w: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Indroneel</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Michelle D.</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Joseph A.</w:t>
            </w: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Gregory J.</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Shepro</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Wilcox</w:t>
            </w: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Chatterjee</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Esterman</w:t>
            </w: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Davila</w:t>
            </w: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Ritts</w:t>
            </w:r>
          </w:p>
        </w:tc>
        <w:tc>
          <w:tcPr>
            <w:tcW w:w="0" w:type="dxa"/>
            <w:vAlign w:val="bottom"/>
          </w:tcPr>
          <w:p>
            <w:pPr>
              <w:spacing w:after="0"/>
              <w:rPr>
                <w:sz w:val="1"/>
                <w:szCs w:val="1"/>
                <w:color w:val="auto"/>
              </w:rPr>
            </w:pPr>
          </w:p>
        </w:tc>
      </w:tr>
      <w:tr>
        <w:trPr>
          <w:trHeight w:val="144"/>
        </w:trPr>
        <w:tc>
          <w:tcPr>
            <w:tcW w:w="27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Death or Disability</w:t>
            </w: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20" w:type="dxa"/>
            <w:vAlign w:val="bottom"/>
          </w:tcPr>
          <w:p>
            <w:pPr>
              <w:ind w:left="280"/>
              <w:spacing w:after="0"/>
              <w:rPr>
                <w:sz w:val="20"/>
                <w:szCs w:val="20"/>
                <w:color w:val="auto"/>
              </w:rPr>
            </w:pPr>
            <w:r>
              <w:rPr>
                <w:rFonts w:ascii="Arial" w:cs="Arial" w:eastAsia="Arial" w:hAnsi="Arial"/>
                <w:sz w:val="13"/>
                <w:szCs w:val="13"/>
                <w:color w:val="auto"/>
              </w:rPr>
              <w:t>Accelerated vesting of options and</w:t>
            </w:r>
          </w:p>
        </w:tc>
        <w:tc>
          <w:tcPr>
            <w:tcW w:w="960" w:type="dxa"/>
            <w:vAlign w:val="bottom"/>
            <w:gridSpan w:val="2"/>
            <w:vMerge w:val="restart"/>
          </w:tcPr>
          <w:p>
            <w:pPr>
              <w:spacing w:after="0"/>
              <w:rPr>
                <w:sz w:val="20"/>
                <w:szCs w:val="20"/>
                <w:color w:val="auto"/>
              </w:rPr>
            </w:pPr>
            <w:r>
              <w:rPr>
                <w:rFonts w:ascii="Arial" w:cs="Arial" w:eastAsia="Arial" w:hAnsi="Arial"/>
                <w:sz w:val="13"/>
                <w:szCs w:val="13"/>
                <w:color w:val="auto"/>
              </w:rPr>
              <w:t>$1,579,351</w:t>
            </w:r>
            <w:r>
              <w:rPr>
                <w:rFonts w:ascii="Arial" w:cs="Arial" w:eastAsia="Arial" w:hAnsi="Arial"/>
                <w:sz w:val="20"/>
                <w:szCs w:val="20"/>
                <w:color w:val="auto"/>
                <w:vertAlign w:val="superscript"/>
              </w:rPr>
              <w:t>(1)</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$525,451</w:t>
            </w:r>
            <w:r>
              <w:rPr>
                <w:rFonts w:ascii="Arial" w:cs="Arial" w:eastAsia="Arial" w:hAnsi="Arial"/>
                <w:sz w:val="20"/>
                <w:szCs w:val="20"/>
                <w:color w:val="auto"/>
                <w:vertAlign w:val="superscript"/>
              </w:rPr>
              <w:t>(1)</w:t>
            </w:r>
          </w:p>
        </w:tc>
        <w:tc>
          <w:tcPr>
            <w:tcW w:w="840" w:type="dxa"/>
            <w:vAlign w:val="bottom"/>
            <w:vMerge w:val="restart"/>
          </w:tcPr>
          <w:p>
            <w:pPr>
              <w:jc w:val="right"/>
              <w:ind w:right="74"/>
              <w:spacing w:after="0"/>
              <w:rPr>
                <w:sz w:val="20"/>
                <w:szCs w:val="20"/>
                <w:color w:val="auto"/>
              </w:rPr>
            </w:pPr>
            <w:r>
              <w:rPr>
                <w:rFonts w:ascii="Arial" w:cs="Arial" w:eastAsia="Arial" w:hAnsi="Arial"/>
                <w:sz w:val="13"/>
                <w:szCs w:val="13"/>
                <w:color w:val="auto"/>
                <w:w w:val="96"/>
              </w:rPr>
              <w:t>$546,924</w:t>
            </w:r>
            <w:r>
              <w:rPr>
                <w:rFonts w:ascii="Arial" w:cs="Arial" w:eastAsia="Arial" w:hAnsi="Arial"/>
                <w:sz w:val="20"/>
                <w:szCs w:val="20"/>
                <w:color w:val="auto"/>
                <w:w w:val="96"/>
                <w:vertAlign w:val="superscript"/>
              </w:rPr>
              <w:t>(1)</w:t>
            </w:r>
          </w:p>
        </w:tc>
        <w:tc>
          <w:tcPr>
            <w:tcW w:w="300" w:type="dxa"/>
            <w:vAlign w:val="bottom"/>
          </w:tcPr>
          <w:p>
            <w:pPr>
              <w:spacing w:after="0"/>
              <w:rPr>
                <w:sz w:val="13"/>
                <w:szCs w:val="13"/>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3"/>
                <w:szCs w:val="13"/>
                <w:color w:val="auto"/>
                <w:w w:val="96"/>
              </w:rPr>
              <w:t>$381,591</w:t>
            </w:r>
            <w:r>
              <w:rPr>
                <w:rFonts w:ascii="Arial" w:cs="Arial" w:eastAsia="Arial" w:hAnsi="Arial"/>
                <w:sz w:val="20"/>
                <w:szCs w:val="20"/>
                <w:color w:val="auto"/>
                <w:w w:val="96"/>
                <w:vertAlign w:val="superscript"/>
              </w:rPr>
              <w:t>(1)</w:t>
            </w:r>
          </w:p>
        </w:tc>
        <w:tc>
          <w:tcPr>
            <w:tcW w:w="300" w:type="dxa"/>
            <w:vAlign w:val="bottom"/>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3"/>
                <w:szCs w:val="13"/>
                <w:color w:val="auto"/>
              </w:rPr>
              <w:t>$730,694</w:t>
            </w:r>
            <w:r>
              <w:rPr>
                <w:rFonts w:ascii="Arial" w:cs="Arial" w:eastAsia="Arial" w:hAnsi="Arial"/>
                <w:sz w:val="20"/>
                <w:szCs w:val="20"/>
                <w:color w:val="auto"/>
                <w:vertAlign w:val="superscript"/>
              </w:rPr>
              <w:t>(1)</w:t>
            </w:r>
          </w:p>
        </w:tc>
        <w:tc>
          <w:tcPr>
            <w:tcW w:w="280" w:type="dxa"/>
            <w:vAlign w:val="bottom"/>
          </w:tcPr>
          <w:p>
            <w:pPr>
              <w:spacing w:after="0"/>
              <w:rPr>
                <w:sz w:val="13"/>
                <w:szCs w:val="13"/>
                <w:color w:val="auto"/>
              </w:rPr>
            </w:pPr>
          </w:p>
        </w:tc>
        <w:tc>
          <w:tcPr>
            <w:tcW w:w="900" w:type="dxa"/>
            <w:vAlign w:val="bottom"/>
            <w:vMerge w:val="restart"/>
          </w:tcPr>
          <w:p>
            <w:pPr>
              <w:ind w:left="20"/>
              <w:spacing w:after="0"/>
              <w:rPr>
                <w:sz w:val="20"/>
                <w:szCs w:val="20"/>
                <w:color w:val="auto"/>
              </w:rPr>
            </w:pPr>
            <w:r>
              <w:rPr>
                <w:rFonts w:ascii="Arial" w:cs="Arial" w:eastAsia="Arial" w:hAnsi="Arial"/>
                <w:sz w:val="13"/>
                <w:szCs w:val="13"/>
                <w:color w:val="auto"/>
              </w:rPr>
              <w:t>$730,694</w:t>
            </w:r>
            <w:r>
              <w:rPr>
                <w:rFonts w:ascii="Arial" w:cs="Arial" w:eastAsia="Arial" w:hAnsi="Arial"/>
                <w:sz w:val="20"/>
                <w:szCs w:val="20"/>
                <w:color w:val="auto"/>
                <w:vertAlign w:val="superscript"/>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400"/>
              <w:spacing w:after="0" w:line="148" w:lineRule="exact"/>
              <w:rPr>
                <w:sz w:val="20"/>
                <w:szCs w:val="20"/>
                <w:color w:val="auto"/>
              </w:rPr>
            </w:pPr>
            <w:r>
              <w:rPr>
                <w:rFonts w:ascii="Arial" w:cs="Arial" w:eastAsia="Arial" w:hAnsi="Arial"/>
                <w:sz w:val="13"/>
                <w:szCs w:val="13"/>
                <w:color w:val="auto"/>
              </w:rPr>
              <w:t>restricted shares</w:t>
            </w: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Retirement by the Named Executive</w:t>
            </w: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Officer</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280"/>
              <w:spacing w:after="0"/>
              <w:rPr>
                <w:sz w:val="20"/>
                <w:szCs w:val="20"/>
                <w:color w:val="auto"/>
              </w:rPr>
            </w:pPr>
            <w:r>
              <w:rPr>
                <w:rFonts w:ascii="Arial" w:cs="Arial" w:eastAsia="Arial" w:hAnsi="Arial"/>
                <w:sz w:val="13"/>
                <w:szCs w:val="13"/>
                <w:color w:val="auto"/>
              </w:rPr>
              <w:t>Accelerated vesting of options</w:t>
            </w:r>
          </w:p>
        </w:tc>
        <w:tc>
          <w:tcPr>
            <w:tcW w:w="960" w:type="dxa"/>
            <w:vAlign w:val="bottom"/>
            <w:gridSpan w:val="2"/>
          </w:tcPr>
          <w:p>
            <w:pPr>
              <w:ind w:left="120"/>
              <w:spacing w:after="0" w:line="152" w:lineRule="exact"/>
              <w:rPr>
                <w:sz w:val="20"/>
                <w:szCs w:val="20"/>
                <w:color w:val="auto"/>
              </w:rPr>
            </w:pPr>
            <w:r>
              <w:rPr>
                <w:rFonts w:ascii="Arial" w:cs="Arial" w:eastAsia="Arial" w:hAnsi="Arial"/>
                <w:sz w:val="12"/>
                <w:szCs w:val="12"/>
                <w:color w:val="auto"/>
              </w:rPr>
              <w:t>$281,523</w:t>
            </w:r>
            <w:r>
              <w:rPr>
                <w:rFonts w:ascii="Arial" w:cs="Arial" w:eastAsia="Arial" w:hAnsi="Arial"/>
                <w:sz w:val="17"/>
                <w:szCs w:val="17"/>
                <w:color w:val="auto"/>
                <w:vertAlign w:val="superscript"/>
              </w:rPr>
              <w:t>(1),(2)</w:t>
            </w:r>
          </w:p>
        </w:tc>
        <w:tc>
          <w:tcPr>
            <w:tcW w:w="2120" w:type="dxa"/>
            <w:vAlign w:val="bottom"/>
            <w:gridSpan w:val="4"/>
          </w:tcPr>
          <w:p>
            <w:pPr>
              <w:jc w:val="right"/>
              <w:ind w:right="280"/>
              <w:spacing w:after="0" w:line="152" w:lineRule="exact"/>
              <w:rPr>
                <w:sz w:val="20"/>
                <w:szCs w:val="20"/>
                <w:color w:val="auto"/>
              </w:rPr>
            </w:pPr>
            <w:r>
              <w:rPr>
                <w:rFonts w:ascii="Arial" w:cs="Arial" w:eastAsia="Arial" w:hAnsi="Arial"/>
                <w:sz w:val="12"/>
                <w:szCs w:val="12"/>
                <w:color w:val="auto"/>
              </w:rPr>
              <w:t>$86,467</w:t>
            </w:r>
            <w:r>
              <w:rPr>
                <w:rFonts w:ascii="Arial" w:cs="Arial" w:eastAsia="Arial" w:hAnsi="Arial"/>
                <w:sz w:val="17"/>
                <w:szCs w:val="17"/>
                <w:color w:val="auto"/>
                <w:vertAlign w:val="superscript"/>
              </w:rPr>
              <w:t>(1),(2)</w:t>
            </w:r>
            <w:r>
              <w:rPr>
                <w:rFonts w:ascii="Arial" w:cs="Arial" w:eastAsia="Arial" w:hAnsi="Arial"/>
                <w:sz w:val="12"/>
                <w:szCs w:val="12"/>
                <w:color w:val="auto"/>
              </w:rPr>
              <w:t xml:space="preserve"> $136,724</w:t>
            </w:r>
            <w:r>
              <w:rPr>
                <w:rFonts w:ascii="Arial" w:cs="Arial" w:eastAsia="Arial" w:hAnsi="Arial"/>
                <w:sz w:val="17"/>
                <w:szCs w:val="17"/>
                <w:color w:val="auto"/>
                <w:vertAlign w:val="superscript"/>
              </w:rPr>
              <w:t>(1),(2)</w:t>
            </w:r>
          </w:p>
        </w:tc>
        <w:tc>
          <w:tcPr>
            <w:tcW w:w="1160" w:type="dxa"/>
            <w:vAlign w:val="bottom"/>
            <w:gridSpan w:val="2"/>
          </w:tcPr>
          <w:p>
            <w:pPr>
              <w:jc w:val="right"/>
              <w:ind w:right="300"/>
              <w:spacing w:after="0" w:line="152" w:lineRule="exact"/>
              <w:rPr>
                <w:sz w:val="20"/>
                <w:szCs w:val="20"/>
                <w:color w:val="auto"/>
              </w:rPr>
            </w:pPr>
            <w:r>
              <w:rPr>
                <w:rFonts w:ascii="Arial" w:cs="Arial" w:eastAsia="Arial" w:hAnsi="Arial"/>
                <w:sz w:val="17"/>
                <w:szCs w:val="17"/>
                <w:color w:val="auto"/>
                <w:vertAlign w:val="subscript"/>
              </w:rPr>
              <w:t>$77,119</w:t>
            </w:r>
            <w:r>
              <w:rPr>
                <w:rFonts w:ascii="Arial" w:cs="Arial" w:eastAsia="Arial" w:hAnsi="Arial"/>
                <w:sz w:val="8"/>
                <w:szCs w:val="8"/>
                <w:color w:val="auto"/>
              </w:rPr>
              <w:t>(1),(2)</w:t>
            </w:r>
          </w:p>
        </w:tc>
        <w:tc>
          <w:tcPr>
            <w:tcW w:w="1120" w:type="dxa"/>
            <w:vAlign w:val="bottom"/>
            <w:gridSpan w:val="2"/>
          </w:tcPr>
          <w:p>
            <w:pPr>
              <w:spacing w:after="0" w:line="152" w:lineRule="exact"/>
              <w:rPr>
                <w:sz w:val="20"/>
                <w:szCs w:val="20"/>
                <w:color w:val="auto"/>
              </w:rPr>
            </w:pPr>
            <w:r>
              <w:rPr>
                <w:rFonts w:ascii="Arial" w:cs="Arial" w:eastAsia="Arial" w:hAnsi="Arial"/>
                <w:sz w:val="12"/>
                <w:szCs w:val="12"/>
                <w:color w:val="auto"/>
              </w:rPr>
              <w:t>$189,706</w:t>
            </w:r>
            <w:r>
              <w:rPr>
                <w:rFonts w:ascii="Arial" w:cs="Arial" w:eastAsia="Arial" w:hAnsi="Arial"/>
                <w:sz w:val="17"/>
                <w:szCs w:val="17"/>
                <w:color w:val="auto"/>
                <w:vertAlign w:val="superscript"/>
              </w:rPr>
              <w:t>(1),(2)</w:t>
            </w:r>
          </w:p>
        </w:tc>
        <w:tc>
          <w:tcPr>
            <w:tcW w:w="900" w:type="dxa"/>
            <w:vAlign w:val="bottom"/>
          </w:tcPr>
          <w:p>
            <w:pPr>
              <w:ind w:left="20"/>
              <w:spacing w:after="0" w:line="152" w:lineRule="exact"/>
              <w:rPr>
                <w:sz w:val="20"/>
                <w:szCs w:val="20"/>
                <w:color w:val="auto"/>
              </w:rPr>
            </w:pPr>
            <w:r>
              <w:rPr>
                <w:rFonts w:ascii="Arial" w:cs="Arial" w:eastAsia="Arial" w:hAnsi="Arial"/>
                <w:sz w:val="12"/>
                <w:szCs w:val="12"/>
                <w:color w:val="auto"/>
              </w:rPr>
              <w:t>$189,706</w:t>
            </w:r>
            <w:r>
              <w:rPr>
                <w:rFonts w:ascii="Arial" w:cs="Arial" w:eastAsia="Arial" w:hAnsi="Arial"/>
                <w:sz w:val="17"/>
                <w:szCs w:val="17"/>
                <w:color w:val="auto"/>
                <w:vertAlign w:val="superscript"/>
              </w:rPr>
              <w:t>(1),(2)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Termination by the Company other than</w:t>
            </w: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for "Cause"</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280"/>
              <w:spacing w:after="0"/>
              <w:rPr>
                <w:sz w:val="20"/>
                <w:szCs w:val="20"/>
                <w:color w:val="auto"/>
              </w:rPr>
            </w:pPr>
            <w:r>
              <w:rPr>
                <w:rFonts w:ascii="Arial" w:cs="Arial" w:eastAsia="Arial" w:hAnsi="Arial"/>
                <w:sz w:val="13"/>
                <w:szCs w:val="13"/>
                <w:color w:val="auto"/>
              </w:rPr>
              <w:t>Severance payment</w:t>
            </w:r>
          </w:p>
        </w:tc>
        <w:tc>
          <w:tcPr>
            <w:tcW w:w="960" w:type="dxa"/>
            <w:vAlign w:val="bottom"/>
            <w:gridSpan w:val="2"/>
          </w:tcPr>
          <w:p>
            <w:pPr>
              <w:spacing w:after="0" w:line="152" w:lineRule="exact"/>
              <w:rPr>
                <w:sz w:val="20"/>
                <w:szCs w:val="20"/>
                <w:color w:val="auto"/>
              </w:rPr>
            </w:pPr>
            <w:r>
              <w:rPr>
                <w:rFonts w:ascii="Arial" w:cs="Arial" w:eastAsia="Arial" w:hAnsi="Arial"/>
                <w:sz w:val="12"/>
                <w:szCs w:val="12"/>
                <w:color w:val="auto"/>
              </w:rPr>
              <w:t>$3,627,733</w:t>
            </w:r>
            <w:r>
              <w:rPr>
                <w:rFonts w:ascii="Arial" w:cs="Arial" w:eastAsia="Arial" w:hAnsi="Arial"/>
                <w:sz w:val="17"/>
                <w:szCs w:val="17"/>
                <w:color w:val="auto"/>
                <w:vertAlign w:val="superscript"/>
              </w:rPr>
              <w:t>(3)</w:t>
            </w:r>
          </w:p>
        </w:tc>
        <w:tc>
          <w:tcPr>
            <w:tcW w:w="980" w:type="dxa"/>
            <w:vAlign w:val="bottom"/>
            <w:gridSpan w:val="2"/>
          </w:tcPr>
          <w:p>
            <w:pPr>
              <w:jc w:val="right"/>
              <w:ind w:right="160"/>
              <w:spacing w:after="0" w:line="152" w:lineRule="exact"/>
              <w:rPr>
                <w:sz w:val="20"/>
                <w:szCs w:val="20"/>
                <w:color w:val="auto"/>
              </w:rPr>
            </w:pPr>
            <w:r>
              <w:rPr>
                <w:rFonts w:ascii="Arial" w:cs="Arial" w:eastAsia="Arial" w:hAnsi="Arial"/>
                <w:sz w:val="12"/>
                <w:szCs w:val="12"/>
                <w:color w:val="auto"/>
              </w:rPr>
              <w:t>$1,582,758</w:t>
            </w:r>
            <w:r>
              <w:rPr>
                <w:rFonts w:ascii="Arial" w:cs="Arial" w:eastAsia="Arial" w:hAnsi="Arial"/>
                <w:sz w:val="17"/>
                <w:szCs w:val="17"/>
                <w:color w:val="auto"/>
                <w:vertAlign w:val="superscript"/>
              </w:rPr>
              <w:t>(3)</w:t>
            </w:r>
          </w:p>
        </w:tc>
        <w:tc>
          <w:tcPr>
            <w:tcW w:w="840" w:type="dxa"/>
            <w:vAlign w:val="bottom"/>
          </w:tcPr>
          <w:p>
            <w:pPr>
              <w:jc w:val="right"/>
              <w:ind w:right="74"/>
              <w:spacing w:after="0" w:line="152" w:lineRule="exact"/>
              <w:rPr>
                <w:sz w:val="20"/>
                <w:szCs w:val="20"/>
                <w:color w:val="auto"/>
              </w:rPr>
            </w:pPr>
            <w:r>
              <w:rPr>
                <w:rFonts w:ascii="Arial" w:cs="Arial" w:eastAsia="Arial" w:hAnsi="Arial"/>
                <w:sz w:val="12"/>
                <w:szCs w:val="12"/>
                <w:color w:val="auto"/>
              </w:rPr>
              <w:t>$158,333</w:t>
            </w:r>
            <w:r>
              <w:rPr>
                <w:rFonts w:ascii="Arial" w:cs="Arial" w:eastAsia="Arial" w:hAnsi="Arial"/>
                <w:sz w:val="17"/>
                <w:szCs w:val="17"/>
                <w:color w:val="auto"/>
                <w:vertAlign w:val="superscript"/>
              </w:rPr>
              <w:t>(4)</w:t>
            </w:r>
          </w:p>
        </w:tc>
        <w:tc>
          <w:tcPr>
            <w:tcW w:w="300" w:type="dxa"/>
            <w:vAlign w:val="bottom"/>
          </w:tcPr>
          <w:p>
            <w:pPr>
              <w:spacing w:after="0"/>
              <w:rPr>
                <w:sz w:val="13"/>
                <w:szCs w:val="13"/>
                <w:color w:val="auto"/>
              </w:rPr>
            </w:pPr>
          </w:p>
        </w:tc>
        <w:tc>
          <w:tcPr>
            <w:tcW w:w="86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40" w:type="dxa"/>
            <w:vAlign w:val="bottom"/>
          </w:tcPr>
          <w:p>
            <w:pPr>
              <w:spacing w:after="0" w:line="152" w:lineRule="exact"/>
              <w:rPr>
                <w:sz w:val="20"/>
                <w:szCs w:val="20"/>
                <w:color w:val="auto"/>
              </w:rPr>
            </w:pPr>
            <w:r>
              <w:rPr>
                <w:rFonts w:ascii="Arial" w:cs="Arial" w:eastAsia="Arial" w:hAnsi="Arial"/>
                <w:sz w:val="12"/>
                <w:szCs w:val="12"/>
                <w:color w:val="auto"/>
              </w:rPr>
              <w:t>$141,667</w:t>
            </w:r>
            <w:r>
              <w:rPr>
                <w:rFonts w:ascii="Arial" w:cs="Arial" w:eastAsia="Arial" w:hAnsi="Arial"/>
                <w:sz w:val="17"/>
                <w:szCs w:val="17"/>
                <w:color w:val="auto"/>
                <w:vertAlign w:val="superscript"/>
              </w:rPr>
              <w:t>(4)</w:t>
            </w:r>
          </w:p>
        </w:tc>
        <w:tc>
          <w:tcPr>
            <w:tcW w:w="280" w:type="dxa"/>
            <w:vAlign w:val="bottom"/>
          </w:tcPr>
          <w:p>
            <w:pPr>
              <w:spacing w:after="0"/>
              <w:rPr>
                <w:sz w:val="13"/>
                <w:szCs w:val="13"/>
                <w:color w:val="auto"/>
              </w:rPr>
            </w:pPr>
          </w:p>
        </w:tc>
        <w:tc>
          <w:tcPr>
            <w:tcW w:w="900" w:type="dxa"/>
            <w:vAlign w:val="bottom"/>
          </w:tcPr>
          <w:p>
            <w:pPr>
              <w:ind w:left="20"/>
              <w:spacing w:after="0" w:line="152" w:lineRule="exact"/>
              <w:rPr>
                <w:sz w:val="20"/>
                <w:szCs w:val="20"/>
                <w:color w:val="auto"/>
              </w:rPr>
            </w:pPr>
            <w:r>
              <w:rPr>
                <w:rFonts w:ascii="Arial" w:cs="Arial" w:eastAsia="Arial" w:hAnsi="Arial"/>
                <w:sz w:val="12"/>
                <w:szCs w:val="12"/>
                <w:color w:val="auto"/>
              </w:rPr>
              <w:t>$145,208</w:t>
            </w:r>
            <w:r>
              <w:rPr>
                <w:rFonts w:ascii="Arial" w:cs="Arial" w:eastAsia="Arial" w:hAnsi="Arial"/>
                <w:sz w:val="17"/>
                <w:szCs w:val="17"/>
                <w:color w:val="auto"/>
                <w:vertAlign w:val="superscript"/>
              </w:rPr>
              <w:t>(4)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Accelerated vesting of restricted</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92"/>
              </w:rPr>
              <w:t>$1,177,176</w:t>
            </w:r>
            <w:r>
              <w:rPr>
                <w:rFonts w:ascii="Arial" w:cs="Arial" w:eastAsia="Arial" w:hAnsi="Arial"/>
                <w:sz w:val="20"/>
                <w:szCs w:val="20"/>
                <w:color w:val="auto"/>
                <w:w w:val="92"/>
                <w:vertAlign w:val="superscript"/>
              </w:rPr>
              <w:t>(1),(2)</w:t>
            </w:r>
          </w:p>
        </w:tc>
        <w:tc>
          <w:tcPr>
            <w:tcW w:w="1820" w:type="dxa"/>
            <w:vAlign w:val="bottom"/>
            <w:gridSpan w:val="3"/>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$410,816</w:t>
            </w:r>
            <w:r>
              <w:rPr>
                <w:rFonts w:ascii="Arial" w:cs="Arial" w:eastAsia="Arial" w:hAnsi="Arial"/>
                <w:sz w:val="20"/>
                <w:szCs w:val="20"/>
                <w:color w:val="auto"/>
                <w:vertAlign w:val="superscript"/>
              </w:rPr>
              <w:t>(1),(2)</w:t>
            </w:r>
            <w:r>
              <w:rPr>
                <w:rFonts w:ascii="Arial" w:cs="Arial" w:eastAsia="Arial" w:hAnsi="Arial"/>
                <w:sz w:val="13"/>
                <w:szCs w:val="13"/>
                <w:color w:val="auto"/>
              </w:rPr>
              <w:t xml:space="preserve"> $136,724</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auto"/>
                <w:w w:val="92"/>
              </w:rPr>
              <w:t>$287,560</w:t>
            </w:r>
            <w:r>
              <w:rPr>
                <w:rFonts w:ascii="Arial" w:cs="Arial" w:eastAsia="Arial" w:hAnsi="Arial"/>
                <w:sz w:val="20"/>
                <w:szCs w:val="20"/>
                <w:color w:val="auto"/>
                <w:w w:val="92"/>
                <w:vertAlign w:val="superscript"/>
              </w:rPr>
              <w:t>(1),(2)</w:t>
            </w: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$270,284</w:t>
            </w:r>
            <w:r>
              <w:rPr>
                <w:rFonts w:ascii="Arial" w:cs="Arial" w:eastAsia="Arial" w:hAnsi="Arial"/>
                <w:sz w:val="20"/>
                <w:szCs w:val="20"/>
                <w:color w:val="auto"/>
                <w:vertAlign w:val="superscript"/>
              </w:rPr>
              <w:t>(1),(2)</w:t>
            </w: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$270,284</w:t>
            </w:r>
            <w:r>
              <w:rPr>
                <w:rFonts w:ascii="Arial" w:cs="Arial" w:eastAsia="Arial" w:hAnsi="Arial"/>
                <w:sz w:val="20"/>
                <w:szCs w:val="20"/>
                <w:color w:val="auto"/>
                <w:vertAlign w:val="superscript"/>
              </w:rPr>
              <w:t>(1) ,(2)</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shares</w:t>
            </w:r>
          </w:p>
        </w:tc>
        <w:tc>
          <w:tcPr>
            <w:tcW w:w="960" w:type="dxa"/>
            <w:vAlign w:val="bottom"/>
            <w:gridSpan w:val="2"/>
            <w:vMerge w:val="continue"/>
            <w:shd w:val="clear" w:color="auto" w:fill="CCEEFF"/>
          </w:tcPr>
          <w:p>
            <w:pPr>
              <w:spacing w:after="0"/>
              <w:rPr>
                <w:sz w:val="12"/>
                <w:szCs w:val="12"/>
                <w:color w:val="auto"/>
              </w:rPr>
            </w:pPr>
          </w:p>
        </w:tc>
        <w:tc>
          <w:tcPr>
            <w:tcW w:w="1820" w:type="dxa"/>
            <w:vAlign w:val="bottom"/>
            <w:gridSpan w:val="3"/>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720" w:type="dxa"/>
            <w:vAlign w:val="bottom"/>
          </w:tcPr>
          <w:p>
            <w:pPr>
              <w:spacing w:after="0"/>
              <w:rPr>
                <w:sz w:val="20"/>
                <w:szCs w:val="20"/>
                <w:color w:val="auto"/>
              </w:rPr>
            </w:pPr>
            <w:r>
              <w:rPr>
                <w:rFonts w:ascii="Arial" w:cs="Arial" w:eastAsia="Arial" w:hAnsi="Arial"/>
                <w:sz w:val="13"/>
                <w:szCs w:val="13"/>
                <w:b w:val="1"/>
                <w:bCs w:val="1"/>
                <w:color w:val="auto"/>
              </w:rPr>
              <w:t>Termination by the Named Executive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140"/>
              <w:spacing w:after="0"/>
              <w:rPr>
                <w:sz w:val="20"/>
                <w:szCs w:val="20"/>
                <w:color w:val="auto"/>
              </w:rPr>
            </w:pPr>
            <w:r>
              <w:rPr>
                <w:rFonts w:ascii="Arial" w:cs="Arial" w:eastAsia="Arial" w:hAnsi="Arial"/>
                <w:sz w:val="13"/>
                <w:szCs w:val="13"/>
                <w:b w:val="1"/>
                <w:bCs w:val="1"/>
                <w:color w:val="auto"/>
              </w:rPr>
              <w:t>Officer for "Good Reason" with ninety</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140"/>
              <w:spacing w:after="0"/>
              <w:rPr>
                <w:sz w:val="20"/>
                <w:szCs w:val="20"/>
                <w:color w:val="auto"/>
              </w:rPr>
            </w:pPr>
            <w:r>
              <w:rPr>
                <w:rFonts w:ascii="Arial" w:cs="Arial" w:eastAsia="Arial" w:hAnsi="Arial"/>
                <w:sz w:val="13"/>
                <w:szCs w:val="13"/>
                <w:b w:val="1"/>
                <w:bCs w:val="1"/>
                <w:color w:val="auto"/>
              </w:rPr>
              <w:t>(90) days' notice, and failure by the</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140"/>
              <w:spacing w:after="0"/>
              <w:rPr>
                <w:sz w:val="20"/>
                <w:szCs w:val="20"/>
                <w:color w:val="auto"/>
              </w:rPr>
            </w:pPr>
            <w:r>
              <w:rPr>
                <w:rFonts w:ascii="Arial" w:cs="Arial" w:eastAsia="Arial" w:hAnsi="Arial"/>
                <w:sz w:val="13"/>
                <w:szCs w:val="13"/>
                <w:b w:val="1"/>
                <w:bCs w:val="1"/>
                <w:color w:val="auto"/>
              </w:rPr>
              <w:t>Company to correct such "Good</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140"/>
              <w:spacing w:after="0"/>
              <w:rPr>
                <w:sz w:val="20"/>
                <w:szCs w:val="20"/>
                <w:color w:val="auto"/>
              </w:rPr>
            </w:pPr>
            <w:r>
              <w:rPr>
                <w:rFonts w:ascii="Arial" w:cs="Arial" w:eastAsia="Arial" w:hAnsi="Arial"/>
                <w:sz w:val="13"/>
                <w:szCs w:val="13"/>
                <w:b w:val="1"/>
                <w:bCs w:val="1"/>
                <w:color w:val="auto"/>
              </w:rPr>
              <w:t>Reason" within ninety (90) days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Severance payment</w:t>
            </w:r>
          </w:p>
        </w:tc>
        <w:tc>
          <w:tcPr>
            <w:tcW w:w="960" w:type="dxa"/>
            <w:vAlign w:val="bottom"/>
            <w:gridSpan w:val="2"/>
            <w:shd w:val="clear" w:color="auto" w:fill="CCEEFF"/>
          </w:tcPr>
          <w:p>
            <w:pPr>
              <w:spacing w:after="0" w:line="152" w:lineRule="exact"/>
              <w:rPr>
                <w:sz w:val="20"/>
                <w:szCs w:val="20"/>
                <w:color w:val="auto"/>
              </w:rPr>
            </w:pPr>
            <w:r>
              <w:rPr>
                <w:rFonts w:ascii="Arial" w:cs="Arial" w:eastAsia="Arial" w:hAnsi="Arial"/>
                <w:sz w:val="12"/>
                <w:szCs w:val="12"/>
                <w:color w:val="auto"/>
              </w:rPr>
              <w:t>$3,627,733</w:t>
            </w:r>
            <w:r>
              <w:rPr>
                <w:rFonts w:ascii="Arial" w:cs="Arial" w:eastAsia="Arial" w:hAnsi="Arial"/>
                <w:sz w:val="17"/>
                <w:szCs w:val="17"/>
                <w:color w:val="auto"/>
                <w:vertAlign w:val="superscript"/>
              </w:rPr>
              <w:t>(3)</w:t>
            </w:r>
          </w:p>
        </w:tc>
        <w:tc>
          <w:tcPr>
            <w:tcW w:w="980" w:type="dxa"/>
            <w:vAlign w:val="bottom"/>
            <w:gridSpan w:val="2"/>
            <w:shd w:val="clear" w:color="auto" w:fill="CCEEFF"/>
          </w:tcPr>
          <w:p>
            <w:pPr>
              <w:jc w:val="right"/>
              <w:ind w:right="160"/>
              <w:spacing w:after="0" w:line="152" w:lineRule="exact"/>
              <w:rPr>
                <w:sz w:val="20"/>
                <w:szCs w:val="20"/>
                <w:color w:val="auto"/>
              </w:rPr>
            </w:pPr>
            <w:r>
              <w:rPr>
                <w:rFonts w:ascii="Arial" w:cs="Arial" w:eastAsia="Arial" w:hAnsi="Arial"/>
                <w:sz w:val="12"/>
                <w:szCs w:val="12"/>
                <w:color w:val="auto"/>
              </w:rPr>
              <w:t>$1,582,758</w:t>
            </w:r>
            <w:r>
              <w:rPr>
                <w:rFonts w:ascii="Arial" w:cs="Arial" w:eastAsia="Arial" w:hAnsi="Arial"/>
                <w:sz w:val="17"/>
                <w:szCs w:val="17"/>
                <w:color w:val="auto"/>
                <w:vertAlign w:val="superscript"/>
              </w:rPr>
              <w:t>(3)</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720" w:type="dxa"/>
            <w:vAlign w:val="bottom"/>
          </w:tcPr>
          <w:p>
            <w:pPr>
              <w:spacing w:after="0"/>
              <w:rPr>
                <w:sz w:val="20"/>
                <w:szCs w:val="20"/>
                <w:color w:val="auto"/>
              </w:rPr>
            </w:pPr>
            <w:r>
              <w:rPr>
                <w:rFonts w:ascii="Arial" w:cs="Arial" w:eastAsia="Arial" w:hAnsi="Arial"/>
                <w:sz w:val="13"/>
                <w:szCs w:val="13"/>
                <w:b w:val="1"/>
                <w:bCs w:val="1"/>
                <w:color w:val="auto"/>
              </w:rPr>
              <w:t>Change of Control</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Accelerated vesting of options and</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$1,418,480</w:t>
            </w:r>
            <w:r>
              <w:rPr>
                <w:rFonts w:ascii="Arial" w:cs="Arial" w:eastAsia="Arial" w:hAnsi="Arial"/>
                <w:sz w:val="20"/>
                <w:szCs w:val="20"/>
                <w:color w:val="auto"/>
                <w:vertAlign w:val="superscript"/>
              </w:rPr>
              <w:t>(5)</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w w:val="96"/>
              </w:rPr>
              <w:t>$546,924</w:t>
            </w:r>
            <w:r>
              <w:rPr>
                <w:rFonts w:ascii="Arial" w:cs="Arial" w:eastAsia="Arial" w:hAnsi="Arial"/>
                <w:sz w:val="20"/>
                <w:szCs w:val="20"/>
                <w:color w:val="auto"/>
                <w:w w:val="96"/>
                <w:vertAlign w:val="superscript"/>
              </w:rPr>
              <w:t>(5)</w:t>
            </w: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w w:val="96"/>
              </w:rPr>
              <w:t>$435,919</w:t>
            </w:r>
            <w:r>
              <w:rPr>
                <w:rFonts w:ascii="Arial" w:cs="Arial" w:eastAsia="Arial" w:hAnsi="Arial"/>
                <w:sz w:val="20"/>
                <w:szCs w:val="20"/>
                <w:color w:val="auto"/>
                <w:w w:val="96"/>
                <w:vertAlign w:val="superscript"/>
              </w:rPr>
              <w:t>(5)</w:t>
            </w:r>
          </w:p>
        </w:tc>
        <w:tc>
          <w:tcPr>
            <w:tcW w:w="3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$706,748</w:t>
            </w:r>
            <w:r>
              <w:rPr>
                <w:rFonts w:ascii="Arial" w:cs="Arial" w:eastAsia="Arial" w:hAnsi="Arial"/>
                <w:sz w:val="20"/>
                <w:szCs w:val="20"/>
                <w:color w:val="auto"/>
                <w:vertAlign w:val="superscript"/>
              </w:rPr>
              <w:t>(5)</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$706,748</w:t>
            </w:r>
            <w:r>
              <w:rPr>
                <w:rFonts w:ascii="Arial" w:cs="Arial" w:eastAsia="Arial" w:hAnsi="Arial"/>
                <w:sz w:val="20"/>
                <w:szCs w:val="20"/>
                <w:color w:val="auto"/>
                <w:vertAlign w:val="superscript"/>
              </w:rPr>
              <w:t>(5)</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400"/>
              <w:spacing w:after="0" w:line="148" w:lineRule="exact"/>
              <w:rPr>
                <w:sz w:val="20"/>
                <w:szCs w:val="20"/>
                <w:color w:val="auto"/>
              </w:rPr>
            </w:pPr>
            <w:r>
              <w:rPr>
                <w:rFonts w:ascii="Arial" w:cs="Arial" w:eastAsia="Arial" w:hAnsi="Arial"/>
                <w:sz w:val="13"/>
                <w:szCs w:val="13"/>
                <w:color w:val="auto"/>
              </w:rPr>
              <w:t>restricted shares</w:t>
            </w:r>
          </w:p>
        </w:tc>
        <w:tc>
          <w:tcPr>
            <w:tcW w:w="960" w:type="dxa"/>
            <w:vAlign w:val="bottom"/>
            <w:gridSpan w:val="2"/>
            <w:vMerge w:val="continue"/>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$467,124</w:t>
            </w:r>
          </w:p>
        </w:tc>
        <w:tc>
          <w:tcPr>
            <w:tcW w:w="84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640" w:hanging="496"/>
        <w:spacing w:after="0" w:line="211" w:lineRule="auto"/>
        <w:tabs>
          <w:tab w:leader="none" w:pos="164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Represents amounts that would have been received in connection with the accelerated vesting of Altisource restricted shares and/or service-based options upon the occurrence of death, disability, retirement or termination by the Company other than for "Cause." For Mr. Chatterjee, the amount assumes the Compensation Committee authorizes accelerated vesting despite having less than two (2) years of service as of December 31, 2017.</w:t>
      </w:r>
    </w:p>
    <w:p>
      <w:pPr>
        <w:spacing w:after="0" w:line="141" w:lineRule="exact"/>
        <w:rPr>
          <w:rFonts w:ascii="Arial" w:cs="Arial" w:eastAsia="Arial" w:hAnsi="Arial"/>
          <w:sz w:val="20"/>
          <w:szCs w:val="20"/>
          <w:color w:val="auto"/>
          <w:vertAlign w:val="superscript"/>
        </w:rPr>
      </w:pPr>
    </w:p>
    <w:p>
      <w:pPr>
        <w:ind w:left="1640" w:right="80" w:hanging="496"/>
        <w:spacing w:after="0" w:line="218" w:lineRule="auto"/>
        <w:tabs>
          <w:tab w:leader="none" w:pos="164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The awards for the April 7, 2017 performance-based restricted shares and 2017 performance-based stock options granted to these executives provide for accelerated vesting of awards following certain termination events, but only following a determination that the performance criteria were met for the relevant period. In February 2018, the Compensation Committee confirmed that the relevant performance criteria for 2017 were below a threshold level, and therefore these restricted shares and options were cancelled and forfeited. As a result, these restricted shares and options are not included.</w:t>
      </w:r>
    </w:p>
    <w:p>
      <w:pPr>
        <w:spacing w:after="0" w:line="142" w:lineRule="exact"/>
        <w:rPr>
          <w:rFonts w:ascii="Arial" w:cs="Arial" w:eastAsia="Arial" w:hAnsi="Arial"/>
          <w:sz w:val="20"/>
          <w:szCs w:val="20"/>
          <w:color w:val="auto"/>
          <w:vertAlign w:val="superscript"/>
        </w:rPr>
      </w:pPr>
    </w:p>
    <w:p>
      <w:pPr>
        <w:ind w:left="1640" w:right="40" w:hanging="496"/>
        <w:spacing w:after="0" w:line="211" w:lineRule="auto"/>
        <w:tabs>
          <w:tab w:leader="none" w:pos="164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Represents one (1) year of base salary, plus one (1) year of target incentive compensation, plus actual incentive compensation that would have been earned for the 2017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41" w:lineRule="exact"/>
        <w:rPr>
          <w:rFonts w:ascii="Arial" w:cs="Arial" w:eastAsia="Arial" w:hAnsi="Arial"/>
          <w:sz w:val="20"/>
          <w:szCs w:val="20"/>
          <w:color w:val="auto"/>
          <w:vertAlign w:val="superscript"/>
        </w:rPr>
      </w:pPr>
    </w:p>
    <w:p>
      <w:pPr>
        <w:ind w:left="1640" w:right="600" w:hanging="496"/>
        <w:spacing w:after="0" w:line="198" w:lineRule="auto"/>
        <w:tabs>
          <w:tab w:leader="none" w:pos="164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Represents four (4) months' base salary as provided under the executive's employment agreement, the receipt of which is contingent upon the executive's execution of a Separation Agreement with the Company.</w:t>
      </w:r>
    </w:p>
    <w:p>
      <w:pPr>
        <w:spacing w:after="0" w:line="141" w:lineRule="exact"/>
        <w:rPr>
          <w:rFonts w:ascii="Arial" w:cs="Arial" w:eastAsia="Arial" w:hAnsi="Arial"/>
          <w:sz w:val="20"/>
          <w:szCs w:val="20"/>
          <w:color w:val="auto"/>
          <w:vertAlign w:val="superscript"/>
        </w:rPr>
      </w:pPr>
    </w:p>
    <w:p>
      <w:pPr>
        <w:ind w:left="1640" w:right="460" w:hanging="496"/>
        <w:spacing w:after="0" w:line="198" w:lineRule="auto"/>
        <w:tabs>
          <w:tab w:leader="none" w:pos="164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6396990</wp:posOffset>
            </wp:positionH>
            <wp:positionV relativeFrom="page">
              <wp:posOffset>88900</wp:posOffset>
            </wp:positionV>
            <wp:extent cx="1011555" cy="152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15240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ind w:right="2920"/>
        <w:spacing w:after="0" w:line="276" w:lineRule="auto"/>
        <w:rPr>
          <w:sz w:val="20"/>
          <w:szCs w:val="20"/>
          <w:color w:val="auto"/>
        </w:rPr>
      </w:pPr>
      <w:r>
        <w:rPr>
          <w:rFonts w:ascii="Arial" w:cs="Arial" w:eastAsia="Arial" w:hAnsi="Arial"/>
          <w:sz w:val="20"/>
          <w:szCs w:val="20"/>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2555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Audit Committee of our Board of Directors has recommended the appointment of Mayer Hoffman McCann P.C. ("Mayer Hoffman") to be our independent registered certified public accounting firm for the year ending December 31, 2018 and Atwell S.à r.l. ("Atwell") to be our certified auditor (</w:t>
      </w:r>
      <w:r>
        <w:rPr>
          <w:rFonts w:ascii="Arial" w:cs="Arial" w:eastAsia="Arial" w:hAnsi="Arial"/>
          <w:sz w:val="16"/>
          <w:szCs w:val="16"/>
          <w:i w:val="1"/>
          <w:iCs w:val="1"/>
          <w:color w:val="auto"/>
        </w:rPr>
        <w:t>Réviseur</w:t>
      </w:r>
      <w:r>
        <w:rPr>
          <w:rFonts w:ascii="Arial" w:cs="Arial" w:eastAsia="Arial" w:hAnsi="Arial"/>
          <w:sz w:val="16"/>
          <w:szCs w:val="16"/>
          <w:color w:val="auto"/>
        </w:rPr>
        <w:t xml:space="preserve"> </w:t>
      </w:r>
      <w:r>
        <w:rPr>
          <w:rFonts w:ascii="Arial" w:cs="Arial" w:eastAsia="Arial" w:hAnsi="Arial"/>
          <w:sz w:val="16"/>
          <w:szCs w:val="16"/>
          <w:i w:val="1"/>
          <w:iCs w:val="1"/>
          <w:color w:val="auto"/>
        </w:rPr>
        <w:t>d'Entreprises</w:t>
      </w:r>
      <w:r>
        <w:rPr>
          <w:rFonts w:ascii="Arial" w:cs="Arial" w:eastAsia="Arial" w:hAnsi="Arial"/>
          <w:sz w:val="16"/>
          <w:szCs w:val="16"/>
          <w:color w:val="auto"/>
        </w:rPr>
        <w:t>) for the same period.</w:t>
      </w:r>
    </w:p>
    <w:p>
      <w:pPr>
        <w:spacing w:after="0" w:line="185"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As previously disclosed in our proxy statements for our 2016 and 2017 Annual Meetings of Shareholders and our Current Report on Form 8-K filed with the SEC on March 28, 2016, management and the Audit Committee of our Board of Directors completed a competitive process to review the appointment of the Company's independent registered public accounting firm for the year ended December 31, 2016. The Audit Committee invited several firms to participate in this process, including Deloitte &amp; Touche LLP, the Company's independent registered public accounting firm since September 22, 2009.</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a result of this process and following careful deliberation, on March 24, 2016, the Audit Committee approved the engagement of Mayer Hoffman as the Company's independent registered public accounting firm, conditioned and effective upon completion of their client acceptance process, subject to approval by our shareholders for the year ending December 31, 2016. On March 25, 2016, Mayer Hoffman advised the Company that it had successfully completed its client acceptance procedures and the Company dismissed Deloitte from its role as the Company's independent registered public accounting firm.</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Deloitte's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During the years ended December 31, 2015 and 2014, and the subsequent interim period through March 24, 2016, there were (i)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discussed this matter with the Audit Committee. As a result of the material weakness, Deloitte's audit report dated March 15, 2016 on the effectiveness of the Company's internal control over financial reporting as of December 31, 2015 expressed an adverse opinion. The Company authorized Deloitte to fully respond to the inquiries of Mayer Hoffman, the successor independent registered public accounting firm, concerning this matter.</w:t>
      </w:r>
    </w:p>
    <w:p>
      <w:pPr>
        <w:spacing w:after="0" w:line="380"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The Company provided Deloitte with a copy of its Current Report on Form 8-K prior to its filing with the SEC. The Company requested that Deloitte furnish the Company with a letter addressed to the SEC stating whether or not Deloitte agreed with the above statements that are related to Deloitte. A copy of Deloitte's letter, dated March 28, 2016, was attached as Exhibit 16.1 to the Company's Current Report on Form 8-K filed on March 28, 2016.</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During the year ended December 31, 2015 and through March 24, 2016, neither the Company nor anyone on its behalf consulted with Mayer Hoffman with respect to either (i) the application of accounting principles to a specified transaction, either completed or proposed, or the type of audit opinion that might be rendered on the Company's consolidated financial statements, and no written report or oral advice was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130175</wp:posOffset>
            </wp:positionV>
            <wp:extent cx="1011555" cy="152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1155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provided by Mayer Hoffman to the Company that Mayer Hoffman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shareholders previously approved the appointment of Mayer Hoffman as our independent registered certified public accounting firm for the years ended December 31, 2016 and December 31, 2017, and the appointment of Atwell as our certified auditor for the same periods.</w:t>
      </w:r>
    </w:p>
    <w:p>
      <w:pPr>
        <w:spacing w:after="0" w:line="178"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In February 2018, the Audit Committee approved recommending that Mayer Hoffman and Atwell be re-appointed to serve in such capacities for the year ending December 31, 2018, and that such appointments be submitted for approval by our shareholders at our Annual Meeting.</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Representatives of Mayer Hoffman and Atwell will be present at the Annual Meeting, will have the opportunity to make a statement if they desire to do so and will be available to respond to questions from shareholders.</w:t>
      </w:r>
    </w:p>
    <w:p>
      <w:pPr>
        <w:spacing w:after="0" w:line="158" w:lineRule="exact"/>
        <w:rPr>
          <w:sz w:val="20"/>
          <w:szCs w:val="20"/>
          <w:color w:val="auto"/>
        </w:rPr>
      </w:pPr>
    </w:p>
    <w:p>
      <w:pPr>
        <w:jc w:val="center"/>
        <w:ind w:left="260" w:right="1680"/>
        <w:spacing w:after="0" w:line="261"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MAYER HOFFMAN MCCANN P.C. AS OUR INDEPENDENT REGISTERED CERTIFIED PUBLIC ACCOUNTING FIRM FOR 2018 AND ATWELL S.À R.L. AS OUR CERTIFIED AUDITOR FOR THE SAME PERIOD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In connection with these responsibilities, the Audit Committee met with management and the independent registered public accounting firm to review and discuss the December 31, 2017 audited consolidated financial statements and the effectiveness of the internal control over financial reporting. The Audit Committee has discussed with the independent registered public accounting firm the matters required to be discussed by the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190"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2017 audited consolidated financial statements in Altisource's Annual Report on Form 10-K for the year ended December 31, 2017.</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Audit Committee:</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Roland Müller-Ineichen, Chairman</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 Michael Linn, Director</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Joseph L. Morettini, Director</w:t>
      </w:r>
    </w:p>
    <w:p>
      <w:pPr>
        <w:spacing w:after="0" w:line="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Timo Vättö, Director</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April [</w:t>
        <w:tab/>
        <w:t>],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The following table shows the aggregate fees billed to Altisource for professional services by Mayer Hoffman, Atwell, Deloitte &amp; Touche LLP, the member firms of Deloitte Touche Tohmatsu and their respective affiliates in fiscal years 2016 and 2017:</w:t>
      </w:r>
    </w:p>
    <w:p>
      <w:pPr>
        <w:spacing w:after="0" w:line="158"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6880" w:type="dxa"/>
            <w:vAlign w:val="bottom"/>
            <w:tcBorders>
              <w:bottom w:val="single" w:sz="8" w:color="auto"/>
            </w:tcBorders>
          </w:tcPr>
          <w:p>
            <w:pPr>
              <w:ind w:left="3080"/>
              <w:spacing w:after="0"/>
              <w:rPr>
                <w:sz w:val="20"/>
                <w:szCs w:val="20"/>
                <w:color w:val="auto"/>
              </w:rPr>
            </w:pPr>
            <w:r>
              <w:rPr>
                <w:rFonts w:ascii="Arial" w:cs="Arial" w:eastAsia="Arial" w:hAnsi="Arial"/>
                <w:sz w:val="16"/>
                <w:szCs w:val="16"/>
                <w:b w:val="1"/>
                <w:bCs w:val="1"/>
                <w:color w:val="auto"/>
              </w:rPr>
              <w:t>Category</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7"/>
                <w:szCs w:val="17"/>
                <w:color w:val="auto"/>
              </w:rPr>
            </w:pPr>
          </w:p>
        </w:tc>
      </w:tr>
      <w:tr>
        <w:trPr>
          <w:trHeight w:val="182"/>
        </w:trPr>
        <w:tc>
          <w:tcPr>
            <w:tcW w:w="68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Audit Fees</w:t>
            </w:r>
          </w:p>
        </w:tc>
        <w:tc>
          <w:tcPr>
            <w:tcW w:w="10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$2,336,043</w:t>
            </w:r>
          </w:p>
        </w:tc>
        <w:tc>
          <w:tcPr>
            <w:tcW w:w="10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$1,298,615</w:t>
            </w:r>
          </w:p>
        </w:tc>
        <w:tc>
          <w:tcPr>
            <w:tcW w:w="200" w:type="dxa"/>
            <w:vAlign w:val="bottom"/>
            <w:shd w:val="clear" w:color="auto" w:fill="CCEEFF"/>
          </w:tcPr>
          <w:p>
            <w:pPr>
              <w:spacing w:after="0"/>
              <w:rPr>
                <w:sz w:val="15"/>
                <w:szCs w:val="15"/>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Audit-Related Fees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90"/>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$127,494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$102,840</w:t>
            </w:r>
          </w:p>
        </w:tc>
        <w:tc>
          <w:tcPr>
            <w:tcW w:w="20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6"/>
                <w:szCs w:val="16"/>
                <w:color w:val="auto"/>
              </w:rPr>
              <w:t>All Other Fees</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$76,290</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w:t>
            </w:r>
          </w:p>
        </w:tc>
        <w:tc>
          <w:tcPr>
            <w:tcW w:w="200" w:type="dxa"/>
            <w:vAlign w:val="bottom"/>
          </w:tcPr>
          <w:p>
            <w:pPr>
              <w:spacing w:after="0"/>
              <w:rPr>
                <w:sz w:val="16"/>
                <w:szCs w:val="16"/>
                <w:color w:val="auto"/>
              </w:rPr>
            </w:pPr>
          </w:p>
        </w:tc>
      </w:tr>
      <w:tr>
        <w:trPr>
          <w:trHeight w:val="182"/>
        </w:trPr>
        <w:tc>
          <w:tcPr>
            <w:tcW w:w="68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Total</w:t>
            </w:r>
          </w:p>
        </w:tc>
        <w:tc>
          <w:tcPr>
            <w:tcW w:w="10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$2,539,827</w:t>
            </w:r>
          </w:p>
        </w:tc>
        <w:tc>
          <w:tcPr>
            <w:tcW w:w="124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3"/>
                <w:szCs w:val="13"/>
                <w:color w:val="auto"/>
              </w:rPr>
              <w:t>$1,404,150</w:t>
            </w:r>
            <w:r>
              <w:rPr>
                <w:rFonts w:ascii="Arial" w:cs="Arial" w:eastAsia="Arial" w:hAnsi="Arial"/>
                <w:sz w:val="21"/>
                <w:szCs w:val="21"/>
                <w:color w:val="auto"/>
                <w:vertAlign w:val="superscript"/>
              </w:rPr>
              <w:t>(1)</w:t>
            </w:r>
          </w:p>
        </w:tc>
      </w:tr>
    </w:tbl>
    <w:p>
      <w:pPr>
        <w:spacing w:after="0" w:line="205" w:lineRule="exact"/>
        <w:rPr>
          <w:sz w:val="20"/>
          <w:szCs w:val="20"/>
          <w:color w:val="auto"/>
        </w:rPr>
      </w:pPr>
    </w:p>
    <w:p>
      <w:pPr>
        <w:jc w:val="both"/>
        <w:ind w:left="2800" w:right="200" w:hanging="514"/>
        <w:spacing w:after="0" w:line="203" w:lineRule="auto"/>
        <w:tabs>
          <w:tab w:leader="none" w:pos="2800" w:val="left"/>
        </w:tabs>
        <w:numPr>
          <w:ilvl w:val="0"/>
          <w:numId w:val="64"/>
        </w:numPr>
        <w:rPr>
          <w:rFonts w:ascii="Arial" w:cs="Arial" w:eastAsia="Arial" w:hAnsi="Arial"/>
          <w:sz w:val="27"/>
          <w:szCs w:val="27"/>
          <w:color w:val="auto"/>
          <w:vertAlign w:val="superscript"/>
        </w:rPr>
      </w:pPr>
      <w:r>
        <w:rPr>
          <w:rFonts w:ascii="Arial" w:cs="Arial" w:eastAsia="Arial" w:hAnsi="Arial"/>
          <w:sz w:val="16"/>
          <w:szCs w:val="16"/>
          <w:color w:val="auto"/>
        </w:rPr>
        <w:t>Represents $1,097,443 billed by Mayer Hoffman ($1,089,943 for audit fees and $7,500 for tax fees); $122,672 billed by Atwell (for audit fees); and $184,035 billed by Deloitte ($86,000 primarily related to 2017 audit fees billed in 2017 and 2018, $95,340 for tax fees and $2,695 for other fees).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2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This category includes the aggregate fees and expenses billed for professional services rendered for the audits of Altisource's consolidated financial statements for fiscal years 2016 and 2017, for the reviews of the financial statements included in Altisource's quarterly reports on Form 10-Q during fiscal years 2016 and 2017 and for services that are normally provided by the independent registered certified public accounting firm and affiliates in connection with statutory and regulatory filings or engagements for the relevant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2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This category includes the aggregate fees billed by the independent registered certified public accounting firm for fiscal years 2016 and 2017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28"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This category includes the aggregate fees billed for fiscal years 2016 and 2017 for professional services rendered by the independent registered certified public accounting firm for tax compliance, tax planning and tax advice.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28"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This category includes the aggregate fees billed for fiscal years 2016 and 2017 for products and services provided by the independent registered certified public accounting firm that are not reported above under "Audit Fees," "Audit-Related Fees" or "Tax Fees."</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Deloitte &amp; Touche LLP and Mayer Hoffman in fiscal years 2016 and 2017, as applicable, and determined that such services and fees are compatible with their independence.</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130175</wp:posOffset>
            </wp:positionV>
            <wp:extent cx="1517015" cy="152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1701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services does not impair the independent registered certified public accounting firm's independence. In fiscal years 2016 and 2017, all services associated with the independent registered certified public accounting firm were pre-approved by the Audit Committee or by the Chairman of the Audit Committee pursuant to authority delegated to him as described below.</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Mayer Hoffman utilizes substantially all of its personnel, who work under the control of Mayer Hoffman shareholders, from wholly-owned subsidiaries of CBIZ, Inc.</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does not delegate to management its responsibilities to pre-approve services performed by the independent auditor.</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6124575</wp:posOffset>
            </wp:positionH>
            <wp:positionV relativeFrom="paragraph">
              <wp:posOffset>130175</wp:posOffset>
            </wp:positionV>
            <wp:extent cx="1131570" cy="152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1570"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Three: Approval of the Company's 2017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Pursuant to Luxembourg law, the Luxembourg Annual Accounts and the Consolidated Accounts (the "Luxembourg Statutory Accounts") must be submitted each year to shareholders for approval at the Annual Meeting.</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 and the notes for the unconsolidated Altisource Portfolio Solutions S.A. entity. There is no statement of movements in equity or statement of cash flows included in the Luxembourg Annual Accounts under Luxembourg GAAP. Profits earned by the subsidiaries of Altisource Portfolio Solutions S.A. are not included in the Luxembourg Annual Accounts unless such amounts are distributed to Altisource Portfolio Solutions S.A. The Luxembourg Annual Accounts as of and for the year ended December 31, 2017 reflect total assets of $1,119.7 million and a loss for the year then ended of $1,327.6 million.</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2017, the Consolidated Accounts reflect IFRS total equity of $341.6 million and IFRS net income for the year then ended of $308.7 million.</w:t>
      </w:r>
    </w:p>
    <w:p>
      <w:pPr>
        <w:spacing w:after="0" w:line="37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78"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Altisource's Luxembourg Statutory Accounts will be available to shareholders at Altisource's registered office from May 5, 2018 until the conclusion of the Annual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THAT YOU VOTE "FOR" THE APPROVAL OF THE LUXEMBOURG STATUTORY ACCOUNTS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130175</wp:posOffset>
            </wp:positionV>
            <wp:extent cx="1083310" cy="152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83310"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80"/>
        <w:spacing w:after="0" w:line="256" w:lineRule="auto"/>
        <w:rPr>
          <w:sz w:val="20"/>
          <w:szCs w:val="20"/>
          <w:color w:val="auto"/>
        </w:rPr>
      </w:pPr>
      <w:r>
        <w:rPr>
          <w:rFonts w:ascii="Arial" w:cs="Arial" w:eastAsia="Arial" w:hAnsi="Arial"/>
          <w:sz w:val="20"/>
          <w:szCs w:val="20"/>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55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69"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Luxembourg law also requires the Company's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provide an annual report confirming that the Company's Luxembourg Annual Accounts agree with the accounting records and documents of the Company.</w:t>
      </w:r>
    </w:p>
    <w:p>
      <w:pPr>
        <w:spacing w:after="0" w:line="162" w:lineRule="exact"/>
        <w:rPr>
          <w:sz w:val="20"/>
          <w:szCs w:val="20"/>
          <w:color w:val="auto"/>
        </w:rPr>
      </w:pPr>
    </w:p>
    <w:p>
      <w:pPr>
        <w:jc w:val="both"/>
        <w:ind w:right="180"/>
        <w:spacing w:after="0" w:line="255" w:lineRule="auto"/>
        <w:rPr>
          <w:sz w:val="20"/>
          <w:szCs w:val="20"/>
          <w:color w:val="auto"/>
        </w:rPr>
      </w:pPr>
      <w:r>
        <w:rPr>
          <w:rFonts w:ascii="Arial" w:cs="Arial" w:eastAsia="Arial" w:hAnsi="Arial"/>
          <w:sz w:val="16"/>
          <w:szCs w:val="16"/>
          <w:color w:val="auto"/>
        </w:rPr>
        <w:t>The Directors' Reports for the year ended December 31, 2017 and the report of the supervisory auditor for the Luxembourg Annual Accounts for the same period will be available to shareholders from May 5, 2018 until the conclusion of the Annual Meeting at Altisource's registered office. Following shareholder approval of the Luxembourg Statutory Accounts, these reports will be filed with the Luxembourg trade registry as public documents.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THAT YOU VOTE "FOR" THE RECEIPT AND APPROVAL OF THE DIRECTORS' REPORTS FOR THE LUXEMBOURG STATUTORY ACCOUNTS FOR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YEAR ENDED DECEMBER 31, 2017 AND OF THE RECEIPT OF THE REPORT OF THE SUPERVISORY AUDITOR (</w:t>
      </w:r>
      <w:r>
        <w:rPr>
          <w:rFonts w:ascii="Arial" w:cs="Arial" w:eastAsia="Arial" w:hAnsi="Arial"/>
          <w:sz w:val="16"/>
          <w:szCs w:val="16"/>
          <w:b w:val="1"/>
          <w:bCs w:val="1"/>
          <w:i w:val="1"/>
          <w:iCs w:val="1"/>
          <w:color w:val="auto"/>
        </w:rPr>
        <w:t>COMMISSAIRE AUX</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COMPTES</w:t>
      </w:r>
      <w:r>
        <w:rPr>
          <w:rFonts w:ascii="Arial" w:cs="Arial" w:eastAsia="Arial" w:hAnsi="Arial"/>
          <w:sz w:val="16"/>
          <w:szCs w:val="16"/>
          <w:b w:val="1"/>
          <w:bCs w:val="1"/>
          <w:color w:val="auto"/>
        </w:rPr>
        <w:t>) FOR THE LUXEMBOURG ANNUAL ACCOUNTS FOR THE SAME PERIOD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6244590</wp:posOffset>
            </wp:positionH>
            <wp:positionV relativeFrom="paragraph">
              <wp:posOffset>130175</wp:posOffset>
            </wp:positionV>
            <wp:extent cx="1011555" cy="152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11555"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Each year, the shareholders of Altisource are required to approve the allocation of the results of the unconsolidated Altisource Portfolio Solutions S.A. entity, as determined by the Luxembourg Annual Accounts.</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2017, no such allocation is required.</w:t>
      </w:r>
    </w:p>
    <w:p>
      <w:pPr>
        <w:spacing w:after="0" w:line="188" w:lineRule="exact"/>
        <w:rPr>
          <w:sz w:val="20"/>
          <w:szCs w:val="20"/>
          <w:color w:val="auto"/>
        </w:rPr>
      </w:pPr>
    </w:p>
    <w:p>
      <w:pPr>
        <w:jc w:val="both"/>
        <w:ind w:right="360"/>
        <w:spacing w:after="0" w:line="255" w:lineRule="auto"/>
        <w:rPr>
          <w:sz w:val="20"/>
          <w:szCs w:val="20"/>
          <w:color w:val="auto"/>
        </w:rPr>
      </w:pPr>
      <w:r>
        <w:rPr>
          <w:rFonts w:ascii="Arial" w:cs="Arial" w:eastAsia="Arial" w:hAnsi="Arial"/>
          <w:sz w:val="16"/>
          <w:szCs w:val="16"/>
          <w:color w:val="auto"/>
        </w:rPr>
        <w:t>As of December 31, 2017, the Luxembourg Annual Accounts for Altisource reflect total assets of $1,119.7 million and a loss for the year then ended of $1,327.6 million. As noted in Proposal Three, profits earned by subsidiaries of Altisource are not included in the calculation of net profits for Altisource's Luxembourg Annual Accounts unless such profits have been distributed to Altisource.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proposes to allocate the loss of $1,327.6 million reflected in the Luxembourg Annual Accounts to reduce profit brought forward.</w:t>
      </w:r>
    </w:p>
    <w:p>
      <w:pPr>
        <w:spacing w:after="0" w:line="188" w:lineRule="exact"/>
        <w:rPr>
          <w:sz w:val="20"/>
          <w:szCs w:val="20"/>
          <w:color w:val="auto"/>
        </w:rPr>
      </w:pPr>
    </w:p>
    <w:p>
      <w:pPr>
        <w:jc w:val="center"/>
        <w:ind w:left="340" w:right="2300"/>
        <w:spacing w:after="0" w:line="268" w:lineRule="auto"/>
        <w:rPr>
          <w:sz w:val="20"/>
          <w:szCs w:val="20"/>
          <w:color w:val="auto"/>
        </w:rPr>
      </w:pPr>
      <w:r>
        <w:rPr>
          <w:rFonts w:ascii="Arial" w:cs="Arial" w:eastAsia="Arial" w:hAnsi="Arial"/>
          <w:sz w:val="16"/>
          <w:szCs w:val="16"/>
          <w:b w:val="1"/>
          <w:bCs w:val="1"/>
          <w:color w:val="auto"/>
        </w:rPr>
        <w:t>OUR BOARD OF DIRECTORS UNANIMOUSLY RECOMMENDS THAT YOU VOTE "FOR" THE ALLOCATION OF THE RESULTS IN THE LUXEMBOURG ANNUAL ACCOUNTS FOR THE YEAR ENDED DECEMBER 31, 2017</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6332855</wp:posOffset>
            </wp:positionH>
            <wp:positionV relativeFrom="paragraph">
              <wp:posOffset>130175</wp:posOffset>
            </wp:positionV>
            <wp:extent cx="923290" cy="152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23290"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shareholders must vote 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whether to discharge Altisource's Directors for the performance of their mandate for the year ended December 31, 2017 and the supervisory auditor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same period. If the shareholders grant the discharge for the relevant fiscal year(s),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will not be able to initiate a liability claim against such Directors and/or supervisory auditor in connection with the performance of their mandates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for such fiscal year(s). However, such discharge will not be valid in certain instances as specified in article 461-7 (formerly article 74) of the Luxembourg</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Company Law. For fiscal year 2017, Altisource believes no such instances have occurred.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THAT YOU VOTE "FOR" THE DISCHARGE OF EACH OF THE DIRECTORS OF ALTISOURCE PORTFOLIO SOLUTIONS S.A. FOR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OF THEIR MANDATE FOR THE YEAR ENDED DECEMBER 31, 2017 AND THE DISCHARGE OF THE SUPERVISORY AUDITOR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PERFORMANCE OF HER MANDATE FOR THE SAME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130175</wp:posOffset>
            </wp:positionV>
            <wp:extent cx="1107440" cy="152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07440"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Seven: Renewal of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At our 2017 annual meeting of shareholders, our shareholders approved renewing our share repurchase program (approved at our 2016 annual meeting of shareholders) authorizing the repurchase of up to twenty-five percent (25%) of the outstanding shares of the Company's common stock as of the close of business on the date of shareholder approval (the "Share Repurchase Program"). Under that program, shares are eligible for repurchase at a minimum price of one dollar ($1) per share and a maximum price of five hundred dollars ($500) per share. As of March 21, 2018, 3,118,819 shares of common stock remain available for repurchase under our Share Repurchase Program. The Board of Directors has approved renewing our Share Repurchase Program such that the Board of Directors is empowered to continue to purchase outstanding shares of the Company's stock within the following limits.</w:t>
      </w:r>
    </w:p>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Share Repurchase Program will continue to be subject to Luxembourg law and provides for the equal treatment of shareholders. The term of authorization for repurchases will be five (5) years from the date of the Annual Meeting. The maximum number of shares authorized to be repurchased will be twenty-five percent (25%) of shares outstanding as of the close of business on the date of the Annual Meeting. Shares will be eligible for repurchase at a minimum price of one dollar ($1) per share and a maximum price of five hundred dollars ($500) per share, with the maximum price to be adjusted for any stock splits and reverse stock splits. The purchase volumes will be subject to daily volume restrictions per SEC regulations. The Board of Directors shall be empowered to authorize the Company's Management Committee, with power of substitution, to decide, within the limits of the authorization set out above, the timing and conditions of the share repurchases under the Share Repurchase Program. The authority granted under the Share Repurchase Program shall apply to all classes of shares authorized pursuant to our Articles of Incorporation.</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Altisource has historically demonstrated strong operating cash flow after capital expenditures.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jc w:val="center"/>
        <w:ind w:left="260" w:right="80"/>
        <w:spacing w:after="0" w:line="247" w:lineRule="auto"/>
        <w:rPr>
          <w:sz w:val="20"/>
          <w:szCs w:val="20"/>
          <w:color w:val="auto"/>
        </w:rPr>
      </w:pPr>
      <w:r>
        <w:rPr>
          <w:rFonts w:ascii="Arial" w:cs="Arial" w:eastAsia="Arial" w:hAnsi="Arial"/>
          <w:sz w:val="16"/>
          <w:szCs w:val="16"/>
          <w:b w:val="1"/>
          <w:bCs w:val="1"/>
          <w:color w:val="auto"/>
        </w:rPr>
        <w:t>THAT YOU VOTE "FOR" THE RENEWAL OF OUR SHARE REPURCHASE PROGRAM SUCH THAT ALTISOURCE IS AUTHORIZED, FOR A PERIOD OF FIVE YEARS FROM THE DATE OF THE ANNUAL MEETING, TO REPURCHASE UP TO TWENTY-FIVE PERCENT (25%) OF THE OUTSTANDING SHARES OF ITS COMMON STOCK (AS OF THE CLOSE OF BUSINESS ON THE DATE OF THE ANNUAL MEETING) AT A MINIMUM PRICE OF ONE DOLLAR ($1) PER SHARE AND A MAXIMUM PRICE OF FIVE</w:t>
      </w:r>
    </w:p>
    <w:p>
      <w:pPr>
        <w:spacing w:after="0" w:line="1" w:lineRule="exact"/>
        <w:rPr>
          <w:sz w:val="20"/>
          <w:szCs w:val="20"/>
          <w:color w:val="auto"/>
        </w:rPr>
      </w:pPr>
    </w:p>
    <w:p>
      <w:pPr>
        <w:jc w:val="center"/>
        <w:spacing w:after="0" w:line="263" w:lineRule="auto"/>
        <w:rPr>
          <w:sz w:val="20"/>
          <w:szCs w:val="20"/>
          <w:color w:val="auto"/>
        </w:rPr>
      </w:pPr>
      <w:r>
        <w:rPr>
          <w:rFonts w:ascii="Arial" w:cs="Arial" w:eastAsia="Arial" w:hAnsi="Arial"/>
          <w:sz w:val="16"/>
          <w:szCs w:val="16"/>
          <w:b w:val="1"/>
          <w:bCs w:val="1"/>
          <w:color w:val="auto"/>
        </w:rPr>
        <w:t>HUNDRED DOLLARS ($500) PER SHARE, WITH THE MAXIMUM PRICE TO BE ADJUSTED FOR ANY STOCK SPLITS AND REVERSE STOCK SPLITS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6164580</wp:posOffset>
            </wp:positionH>
            <wp:positionV relativeFrom="paragraph">
              <wp:posOffset>130175</wp:posOffset>
            </wp:positionV>
            <wp:extent cx="1091565" cy="152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91565"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Eight: Approval of Changes to Non-Management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Luxembourg law requires the Company to submit changes in non-management Directors' compensation to our shareholders for approval.</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discussed in the "Board of Directors Compensation" section of this proxy statement, the Compensation Committee believes it is important to establish non-management Director pay levels that are competitive with those of our peer group companies in order to attract and retain highly qualified candidates for our Board of Directors. Consistent with this policy, the Compensation Committee evaluates our director compensation program periodically and may recommend adjustments to director compensation from time to time. The last compensation increase for our non-management Directors was approved by our shareholders at our 2016 annual meeting.</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the fourth quarter of 2017, the Compensation Committee engaged its independent compensation consultant, Exequity, to conduct a pay study analyzing the competitiveness of the Company's pay levels for non-management Directors. The pay study concluded that the total cash and equity compensation for our non-management Directors is approximately thirteen percent (13%) below the peer group median, based on a review of publicly available peer group data.</w:t>
      </w:r>
    </w:p>
    <w:p>
      <w:pPr>
        <w:spacing w:after="0" w:line="3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Based on the results of Exequity's pay study and other relevant factors including those noted below, the Compensation Committee is recommending to our shareholders that the award value of the annual award of shares of common stock to non-management Directors who attend at least seventy-five percent (75%) of Board and Committee meetings be increased from $110,000 to $120,000 beginning in the 2018 to 2019 service year. Consistent with prior years, the number of shares of common stock would be determined on the first day of the service year by dividing this value by the average of the high and low prices of the common stock to be reported on the NASDAQ Global Select Market. If a Director meets the attendance requirements, he or she will receive the shares at the end of the service year.</w:t>
      </w:r>
    </w:p>
    <w:p>
      <w:pPr>
        <w:spacing w:after="0" w:line="19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 making its recommendation, the Compensation Committee considered the results of the pay study, the valuable financial, operational and strategic expertise that our existing non-management Directors bring to the Company, the importance of active board membership and the benefits of further aligning our non-management Directors' interests with the interests of our shareholders through increased equity ownership. The proposed increase would bring Directors' compensation closer to the peer group median, although it would still be approximately eight percent (8%) lower than the median.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not recommending any changes to the cash compensation of our non-management Directors at this time.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THAT YOU VOTE "FOR" THE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APPROVAL OF CHANGES TO NON-MANAGEMENT DIRECTORS' COMPENSATION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130175</wp:posOffset>
            </wp:positionV>
            <wp:extent cx="1043305" cy="152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43305" cy="1524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Nine: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660"/>
        <w:spacing w:after="0" w:line="263" w:lineRule="auto"/>
        <w:rPr>
          <w:sz w:val="20"/>
          <w:szCs w:val="20"/>
          <w:color w:val="auto"/>
        </w:rPr>
      </w:pPr>
      <w:r>
        <w:rPr>
          <w:rFonts w:ascii="Arial" w:cs="Arial" w:eastAsia="Arial" w:hAnsi="Arial"/>
          <w:sz w:val="16"/>
          <w:szCs w:val="16"/>
          <w:color w:val="auto"/>
        </w:rPr>
        <w:t>At our 2017 annual meeting of shareholders, our shareholders voted in favor of an annual frequency for advisory votes with respect to our executive compensation.</w:t>
      </w:r>
    </w:p>
    <w:p>
      <w:pPr>
        <w:spacing w:after="0" w:line="178"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85"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As described in our Compensation Discussion and Analysis above, our executive compensation programs are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programs, including information about the fiscal year 2017 compensation of our Named Executive Officers.</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color w:val="auto"/>
        </w:rPr>
        <w:t>While our Board of Directors intends to carefully consider the shareholder vote resulting from this proposal, the final vote will not be binding on us and is advisory in nature.</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58" w:lineRule="exact"/>
        <w:rPr>
          <w:sz w:val="20"/>
          <w:szCs w:val="20"/>
          <w:color w:val="auto"/>
        </w:rPr>
      </w:pPr>
    </w:p>
    <w:p>
      <w:pPr>
        <w:jc w:val="center"/>
        <w:ind w:left="260" w:right="80"/>
        <w:spacing w:after="0" w:line="257" w:lineRule="auto"/>
        <w:rPr>
          <w:sz w:val="20"/>
          <w:szCs w:val="20"/>
          <w:color w:val="auto"/>
        </w:rPr>
      </w:pPr>
      <w:r>
        <w:rPr>
          <w:rFonts w:ascii="Arial" w:cs="Arial" w:eastAsia="Arial" w:hAnsi="Arial"/>
          <w:sz w:val="16"/>
          <w:szCs w:val="16"/>
          <w:b w:val="1"/>
          <w:bCs w:val="1"/>
          <w:color w:val="auto"/>
        </w:rPr>
        <w:t>OUR BOARD OF DIRECTORS UNANIMOUSLY RECOMMENDS THAT YOU VOTE "FOR" THE PROPOSAL TO APPROVE, ON AN ADVISORY (NON-BINDING) BASIS, THE COMPENSATION OF THE NAMED EXECUTIVE OFFICERS, AS DISCLOSED IN THE COMPANY'S PROXY STATEMENT FOR THE 2018 ANNUAL MEETING OF SHAREHOLDERS PURSUANT TO THE COMPENSATION DISCLOSURE RULES OF THE SEC, INCLUDING THE COMPENSATION DISCUSSION AND ANALYSIS, THE SUMMARY COMPENSATION TABLE AND ACCOMPANYING COMPENSATION TABLES AND RELATED INFORMATION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immediately disclosed to the head of the internal audit function and/or the Chief Legal and Compliance Officer to assess the nature and extent of any concern as well as the appropriate next steps. The head of the internal audit function or the Chief Legal and Compliance Officer will notify the Chairman of the Board of Directors or the Chairman of the Audit Committee, as appropriate, if any such situation requires Board of Directors or Audit Committee review.</w:t>
      </w:r>
    </w:p>
    <w:p>
      <w:pPr>
        <w:spacing w:after="0" w:line="19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or</w:t>
      </w:r>
    </w:p>
    <w:p>
      <w:pPr>
        <w:spacing w:after="0" w:line="1" w:lineRule="exact"/>
        <w:rPr>
          <w:sz w:val="20"/>
          <w:szCs w:val="20"/>
          <w:color w:val="auto"/>
        </w:rPr>
      </w:pPr>
    </w:p>
    <w:p>
      <w:pPr>
        <w:ind w:firstLine="1"/>
        <w:spacing w:after="0" w:line="248" w:lineRule="auto"/>
        <w:tabs>
          <w:tab w:leader="none" w:pos="2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(x) and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significant business relationships with and provide services to Ocwen and Front Yard Residential Corporation (formerly Altisource Residential Corporation) ("RESI"). We also provide certain services to Altisource Asset Management Corporation ("AAMC"). Our largest shareholder William C. Erbey, owns or controls common stock in each of these companies. As of December 31, 2017, based on public filings, Mr. Erbey reported beneficially owning or controlling approximately thirty-four percent (34%) of the common stock of Altisource, approximately fifteen percent (15%) of the common stock of Ocwen, approximately forty-six percent (46%) of the common stock of AAMC and less than five percent (5%) of the common stock of RESI. Based on public filings through March 21, 2018, Mr. Erbey reported beneficially owning or controlling approximately eight percent (8%) of the common stock of Ocwen. As a result of his ownership interests in Ocwen and AAMC, we currently disclose our transactions with these entities. Because AAMC is RESI's external manager, we currently also disclose Altisource's transactions with RESI.</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Ocwen</w:t>
      </w:r>
    </w:p>
    <w:p>
      <w:pPr>
        <w:spacing w:after="0" w:line="228"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For the year ended December 31, 2017, the Company generated segment revenue from Ocwen of $535.2 million for the Mortgage Market, $0.6 million for the Real Estate Market and $6.2 million for Other Businesses, Corporate and Eliminations. Services provided to Ocwen during such period and reported in the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130175</wp:posOffset>
            </wp:positionV>
            <wp:extent cx="3740150" cy="152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740150"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Mortgage Market segment included real estate asset management and sales, residential property valuation, trustee management services, property preservation and inspection services, insurance services, mortgage charge-off collections and certain software applications. Services provided to Ocwen during such period and reported in the Real Estate Market included rental property management. Services provided to Ocwen during such period and reported in Other Businesses, Corporate and Eliminations included information technology infrastructure management. Altisource derived fifty-eight percent (58%) of its revenues in 2017 directly from Ocwen and revenue earned from loans serviced by Ocwen when Ocwen designates us as the service provider.</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Company earns additional revenue related to the portfolios serviced by Ocwen when a party other than Ocwen or the mortgage servicing rights ("MSR") owner selects Altisource as the service provider. For the year ended December 31, 2017, the Company recognized revenue of $148.5 million related to the portfolios serviced by Ocwen when a party other than Ocwen or the MSR owner selects Altisource as the service provider.</w:t>
      </w:r>
    </w:p>
    <w:p>
      <w:pPr>
        <w:spacing w:after="0" w:line="185" w:lineRule="exact"/>
        <w:rPr>
          <w:sz w:val="20"/>
          <w:szCs w:val="20"/>
          <w:color w:val="auto"/>
        </w:rPr>
      </w:pPr>
    </w:p>
    <w:p>
      <w:pPr>
        <w:jc w:val="both"/>
        <w:ind w:right="340"/>
        <w:spacing w:after="0" w:line="255" w:lineRule="auto"/>
        <w:rPr>
          <w:sz w:val="20"/>
          <w:szCs w:val="20"/>
          <w:color w:val="auto"/>
        </w:rPr>
      </w:pPr>
      <w:r>
        <w:rPr>
          <w:rFonts w:ascii="Arial" w:cs="Arial" w:eastAsia="Arial" w:hAnsi="Arial"/>
          <w:sz w:val="16"/>
          <w:szCs w:val="16"/>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2017, Ocwen billed us $0.2 million for these items.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In 2017,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2017, we billed Ocwen $0.3 million for these items and Ocwen billed us $0.1 million for these items.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AAMC</w:t>
      </w:r>
    </w:p>
    <w:p>
      <w:pPr>
        <w:spacing w:after="0" w:line="22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85"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For the year ended December 31, 2017, we billed AAMC $0.1 million under the services agreements which is reflected in revenue in the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have service agreements, which extend through 2027, to provide RESI with renovation and construction management, rental property management, real estate owned asset management, title insurance, settlement and valuation services.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we generated revenue from RESI of $43.2 million for services provided under these services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28"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 xml:space="preserve">In 2017, the Company entered into one Related Person Transaction requiring disclosure involving our directors or executive officers. The Company previously engaged the law firm of Jones Day to provide tax-related legal services to the Company and to represent the Company, our Chief Executive Officer and our then-Chief Financial Officer in the </w:t>
      </w:r>
      <w:r>
        <w:rPr>
          <w:rFonts w:ascii="Arial" w:cs="Arial" w:eastAsia="Arial" w:hAnsi="Arial"/>
          <w:sz w:val="16"/>
          <w:szCs w:val="16"/>
          <w:i w:val="1"/>
          <w:iCs w:val="1"/>
          <w:color w:val="auto"/>
        </w:rPr>
        <w:t>West Palm Beach Firefighters' Pension Fund v. Altisource Portfolio Solutions S.A., William C. Erbey,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William B. Shepro, and Michelle D. Esterman </w:t>
      </w:r>
      <w:r>
        <w:rPr>
          <w:rFonts w:ascii="Arial" w:cs="Arial" w:eastAsia="Arial" w:hAnsi="Arial"/>
          <w:sz w:val="16"/>
          <w:szCs w:val="16"/>
          <w:color w:val="auto"/>
        </w:rPr>
        <w:t>litigation. Geoffrey Ritts, an equity partner at Jones Day, is the brother of Mr. Ritts, our Chief Legal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Officer, and was involved in the representation of the Company in the litigation. The total billings by Jones Day in 2017 were $352,973.</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Pursuant to SEC rules, any proposal that a shareholder desires to have included in our proxy materials relating to our 2019 Annual Meeting of Shareholders must be received at our registered office no later than December [ ], 2018. In addition to any shareholders' rights under the Luxembourg Company Law and the Company's Articles of Incorporation, for any proposal that is not submitted for inclusion in the proxy statement for the 2019 annual meeting of shareholders, but is instead sought to be presented directly at the 2019 annual meeting of shareholders, SEC rules permit the persons appointed as proxies to vote shares represented by valid proxies in their discretion if we (i) receive the proposal before the close of business on February [ ], 2019 and advise shareholders in the 2019 proxy statement about the nature of the matter and how the persons appointed as proxies intend to vote on such matter or (ii) receive notice of the proposal after the close of business on February [ ], 2019.</w:t>
      </w:r>
    </w:p>
    <w:p>
      <w:pPr>
        <w:spacing w:after="0" w:line="188" w:lineRule="exact"/>
        <w:rPr>
          <w:sz w:val="20"/>
          <w:szCs w:val="20"/>
          <w:color w:val="auto"/>
        </w:rPr>
      </w:pPr>
    </w:p>
    <w:p>
      <w:pPr>
        <w:jc w:val="both"/>
        <w:ind w:right="480"/>
        <w:spacing w:after="0" w:line="255" w:lineRule="auto"/>
        <w:rPr>
          <w:sz w:val="20"/>
          <w:szCs w:val="20"/>
          <w:color w:val="auto"/>
        </w:rPr>
      </w:pPr>
      <w:r>
        <w:rPr>
          <w:rFonts w:ascii="Arial" w:cs="Arial" w:eastAsia="Arial" w:hAnsi="Arial"/>
          <w:sz w:val="16"/>
          <w:szCs w:val="16"/>
          <w:color w:val="auto"/>
        </w:rPr>
        <w:t>Notice of intent to present a proposal at the 2019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did not receive notice of any shareholder proposals relating to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2017 was made available to shareholders on February 22, 2018.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2017, required to be filed by us with the SEC under the Exchange Act. Such requests should be directed to Investor Relations, Altisource Portfolio Solutions S.A., 40, avenue Monterey, L-2163 Luxembourg City, Grand Duchy of Luxembourg.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555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2017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8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Nine. Should any matter not described above be properly presented at either meeting, the persons appointed as proxies will vote according to their discretion.</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bank or broker may only deliver one (1) copy of this proxy statement and our 2017 annual report to multiple shareholders who share an address unless the bank or broker has received contrary instructions from one (1) or more of the shareholders. Shareholders at an address to which a single copy of this proxy statement and our 2017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8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This proxy statement and our 2017 annual report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 In addition, this proxy statement and our 2017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wish to resume mail delivery of these documents. If you hold your common stock through a bank or broker, please refer to the information provided by that entity for instructions on how to elect this option.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995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225425</wp:posOffset>
            </wp:positionV>
            <wp:extent cx="7314565" cy="94703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314565" cy="9470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314565" cy="94703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314565" cy="9470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o"/>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5"/>
    </w:lvl>
  </w:abstractNum>
  <w:abstractNum w:abstractNumId="6">
    <w:nsid w:val="5072367"/>
    <w:multiLevelType w:val="hybridMultilevel"/>
    <w:lvl w:ilvl="0">
      <w:lvlJc w:val="left"/>
      <w:lvlText w:val="(%1)"/>
      <w:numFmt w:val="decimal"/>
    </w:lvl>
    <w:lvl w:ilvl="1">
      <w:lvlJc w:val="left"/>
      <w:lvlText w:val="o"/>
      <w:numFmt w:val="bullet"/>
      <w:start w:val="1"/>
    </w:lvl>
  </w:abstractNum>
  <w:abstractNum w:abstractNumId="7">
    <w:nsid w:val="3804823E"/>
    <w:multiLevelType w:val="hybridMultilevel"/>
    <w:lvl w:ilvl="0">
      <w:lvlJc w:val="left"/>
      <w:lvlText w:val="(%1)"/>
      <w:numFmt w:val="decimal"/>
      <w:start w:val="2"/>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5"/>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2"/>
    </w:lvl>
  </w:abstractNum>
  <w:abstractNum w:abstractNumId="24">
    <w:nsid w:val="57E4CCAF"/>
    <w:multiLevelType w:val="hybridMultilevel"/>
    <w:lvl w:ilvl="0">
      <w:lvlJc w:val="left"/>
      <w:lvlText w:val="(%1)"/>
      <w:numFmt w:val="decimal"/>
      <w:start w:val="6"/>
    </w:lvl>
  </w:abstractNum>
  <w:abstractNum w:abstractNumId="25">
    <w:nsid w:val="7A6D8D3C"/>
    <w:multiLevelType w:val="hybridMultilevel"/>
    <w:lvl w:ilvl="0">
      <w:lvlJc w:val="left"/>
      <w:lvlText w:val="(%1)"/>
      <w:numFmt w:val="decimal"/>
      <w:start w:val="13"/>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lowerRoman"/>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lowerRoman"/>
      <w:start w:val="2"/>
    </w:lvl>
  </w:abstractNum>
  <w:abstractNum w:abstractNumId="35">
    <w:nsid w:val="3DC240FB"/>
    <w:multiLevelType w:val="hybridMultilevel"/>
    <w:lvl w:ilvl="0">
      <w:lvlJc w:val="left"/>
      <w:lvlText w:val="%1."/>
      <w:numFmt w:val="lowerRoman"/>
      <w:start w:val="2"/>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
      <w:numFmt w:val="bullet"/>
      <w:start w:val="1"/>
    </w:lvl>
    <w:lvl w:ilvl="1">
      <w:lvlJc w:val="left"/>
      <w:lvlText w:val="(%2)"/>
      <w:numFmt w:val="lowerRoman"/>
      <w:start w:val="2"/>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4"/>
    </w:lvl>
  </w:abstractNum>
  <w:abstractNum w:abstractNumId="51">
    <w:nsid w:val="47398C89"/>
    <w:multiLevelType w:val="hybridMultilevel"/>
    <w:lvl w:ilvl="0">
      <w:lvlJc w:val="left"/>
      <w:lvlText w:val="(%1)"/>
      <w:numFmt w:val="decimal"/>
      <w:start w:val="14"/>
    </w:lvl>
  </w:abstractNum>
  <w:abstractNum w:abstractNumId="52">
    <w:nsid w:val="354FE9F9"/>
    <w:multiLevelType w:val="hybridMultilevel"/>
    <w:lvl w:ilvl="0">
      <w:lvlJc w:val="left"/>
      <w:lvlText w:val="(%1)"/>
      <w:numFmt w:val="decimal"/>
      <w:start w:val="26"/>
    </w:lvl>
  </w:abstractNum>
  <w:abstractNum w:abstractNumId="53">
    <w:nsid w:val="15B5AF5C"/>
    <w:multiLevelType w:val="hybridMultilevel"/>
    <w:lvl w:ilvl="0">
      <w:lvlJc w:val="left"/>
      <w:lvlText w:val="(%1)"/>
      <w:numFmt w:val="decimal"/>
      <w:start w:val="38"/>
    </w:lvl>
  </w:abstractNum>
  <w:abstractNum w:abstractNumId="54">
    <w:nsid w:val="741226BB"/>
    <w:multiLevelType w:val="hybridMultilevel"/>
    <w:lvl w:ilvl="0">
      <w:lvlJc w:val="left"/>
      <w:lvlText w:val="(%1)"/>
      <w:numFmt w:val="lowerRoman"/>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3"/>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9"/>
    </w:lvl>
  </w:abstractNum>
  <w:abstractNum w:abstractNumId="59">
    <w:nsid w:val="7E0C57B1"/>
    <w:multiLevelType w:val="hybridMultilevel"/>
    <w:lvl w:ilvl="0">
      <w:lvlJc w:val="left"/>
      <w:lvlText w:val="(%1)"/>
      <w:numFmt w:val="decimal"/>
      <w:start w:val="28"/>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0"/>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2019-12-07T16:10:14Z</dcterms:created>
  <dcterms:modified xsi:type="dcterms:W3CDTF">2019-12-07T16:10:14Z</dcterms:modified>
</cp:coreProperties>
</file>