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111760</wp:posOffset>
            </wp:positionV>
            <wp:extent cx="18345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88900</wp:posOffset>
            </wp:positionV>
            <wp:extent cx="18345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291" w:lineRule="exact"/>
        <w:rPr>
          <w:sz w:val="24"/>
          <w:szCs w:val="24"/>
          <w:color w:val="auto"/>
        </w:rPr>
      </w:pPr>
    </w:p>
    <w:p>
      <w:pPr>
        <w:ind w:left="580"/>
        <w:spacing w:after="0"/>
        <w:rPr>
          <w:sz w:val="20"/>
          <w:szCs w:val="20"/>
          <w:color w:val="auto"/>
        </w:rPr>
      </w:pPr>
      <w:r>
        <w:rPr>
          <w:rFonts w:ascii="Arial" w:cs="Arial" w:eastAsia="Arial" w:hAnsi="Arial"/>
          <w:sz w:val="14"/>
          <w:szCs w:val="14"/>
          <w:color w:val="auto"/>
        </w:rPr>
        <w:t>(Mark One)</w:t>
      </w:r>
    </w:p>
    <w:p>
      <w:pPr>
        <w:spacing w:after="0" w:line="20" w:lineRule="exact"/>
        <w:rPr>
          <w:sz w:val="24"/>
          <w:szCs w:val="24"/>
          <w:color w:val="auto"/>
        </w:rPr>
      </w:pPr>
    </w:p>
    <w:p>
      <w:pPr>
        <w:ind w:left="1380" w:hanging="562"/>
        <w:spacing w:after="0"/>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16"/>
          <w:szCs w:val="16"/>
          <w:b w:val="1"/>
          <w:bCs w:val="1"/>
          <w:color w:val="auto"/>
        </w:rPr>
        <w:t>ANNUAL REPORT PURSUANT TO SECTION 13 OR 15(d) OF THE SECURITIES EXCHANGE ACT OF 1934</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2020</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19" w:lineRule="exact"/>
        <w:rPr>
          <w:sz w:val="24"/>
          <w:szCs w:val="24"/>
          <w:color w:val="auto"/>
        </w:rPr>
      </w:pPr>
    </w:p>
    <w:p>
      <w:pPr>
        <w:ind w:left="1380" w:hanging="562"/>
        <w:spacing w:after="0"/>
        <w:tabs>
          <w:tab w:leader="none" w:pos="1380" w:val="left"/>
        </w:tabs>
        <w:numPr>
          <w:ilvl w:val="0"/>
          <w:numId w:val="2"/>
        </w:numPr>
        <w:rPr>
          <w:rFonts w:ascii="MS PGothic" w:cs="MS PGothic" w:eastAsia="MS PGothic" w:hAnsi="MS PGothic"/>
          <w:sz w:val="22"/>
          <w:szCs w:val="22"/>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531495</wp:posOffset>
            </wp:positionH>
            <wp:positionV relativeFrom="paragraph">
              <wp:posOffset>-109855</wp:posOffset>
            </wp:positionV>
            <wp:extent cx="104140" cy="105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 from to</w:t>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1-34354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88900</wp:posOffset>
            </wp:positionV>
            <wp:extent cx="1834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28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ALTISOURCE PORTFOLIO SOLUTIONS S.A.</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240"/>
          </w:cols>
          <w:pgMar w:left="320" w:top="1129" w:right="339" w:bottom="1440" w:gutter="0" w:footer="0" w:header="0"/>
        </w:sectPr>
      </w:pPr>
    </w:p>
    <w:p>
      <w:pPr>
        <w:spacing w:after="0" w:line="129" w:lineRule="exact"/>
        <w:rPr>
          <w:sz w:val="24"/>
          <w:szCs w:val="24"/>
          <w:color w:val="auto"/>
        </w:rPr>
      </w:pPr>
    </w:p>
    <w:p>
      <w:pPr>
        <w:ind w:left="2320"/>
        <w:spacing w:after="0"/>
        <w:rPr>
          <w:sz w:val="20"/>
          <w:szCs w:val="20"/>
          <w:color w:val="auto"/>
        </w:rPr>
      </w:pPr>
      <w:r>
        <w:rPr>
          <w:rFonts w:ascii="Arial" w:cs="Arial" w:eastAsia="Arial" w:hAnsi="Arial"/>
          <w:sz w:val="14"/>
          <w:szCs w:val="14"/>
          <w:b w:val="1"/>
          <w:bCs w:val="1"/>
          <w:color w:val="auto"/>
        </w:rPr>
        <w:t>Luxembourg</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98-0554932</w:t>
      </w:r>
    </w:p>
    <w:p>
      <w:pPr>
        <w:spacing w:after="0" w:line="50" w:lineRule="exact"/>
        <w:rPr>
          <w:sz w:val="24"/>
          <w:szCs w:val="24"/>
          <w:color w:val="auto"/>
        </w:rPr>
      </w:pPr>
    </w:p>
    <w:p>
      <w:pPr>
        <w:sectPr>
          <w:pgSz w:w="11900" w:h="16838" w:orient="portrait"/>
          <w:cols w:equalWidth="0" w:num="2">
            <w:col w:w="7360" w:space="720"/>
            <w:col w:w="3160"/>
          </w:cols>
          <w:pgMar w:left="320" w:top="1129" w:right="339" w:bottom="1440" w:gutter="0" w:footer="0" w:header="0"/>
          <w:type w:val="continuous"/>
        </w:sectPr>
      </w:pPr>
    </w:p>
    <w:p>
      <w:pPr>
        <w:ind w:left="1040"/>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125" w:lineRule="exact"/>
        <w:rPr>
          <w:sz w:val="24"/>
          <w:szCs w:val="24"/>
          <w:color w:val="auto"/>
        </w:rPr>
      </w:pPr>
    </w:p>
    <w:p>
      <w:pPr>
        <w:sectPr>
          <w:pgSz w:w="11900" w:h="16838" w:orient="portrait"/>
          <w:cols w:equalWidth="0" w:num="2">
            <w:col w:w="6720" w:space="720"/>
            <w:col w:w="3800"/>
          </w:cols>
          <w:pgMar w:left="320" w:top="1129"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40, avenue Monterey</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L-2163 Luxembourg</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Grand Duchy of Luxembourg</w:t>
      </w:r>
    </w:p>
    <w:p>
      <w:pPr>
        <w:jc w:val="center"/>
        <w:spacing w:after="0"/>
        <w:rPr>
          <w:sz w:val="20"/>
          <w:szCs w:val="20"/>
          <w:color w:val="auto"/>
        </w:rPr>
      </w:pPr>
      <w:r>
        <w:rPr>
          <w:rFonts w:ascii="Arial" w:cs="Arial" w:eastAsia="Arial" w:hAnsi="Arial"/>
          <w:sz w:val="16"/>
          <w:szCs w:val="16"/>
          <w:b w:val="1"/>
          <w:bCs w:val="1"/>
          <w:color w:val="auto"/>
        </w:rPr>
        <w:t>(352) 27 61 49 00</w:t>
      </w:r>
    </w:p>
    <w:p>
      <w:pPr>
        <w:jc w:val="center"/>
        <w:spacing w:after="0"/>
        <w:rPr>
          <w:sz w:val="20"/>
          <w:szCs w:val="20"/>
          <w:color w:val="auto"/>
        </w:rPr>
      </w:pPr>
      <w:r>
        <w:rPr>
          <w:rFonts w:ascii="Arial" w:cs="Arial" w:eastAsia="Arial" w:hAnsi="Arial"/>
          <w:sz w:val="14"/>
          <w:szCs w:val="14"/>
          <w:color w:val="auto"/>
        </w:rPr>
        <w:t>(Address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73660</wp:posOffset>
            </wp:positionV>
            <wp:extent cx="1834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28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3680" w:type="dxa"/>
            <w:vAlign w:val="bottom"/>
            <w:tcBorders>
              <w:bottom w:val="single" w:sz="8" w:color="auto"/>
            </w:tcBorders>
          </w:tcPr>
          <w:p>
            <w:pPr>
              <w:jc w:val="center"/>
              <w:ind w:left="899"/>
              <w:spacing w:after="0"/>
              <w:rPr>
                <w:sz w:val="20"/>
                <w:szCs w:val="20"/>
                <w:color w:val="auto"/>
              </w:rPr>
            </w:pPr>
            <w:r>
              <w:rPr>
                <w:rFonts w:ascii="Arial" w:cs="Arial" w:eastAsia="Arial" w:hAnsi="Arial"/>
                <w:sz w:val="16"/>
                <w:szCs w:val="16"/>
                <w:b w:val="1"/>
                <w:bCs w:val="1"/>
                <w:color w:val="auto"/>
                <w:w w:val="88"/>
              </w:rPr>
              <w:t>Title of each class</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w:t>
            </w:r>
          </w:p>
        </w:tc>
        <w:tc>
          <w:tcPr>
            <w:tcW w:w="8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900" w:type="dxa"/>
            <w:vAlign w:val="bottom"/>
            <w:tcBorders>
              <w:bottom w:val="single" w:sz="8" w:color="auto"/>
            </w:tcBorders>
          </w:tcPr>
          <w:p>
            <w:pPr>
              <w:jc w:val="center"/>
              <w:ind w:right="699"/>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7"/>
        </w:trPr>
        <w:tc>
          <w:tcPr>
            <w:tcW w:w="3680" w:type="dxa"/>
            <w:vAlign w:val="bottom"/>
          </w:tcPr>
          <w:p>
            <w:pPr>
              <w:jc w:val="center"/>
              <w:ind w:left="899"/>
              <w:spacing w:after="0"/>
              <w:rPr>
                <w:sz w:val="20"/>
                <w:szCs w:val="20"/>
                <w:color w:val="auto"/>
              </w:rPr>
            </w:pPr>
            <w:r>
              <w:rPr>
                <w:rFonts w:ascii="Arial" w:cs="Arial" w:eastAsia="Arial" w:hAnsi="Arial"/>
                <w:sz w:val="16"/>
                <w:szCs w:val="16"/>
                <w:color w:val="auto"/>
                <w:w w:val="91"/>
              </w:rPr>
              <w:t>Common Stock, $1.00 par value</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80" w:type="dxa"/>
            <w:vAlign w:val="bottom"/>
            <w:gridSpan w:val="3"/>
          </w:tcPr>
          <w:p>
            <w:pPr>
              <w:jc w:val="center"/>
              <w:ind w:right="860"/>
              <w:spacing w:after="0"/>
              <w:rPr>
                <w:sz w:val="20"/>
                <w:szCs w:val="20"/>
                <w:color w:val="auto"/>
              </w:rPr>
            </w:pPr>
            <w:r>
              <w:rPr>
                <w:rFonts w:ascii="Arial" w:cs="Arial" w:eastAsia="Arial" w:hAnsi="Arial"/>
                <w:sz w:val="16"/>
                <w:szCs w:val="16"/>
                <w:color w:val="auto"/>
                <w:w w:val="93"/>
              </w:rPr>
              <w:t>ASPS</w:t>
            </w:r>
          </w:p>
        </w:tc>
        <w:tc>
          <w:tcPr>
            <w:tcW w:w="3900" w:type="dxa"/>
            <w:vAlign w:val="bottom"/>
          </w:tcPr>
          <w:p>
            <w:pPr>
              <w:jc w:val="center"/>
              <w:ind w:right="679"/>
              <w:spacing w:after="0"/>
              <w:rPr>
                <w:sz w:val="20"/>
                <w:szCs w:val="20"/>
                <w:color w:val="auto"/>
              </w:rPr>
            </w:pPr>
            <w:r>
              <w:rPr>
                <w:rFonts w:ascii="Arial" w:cs="Arial" w:eastAsia="Arial" w:hAnsi="Arial"/>
                <w:sz w:val="16"/>
                <w:szCs w:val="16"/>
                <w:color w:val="auto"/>
                <w:w w:val="95"/>
              </w:rPr>
              <w:t>NASDAQ Global Select Market</w:t>
            </w:r>
          </w:p>
        </w:tc>
      </w:tr>
      <w:tr>
        <w:trPr>
          <w:trHeight w:val="235"/>
        </w:trPr>
        <w:tc>
          <w:tcPr>
            <w:tcW w:w="3680" w:type="dxa"/>
            <w:vAlign w:val="bottom"/>
          </w:tcPr>
          <w:p>
            <w:pPr>
              <w:spacing w:after="0"/>
              <w:rPr>
                <w:sz w:val="20"/>
                <w:szCs w:val="20"/>
                <w:color w:val="auto"/>
              </w:rPr>
            </w:pPr>
          </w:p>
        </w:tc>
        <w:tc>
          <w:tcPr>
            <w:tcW w:w="3660" w:type="dxa"/>
            <w:vAlign w:val="bottom"/>
            <w:gridSpan w:val="5"/>
          </w:tcPr>
          <w:p>
            <w:pPr>
              <w:jc w:val="center"/>
              <w:ind w:left="148"/>
              <w:spacing w:after="0"/>
              <w:rPr>
                <w:sz w:val="20"/>
                <w:szCs w:val="20"/>
                <w:color w:val="auto"/>
              </w:rPr>
            </w:pPr>
            <w:r>
              <w:rPr>
                <w:rFonts w:ascii="Arial" w:cs="Arial" w:eastAsia="Arial" w:hAnsi="Arial"/>
                <w:sz w:val="14"/>
                <w:szCs w:val="14"/>
                <w:color w:val="auto"/>
                <w:w w:val="93"/>
              </w:rPr>
              <w:t>Securities registered pursuant to Section 12(g) of the Act:</w:t>
            </w:r>
          </w:p>
        </w:tc>
        <w:tc>
          <w:tcPr>
            <w:tcW w:w="3900" w:type="dxa"/>
            <w:vAlign w:val="bottom"/>
          </w:tcPr>
          <w:p>
            <w:pPr>
              <w:spacing w:after="0"/>
              <w:rPr>
                <w:sz w:val="20"/>
                <w:szCs w:val="20"/>
                <w:color w:val="auto"/>
              </w:rPr>
            </w:pPr>
          </w:p>
        </w:tc>
      </w:tr>
      <w:tr>
        <w:trPr>
          <w:trHeight w:val="210"/>
        </w:trPr>
        <w:tc>
          <w:tcPr>
            <w:tcW w:w="3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gridSpan w:val="3"/>
          </w:tcPr>
          <w:p>
            <w:pPr>
              <w:jc w:val="center"/>
              <w:ind w:right="860"/>
              <w:spacing w:after="0"/>
              <w:rPr>
                <w:sz w:val="20"/>
                <w:szCs w:val="20"/>
                <w:color w:val="auto"/>
              </w:rPr>
            </w:pPr>
            <w:r>
              <w:rPr>
                <w:rFonts w:ascii="Arial" w:cs="Arial" w:eastAsia="Arial" w:hAnsi="Arial"/>
                <w:sz w:val="16"/>
                <w:szCs w:val="16"/>
                <w:b w:val="1"/>
                <w:bCs w:val="1"/>
                <w:color w:val="auto"/>
                <w:w w:val="89"/>
              </w:rPr>
              <w:t>None</w:t>
            </w:r>
          </w:p>
        </w:tc>
        <w:tc>
          <w:tcPr>
            <w:tcW w:w="3900" w:type="dxa"/>
            <w:vAlign w:val="bottom"/>
          </w:tcPr>
          <w:p>
            <w:pPr>
              <w:spacing w:after="0"/>
              <w:rPr>
                <w:sz w:val="18"/>
                <w:szCs w:val="18"/>
                <w:color w:val="auto"/>
              </w:rPr>
            </w:pPr>
          </w:p>
        </w:tc>
      </w:tr>
    </w:tbl>
    <w:p>
      <w:pPr>
        <w:spacing w:after="0" w:line="41" w:lineRule="exact"/>
        <w:rPr>
          <w:sz w:val="24"/>
          <w:szCs w:val="24"/>
          <w:color w:val="auto"/>
        </w:rPr>
      </w:pPr>
    </w:p>
    <w:p>
      <w:pPr>
        <w:ind w:right="3600"/>
        <w:spacing w:after="0" w:line="241"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Arial" w:cs="Arial" w:eastAsia="Arial" w:hAnsi="Arial"/>
          <w:sz w:val="13"/>
          <w:szCs w:val="13"/>
          <w:b w:val="1"/>
          <w:bCs w:val="1"/>
          <w:color w:val="auto"/>
        </w:rPr>
        <w:t>o</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Arial" w:cs="Arial" w:eastAsia="Arial" w:hAnsi="Arial"/>
          <w:sz w:val="13"/>
          <w:szCs w:val="13"/>
          <w:b w:val="1"/>
          <w:bCs w:val="1"/>
          <w:color w:val="auto"/>
        </w:rPr>
        <w:t>o</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6" w:lineRule="exact"/>
        <w:rPr>
          <w:sz w:val="24"/>
          <w:szCs w:val="24"/>
          <w:color w:val="auto"/>
        </w:rPr>
      </w:pPr>
    </w:p>
    <w:p>
      <w:pPr>
        <w:ind w:right="20"/>
        <w:spacing w:after="0" w:line="216"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Arial" w:cs="Arial" w:eastAsia="Arial" w:hAnsi="Arial"/>
          <w:sz w:val="14"/>
          <w:szCs w:val="14"/>
          <w:b w:val="1"/>
          <w:bCs w:val="1"/>
          <w:color w:val="auto"/>
        </w:rPr>
        <w:t>o</w:t>
      </w:r>
    </w:p>
    <w:p>
      <w:pPr>
        <w:spacing w:after="0" w:line="75" w:lineRule="exact"/>
        <w:rPr>
          <w:sz w:val="24"/>
          <w:szCs w:val="24"/>
          <w:color w:val="auto"/>
        </w:rPr>
      </w:pPr>
    </w:p>
    <w:p>
      <w:pPr>
        <w:spacing w:after="0" w:line="17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Arial" w:cs="Arial" w:eastAsia="Arial" w:hAnsi="Arial"/>
          <w:sz w:val="14"/>
          <w:szCs w:val="14"/>
          <w:b w:val="1"/>
          <w:bCs w:val="1"/>
          <w:color w:val="auto"/>
        </w:rPr>
        <w:t>o</w:t>
      </w:r>
    </w:p>
    <w:p>
      <w:pPr>
        <w:spacing w:after="0" w:line="45" w:lineRule="exact"/>
        <w:rPr>
          <w:sz w:val="24"/>
          <w:szCs w:val="24"/>
          <w:color w:val="auto"/>
        </w:rPr>
      </w:pPr>
    </w:p>
    <w:p>
      <w:pPr>
        <w:spacing w:after="0" w:line="23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40"/>
          </w:cols>
          <w:pgMar w:left="320" w:top="1129" w:right="339" w:bottom="1440" w:gutter="0" w:footer="0" w:header="0"/>
          <w:type w:val="continuous"/>
        </w:sectPr>
      </w:pPr>
    </w:p>
    <w:p>
      <w:pPr>
        <w:spacing w:after="0" w:line="61" w:lineRule="exact"/>
        <w:rPr>
          <w:sz w:val="24"/>
          <w:szCs w:val="24"/>
          <w:color w:val="auto"/>
        </w:rPr>
      </w:pPr>
    </w:p>
    <w:p>
      <w:pPr>
        <w:ind w:left="196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76" w:lineRule="exact"/>
        <w:rPr>
          <w:sz w:val="24"/>
          <w:szCs w:val="24"/>
          <w:color w:val="auto"/>
        </w:rPr>
      </w:pPr>
    </w:p>
    <w:p>
      <w:pPr>
        <w:sectPr>
          <w:pgSz w:w="11900" w:h="16838" w:orient="portrait"/>
          <w:cols w:equalWidth="0" w:num="2">
            <w:col w:w="6660" w:space="720"/>
            <w:col w:w="3860"/>
          </w:cols>
          <w:pgMar w:left="320" w:top="1129" w:right="339" w:bottom="1440" w:gutter="0" w:footer="0" w:header="0"/>
          <w:type w:val="continuous"/>
        </w:sectPr>
      </w:pPr>
    </w:p>
    <w:p>
      <w:pPr>
        <w:ind w:left="196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40"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38" w:lineRule="exact"/>
        <w:rPr>
          <w:sz w:val="24"/>
          <w:szCs w:val="24"/>
          <w:color w:val="auto"/>
        </w:rPr>
      </w:pPr>
    </w:p>
    <w:p>
      <w:pPr>
        <w:sectPr>
          <w:pgSz w:w="11900" w:h="16838" w:orient="portrait"/>
          <w:cols w:equalWidth="0" w:num="2">
            <w:col w:w="6660" w:space="720"/>
            <w:col w:w="3860"/>
          </w:cols>
          <w:pgMar w:left="320" w:top="1129" w:right="339" w:bottom="1440" w:gutter="0" w:footer="0" w:header="0"/>
          <w:type w:val="continuous"/>
        </w:sect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obtained an internal control over financial reporting (“ICFR”) auditor attestation.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Arial" w:cs="Arial" w:eastAsia="Arial" w:hAnsi="Arial"/>
          <w:sz w:val="14"/>
          <w:szCs w:val="14"/>
          <w:b w:val="1"/>
          <w:bCs w:val="1"/>
          <w:color w:val="auto"/>
        </w:rPr>
        <w:t>o</w:t>
      </w:r>
    </w:p>
    <w:p>
      <w:pPr>
        <w:spacing w:after="0" w:line="123" w:lineRule="exact"/>
        <w:rPr>
          <w:sz w:val="24"/>
          <w:szCs w:val="24"/>
          <w:color w:val="auto"/>
        </w:rPr>
      </w:pPr>
    </w:p>
    <w:p>
      <w:pPr>
        <w:jc w:val="both"/>
        <w:spacing w:after="0" w:line="293" w:lineRule="auto"/>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4"/>
          <w:szCs w:val="14"/>
          <w:b w:val="1"/>
          <w:bCs w:val="1"/>
          <w:color w:val="auto"/>
        </w:rPr>
        <w:t>o</w:t>
      </w:r>
    </w:p>
    <w:p>
      <w:pPr>
        <w:spacing w:after="0" w:line="11" w:lineRule="exact"/>
        <w:rPr>
          <w:sz w:val="24"/>
          <w:szCs w:val="24"/>
          <w:color w:val="auto"/>
        </w:rPr>
      </w:pPr>
    </w:p>
    <w:p>
      <w:pPr>
        <w:spacing w:after="0" w:line="196"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116" w:lineRule="exact"/>
        <w:rPr>
          <w:sz w:val="24"/>
          <w:szCs w:val="24"/>
          <w:color w:val="auto"/>
        </w:rPr>
      </w:pPr>
    </w:p>
    <w:p>
      <w:pPr>
        <w:jc w:val="both"/>
        <w:spacing w:after="0" w:line="224" w:lineRule="auto"/>
        <w:rPr>
          <w:sz w:val="20"/>
          <w:szCs w:val="20"/>
          <w:color w:val="auto"/>
        </w:rPr>
      </w:pPr>
      <w:r>
        <w:rPr>
          <w:rFonts w:ascii="Arial" w:cs="Arial" w:eastAsia="Arial" w:hAnsi="Arial"/>
          <w:sz w:val="14"/>
          <w:szCs w:val="14"/>
          <w:color w:val="auto"/>
        </w:rPr>
        <w:t>The aggregate market value of the voting stock held by non-affiliates of the registrant as of June 30, 2020 was $168,425,446 based on the closing share price as quoted on the NASDAQ Global Select Market on that day and the assumption that all directors and executive officers of the Company are affiliates. This determination of affiliate status is not necessarily a conclusive determination for any other purpose.</w:t>
      </w:r>
    </w:p>
    <w:p>
      <w:pPr>
        <w:spacing w:after="0" w:line="62" w:lineRule="exact"/>
        <w:rPr>
          <w:sz w:val="24"/>
          <w:szCs w:val="24"/>
          <w:color w:val="auto"/>
        </w:rPr>
      </w:pPr>
    </w:p>
    <w:p>
      <w:pPr>
        <w:spacing w:after="0"/>
        <w:rPr>
          <w:sz w:val="20"/>
          <w:szCs w:val="20"/>
          <w:color w:val="auto"/>
        </w:rPr>
      </w:pPr>
      <w:r>
        <w:rPr>
          <w:rFonts w:ascii="Arial" w:cs="Arial" w:eastAsia="Arial" w:hAnsi="Arial"/>
          <w:sz w:val="14"/>
          <w:szCs w:val="14"/>
          <w:color w:val="auto"/>
        </w:rPr>
        <w:t>As of March 5, 2021, there were 15,746,525 outstanding shares of the registrant’s common stock (excluding 9,666,223 shares held as treasury stock).</w:t>
      </w:r>
    </w:p>
    <w:p>
      <w:pPr>
        <w:spacing w:after="0" w:line="96" w:lineRule="exact"/>
        <w:rPr>
          <w:sz w:val="24"/>
          <w:szCs w:val="24"/>
          <w:color w:val="auto"/>
        </w:rPr>
      </w:pPr>
    </w:p>
    <w:p>
      <w:pPr>
        <w:ind w:left="4060"/>
        <w:spacing w:after="0"/>
        <w:rPr>
          <w:sz w:val="20"/>
          <w:szCs w:val="20"/>
          <w:color w:val="auto"/>
        </w:rPr>
      </w:pPr>
      <w:r>
        <w:rPr>
          <w:rFonts w:ascii="Arial" w:cs="Arial" w:eastAsia="Arial" w:hAnsi="Arial"/>
          <w:sz w:val="14"/>
          <w:szCs w:val="14"/>
          <w:color w:val="auto"/>
        </w:rPr>
        <w:t>DOCUMENTS INCORPORATED BY REFERENCE</w:t>
      </w:r>
    </w:p>
    <w:p>
      <w:pPr>
        <w:spacing w:after="0" w:line="42" w:lineRule="exact"/>
        <w:rPr>
          <w:sz w:val="24"/>
          <w:szCs w:val="24"/>
          <w:color w:val="auto"/>
        </w:rPr>
      </w:pPr>
    </w:p>
    <w:p>
      <w:pPr>
        <w:jc w:val="both"/>
        <w:spacing w:after="0" w:line="224" w:lineRule="auto"/>
        <w:rPr>
          <w:sz w:val="20"/>
          <w:szCs w:val="20"/>
          <w:color w:val="auto"/>
        </w:rPr>
      </w:pPr>
      <w:r>
        <w:rPr>
          <w:rFonts w:ascii="Arial" w:cs="Arial" w:eastAsia="Arial" w:hAnsi="Arial"/>
          <w:sz w:val="14"/>
          <w:szCs w:val="14"/>
          <w:color w:val="auto"/>
        </w:rPr>
        <w:t>Portions of the registrant’s Definitive Proxy Statement to be filed subsequent to the date hereof with the Securities and Exchange Commission pursuant to Regulation 14A in connection with the registrant’s Annual Meeting of Shareholders to be held on May 18, 2021 are incorporated by reference into Part III of this report. Such Definitive Proxy Statement will be filed with the Securities and Exchange Commission not later than 120 days after the conclusion of the registrant’s fiscal year ended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745490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0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140" w:type="dxa"/>
            <w:vAlign w:val="bottom"/>
            <w:gridSpan w:val="5"/>
          </w:tcPr>
          <w:p>
            <w:pPr>
              <w:jc w:val="center"/>
              <w:ind w:right="2140"/>
              <w:spacing w:after="0"/>
              <w:rPr>
                <w:sz w:val="20"/>
                <w:szCs w:val="20"/>
                <w:color w:val="auto"/>
              </w:rPr>
            </w:pPr>
            <w:r>
              <w:rPr>
                <w:rFonts w:ascii="Arial" w:cs="Arial" w:eastAsia="Arial" w:hAnsi="Arial"/>
                <w:sz w:val="18"/>
                <w:szCs w:val="18"/>
                <w:b w:val="1"/>
                <w:bCs w:val="1"/>
                <w:color w:val="auto"/>
                <w:w w:val="98"/>
              </w:rPr>
              <w:t>TABLE OF CONTENTS</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140" w:type="dxa"/>
            <w:vAlign w:val="bottom"/>
            <w:gridSpan w:val="5"/>
          </w:tcPr>
          <w:p>
            <w:pPr>
              <w:jc w:val="center"/>
              <w:ind w:right="2140"/>
              <w:spacing w:after="0"/>
              <w:rPr>
                <w:sz w:val="20"/>
                <w:szCs w:val="20"/>
                <w:color w:val="auto"/>
              </w:rPr>
            </w:pPr>
            <w:r>
              <w:rPr>
                <w:rFonts w:ascii="Arial" w:cs="Arial" w:eastAsia="Arial" w:hAnsi="Arial"/>
                <w:sz w:val="18"/>
                <w:szCs w:val="18"/>
                <w:b w:val="1"/>
                <w:bCs w:val="1"/>
                <w:color w:val="auto"/>
                <w:w w:val="99"/>
              </w:rPr>
              <w:t>ALTISOURCE PORTFOLIO SOLUTIONS S.A.</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140" w:type="dxa"/>
            <w:vAlign w:val="bottom"/>
            <w:gridSpan w:val="5"/>
          </w:tcPr>
          <w:p>
            <w:pPr>
              <w:jc w:val="center"/>
              <w:ind w:right="2120"/>
              <w:spacing w:after="0"/>
              <w:rPr>
                <w:sz w:val="20"/>
                <w:szCs w:val="20"/>
                <w:color w:val="auto"/>
              </w:rPr>
            </w:pPr>
            <w:r>
              <w:rPr>
                <w:rFonts w:ascii="Arial" w:cs="Arial" w:eastAsia="Arial" w:hAnsi="Arial"/>
                <w:sz w:val="18"/>
                <w:szCs w:val="18"/>
                <w:b w:val="1"/>
                <w:bCs w:val="1"/>
                <w:color w:val="auto"/>
              </w:rPr>
              <w:t>FORM 10-K</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00" w:type="dxa"/>
            <w:vAlign w:val="bottom"/>
            <w:vMerge w:val="restart"/>
          </w:tcPr>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PART I</w:t>
              </w:r>
            </w:hyperlink>
          </w:p>
        </w:tc>
        <w:tc>
          <w:tcPr>
            <w:tcW w:w="11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9"/>
        </w:trPr>
        <w:tc>
          <w:tcPr>
            <w:tcW w:w="200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00" w:type="dxa"/>
            <w:vAlign w:val="bottom"/>
          </w:tcPr>
          <w:p>
            <w:pPr>
              <w:ind w:left="46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ITEM 1.</w:t>
              </w:r>
            </w:hyperlink>
          </w:p>
        </w:tc>
        <w:tc>
          <w:tcPr>
            <w:tcW w:w="8240" w:type="dxa"/>
            <w:vAlign w:val="bottom"/>
            <w:gridSpan w:val="6"/>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BUSINESS</w:t>
              </w:r>
            </w:hyperlink>
          </w:p>
        </w:tc>
        <w:tc>
          <w:tcPr>
            <w:tcW w:w="980" w:type="dxa"/>
            <w:vAlign w:val="bottom"/>
          </w:tcPr>
          <w:p>
            <w:pPr>
              <w:jc w:val="center"/>
              <w:spacing w:after="0"/>
              <w:rPr>
                <w:rFonts w:ascii="Arial" w:cs="Arial" w:eastAsia="Arial" w:hAnsi="Arial"/>
                <w:sz w:val="18"/>
                <w:szCs w:val="18"/>
                <w:u w:val="single" w:color="auto"/>
                <w:color w:val="0000FF"/>
                <w:w w:val="99"/>
              </w:rPr>
            </w:pPr>
            <w:hyperlink w:anchor="page3">
              <w:r>
                <w:rPr>
                  <w:rFonts w:ascii="Arial" w:cs="Arial" w:eastAsia="Arial" w:hAnsi="Arial"/>
                  <w:sz w:val="18"/>
                  <w:szCs w:val="18"/>
                  <w:u w:val="single" w:color="auto"/>
                  <w:color w:val="0000FF"/>
                  <w:w w:val="99"/>
                </w:rPr>
                <w:t>3</w:t>
              </w:r>
            </w:hyperlink>
          </w:p>
        </w:tc>
        <w:tc>
          <w:tcPr>
            <w:tcW w:w="0" w:type="dxa"/>
            <w:vAlign w:val="bottom"/>
          </w:tcPr>
          <w:p>
            <w:pPr>
              <w:spacing w:after="0"/>
              <w:rPr>
                <w:sz w:val="1"/>
                <w:szCs w:val="1"/>
                <w:color w:val="auto"/>
              </w:rPr>
            </w:pPr>
          </w:p>
        </w:tc>
      </w:tr>
      <w:tr>
        <w:trPr>
          <w:trHeight w:val="230"/>
        </w:trPr>
        <w:tc>
          <w:tcPr>
            <w:tcW w:w="2000" w:type="dxa"/>
            <w:vAlign w:val="bottom"/>
          </w:tcPr>
          <w:p>
            <w:pPr>
              <w:ind w:left="460"/>
              <w:spacing w:after="0"/>
              <w:rPr>
                <w:rFonts w:ascii="Arial" w:cs="Arial" w:eastAsia="Arial" w:hAnsi="Arial"/>
                <w:sz w:val="18"/>
                <w:szCs w:val="18"/>
                <w:u w:val="single" w:color="auto"/>
                <w:color w:val="0000FF"/>
              </w:rPr>
            </w:pPr>
            <w:hyperlink w:anchor="page12">
              <w:r>
                <w:rPr>
                  <w:rFonts w:ascii="Arial" w:cs="Arial" w:eastAsia="Arial" w:hAnsi="Arial"/>
                  <w:sz w:val="18"/>
                  <w:szCs w:val="18"/>
                  <w:u w:val="single" w:color="auto"/>
                  <w:color w:val="0000FF"/>
                </w:rPr>
                <w:t>ITEM 1A.</w:t>
              </w:r>
            </w:hyperlink>
          </w:p>
        </w:tc>
        <w:tc>
          <w:tcPr>
            <w:tcW w:w="8240" w:type="dxa"/>
            <w:vAlign w:val="bottom"/>
            <w:gridSpan w:val="6"/>
          </w:tcPr>
          <w:p>
            <w:pPr>
              <w:spacing w:after="0"/>
              <w:rPr>
                <w:rFonts w:ascii="Arial" w:cs="Arial" w:eastAsia="Arial" w:hAnsi="Arial"/>
                <w:sz w:val="18"/>
                <w:szCs w:val="18"/>
                <w:u w:val="single" w:color="auto"/>
                <w:color w:val="0000FF"/>
              </w:rPr>
            </w:pPr>
            <w:hyperlink w:anchor="page12">
              <w:r>
                <w:rPr>
                  <w:rFonts w:ascii="Arial" w:cs="Arial" w:eastAsia="Arial" w:hAnsi="Arial"/>
                  <w:sz w:val="18"/>
                  <w:szCs w:val="18"/>
                  <w:u w:val="single" w:color="auto"/>
                  <w:color w:val="0000FF"/>
                </w:rPr>
                <w:t>RISK FACTORS</w:t>
              </w:r>
            </w:hyperlink>
          </w:p>
        </w:tc>
        <w:tc>
          <w:tcPr>
            <w:tcW w:w="980" w:type="dxa"/>
            <w:vAlign w:val="bottom"/>
          </w:tcPr>
          <w:p>
            <w:pPr>
              <w:jc w:val="center"/>
              <w:spacing w:after="0"/>
              <w:rPr>
                <w:rFonts w:ascii="Arial" w:cs="Arial" w:eastAsia="Arial" w:hAnsi="Arial"/>
                <w:sz w:val="18"/>
                <w:szCs w:val="18"/>
                <w:u w:val="single" w:color="auto"/>
                <w:color w:val="0000FF"/>
                <w:w w:val="89"/>
              </w:rPr>
            </w:pPr>
            <w:hyperlink w:anchor="page12">
              <w:r>
                <w:rPr>
                  <w:rFonts w:ascii="Arial" w:cs="Arial" w:eastAsia="Arial" w:hAnsi="Arial"/>
                  <w:sz w:val="18"/>
                  <w:szCs w:val="18"/>
                  <w:u w:val="single" w:color="auto"/>
                  <w:color w:val="0000FF"/>
                  <w:w w:val="89"/>
                </w:rPr>
                <w:t>12</w:t>
              </w:r>
            </w:hyperlink>
          </w:p>
        </w:tc>
        <w:tc>
          <w:tcPr>
            <w:tcW w:w="0" w:type="dxa"/>
            <w:vAlign w:val="bottom"/>
          </w:tcPr>
          <w:p>
            <w:pPr>
              <w:spacing w:after="0"/>
              <w:rPr>
                <w:sz w:val="1"/>
                <w:szCs w:val="1"/>
                <w:color w:val="auto"/>
              </w:rPr>
            </w:pPr>
          </w:p>
        </w:tc>
      </w:tr>
      <w:tr>
        <w:trPr>
          <w:trHeight w:val="229"/>
        </w:trPr>
        <w:tc>
          <w:tcPr>
            <w:tcW w:w="2000" w:type="dxa"/>
            <w:vAlign w:val="bottom"/>
          </w:tcPr>
          <w:p>
            <w:pPr>
              <w:ind w:left="460"/>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ITEM 1B.</w:t>
              </w:r>
            </w:hyperlink>
          </w:p>
        </w:tc>
        <w:tc>
          <w:tcPr>
            <w:tcW w:w="8240" w:type="dxa"/>
            <w:vAlign w:val="bottom"/>
            <w:gridSpan w:val="6"/>
          </w:tcPr>
          <w:p>
            <w:pPr>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UNRESOLVED STAFF COMMENTS</w:t>
              </w:r>
            </w:hyperlink>
          </w:p>
        </w:tc>
        <w:tc>
          <w:tcPr>
            <w:tcW w:w="980" w:type="dxa"/>
            <w:vAlign w:val="bottom"/>
          </w:tcPr>
          <w:p>
            <w:pPr>
              <w:jc w:val="center"/>
              <w:spacing w:after="0"/>
              <w:rPr>
                <w:rFonts w:ascii="Arial" w:cs="Arial" w:eastAsia="Arial" w:hAnsi="Arial"/>
                <w:sz w:val="18"/>
                <w:szCs w:val="18"/>
                <w:u w:val="single" w:color="auto"/>
                <w:color w:val="0000FF"/>
                <w:w w:val="89"/>
              </w:rPr>
            </w:pPr>
            <w:hyperlink w:anchor="page24">
              <w:r>
                <w:rPr>
                  <w:rFonts w:ascii="Arial" w:cs="Arial" w:eastAsia="Arial" w:hAnsi="Arial"/>
                  <w:sz w:val="18"/>
                  <w:szCs w:val="18"/>
                  <w:u w:val="single" w:color="auto"/>
                  <w:color w:val="0000FF"/>
                  <w:w w:val="89"/>
                </w:rPr>
                <w:t>24</w:t>
              </w:r>
            </w:hyperlink>
          </w:p>
        </w:tc>
        <w:tc>
          <w:tcPr>
            <w:tcW w:w="0" w:type="dxa"/>
            <w:vAlign w:val="bottom"/>
          </w:tcPr>
          <w:p>
            <w:pPr>
              <w:spacing w:after="0"/>
              <w:rPr>
                <w:sz w:val="1"/>
                <w:szCs w:val="1"/>
                <w:color w:val="auto"/>
              </w:rPr>
            </w:pPr>
          </w:p>
        </w:tc>
      </w:tr>
      <w:tr>
        <w:trPr>
          <w:trHeight w:val="230"/>
        </w:trPr>
        <w:tc>
          <w:tcPr>
            <w:tcW w:w="2000" w:type="dxa"/>
            <w:vAlign w:val="bottom"/>
          </w:tcPr>
          <w:p>
            <w:pPr>
              <w:ind w:left="460"/>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ITEM 2.</w:t>
              </w:r>
            </w:hyperlink>
          </w:p>
        </w:tc>
        <w:tc>
          <w:tcPr>
            <w:tcW w:w="8240" w:type="dxa"/>
            <w:vAlign w:val="bottom"/>
            <w:gridSpan w:val="6"/>
          </w:tcPr>
          <w:p>
            <w:pPr>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PROPERTIES</w:t>
              </w:r>
            </w:hyperlink>
          </w:p>
        </w:tc>
        <w:tc>
          <w:tcPr>
            <w:tcW w:w="980" w:type="dxa"/>
            <w:vAlign w:val="bottom"/>
          </w:tcPr>
          <w:p>
            <w:pPr>
              <w:jc w:val="center"/>
              <w:spacing w:after="0"/>
              <w:rPr>
                <w:rFonts w:ascii="Arial" w:cs="Arial" w:eastAsia="Arial" w:hAnsi="Arial"/>
                <w:sz w:val="18"/>
                <w:szCs w:val="18"/>
                <w:u w:val="single" w:color="auto"/>
                <w:color w:val="0000FF"/>
                <w:w w:val="89"/>
              </w:rPr>
            </w:pPr>
            <w:hyperlink w:anchor="page24">
              <w:r>
                <w:rPr>
                  <w:rFonts w:ascii="Arial" w:cs="Arial" w:eastAsia="Arial" w:hAnsi="Arial"/>
                  <w:sz w:val="18"/>
                  <w:szCs w:val="18"/>
                  <w:u w:val="single" w:color="auto"/>
                  <w:color w:val="0000FF"/>
                  <w:w w:val="89"/>
                </w:rPr>
                <w:t>24</w:t>
              </w:r>
            </w:hyperlink>
          </w:p>
        </w:tc>
        <w:tc>
          <w:tcPr>
            <w:tcW w:w="0" w:type="dxa"/>
            <w:vAlign w:val="bottom"/>
          </w:tcPr>
          <w:p>
            <w:pPr>
              <w:spacing w:after="0"/>
              <w:rPr>
                <w:sz w:val="1"/>
                <w:szCs w:val="1"/>
                <w:color w:val="auto"/>
              </w:rPr>
            </w:pPr>
          </w:p>
        </w:tc>
      </w:tr>
      <w:tr>
        <w:trPr>
          <w:trHeight w:val="229"/>
        </w:trPr>
        <w:tc>
          <w:tcPr>
            <w:tcW w:w="2000" w:type="dxa"/>
            <w:vAlign w:val="bottom"/>
          </w:tcPr>
          <w:p>
            <w:pPr>
              <w:ind w:left="460"/>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ITEM 3.</w:t>
              </w:r>
            </w:hyperlink>
          </w:p>
        </w:tc>
        <w:tc>
          <w:tcPr>
            <w:tcW w:w="8240" w:type="dxa"/>
            <w:vAlign w:val="bottom"/>
            <w:gridSpan w:val="6"/>
          </w:tcPr>
          <w:p>
            <w:pPr>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LEGAL PROCEEDINGS</w:t>
              </w:r>
            </w:hyperlink>
          </w:p>
        </w:tc>
        <w:tc>
          <w:tcPr>
            <w:tcW w:w="980" w:type="dxa"/>
            <w:vAlign w:val="bottom"/>
          </w:tcPr>
          <w:p>
            <w:pPr>
              <w:jc w:val="center"/>
              <w:spacing w:after="0"/>
              <w:rPr>
                <w:rFonts w:ascii="Arial" w:cs="Arial" w:eastAsia="Arial" w:hAnsi="Arial"/>
                <w:sz w:val="18"/>
                <w:szCs w:val="18"/>
                <w:u w:val="single" w:color="auto"/>
                <w:color w:val="0000FF"/>
                <w:w w:val="89"/>
              </w:rPr>
            </w:pPr>
            <w:hyperlink w:anchor="page24">
              <w:r>
                <w:rPr>
                  <w:rFonts w:ascii="Arial" w:cs="Arial" w:eastAsia="Arial" w:hAnsi="Arial"/>
                  <w:sz w:val="18"/>
                  <w:szCs w:val="18"/>
                  <w:u w:val="single" w:color="auto"/>
                  <w:color w:val="0000FF"/>
                  <w:w w:val="89"/>
                </w:rPr>
                <w:t>24</w:t>
              </w:r>
            </w:hyperlink>
          </w:p>
        </w:tc>
        <w:tc>
          <w:tcPr>
            <w:tcW w:w="0" w:type="dxa"/>
            <w:vAlign w:val="bottom"/>
          </w:tcPr>
          <w:p>
            <w:pPr>
              <w:spacing w:after="0"/>
              <w:rPr>
                <w:sz w:val="1"/>
                <w:szCs w:val="1"/>
                <w:color w:val="auto"/>
              </w:rPr>
            </w:pPr>
          </w:p>
        </w:tc>
      </w:tr>
      <w:tr>
        <w:trPr>
          <w:trHeight w:val="230"/>
        </w:trPr>
        <w:tc>
          <w:tcPr>
            <w:tcW w:w="2000" w:type="dxa"/>
            <w:vAlign w:val="bottom"/>
          </w:tcPr>
          <w:p>
            <w:pPr>
              <w:ind w:left="460"/>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ITEM 4.</w:t>
              </w:r>
            </w:hyperlink>
          </w:p>
        </w:tc>
        <w:tc>
          <w:tcPr>
            <w:tcW w:w="8240" w:type="dxa"/>
            <w:vAlign w:val="bottom"/>
            <w:gridSpan w:val="6"/>
          </w:tcPr>
          <w:p>
            <w:pPr>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MINE SAFETY DISCLOSURES</w:t>
              </w:r>
            </w:hyperlink>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center"/>
              <w:spacing w:after="0"/>
              <w:rPr>
                <w:rFonts w:ascii="Arial" w:cs="Arial" w:eastAsia="Arial" w:hAnsi="Arial"/>
                <w:sz w:val="18"/>
                <w:szCs w:val="18"/>
                <w:u w:val="single" w:color="auto"/>
                <w:color w:val="0000FF"/>
                <w:w w:val="89"/>
              </w:rPr>
            </w:pPr>
            <w:hyperlink w:anchor="page24">
              <w:r>
                <w:rPr>
                  <w:rFonts w:ascii="Arial" w:cs="Arial" w:eastAsia="Arial" w:hAnsi="Arial"/>
                  <w:sz w:val="18"/>
                  <w:szCs w:val="18"/>
                  <w:u w:val="single" w:color="auto"/>
                  <w:color w:val="0000FF"/>
                  <w:w w:val="89"/>
                </w:rPr>
                <w:t>24</w:t>
              </w:r>
            </w:hyperlink>
          </w:p>
        </w:tc>
        <w:tc>
          <w:tcPr>
            <w:tcW w:w="0" w:type="dxa"/>
            <w:vAlign w:val="bottom"/>
          </w:tcPr>
          <w:p>
            <w:pPr>
              <w:spacing w:after="0"/>
              <w:rPr>
                <w:sz w:val="1"/>
                <w:szCs w:val="1"/>
                <w:color w:val="auto"/>
              </w:rPr>
            </w:pPr>
          </w:p>
        </w:tc>
      </w:tr>
      <w:tr>
        <w:trPr>
          <w:trHeight w:val="445"/>
        </w:trPr>
        <w:tc>
          <w:tcPr>
            <w:tcW w:w="2000" w:type="dxa"/>
            <w:vAlign w:val="bottom"/>
          </w:tcPr>
          <w:p>
            <w:pPr>
              <w:spacing w:after="0"/>
              <w:rPr>
                <w:rFonts w:ascii="Arial" w:cs="Arial" w:eastAsia="Arial" w:hAnsi="Arial"/>
                <w:sz w:val="18"/>
                <w:szCs w:val="18"/>
                <w:b w:val="1"/>
                <w:bCs w:val="1"/>
                <w:u w:val="single" w:color="auto"/>
                <w:color w:val="0000FF"/>
              </w:rPr>
            </w:pPr>
            <w:hyperlink w:anchor="page24">
              <w:r>
                <w:rPr>
                  <w:rFonts w:ascii="Arial" w:cs="Arial" w:eastAsia="Arial" w:hAnsi="Arial"/>
                  <w:sz w:val="18"/>
                  <w:szCs w:val="18"/>
                  <w:b w:val="1"/>
                  <w:bCs w:val="1"/>
                  <w:u w:val="single" w:color="auto"/>
                  <w:color w:val="0000FF"/>
                </w:rPr>
                <w:t>PART II</w:t>
              </w:r>
            </w:hyperlink>
          </w:p>
        </w:tc>
        <w:tc>
          <w:tcPr>
            <w:tcW w:w="11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00" w:type="dxa"/>
            <w:vAlign w:val="bottom"/>
          </w:tcPr>
          <w:p>
            <w:pPr>
              <w:ind w:left="460"/>
              <w:spacing w:after="0" w:line="190" w:lineRule="exact"/>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ITEM 5.</w:t>
              </w:r>
            </w:hyperlink>
          </w:p>
        </w:tc>
        <w:tc>
          <w:tcPr>
            <w:tcW w:w="8240" w:type="dxa"/>
            <w:vAlign w:val="bottom"/>
            <w:gridSpan w:val="6"/>
          </w:tcPr>
          <w:p>
            <w:pPr>
              <w:spacing w:after="0" w:line="190" w:lineRule="exact"/>
              <w:rPr>
                <w:rFonts w:ascii="Arial" w:cs="Arial" w:eastAsia="Arial" w:hAnsi="Arial"/>
                <w:sz w:val="18"/>
                <w:szCs w:val="18"/>
                <w:color w:val="0000FF"/>
              </w:rPr>
            </w:pPr>
            <w:hyperlink w:anchor="page25">
              <w:r>
                <w:rPr>
                  <w:rFonts w:ascii="Arial" w:cs="Arial" w:eastAsia="Arial" w:hAnsi="Arial"/>
                  <w:sz w:val="18"/>
                  <w:szCs w:val="18"/>
                  <w:color w:val="0000FF"/>
                </w:rPr>
                <w:t>MARKET FOR REGISTRANT’S COMMON EQUITY, RELATED STOCKHOLDER MATTERS AND</w:t>
              </w:r>
            </w:hyperlink>
          </w:p>
        </w:tc>
        <w:tc>
          <w:tcPr>
            <w:tcW w:w="980" w:type="dxa"/>
            <w:vAlign w:val="bottom"/>
            <w:vMerge w:val="restart"/>
          </w:tcPr>
          <w:p>
            <w:pPr>
              <w:jc w:val="center"/>
              <w:spacing w:after="0"/>
              <w:rPr>
                <w:rFonts w:ascii="Arial" w:cs="Arial" w:eastAsia="Arial" w:hAnsi="Arial"/>
                <w:sz w:val="18"/>
                <w:szCs w:val="18"/>
                <w:u w:val="single" w:color="auto"/>
                <w:color w:val="0000FF"/>
                <w:w w:val="89"/>
              </w:rPr>
            </w:pPr>
            <w:hyperlink w:anchor="page25">
              <w:r>
                <w:rPr>
                  <w:rFonts w:ascii="Arial" w:cs="Arial" w:eastAsia="Arial" w:hAnsi="Arial"/>
                  <w:sz w:val="18"/>
                  <w:szCs w:val="18"/>
                  <w:u w:val="single" w:color="auto"/>
                  <w:color w:val="0000FF"/>
                  <w:w w:val="89"/>
                </w:rPr>
                <w:t>25</w:t>
              </w:r>
            </w:hyperlink>
          </w:p>
        </w:tc>
        <w:tc>
          <w:tcPr>
            <w:tcW w:w="0" w:type="dxa"/>
            <w:vAlign w:val="bottom"/>
          </w:tcPr>
          <w:p>
            <w:pPr>
              <w:spacing w:after="0"/>
              <w:rPr>
                <w:sz w:val="1"/>
                <w:szCs w:val="1"/>
                <w:color w:val="auto"/>
              </w:rPr>
            </w:pPr>
          </w:p>
        </w:tc>
      </w:tr>
      <w:tr>
        <w:trPr>
          <w:trHeight w:val="156"/>
        </w:trPr>
        <w:tc>
          <w:tcPr>
            <w:tcW w:w="2000" w:type="dxa"/>
            <w:vAlign w:val="bottom"/>
          </w:tcPr>
          <w:p>
            <w:pPr>
              <w:spacing w:after="0"/>
              <w:rPr>
                <w:sz w:val="13"/>
                <w:szCs w:val="13"/>
                <w:color w:val="auto"/>
              </w:rPr>
            </w:pPr>
          </w:p>
        </w:tc>
        <w:tc>
          <w:tcPr>
            <w:tcW w:w="7580" w:type="dxa"/>
            <w:vAlign w:val="bottom"/>
            <w:tcBorders>
              <w:top w:val="single" w:sz="8" w:color="0000FF"/>
            </w:tcBorders>
            <w:gridSpan w:val="3"/>
          </w:tcPr>
          <w:p>
            <w:pPr>
              <w:spacing w:after="0" w:line="156" w:lineRule="exact"/>
              <w:rPr>
                <w:rFonts w:ascii="Arial" w:cs="Arial" w:eastAsia="Arial" w:hAnsi="Arial"/>
                <w:sz w:val="18"/>
                <w:szCs w:val="18"/>
                <w:color w:val="0000FF"/>
              </w:rPr>
            </w:pPr>
            <w:hyperlink w:anchor="page25">
              <w:r>
                <w:rPr>
                  <w:rFonts w:ascii="Arial" w:cs="Arial" w:eastAsia="Arial" w:hAnsi="Arial"/>
                  <w:sz w:val="18"/>
                  <w:szCs w:val="18"/>
                  <w:color w:val="0000FF"/>
                </w:rPr>
                <w:t>ISSUER PURCHASES OF EQUITY SECURITIES</w:t>
              </w:r>
            </w:hyperlink>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00" w:type="dxa"/>
            <w:vAlign w:val="bottom"/>
          </w:tcPr>
          <w:p>
            <w:pPr>
              <w:ind w:left="460"/>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ITEM 6.</w:t>
              </w:r>
            </w:hyperlink>
          </w:p>
        </w:tc>
        <w:tc>
          <w:tcPr>
            <w:tcW w:w="3740" w:type="dxa"/>
            <w:vAlign w:val="bottom"/>
            <w:tcBorders>
              <w:top w:val="single" w:sz="8" w:color="0000FF"/>
            </w:tcBorders>
            <w:gridSpan w:val="2"/>
          </w:tcPr>
          <w:p>
            <w:pPr>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SELECTED FINANCIAL DATA</w:t>
              </w:r>
            </w:hyperlink>
          </w:p>
        </w:tc>
        <w:tc>
          <w:tcPr>
            <w:tcW w:w="4500" w:type="dxa"/>
            <w:vAlign w:val="bottom"/>
            <w:gridSpan w:val="4"/>
          </w:tcPr>
          <w:p>
            <w:pPr>
              <w:spacing w:after="0"/>
              <w:rPr>
                <w:sz w:val="21"/>
                <w:szCs w:val="21"/>
                <w:color w:val="auto"/>
              </w:rPr>
            </w:pPr>
          </w:p>
        </w:tc>
        <w:tc>
          <w:tcPr>
            <w:tcW w:w="980" w:type="dxa"/>
            <w:vAlign w:val="bottom"/>
          </w:tcPr>
          <w:p>
            <w:pPr>
              <w:jc w:val="center"/>
              <w:spacing w:after="0"/>
              <w:rPr>
                <w:rFonts w:ascii="Arial" w:cs="Arial" w:eastAsia="Arial" w:hAnsi="Arial"/>
                <w:sz w:val="18"/>
                <w:szCs w:val="18"/>
                <w:u w:val="single" w:color="auto"/>
                <w:color w:val="0000FF"/>
                <w:w w:val="89"/>
              </w:rPr>
            </w:pPr>
            <w:hyperlink w:anchor="page26">
              <w:r>
                <w:rPr>
                  <w:rFonts w:ascii="Arial" w:cs="Arial" w:eastAsia="Arial" w:hAnsi="Arial"/>
                  <w:sz w:val="18"/>
                  <w:szCs w:val="18"/>
                  <w:u w:val="single" w:color="auto"/>
                  <w:color w:val="0000FF"/>
                  <w:w w:val="89"/>
                </w:rPr>
                <w:t>27</w:t>
              </w:r>
            </w:hyperlink>
          </w:p>
        </w:tc>
        <w:tc>
          <w:tcPr>
            <w:tcW w:w="0" w:type="dxa"/>
            <w:vAlign w:val="bottom"/>
          </w:tcPr>
          <w:p>
            <w:pPr>
              <w:spacing w:after="0"/>
              <w:rPr>
                <w:sz w:val="1"/>
                <w:szCs w:val="1"/>
                <w:color w:val="auto"/>
              </w:rPr>
            </w:pPr>
          </w:p>
        </w:tc>
      </w:tr>
      <w:tr>
        <w:trPr>
          <w:trHeight w:val="190"/>
        </w:trPr>
        <w:tc>
          <w:tcPr>
            <w:tcW w:w="2000" w:type="dxa"/>
            <w:vAlign w:val="bottom"/>
          </w:tcPr>
          <w:p>
            <w:pPr>
              <w:ind w:left="460"/>
              <w:spacing w:after="0" w:line="190" w:lineRule="exact"/>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ITEM 7.</w:t>
              </w:r>
            </w:hyperlink>
          </w:p>
        </w:tc>
        <w:tc>
          <w:tcPr>
            <w:tcW w:w="8240" w:type="dxa"/>
            <w:vAlign w:val="bottom"/>
            <w:gridSpan w:val="6"/>
          </w:tcPr>
          <w:p>
            <w:pPr>
              <w:spacing w:after="0" w:line="190" w:lineRule="exact"/>
              <w:rPr>
                <w:rFonts w:ascii="Arial" w:cs="Arial" w:eastAsia="Arial" w:hAnsi="Arial"/>
                <w:sz w:val="18"/>
                <w:szCs w:val="18"/>
                <w:color w:val="0000FF"/>
              </w:rPr>
            </w:pPr>
            <w:hyperlink w:anchor="page33">
              <w:r>
                <w:rPr>
                  <w:rFonts w:ascii="Arial" w:cs="Arial" w:eastAsia="Arial" w:hAnsi="Arial"/>
                  <w:sz w:val="18"/>
                  <w:szCs w:val="18"/>
                  <w:color w:val="0000FF"/>
                </w:rPr>
                <w:t>MANAGEMENT’S DISCUSSION AND ANALYSIS OF FINANCIAL CONDITION AND RESULTS OF</w:t>
              </w:r>
            </w:hyperlink>
          </w:p>
        </w:tc>
        <w:tc>
          <w:tcPr>
            <w:tcW w:w="980" w:type="dxa"/>
            <w:vAlign w:val="bottom"/>
            <w:vMerge w:val="restart"/>
          </w:tcPr>
          <w:p>
            <w:pPr>
              <w:jc w:val="center"/>
              <w:spacing w:after="0"/>
              <w:rPr>
                <w:rFonts w:ascii="Arial" w:cs="Arial" w:eastAsia="Arial" w:hAnsi="Arial"/>
                <w:sz w:val="18"/>
                <w:szCs w:val="18"/>
                <w:u w:val="single" w:color="auto"/>
                <w:color w:val="0000FF"/>
                <w:w w:val="89"/>
              </w:rPr>
            </w:pPr>
            <w:hyperlink w:anchor="page33">
              <w:r>
                <w:rPr>
                  <w:rFonts w:ascii="Arial" w:cs="Arial" w:eastAsia="Arial" w:hAnsi="Arial"/>
                  <w:sz w:val="18"/>
                  <w:szCs w:val="18"/>
                  <w:u w:val="single" w:color="auto"/>
                  <w:color w:val="0000FF"/>
                  <w:w w:val="89"/>
                </w:rPr>
                <w:t>34</w:t>
              </w:r>
            </w:hyperlink>
          </w:p>
        </w:tc>
        <w:tc>
          <w:tcPr>
            <w:tcW w:w="0" w:type="dxa"/>
            <w:vAlign w:val="bottom"/>
          </w:tcPr>
          <w:p>
            <w:pPr>
              <w:spacing w:after="0"/>
              <w:rPr>
                <w:sz w:val="1"/>
                <w:szCs w:val="1"/>
                <w:color w:val="auto"/>
              </w:rPr>
            </w:pPr>
          </w:p>
        </w:tc>
      </w:tr>
      <w:tr>
        <w:trPr>
          <w:trHeight w:val="156"/>
        </w:trPr>
        <w:tc>
          <w:tcPr>
            <w:tcW w:w="2000" w:type="dxa"/>
            <w:vAlign w:val="bottom"/>
          </w:tcPr>
          <w:p>
            <w:pPr>
              <w:spacing w:after="0"/>
              <w:rPr>
                <w:sz w:val="13"/>
                <w:szCs w:val="13"/>
                <w:color w:val="auto"/>
              </w:rPr>
            </w:pPr>
          </w:p>
        </w:tc>
        <w:tc>
          <w:tcPr>
            <w:tcW w:w="11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1"/>
              </w:rPr>
            </w:pPr>
            <w:hyperlink w:anchor="page33">
              <w:r>
                <w:rPr>
                  <w:rFonts w:ascii="Arial" w:cs="Arial" w:eastAsia="Arial" w:hAnsi="Arial"/>
                  <w:sz w:val="18"/>
                  <w:szCs w:val="18"/>
                  <w:color w:val="0000FF"/>
                  <w:w w:val="91"/>
                </w:rPr>
                <w:t>OPERATIONS</w:t>
              </w:r>
            </w:hyperlink>
          </w:p>
        </w:tc>
        <w:tc>
          <w:tcPr>
            <w:tcW w:w="6660" w:type="dxa"/>
            <w:vAlign w:val="bottom"/>
            <w:tcBorders>
              <w:top w:val="single" w:sz="8" w:color="0000FF"/>
            </w:tcBorders>
            <w:gridSpan w:val="3"/>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00" w:type="dxa"/>
            <w:vAlign w:val="bottom"/>
          </w:tcPr>
          <w:p>
            <w:pPr>
              <w:ind w:left="46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ITEM 7A.</w:t>
              </w:r>
            </w:hyperlink>
          </w:p>
        </w:tc>
        <w:tc>
          <w:tcPr>
            <w:tcW w:w="8240" w:type="dxa"/>
            <w:vAlign w:val="bottom"/>
            <w:gridSpan w:val="6"/>
          </w:tcPr>
          <w:p>
            <w:pPr>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QUANTITATIVE AND QUALITATIVE DISCLOSURES ABOUT MARKET RISK</w:t>
              </w:r>
            </w:hyperlink>
          </w:p>
        </w:tc>
        <w:tc>
          <w:tcPr>
            <w:tcW w:w="980" w:type="dxa"/>
            <w:vAlign w:val="bottom"/>
          </w:tcPr>
          <w:p>
            <w:pPr>
              <w:jc w:val="center"/>
              <w:spacing w:after="0"/>
              <w:rPr>
                <w:rFonts w:ascii="Arial" w:cs="Arial" w:eastAsia="Arial" w:hAnsi="Arial"/>
                <w:sz w:val="18"/>
                <w:szCs w:val="18"/>
                <w:u w:val="single" w:color="auto"/>
                <w:color w:val="0000FF"/>
                <w:w w:val="89"/>
              </w:rPr>
            </w:pPr>
            <w:hyperlink w:anchor="page52">
              <w:r>
                <w:rPr>
                  <w:rFonts w:ascii="Arial" w:cs="Arial" w:eastAsia="Arial" w:hAnsi="Arial"/>
                  <w:sz w:val="18"/>
                  <w:szCs w:val="18"/>
                  <w:u w:val="single" w:color="auto"/>
                  <w:color w:val="0000FF"/>
                  <w:w w:val="89"/>
                </w:rPr>
                <w:t>53</w:t>
              </w:r>
            </w:hyperlink>
          </w:p>
        </w:tc>
        <w:tc>
          <w:tcPr>
            <w:tcW w:w="0" w:type="dxa"/>
            <w:vAlign w:val="bottom"/>
          </w:tcPr>
          <w:p>
            <w:pPr>
              <w:spacing w:after="0"/>
              <w:rPr>
                <w:sz w:val="1"/>
                <w:szCs w:val="1"/>
                <w:color w:val="auto"/>
              </w:rPr>
            </w:pPr>
          </w:p>
        </w:tc>
      </w:tr>
      <w:tr>
        <w:trPr>
          <w:trHeight w:val="230"/>
        </w:trPr>
        <w:tc>
          <w:tcPr>
            <w:tcW w:w="2000" w:type="dxa"/>
            <w:vAlign w:val="bottom"/>
          </w:tcPr>
          <w:p>
            <w:pPr>
              <w:ind w:left="46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ITEM 8.</w:t>
              </w:r>
            </w:hyperlink>
          </w:p>
        </w:tc>
        <w:tc>
          <w:tcPr>
            <w:tcW w:w="8240" w:type="dxa"/>
            <w:vAlign w:val="bottom"/>
            <w:gridSpan w:val="6"/>
          </w:tcPr>
          <w:p>
            <w:pPr>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FINANCIAL STATEMENTS AND SUPPLEMENTARY DATA</w:t>
              </w:r>
            </w:hyperlink>
          </w:p>
        </w:tc>
        <w:tc>
          <w:tcPr>
            <w:tcW w:w="980" w:type="dxa"/>
            <w:vAlign w:val="bottom"/>
          </w:tcPr>
          <w:p>
            <w:pPr>
              <w:jc w:val="center"/>
              <w:spacing w:after="0"/>
              <w:rPr>
                <w:rFonts w:ascii="Arial" w:cs="Arial" w:eastAsia="Arial" w:hAnsi="Arial"/>
                <w:sz w:val="18"/>
                <w:szCs w:val="18"/>
                <w:u w:val="single" w:color="auto"/>
                <w:color w:val="0000FF"/>
                <w:w w:val="89"/>
              </w:rPr>
            </w:pPr>
            <w:hyperlink w:anchor="page53">
              <w:r>
                <w:rPr>
                  <w:rFonts w:ascii="Arial" w:cs="Arial" w:eastAsia="Arial" w:hAnsi="Arial"/>
                  <w:sz w:val="18"/>
                  <w:szCs w:val="18"/>
                  <w:u w:val="single" w:color="auto"/>
                  <w:color w:val="0000FF"/>
                  <w:w w:val="89"/>
                </w:rPr>
                <w:t>54</w:t>
              </w:r>
            </w:hyperlink>
          </w:p>
        </w:tc>
        <w:tc>
          <w:tcPr>
            <w:tcW w:w="0" w:type="dxa"/>
            <w:vAlign w:val="bottom"/>
          </w:tcPr>
          <w:p>
            <w:pPr>
              <w:spacing w:after="0"/>
              <w:rPr>
                <w:sz w:val="1"/>
                <w:szCs w:val="1"/>
                <w:color w:val="auto"/>
              </w:rPr>
            </w:pPr>
          </w:p>
        </w:tc>
      </w:tr>
      <w:tr>
        <w:trPr>
          <w:trHeight w:val="190"/>
        </w:trPr>
        <w:tc>
          <w:tcPr>
            <w:tcW w:w="2000" w:type="dxa"/>
            <w:vAlign w:val="bottom"/>
          </w:tcPr>
          <w:p>
            <w:pPr>
              <w:ind w:left="460"/>
              <w:spacing w:after="0" w:line="190" w:lineRule="exact"/>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ITEM 9.</w:t>
              </w:r>
            </w:hyperlink>
          </w:p>
        </w:tc>
        <w:tc>
          <w:tcPr>
            <w:tcW w:w="8240" w:type="dxa"/>
            <w:vAlign w:val="bottom"/>
            <w:gridSpan w:val="6"/>
          </w:tcPr>
          <w:p>
            <w:pPr>
              <w:spacing w:after="0" w:line="190" w:lineRule="exact"/>
              <w:rPr>
                <w:rFonts w:ascii="Arial" w:cs="Arial" w:eastAsia="Arial" w:hAnsi="Arial"/>
                <w:sz w:val="18"/>
                <w:szCs w:val="18"/>
                <w:color w:val="0000FF"/>
              </w:rPr>
            </w:pPr>
            <w:hyperlink w:anchor="page92">
              <w:r>
                <w:rPr>
                  <w:rFonts w:ascii="Arial" w:cs="Arial" w:eastAsia="Arial" w:hAnsi="Arial"/>
                  <w:sz w:val="18"/>
                  <w:szCs w:val="18"/>
                  <w:color w:val="0000FF"/>
                </w:rPr>
                <w:t>CHANGES IN AND DISAGREEMENTS WITH ACCOUNTANTS ON ACCOUNTING AND FINANCIAL</w:t>
              </w:r>
            </w:hyperlink>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00" w:type="dxa"/>
            <w:vAlign w:val="bottom"/>
          </w:tcPr>
          <w:p>
            <w:pPr>
              <w:spacing w:after="0"/>
              <w:rPr>
                <w:sz w:val="13"/>
                <w:szCs w:val="13"/>
                <w:color w:val="auto"/>
              </w:rPr>
            </w:pPr>
          </w:p>
        </w:tc>
        <w:tc>
          <w:tcPr>
            <w:tcW w:w="792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w:anchor="page92">
              <w:r>
                <w:rPr>
                  <w:rFonts w:ascii="Arial" w:cs="Arial" w:eastAsia="Arial" w:hAnsi="Arial"/>
                  <w:sz w:val="18"/>
                  <w:szCs w:val="18"/>
                  <w:color w:val="0000FF"/>
                </w:rPr>
                <w:t>DISCLOSURE</w:t>
              </w:r>
            </w:hyperlink>
          </w:p>
        </w:tc>
        <w:tc>
          <w:tcPr>
            <w:tcW w:w="320" w:type="dxa"/>
            <w:vAlign w:val="bottom"/>
          </w:tcPr>
          <w:p>
            <w:pPr>
              <w:spacing w:after="0"/>
              <w:rPr>
                <w:sz w:val="13"/>
                <w:szCs w:val="13"/>
                <w:color w:val="auto"/>
              </w:rPr>
            </w:pPr>
          </w:p>
        </w:tc>
        <w:tc>
          <w:tcPr>
            <w:tcW w:w="980" w:type="dxa"/>
            <w:vAlign w:val="bottom"/>
            <w:vMerge w:val="restart"/>
          </w:tcPr>
          <w:p>
            <w:pPr>
              <w:jc w:val="center"/>
              <w:spacing w:after="0"/>
              <w:rPr>
                <w:rFonts w:ascii="Arial" w:cs="Arial" w:eastAsia="Arial" w:hAnsi="Arial"/>
                <w:sz w:val="18"/>
                <w:szCs w:val="18"/>
                <w:u w:val="single" w:color="auto"/>
                <w:color w:val="0000FF"/>
                <w:w w:val="89"/>
              </w:rPr>
            </w:pPr>
            <w:hyperlink w:anchor="page92">
              <w:r>
                <w:rPr>
                  <w:rFonts w:ascii="Arial" w:cs="Arial" w:eastAsia="Arial" w:hAnsi="Arial"/>
                  <w:sz w:val="18"/>
                  <w:szCs w:val="18"/>
                  <w:u w:val="single" w:color="auto"/>
                  <w:color w:val="0000FF"/>
                  <w:w w:val="89"/>
                </w:rPr>
                <w:t>93</w:t>
              </w:r>
            </w:hyperlink>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1100" w:type="dxa"/>
            <w:vAlign w:val="bottom"/>
            <w:tcBorders>
              <w:top w:val="single" w:sz="8" w:color="0000FF"/>
            </w:tcBorders>
          </w:tcPr>
          <w:p>
            <w:pPr>
              <w:spacing w:after="0"/>
              <w:rPr>
                <w:sz w:val="7"/>
                <w:szCs w:val="7"/>
                <w:color w:val="auto"/>
              </w:rPr>
            </w:pPr>
          </w:p>
        </w:tc>
        <w:tc>
          <w:tcPr>
            <w:tcW w:w="2640" w:type="dxa"/>
            <w:vAlign w:val="bottom"/>
          </w:tcPr>
          <w:p>
            <w:pPr>
              <w:spacing w:after="0"/>
              <w:rPr>
                <w:sz w:val="7"/>
                <w:szCs w:val="7"/>
                <w:color w:val="auto"/>
              </w:rPr>
            </w:pPr>
          </w:p>
        </w:tc>
        <w:tc>
          <w:tcPr>
            <w:tcW w:w="3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00" w:type="dxa"/>
            <w:vAlign w:val="bottom"/>
          </w:tcPr>
          <w:p>
            <w:pPr>
              <w:ind w:left="460"/>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ITEM 9A.</w:t>
              </w:r>
            </w:hyperlink>
          </w:p>
        </w:tc>
        <w:tc>
          <w:tcPr>
            <w:tcW w:w="8240" w:type="dxa"/>
            <w:vAlign w:val="bottom"/>
            <w:gridSpan w:val="6"/>
          </w:tcPr>
          <w:p>
            <w:pPr>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CONTROLS AND PROCEDURES</w:t>
              </w:r>
            </w:hyperlink>
          </w:p>
        </w:tc>
        <w:tc>
          <w:tcPr>
            <w:tcW w:w="980" w:type="dxa"/>
            <w:vAlign w:val="bottom"/>
          </w:tcPr>
          <w:p>
            <w:pPr>
              <w:jc w:val="center"/>
              <w:spacing w:after="0"/>
              <w:rPr>
                <w:rFonts w:ascii="Arial" w:cs="Arial" w:eastAsia="Arial" w:hAnsi="Arial"/>
                <w:sz w:val="18"/>
                <w:szCs w:val="18"/>
                <w:u w:val="single" w:color="auto"/>
                <w:color w:val="0000FF"/>
                <w:w w:val="89"/>
              </w:rPr>
            </w:pPr>
            <w:hyperlink w:anchor="page93">
              <w:r>
                <w:rPr>
                  <w:rFonts w:ascii="Arial" w:cs="Arial" w:eastAsia="Arial" w:hAnsi="Arial"/>
                  <w:sz w:val="18"/>
                  <w:szCs w:val="18"/>
                  <w:u w:val="single" w:color="auto"/>
                  <w:color w:val="0000FF"/>
                  <w:w w:val="89"/>
                </w:rPr>
                <w:t>93</w:t>
              </w:r>
            </w:hyperlink>
          </w:p>
        </w:tc>
        <w:tc>
          <w:tcPr>
            <w:tcW w:w="0" w:type="dxa"/>
            <w:vAlign w:val="bottom"/>
          </w:tcPr>
          <w:p>
            <w:pPr>
              <w:spacing w:after="0"/>
              <w:rPr>
                <w:sz w:val="1"/>
                <w:szCs w:val="1"/>
                <w:color w:val="auto"/>
              </w:rPr>
            </w:pPr>
          </w:p>
        </w:tc>
      </w:tr>
      <w:tr>
        <w:trPr>
          <w:trHeight w:val="230"/>
        </w:trPr>
        <w:tc>
          <w:tcPr>
            <w:tcW w:w="2000" w:type="dxa"/>
            <w:vAlign w:val="bottom"/>
          </w:tcPr>
          <w:p>
            <w:pPr>
              <w:ind w:left="460"/>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ITEM 9B.</w:t>
              </w:r>
            </w:hyperlink>
          </w:p>
        </w:tc>
        <w:tc>
          <w:tcPr>
            <w:tcW w:w="8240" w:type="dxa"/>
            <w:vAlign w:val="bottom"/>
            <w:gridSpan w:val="6"/>
          </w:tcPr>
          <w:p>
            <w:pPr>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OTHER INFORMATION</w:t>
              </w:r>
            </w:hyperlink>
          </w:p>
        </w:tc>
        <w:tc>
          <w:tcPr>
            <w:tcW w:w="980" w:type="dxa"/>
            <w:vAlign w:val="bottom"/>
          </w:tcPr>
          <w:p>
            <w:pPr>
              <w:jc w:val="center"/>
              <w:spacing w:after="0"/>
              <w:rPr>
                <w:rFonts w:ascii="Arial" w:cs="Arial" w:eastAsia="Arial" w:hAnsi="Arial"/>
                <w:sz w:val="18"/>
                <w:szCs w:val="18"/>
                <w:u w:val="single" w:color="auto"/>
                <w:color w:val="0000FF"/>
                <w:w w:val="89"/>
              </w:rPr>
            </w:pPr>
            <w:hyperlink w:anchor="page93">
              <w:r>
                <w:rPr>
                  <w:rFonts w:ascii="Arial" w:cs="Arial" w:eastAsia="Arial" w:hAnsi="Arial"/>
                  <w:sz w:val="18"/>
                  <w:szCs w:val="18"/>
                  <w:u w:val="single" w:color="auto"/>
                  <w:color w:val="0000FF"/>
                  <w:w w:val="89"/>
                </w:rPr>
                <w:t>93</w:t>
              </w:r>
            </w:hyperlink>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20"/>
        <w:spacing w:after="0"/>
        <w:rPr>
          <w:rFonts w:ascii="Arial" w:cs="Arial" w:eastAsia="Arial" w:hAnsi="Arial"/>
          <w:sz w:val="18"/>
          <w:szCs w:val="18"/>
          <w:b w:val="1"/>
          <w:bCs w:val="1"/>
          <w:u w:val="single" w:color="auto"/>
          <w:color w:val="0000FF"/>
        </w:rPr>
      </w:pPr>
      <w:hyperlink w:anchor="page93">
        <w:r>
          <w:rPr>
            <w:rFonts w:ascii="Arial" w:cs="Arial" w:eastAsia="Arial" w:hAnsi="Arial"/>
            <w:sz w:val="18"/>
            <w:szCs w:val="18"/>
            <w:b w:val="1"/>
            <w:bCs w:val="1"/>
            <w:u w:val="single" w:color="auto"/>
            <w:color w:val="0000FF"/>
          </w:rPr>
          <w:t>PART III</w:t>
        </w:r>
      </w:hyperlink>
    </w:p>
    <w:p>
      <w:pPr>
        <w:sectPr>
          <w:pgSz w:w="11900" w:h="16838" w:orient="portrait"/>
          <w:cols w:equalWidth="0" w:num="1">
            <w:col w:w="11240"/>
          </w:cols>
          <w:pgMar w:left="320" w:top="125" w:right="339" w:bottom="1440" w:gutter="0" w:footer="0" w:header="0"/>
        </w:sectPr>
      </w:pPr>
    </w:p>
    <w:p>
      <w:pPr>
        <w:spacing w:after="0" w:line="270" w:lineRule="exact"/>
        <w:rPr>
          <w:sz w:val="20"/>
          <w:szCs w:val="20"/>
          <w:color w:val="auto"/>
        </w:rPr>
      </w:pPr>
    </w:p>
    <w:p>
      <w:pPr>
        <w:ind w:left="480"/>
        <w:spacing w:after="0"/>
        <w:tabs>
          <w:tab w:leader="none" w:pos="2000" w:val="left"/>
        </w:tabs>
        <w:rPr>
          <w:rFonts w:ascii="Arial" w:cs="Arial" w:eastAsia="Arial" w:hAnsi="Arial"/>
          <w:sz w:val="17"/>
          <w:szCs w:val="17"/>
          <w:u w:val="single" w:color="auto"/>
          <w:color w:val="0000FF"/>
        </w:rPr>
      </w:pPr>
      <w:hyperlink w:anchor="page94">
        <w:r>
          <w:rPr>
            <w:rFonts w:ascii="Arial" w:cs="Arial" w:eastAsia="Arial" w:hAnsi="Arial"/>
            <w:sz w:val="18"/>
            <w:szCs w:val="18"/>
            <w:u w:val="single" w:color="auto"/>
            <w:color w:val="0000FF"/>
          </w:rPr>
          <w:t>ITEM 10.</w:t>
        </w:r>
      </w:hyperlink>
      <w:r>
        <w:rPr>
          <w:rFonts w:ascii="Arial" w:cs="Arial" w:eastAsia="Arial" w:hAnsi="Arial"/>
          <w:sz w:val="18"/>
          <w:szCs w:val="18"/>
          <w:u w:val="single" w:color="auto"/>
          <w:color w:val="0000FF"/>
        </w:rPr>
        <w:tab/>
      </w:r>
      <w:hyperlink w:anchor="page94">
        <w:r>
          <w:rPr>
            <w:rFonts w:ascii="Arial" w:cs="Arial" w:eastAsia="Arial" w:hAnsi="Arial"/>
            <w:sz w:val="17"/>
            <w:szCs w:val="17"/>
            <w:u w:val="single" w:color="auto"/>
            <w:color w:val="0000FF"/>
          </w:rPr>
          <w:t>DIRECTORS, EXECUTIVE OFFICERS AND CORPORATE GOVERNANCE</w:t>
        </w:r>
      </w:hyperlink>
    </w:p>
    <w:p>
      <w:pPr>
        <w:spacing w:after="0" w:line="23" w:lineRule="exact"/>
        <w:rPr>
          <w:sz w:val="20"/>
          <w:szCs w:val="20"/>
          <w:color w:val="auto"/>
        </w:rPr>
      </w:pPr>
    </w:p>
    <w:p>
      <w:pPr>
        <w:ind w:left="480"/>
        <w:spacing w:after="0"/>
        <w:tabs>
          <w:tab w:leader="none" w:pos="2000" w:val="left"/>
        </w:tabs>
        <w:rPr>
          <w:rFonts w:ascii="Arial" w:cs="Arial" w:eastAsia="Arial" w:hAnsi="Arial"/>
          <w:sz w:val="17"/>
          <w:szCs w:val="17"/>
          <w:u w:val="single" w:color="auto"/>
          <w:color w:val="0000FF"/>
        </w:rPr>
      </w:pPr>
      <w:hyperlink w:anchor="page94">
        <w:r>
          <w:rPr>
            <w:rFonts w:ascii="Arial" w:cs="Arial" w:eastAsia="Arial" w:hAnsi="Arial"/>
            <w:sz w:val="18"/>
            <w:szCs w:val="18"/>
            <w:u w:val="single" w:color="auto"/>
            <w:color w:val="0000FF"/>
          </w:rPr>
          <w:t>ITEM 11</w:t>
        </w:r>
        <w:r>
          <w:rPr>
            <w:rFonts w:ascii="Arial" w:cs="Arial" w:eastAsia="Arial" w:hAnsi="Arial"/>
            <w:sz w:val="18"/>
            <w:szCs w:val="18"/>
            <w:color w:val="0000FF"/>
          </w:rPr>
          <w:t>.</w:t>
        </w:r>
      </w:hyperlink>
      <w:r>
        <w:rPr>
          <w:rFonts w:ascii="Arial" w:cs="Arial" w:eastAsia="Arial" w:hAnsi="Arial"/>
          <w:sz w:val="18"/>
          <w:szCs w:val="18"/>
          <w:color w:val="0000FF"/>
        </w:rPr>
        <w:tab/>
      </w:r>
      <w:hyperlink w:anchor="page94">
        <w:r>
          <w:rPr>
            <w:rFonts w:ascii="Arial" w:cs="Arial" w:eastAsia="Arial" w:hAnsi="Arial"/>
            <w:sz w:val="17"/>
            <w:szCs w:val="17"/>
            <w:u w:val="single" w:color="auto"/>
            <w:color w:val="0000FF"/>
          </w:rPr>
          <w:t>EXECUTIVE COMPENSATION</w:t>
        </w:r>
      </w:hyperlink>
    </w:p>
    <w:p>
      <w:pPr>
        <w:spacing w:after="0" w:line="23" w:lineRule="exact"/>
        <w:rPr>
          <w:sz w:val="20"/>
          <w:szCs w:val="20"/>
          <w:color w:val="auto"/>
        </w:rPr>
      </w:pPr>
    </w:p>
    <w:p>
      <w:pPr>
        <w:ind w:left="2020" w:hanging="1524"/>
        <w:spacing w:after="0" w:line="234" w:lineRule="auto"/>
        <w:tabs>
          <w:tab w:leader="none" w:pos="2000" w:val="left"/>
        </w:tabs>
        <w:rPr>
          <w:rFonts w:ascii="Arial" w:cs="Arial" w:eastAsia="Arial" w:hAnsi="Arial"/>
          <w:sz w:val="18"/>
          <w:szCs w:val="18"/>
          <w:u w:val="single" w:color="auto"/>
          <w:color w:val="0000FF"/>
        </w:rPr>
      </w:pPr>
      <w:hyperlink w:anchor="page94">
        <w:r>
          <w:rPr>
            <w:rFonts w:ascii="Arial" w:cs="Arial" w:eastAsia="Arial" w:hAnsi="Arial"/>
            <w:sz w:val="18"/>
            <w:szCs w:val="18"/>
            <w:u w:val="single" w:color="auto"/>
            <w:color w:val="0000FF"/>
          </w:rPr>
          <w:t>ITEM 12.</w:t>
        </w:r>
      </w:hyperlink>
      <w:r>
        <w:rPr>
          <w:rFonts w:ascii="Arial" w:cs="Arial" w:eastAsia="Arial" w:hAnsi="Arial"/>
          <w:sz w:val="18"/>
          <w:szCs w:val="18"/>
          <w:u w:val="single" w:color="auto"/>
          <w:color w:val="0000FF"/>
        </w:rPr>
        <w:tab/>
      </w:r>
      <w:hyperlink w:anchor="page94">
        <w:r>
          <w:rPr>
            <w:rFonts w:ascii="Arial" w:cs="Arial" w:eastAsia="Arial" w:hAnsi="Arial"/>
            <w:sz w:val="18"/>
            <w:szCs w:val="18"/>
            <w:u w:val="single" w:color="auto"/>
            <w:color w:val="0000FF"/>
          </w:rPr>
          <w:t>SECURITY OWNERSHIP OF CERTAIN BENEFICIAL OWNERS AND MANAGEMENT AND RELATED</w:t>
        </w:r>
      </w:hyperlink>
      <w:r>
        <w:rPr>
          <w:rFonts w:ascii="Arial" w:cs="Arial" w:eastAsia="Arial" w:hAnsi="Arial"/>
          <w:sz w:val="18"/>
          <w:szCs w:val="18"/>
          <w:u w:val="single" w:color="auto"/>
          <w:color w:val="0000FF"/>
        </w:rPr>
        <w:t xml:space="preserve"> </w:t>
      </w:r>
      <w:hyperlink w:anchor="page94">
        <w:r>
          <w:rPr>
            <w:rFonts w:ascii="Arial" w:cs="Arial" w:eastAsia="Arial" w:hAnsi="Arial"/>
            <w:sz w:val="18"/>
            <w:szCs w:val="18"/>
            <w:u w:val="single" w:color="auto"/>
            <w:color w:val="0000FF"/>
          </w:rPr>
          <w:t>STOCKHOLDER MATTERS</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50" w:lineRule="exact"/>
        <w:rPr>
          <w:rFonts w:ascii="Arial" w:cs="Arial" w:eastAsia="Arial" w:hAnsi="Arial"/>
          <w:sz w:val="18"/>
          <w:szCs w:val="18"/>
          <w:u w:val="single" w:color="auto"/>
          <w:color w:val="0000FF"/>
        </w:rPr>
      </w:pPr>
    </w:p>
    <w:p>
      <w:pPr>
        <w:spacing w:after="0"/>
        <w:rPr>
          <w:rFonts w:ascii="Arial" w:cs="Arial" w:eastAsia="Arial" w:hAnsi="Arial"/>
          <w:sz w:val="16"/>
          <w:szCs w:val="16"/>
          <w:u w:val="single" w:color="auto"/>
          <w:color w:val="0000FF"/>
        </w:rPr>
      </w:pPr>
      <w:hyperlink w:anchor="page94">
        <w:r>
          <w:rPr>
            <w:rFonts w:ascii="Arial" w:cs="Arial" w:eastAsia="Arial" w:hAnsi="Arial"/>
            <w:sz w:val="16"/>
            <w:szCs w:val="16"/>
            <w:u w:val="single" w:color="auto"/>
            <w:color w:val="0000FF"/>
          </w:rPr>
          <w:t>94</w:t>
        </w:r>
      </w:hyperlink>
    </w:p>
    <w:p>
      <w:pPr>
        <w:spacing w:after="0" w:line="46" w:lineRule="exact"/>
        <w:rPr>
          <w:rFonts w:ascii="Arial" w:cs="Arial" w:eastAsia="Arial" w:hAnsi="Arial"/>
          <w:sz w:val="18"/>
          <w:szCs w:val="18"/>
          <w:u w:val="single" w:color="auto"/>
          <w:color w:val="0000FF"/>
        </w:rPr>
      </w:pPr>
    </w:p>
    <w:p>
      <w:pPr>
        <w:spacing w:after="0"/>
        <w:rPr>
          <w:rFonts w:ascii="Arial" w:cs="Arial" w:eastAsia="Arial" w:hAnsi="Arial"/>
          <w:sz w:val="16"/>
          <w:szCs w:val="16"/>
          <w:u w:val="single" w:color="auto"/>
          <w:color w:val="0000FF"/>
        </w:rPr>
      </w:pPr>
      <w:hyperlink w:anchor="page94">
        <w:r>
          <w:rPr>
            <w:rFonts w:ascii="Arial" w:cs="Arial" w:eastAsia="Arial" w:hAnsi="Arial"/>
            <w:sz w:val="16"/>
            <w:szCs w:val="16"/>
            <w:u w:val="single" w:color="auto"/>
            <w:color w:val="0000FF"/>
          </w:rPr>
          <w:t>94</w:t>
        </w:r>
      </w:hyperlink>
    </w:p>
    <w:p>
      <w:pPr>
        <w:spacing w:after="0" w:line="288" w:lineRule="exact"/>
        <w:rPr>
          <w:rFonts w:ascii="Arial" w:cs="Arial" w:eastAsia="Arial" w:hAnsi="Arial"/>
          <w:sz w:val="18"/>
          <w:szCs w:val="18"/>
          <w:u w:val="single" w:color="auto"/>
          <w:color w:val="0000FF"/>
        </w:rPr>
      </w:pPr>
    </w:p>
    <w:p>
      <w:pPr>
        <w:spacing w:after="0"/>
        <w:rPr>
          <w:rFonts w:ascii="Arial" w:cs="Arial" w:eastAsia="Arial" w:hAnsi="Arial"/>
          <w:sz w:val="16"/>
          <w:szCs w:val="16"/>
          <w:u w:val="single" w:color="auto"/>
          <w:color w:val="0000FF"/>
        </w:rPr>
      </w:pPr>
      <w:hyperlink w:anchor="page94">
        <w:r>
          <w:rPr>
            <w:rFonts w:ascii="Arial" w:cs="Arial" w:eastAsia="Arial" w:hAnsi="Arial"/>
            <w:sz w:val="16"/>
            <w:szCs w:val="16"/>
            <w:u w:val="single" w:color="auto"/>
            <w:color w:val="0000FF"/>
          </w:rPr>
          <w:t>94</w:t>
        </w:r>
      </w:hyperlink>
    </w:p>
    <w:p>
      <w:pPr>
        <w:spacing w:after="0" w:line="46" w:lineRule="exact"/>
        <w:rPr>
          <w:rFonts w:ascii="Arial" w:cs="Arial" w:eastAsia="Arial" w:hAnsi="Arial"/>
          <w:sz w:val="18"/>
          <w:szCs w:val="18"/>
          <w:u w:val="single" w:color="auto"/>
          <w:color w:val="0000FF"/>
        </w:rPr>
      </w:pPr>
    </w:p>
    <w:p>
      <w:pPr>
        <w:sectPr>
          <w:pgSz w:w="11900" w:h="16838" w:orient="portrait"/>
          <w:cols w:equalWidth="0" w:num="2">
            <w:col w:w="10020" w:space="640"/>
            <w:col w:w="580"/>
          </w:cols>
          <w:pgMar w:left="320" w:top="125" w:right="339" w:bottom="1440" w:gutter="0" w:footer="0" w:header="0"/>
          <w:type w:val="continuous"/>
        </w:sectPr>
      </w:pPr>
    </w:p>
    <w:tbl>
      <w:tblPr>
        <w:tblLayout w:type="fixed"/>
        <w:tblInd w:w="20" w:type="dxa"/>
        <w:tblCellMar>
          <w:top w:w="0" w:type="dxa"/>
          <w:left w:w="0" w:type="dxa"/>
          <w:bottom w:w="0" w:type="dxa"/>
          <w:right w:w="0" w:type="dxa"/>
        </w:tblCellMar>
      </w:tblPr>
      <w:tr>
        <w:trPr>
          <w:trHeight w:val="230"/>
        </w:trPr>
        <w:tc>
          <w:tcPr>
            <w:tcW w:w="1800" w:type="dxa"/>
            <w:vAlign w:val="bottom"/>
          </w:tcPr>
          <w:p>
            <w:pPr>
              <w:ind w:left="460"/>
              <w:spacing w:after="0"/>
              <w:rPr>
                <w:rFonts w:ascii="Arial" w:cs="Arial" w:eastAsia="Arial" w:hAnsi="Arial"/>
                <w:sz w:val="18"/>
                <w:szCs w:val="18"/>
                <w:u w:val="single" w:color="auto"/>
                <w:color w:val="0000FF"/>
              </w:rPr>
            </w:pPr>
            <w:hyperlink w:anchor="page94">
              <w:r>
                <w:rPr>
                  <w:rFonts w:ascii="Arial" w:cs="Arial" w:eastAsia="Arial" w:hAnsi="Arial"/>
                  <w:sz w:val="18"/>
                  <w:szCs w:val="18"/>
                  <w:u w:val="single" w:color="auto"/>
                  <w:color w:val="0000FF"/>
                </w:rPr>
                <w:t>ITEM 13.</w:t>
              </w:r>
            </w:hyperlink>
          </w:p>
        </w:tc>
        <w:tc>
          <w:tcPr>
            <w:tcW w:w="8340" w:type="dxa"/>
            <w:vAlign w:val="bottom"/>
          </w:tcPr>
          <w:p>
            <w:pPr>
              <w:ind w:left="200"/>
              <w:spacing w:after="0"/>
              <w:rPr>
                <w:rFonts w:ascii="Arial" w:cs="Arial" w:eastAsia="Arial" w:hAnsi="Arial"/>
                <w:sz w:val="18"/>
                <w:szCs w:val="18"/>
                <w:u w:val="single" w:color="auto"/>
                <w:color w:val="0000FF"/>
              </w:rPr>
            </w:pPr>
            <w:hyperlink w:anchor="page94">
              <w:r>
                <w:rPr>
                  <w:rFonts w:ascii="Arial" w:cs="Arial" w:eastAsia="Arial" w:hAnsi="Arial"/>
                  <w:sz w:val="18"/>
                  <w:szCs w:val="18"/>
                  <w:u w:val="single" w:color="auto"/>
                  <w:color w:val="0000FF"/>
                </w:rPr>
                <w:t>CERTAIN RELATIONSHIPS AND RELATED TRANSACTIONS, AND DIRECTOR INDEPENDENCE</w:t>
              </w:r>
            </w:hyperlink>
          </w:p>
        </w:tc>
        <w:tc>
          <w:tcPr>
            <w:tcW w:w="720" w:type="dxa"/>
            <w:vAlign w:val="bottom"/>
          </w:tcPr>
          <w:p>
            <w:pPr>
              <w:spacing w:after="0"/>
              <w:rPr>
                <w:sz w:val="20"/>
                <w:szCs w:val="20"/>
                <w:color w:val="auto"/>
              </w:rPr>
            </w:pPr>
          </w:p>
        </w:tc>
      </w:tr>
      <w:tr>
        <w:trPr>
          <w:trHeight w:val="241"/>
        </w:trPr>
        <w:tc>
          <w:tcPr>
            <w:tcW w:w="1800" w:type="dxa"/>
            <w:vAlign w:val="bottom"/>
          </w:tcPr>
          <w:p>
            <w:pPr>
              <w:spacing w:after="0"/>
              <w:rPr>
                <w:sz w:val="20"/>
                <w:szCs w:val="20"/>
                <w:color w:val="auto"/>
              </w:rPr>
            </w:pPr>
          </w:p>
        </w:tc>
        <w:tc>
          <w:tcPr>
            <w:tcW w:w="8340" w:type="dxa"/>
            <w:vAlign w:val="bottom"/>
          </w:tcPr>
          <w:p>
            <w:pPr>
              <w:spacing w:after="0"/>
              <w:rPr>
                <w:sz w:val="20"/>
                <w:szCs w:val="20"/>
                <w:color w:val="auto"/>
              </w:rPr>
            </w:pPr>
          </w:p>
        </w:tc>
        <w:tc>
          <w:tcPr>
            <w:tcW w:w="720" w:type="dxa"/>
            <w:vAlign w:val="bottom"/>
          </w:tcPr>
          <w:p>
            <w:pPr>
              <w:jc w:val="center"/>
              <w:ind w:left="370"/>
              <w:spacing w:after="0"/>
              <w:rPr>
                <w:rFonts w:ascii="Arial" w:cs="Arial" w:eastAsia="Arial" w:hAnsi="Arial"/>
                <w:sz w:val="18"/>
                <w:szCs w:val="18"/>
                <w:u w:val="single" w:color="auto"/>
                <w:color w:val="0000FF"/>
                <w:w w:val="89"/>
              </w:rPr>
            </w:pPr>
            <w:hyperlink w:anchor="page94">
              <w:r>
                <w:rPr>
                  <w:rFonts w:ascii="Arial" w:cs="Arial" w:eastAsia="Arial" w:hAnsi="Arial"/>
                  <w:sz w:val="18"/>
                  <w:szCs w:val="18"/>
                  <w:u w:val="single" w:color="auto"/>
                  <w:color w:val="0000FF"/>
                  <w:w w:val="89"/>
                </w:rPr>
                <w:t>94</w:t>
              </w:r>
            </w:hyperlink>
          </w:p>
        </w:tc>
      </w:tr>
      <w:tr>
        <w:trPr>
          <w:trHeight w:val="230"/>
        </w:trPr>
        <w:tc>
          <w:tcPr>
            <w:tcW w:w="1800" w:type="dxa"/>
            <w:vAlign w:val="bottom"/>
          </w:tcPr>
          <w:p>
            <w:pPr>
              <w:ind w:left="460"/>
              <w:spacing w:after="0"/>
              <w:rPr>
                <w:rFonts w:ascii="Arial" w:cs="Arial" w:eastAsia="Arial" w:hAnsi="Arial"/>
                <w:sz w:val="18"/>
                <w:szCs w:val="18"/>
                <w:u w:val="single" w:color="auto"/>
                <w:color w:val="0000FF"/>
              </w:rPr>
            </w:pPr>
            <w:hyperlink w:anchor="page94">
              <w:r>
                <w:rPr>
                  <w:rFonts w:ascii="Arial" w:cs="Arial" w:eastAsia="Arial" w:hAnsi="Arial"/>
                  <w:sz w:val="18"/>
                  <w:szCs w:val="18"/>
                  <w:u w:val="single" w:color="auto"/>
                  <w:color w:val="0000FF"/>
                </w:rPr>
                <w:t>ITEM 14.</w:t>
              </w:r>
            </w:hyperlink>
          </w:p>
        </w:tc>
        <w:tc>
          <w:tcPr>
            <w:tcW w:w="8340" w:type="dxa"/>
            <w:vAlign w:val="bottom"/>
          </w:tcPr>
          <w:p>
            <w:pPr>
              <w:ind w:left="200"/>
              <w:spacing w:after="0"/>
              <w:rPr>
                <w:rFonts w:ascii="Arial" w:cs="Arial" w:eastAsia="Arial" w:hAnsi="Arial"/>
                <w:sz w:val="18"/>
                <w:szCs w:val="18"/>
                <w:u w:val="single" w:color="auto"/>
                <w:color w:val="0000FF"/>
              </w:rPr>
            </w:pPr>
            <w:hyperlink w:anchor="page94">
              <w:r>
                <w:rPr>
                  <w:rFonts w:ascii="Arial" w:cs="Arial" w:eastAsia="Arial" w:hAnsi="Arial"/>
                  <w:sz w:val="18"/>
                  <w:szCs w:val="18"/>
                  <w:u w:val="single" w:color="auto"/>
                  <w:color w:val="0000FF"/>
                </w:rPr>
                <w:t>PRINCIPAL ACCOUNTING FEES AND SERVICES</w:t>
              </w:r>
            </w:hyperlink>
          </w:p>
        </w:tc>
        <w:tc>
          <w:tcPr>
            <w:tcW w:w="720" w:type="dxa"/>
            <w:vAlign w:val="bottom"/>
          </w:tcPr>
          <w:p>
            <w:pPr>
              <w:jc w:val="center"/>
              <w:ind w:left="370"/>
              <w:spacing w:after="0"/>
              <w:rPr>
                <w:rFonts w:ascii="Arial" w:cs="Arial" w:eastAsia="Arial" w:hAnsi="Arial"/>
                <w:sz w:val="18"/>
                <w:szCs w:val="18"/>
                <w:u w:val="single" w:color="auto"/>
                <w:color w:val="0000FF"/>
                <w:w w:val="89"/>
              </w:rPr>
            </w:pPr>
            <w:hyperlink w:anchor="page94">
              <w:r>
                <w:rPr>
                  <w:rFonts w:ascii="Arial" w:cs="Arial" w:eastAsia="Arial" w:hAnsi="Arial"/>
                  <w:sz w:val="18"/>
                  <w:szCs w:val="18"/>
                  <w:u w:val="single" w:color="auto"/>
                  <w:color w:val="0000FF"/>
                  <w:w w:val="89"/>
                </w:rPr>
                <w:t>94</w:t>
              </w:r>
            </w:hyperlink>
          </w:p>
        </w:tc>
      </w:tr>
      <w:tr>
        <w:trPr>
          <w:trHeight w:val="486"/>
        </w:trPr>
        <w:tc>
          <w:tcPr>
            <w:tcW w:w="1800" w:type="dxa"/>
            <w:vAlign w:val="bottom"/>
          </w:tcPr>
          <w:p>
            <w:pPr>
              <w:spacing w:after="0"/>
              <w:rPr>
                <w:rFonts w:ascii="Arial" w:cs="Arial" w:eastAsia="Arial" w:hAnsi="Arial"/>
                <w:sz w:val="18"/>
                <w:szCs w:val="18"/>
                <w:b w:val="1"/>
                <w:bCs w:val="1"/>
                <w:u w:val="single" w:color="auto"/>
                <w:color w:val="0000FF"/>
              </w:rPr>
            </w:pPr>
            <w:hyperlink w:anchor="page94">
              <w:r>
                <w:rPr>
                  <w:rFonts w:ascii="Arial" w:cs="Arial" w:eastAsia="Arial" w:hAnsi="Arial"/>
                  <w:sz w:val="18"/>
                  <w:szCs w:val="18"/>
                  <w:b w:val="1"/>
                  <w:bCs w:val="1"/>
                  <w:u w:val="single" w:color="auto"/>
                  <w:color w:val="0000FF"/>
                </w:rPr>
                <w:t>PART IV</w:t>
              </w:r>
            </w:hyperlink>
          </w:p>
        </w:tc>
        <w:tc>
          <w:tcPr>
            <w:tcW w:w="8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72"/>
        </w:trPr>
        <w:tc>
          <w:tcPr>
            <w:tcW w:w="1800" w:type="dxa"/>
            <w:vAlign w:val="bottom"/>
          </w:tcPr>
          <w:p>
            <w:pPr>
              <w:ind w:left="460"/>
              <w:spacing w:after="0"/>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ITEM 15.</w:t>
              </w:r>
            </w:hyperlink>
          </w:p>
        </w:tc>
        <w:tc>
          <w:tcPr>
            <w:tcW w:w="8340" w:type="dxa"/>
            <w:vAlign w:val="bottom"/>
          </w:tcPr>
          <w:p>
            <w:pPr>
              <w:ind w:left="200"/>
              <w:spacing w:after="0"/>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EXHIBITS, FINANCIAL STATEMENT SCHEDULES</w:t>
              </w:r>
            </w:hyperlink>
          </w:p>
        </w:tc>
        <w:tc>
          <w:tcPr>
            <w:tcW w:w="720" w:type="dxa"/>
            <w:vAlign w:val="bottom"/>
          </w:tcPr>
          <w:p>
            <w:pPr>
              <w:jc w:val="center"/>
              <w:ind w:left="370"/>
              <w:spacing w:after="0"/>
              <w:rPr>
                <w:rFonts w:ascii="Arial" w:cs="Arial" w:eastAsia="Arial" w:hAnsi="Arial"/>
                <w:sz w:val="18"/>
                <w:szCs w:val="18"/>
                <w:u w:val="single" w:color="auto"/>
                <w:color w:val="0000FF"/>
                <w:w w:val="89"/>
              </w:rPr>
            </w:pPr>
            <w:hyperlink w:anchor="page95">
              <w:r>
                <w:rPr>
                  <w:rFonts w:ascii="Arial" w:cs="Arial" w:eastAsia="Arial" w:hAnsi="Arial"/>
                  <w:sz w:val="18"/>
                  <w:szCs w:val="18"/>
                  <w:u w:val="single" w:color="auto"/>
                  <w:color w:val="0000FF"/>
                  <w:w w:val="89"/>
                </w:rPr>
                <w:t>95</w:t>
              </w:r>
            </w:hyperlink>
          </w:p>
        </w:tc>
      </w:tr>
      <w:tr>
        <w:trPr>
          <w:trHeight w:val="230"/>
        </w:trPr>
        <w:tc>
          <w:tcPr>
            <w:tcW w:w="1800" w:type="dxa"/>
            <w:vAlign w:val="bottom"/>
          </w:tcPr>
          <w:p>
            <w:pPr>
              <w:ind w:left="460"/>
              <w:spacing w:after="0"/>
              <w:rPr>
                <w:rFonts w:ascii="Arial" w:cs="Arial" w:eastAsia="Arial" w:hAnsi="Arial"/>
                <w:sz w:val="18"/>
                <w:szCs w:val="18"/>
                <w:color w:val="0000FF"/>
              </w:rPr>
            </w:pPr>
            <w:hyperlink w:anchor="page100">
              <w:r>
                <w:rPr>
                  <w:rFonts w:ascii="Arial" w:cs="Arial" w:eastAsia="Arial" w:hAnsi="Arial"/>
                  <w:sz w:val="18"/>
                  <w:szCs w:val="18"/>
                  <w:u w:val="single" w:color="auto"/>
                  <w:color w:val="0000FF"/>
                </w:rPr>
                <w:t>SCHEDULE II</w:t>
              </w:r>
              <w:r>
                <w:rPr>
                  <w:rFonts w:ascii="Arial" w:cs="Arial" w:eastAsia="Arial" w:hAnsi="Arial"/>
                  <w:sz w:val="18"/>
                  <w:szCs w:val="18"/>
                  <w:color w:val="0000FF"/>
                </w:rPr>
                <w:t>.</w:t>
              </w:r>
            </w:hyperlink>
          </w:p>
        </w:tc>
        <w:tc>
          <w:tcPr>
            <w:tcW w:w="8340" w:type="dxa"/>
            <w:vAlign w:val="bottom"/>
          </w:tcPr>
          <w:p>
            <w:pPr>
              <w:ind w:left="200"/>
              <w:spacing w:after="0"/>
              <w:rPr>
                <w:rFonts w:ascii="Arial" w:cs="Arial" w:eastAsia="Arial" w:hAnsi="Arial"/>
                <w:sz w:val="18"/>
                <w:szCs w:val="18"/>
                <w:u w:val="single" w:color="auto"/>
                <w:color w:val="0000FF"/>
              </w:rPr>
            </w:pPr>
            <w:hyperlink w:anchor="page100">
              <w:r>
                <w:rPr>
                  <w:rFonts w:ascii="Arial" w:cs="Arial" w:eastAsia="Arial" w:hAnsi="Arial"/>
                  <w:sz w:val="18"/>
                  <w:szCs w:val="18"/>
                  <w:u w:val="single" w:color="auto"/>
                  <w:color w:val="0000FF"/>
                </w:rPr>
                <w:t>VALUATION AND QUALIFYING ACCOUNTS</w:t>
              </w:r>
            </w:hyperlink>
          </w:p>
        </w:tc>
        <w:tc>
          <w:tcPr>
            <w:tcW w:w="720" w:type="dxa"/>
            <w:vAlign w:val="bottom"/>
          </w:tcPr>
          <w:p>
            <w:pPr>
              <w:jc w:val="center"/>
              <w:ind w:left="370"/>
              <w:spacing w:after="0"/>
              <w:rPr>
                <w:rFonts w:ascii="Arial" w:cs="Arial" w:eastAsia="Arial" w:hAnsi="Arial"/>
                <w:sz w:val="18"/>
                <w:szCs w:val="18"/>
                <w:u w:val="single" w:color="auto"/>
                <w:color w:val="0000FF"/>
                <w:w w:val="86"/>
              </w:rPr>
            </w:pPr>
            <w:hyperlink w:anchor="page100">
              <w:r>
                <w:rPr>
                  <w:rFonts w:ascii="Arial" w:cs="Arial" w:eastAsia="Arial" w:hAnsi="Arial"/>
                  <w:sz w:val="18"/>
                  <w:szCs w:val="18"/>
                  <w:u w:val="single" w:color="auto"/>
                  <w:color w:val="0000FF"/>
                  <w:w w:val="86"/>
                </w:rPr>
                <w:t>101</w:t>
              </w:r>
            </w:hyperlink>
          </w:p>
        </w:tc>
      </w:tr>
      <w:tr>
        <w:trPr>
          <w:trHeight w:val="432"/>
        </w:trPr>
        <w:tc>
          <w:tcPr>
            <w:tcW w:w="1800" w:type="dxa"/>
            <w:vAlign w:val="bottom"/>
          </w:tcPr>
          <w:p>
            <w:pPr>
              <w:ind w:left="460"/>
              <w:spacing w:after="0"/>
              <w:rPr>
                <w:rFonts w:ascii="Arial" w:cs="Arial" w:eastAsia="Arial" w:hAnsi="Arial"/>
                <w:sz w:val="18"/>
                <w:szCs w:val="18"/>
                <w:u w:val="single" w:color="auto"/>
                <w:color w:val="0000FF"/>
              </w:rPr>
            </w:pPr>
            <w:hyperlink w:anchor="page101">
              <w:r>
                <w:rPr>
                  <w:rFonts w:ascii="Arial" w:cs="Arial" w:eastAsia="Arial" w:hAnsi="Arial"/>
                  <w:sz w:val="18"/>
                  <w:szCs w:val="18"/>
                  <w:u w:val="single" w:color="auto"/>
                  <w:color w:val="0000FF"/>
                </w:rPr>
                <w:t>SIGNATURES</w:t>
              </w:r>
            </w:hyperlink>
          </w:p>
        </w:tc>
        <w:tc>
          <w:tcPr>
            <w:tcW w:w="8340" w:type="dxa"/>
            <w:vAlign w:val="bottom"/>
          </w:tcPr>
          <w:p>
            <w:pPr>
              <w:spacing w:after="0"/>
              <w:rPr>
                <w:sz w:val="24"/>
                <w:szCs w:val="24"/>
                <w:color w:val="auto"/>
              </w:rPr>
            </w:pPr>
          </w:p>
        </w:tc>
        <w:tc>
          <w:tcPr>
            <w:tcW w:w="720" w:type="dxa"/>
            <w:vAlign w:val="bottom"/>
          </w:tcPr>
          <w:p>
            <w:pPr>
              <w:jc w:val="center"/>
              <w:ind w:left="370"/>
              <w:spacing w:after="0"/>
              <w:rPr>
                <w:rFonts w:ascii="Arial" w:cs="Arial" w:eastAsia="Arial" w:hAnsi="Arial"/>
                <w:sz w:val="18"/>
                <w:szCs w:val="18"/>
                <w:u w:val="single" w:color="auto"/>
                <w:color w:val="0000FF"/>
                <w:w w:val="86"/>
              </w:rPr>
            </w:pPr>
            <w:hyperlink w:anchor="page101">
              <w:r>
                <w:rPr>
                  <w:rFonts w:ascii="Arial" w:cs="Arial" w:eastAsia="Arial" w:hAnsi="Arial"/>
                  <w:sz w:val="18"/>
                  <w:szCs w:val="18"/>
                  <w:u w:val="single" w:color="auto"/>
                  <w:color w:val="0000FF"/>
                  <w:w w:val="86"/>
                </w:rPr>
                <w:t>102</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FORWARD-LOOKING STATEMENTS</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This Annual Report on Form 10-K and certain information incorporated herein by reference contain forward-looking statements within the safe harbor provisions of the Private Securities Litigation Reform Act of 1995. These statements may relate to, among other things, future events or our future performance or financial condition. Words such as “anticipate,” “intend,” “expect,” “may,” “could,” “should,” “would,” “plan,” “estimate,” “believe,” “predict,” “potential” or “continue” or the negative of these terms and comparable terminology are intended to identify such forward-looking statements. Such statements are based on expectations as to the future and are not statements of historical fact. Furthermore, forward-looking statements are not guarantees of future performance and involve a number of assumptions, risks and uncertainties that could cause actual results to differ materially. Important factors that could cause actual results to differ materially from those suggested by the forward-looking statements include, but are not limited to, the risks discussed in Item 1A of Part I “Risk Factors.” We caution you not to place undue reliance on these forward-looking statements which reflect our view only as of the date of this report. We are under no obligation (and expressly disclaim any obligation) to update or alter any forward-looking statements contained herein to reflect any change in our expectations with regard thereto or change in events, conditions or circumstances on which any such statement is based.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Except as otherwise indicated or unless the context requires otherwise “Altisource,” the “Company,” “we,” “us,” or “our” refer to Altisource Portfolio Solutions S.A., a Luxembourg société anonyme, or public limited liability company, together with its subsidiaries.</w:t>
      </w:r>
    </w:p>
    <w:p>
      <w:pPr>
        <w:spacing w:after="0" w:line="11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170"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Altisource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an integrated service provider and marketplace for the real estate and mortgage industries. Combining operational excellence with a suite of innovative services and technologies, Altisource helps solve the demands of the ever-changing markets we serve.</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publicly traded on the NASDAQ Global Select Market under the symbol “ASPS.” We are organized under the laws of the Grand Duchy of Luxembourg.</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prepared our consolidated financial statements in accordance with accounting principles generally accepted in the United States of America (“GAAP”).</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Company operates with one reportable segment (total Company). Our principal revenue generating activities are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Core Businesses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Field Services</w:t>
      </w:r>
    </w:p>
    <w:p>
      <w:pPr>
        <w:spacing w:after="0" w:line="6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Property preservation and inspection services and vendor management oversight software-as-a-service (“SaaS”) platform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Marketplace</w:t>
      </w:r>
    </w:p>
    <w:p>
      <w:pPr>
        <w:spacing w:after="0" w:line="5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Hubzu</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online real estate auction platform, real estate auction, real estate brokerage and asset management</w:t>
      </w:r>
    </w:p>
    <w:p>
      <w:pPr>
        <w:spacing w:after="0" w:line="2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Equator</w:t>
      </w:r>
      <w:r>
        <w:rPr>
          <w:rFonts w:ascii="Arial" w:cs="Arial" w:eastAsia="Arial" w:hAnsi="Arial"/>
          <w:sz w:val="22"/>
          <w:szCs w:val="22"/>
          <w:color w:val="auto"/>
          <w:vertAlign w:val="superscript"/>
        </w:rPr>
        <w:t>®</w:t>
      </w:r>
      <w:r>
        <w:rPr>
          <w:rFonts w:ascii="Arial" w:cs="Arial" w:eastAsia="Arial" w:hAnsi="Arial"/>
          <w:sz w:val="17"/>
          <w:szCs w:val="17"/>
          <w:color w:val="auto"/>
        </w:rPr>
        <w:t>, a SaaS-based technology to manage real estate owned (“REO”), short sales, foreclosure, bankruptcy and eviction processes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Mortgage and Real Estate Solutions</w:t>
      </w:r>
    </w:p>
    <w:p>
      <w:pPr>
        <w:spacing w:after="0" w:line="6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Mortgage loan fulfillment, certification and certification insurance services and technologies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Title insurance (as an agent) and settlement services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Real estate valuation services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Residential and commercial construction inspection and risk mitigation services</w:t>
      </w:r>
    </w:p>
    <w:p>
      <w:pPr>
        <w:spacing w:after="0" w:line="5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Management of the Best Partners Mortgage Cooperative, Inc., doing business as Lenders One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(“Lenders One”), mortgage banking cooperative</w:t>
      </w:r>
    </w:p>
    <w:p>
      <w:pPr>
        <w:spacing w:after="0" w:line="61"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Foreclosure trustee services</w:t>
      </w:r>
    </w:p>
    <w:p>
      <w:pPr>
        <w:spacing w:after="0" w:line="4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Business services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Businesses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Earlier Stage Business</w:t>
      </w:r>
    </w:p>
    <w:p>
      <w:pPr>
        <w:spacing w:after="0" w:line="58"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Pointillist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customer journey analytics platform</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w:t>
      </w:r>
    </w:p>
    <w:p>
      <w:pPr>
        <w:spacing w:after="0" w:line="63"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Commercial loan servicing technology</w:t>
      </w:r>
    </w:p>
    <w:p>
      <w:pPr>
        <w:spacing w:after="0" w:line="63"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Financial Services business, including post-charge-off consumer debt, mortgage charge-off collection services and customer relationship management services (sold on July 1, 2019)</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Buy-Renovate-Lease-Sell (“BRS”) business (wound down in 2019)</w:t>
      </w:r>
    </w:p>
    <w:p>
      <w:pPr>
        <w:spacing w:after="0" w:line="63" w:lineRule="exact"/>
        <w:rPr>
          <w:rFonts w:ascii="Arial" w:cs="Arial" w:eastAsia="Arial" w:hAnsi="Arial"/>
          <w:sz w:val="18"/>
          <w:szCs w:val="18"/>
          <w:color w:val="auto"/>
        </w:rPr>
      </w:pPr>
    </w:p>
    <w:p>
      <w:pPr>
        <w:ind w:left="660" w:hanging="328"/>
        <w:spacing w:after="0" w:line="313" w:lineRule="auto"/>
        <w:tabs>
          <w:tab w:leader="none" w:pos="655" w:val="left"/>
        </w:tabs>
        <w:numPr>
          <w:ilvl w:val="0"/>
          <w:numId w:val="7"/>
        </w:numPr>
        <w:rPr>
          <w:rFonts w:ascii="Arial" w:cs="Arial" w:eastAsia="Arial" w:hAnsi="Arial"/>
          <w:sz w:val="16"/>
          <w:szCs w:val="16"/>
          <w:color w:val="auto"/>
        </w:rPr>
      </w:pPr>
      <w:r>
        <w:rPr>
          <w:rFonts w:ascii="Arial" w:cs="Arial" w:eastAsia="Arial" w:hAnsi="Arial"/>
          <w:sz w:val="16"/>
          <w:szCs w:val="16"/>
          <w:color w:val="auto"/>
        </w:rPr>
        <w:t>Residential loan servicing technologies, document management platform and information technology infrastructure management services (wound down in 2019 following Ocwen Financial Corporation’s (together with its subsidiaries, “Ocwen”) transition to another servicing platform)</w:t>
      </w:r>
    </w:p>
    <w:p>
      <w:pPr>
        <w:ind w:left="660" w:right="20" w:hanging="328"/>
        <w:spacing w:after="0" w:line="229"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Owners.com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technology-enabled real estate brokerage and provider of related mortgage brokerage and title services (discontinued in the fourth quarter of 2019)</w:t>
      </w:r>
    </w:p>
    <w:p>
      <w:pPr>
        <w:spacing w:after="0" w:line="14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classify revenue in three categories: service revenue, revenue from reimbursable expenses and non-controlling interests. In evaluating our performance, we focus on service revenue. Service revenue consists of amounts attributable to our fee-based services and sales of short-term investments in real estate (wound down in 2019).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Lenders One. Lenders One is a mortgage cooperative managed, but not owned, by Altisource. The Lenders One members’ earnings are included in revenue and reduced from net income to arrive at net income attributable to Altisource.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Highlights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Corporate and Financial</w:t>
      </w:r>
    </w:p>
    <w:p>
      <w:pPr>
        <w:spacing w:after="0" w:line="63"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Ended 2020 with $58.3 million of cash and cash equivalents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Ended 2020 with $188.9 million of net debt</w:t>
      </w:r>
    </w:p>
    <w:p>
      <w:pPr>
        <w:spacing w:after="0" w:line="63"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Sold the Company’s remaining 3.5 million Front Yard Residential Corporation (“RESI”) shares for net proceeds of $46.6 million and used the net proceeds to repay a portion of our Senior Secured Term Loan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Highlights</w:t>
      </w:r>
    </w:p>
    <w:p>
      <w:pPr>
        <w:spacing w:after="0" w:line="63"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Company’s 2020 financial performance was negatively impacted by:</w:t>
      </w:r>
    </w:p>
    <w:p>
      <w:pPr>
        <w:spacing w:after="0" w:line="63" w:lineRule="exact"/>
        <w:rPr>
          <w:rFonts w:ascii="Arial" w:cs="Arial" w:eastAsia="Arial" w:hAnsi="Arial"/>
          <w:sz w:val="18"/>
          <w:szCs w:val="18"/>
          <w:color w:val="auto"/>
        </w:rPr>
      </w:pPr>
    </w:p>
    <w:p>
      <w:pPr>
        <w:ind w:left="980" w:hanging="324"/>
        <w:spacing w:after="0" w:line="277" w:lineRule="auto"/>
        <w:tabs>
          <w:tab w:leader="none" w:pos="990" w:val="left"/>
        </w:tabs>
        <w:numPr>
          <w:ilvl w:val="1"/>
          <w:numId w:val="9"/>
        </w:numPr>
        <w:rPr>
          <w:rFonts w:ascii="Arial" w:cs="Arial" w:eastAsia="Arial" w:hAnsi="Arial"/>
          <w:sz w:val="18"/>
          <w:szCs w:val="18"/>
          <w:color w:val="auto"/>
        </w:rPr>
      </w:pPr>
      <w:r>
        <w:rPr>
          <w:rFonts w:ascii="Arial" w:cs="Arial" w:eastAsia="Arial" w:hAnsi="Arial"/>
          <w:sz w:val="18"/>
          <w:szCs w:val="18"/>
          <w:color w:val="auto"/>
        </w:rPr>
        <w:t>Temporary servicer and government COVID-19 related measures to provide financial support to borrowers (i.e., foreclosure and eviction moratoriums and borrower forbearance plans), partially offset by growth in our origination business</w:t>
      </w:r>
    </w:p>
    <w:p>
      <w:pPr>
        <w:spacing w:after="0" w:line="8" w:lineRule="exact"/>
        <w:rPr>
          <w:rFonts w:ascii="Arial" w:cs="Arial" w:eastAsia="Arial" w:hAnsi="Arial"/>
          <w:sz w:val="18"/>
          <w:szCs w:val="18"/>
          <w:color w:val="auto"/>
        </w:rPr>
      </w:pPr>
    </w:p>
    <w:p>
      <w:pPr>
        <w:ind w:left="980" w:hanging="324"/>
        <w:spacing w:after="0" w:line="277" w:lineRule="auto"/>
        <w:tabs>
          <w:tab w:leader="none" w:pos="990" w:val="left"/>
        </w:tabs>
        <w:numPr>
          <w:ilvl w:val="1"/>
          <w:numId w:val="9"/>
        </w:numPr>
        <w:rPr>
          <w:rFonts w:ascii="Arial" w:cs="Arial" w:eastAsia="Arial" w:hAnsi="Arial"/>
          <w:sz w:val="18"/>
          <w:szCs w:val="18"/>
          <w:color w:val="auto"/>
        </w:rPr>
      </w:pPr>
      <w:r>
        <w:rPr>
          <w:rFonts w:ascii="Arial" w:cs="Arial" w:eastAsia="Arial" w:hAnsi="Arial"/>
          <w:sz w:val="18"/>
          <w:szCs w:val="18"/>
          <w:color w:val="auto"/>
        </w:rPr>
        <w:t>One of Ocwen’s MSR investors directed it to transition field services, title and valuation referrals to that investor’s captive vendors; we believe the transition of these referrals is largely complete</w:t>
      </w:r>
    </w:p>
    <w:p>
      <w:pPr>
        <w:spacing w:after="0" w:line="8"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color w:val="auto"/>
        </w:rPr>
        <w:t>Service revenue from customers other than Ocwen, New Residential Investment Corp. (“NRZ”) and RESI grew by 9% in 2020 compared to 2019; this reflects 47% growth from our origination business, excluding our construction risk mitigation business that was impacted by the pandemic, partially offset by the negative impact of COVID-19 on our default business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40" w:hanging="332"/>
        <w:spacing w:after="0" w:line="298" w:lineRule="auto"/>
        <w:tabs>
          <w:tab w:leader="none" w:pos="3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Company’s customer base continues to develop and grow increasing the potential backlog of default related business which we anticipate will begin to be available to us in 2022 when we forecast that the default market returns to a more normal operating environment</w:t>
      </w: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has a robust unweighted sales pipeline of approximately $220 million</w:t>
      </w:r>
    </w:p>
    <w:p>
      <w:pPr>
        <w:spacing w:after="0" w:line="63"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address lower revenue in the default business, the Company aggressively reduced cash costs and simplified the organization; cash costs (other than outside fees and services, severance and fourth quarter 2020 bonus accrual reversals) were $12 million lower in the fourth quarter 2020 compared to the fourth quarter 2019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customers include large financial institutions, government-sponsored enterprises (“GSEs”), banks, asset managers, servicers, investors, originators and correspondent lenders and mortgage bankers.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Concentration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Ocwen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Ocwen is a residential mortgage loan servicer of mortgage servicing rights (“MSRs”) it owns, including those MSRs in which others have an economic interest, and a subservicer of MSRs owned by others.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2020, Ocwen was our largest customer, accounting for 54% of our total revenue. Ocwen purchases certain mortgage services from us under the terms of services agreements and amendments thereto (collectively, the “Ocwen Services Agreements”) with terms extending through August 2025. Certain of the Ocwen Services Agreements contain a “most favored nation” provision and also grant the parties the right to renegotiate pricing, among other things.</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 from Ocwen primarily consists of revenue earned from the loan portfolios serviced and subserviced by Ocwen when Ocwen engages us as the service provider, and revenue earned directly from Ocwen, pursuant to the Ocwen Services Agreements. For the years ended December 31, 2020, 2019 and 2018, we recognized revenue from Ocwen of $197.8 million, $362.7 million and $437.4 million, respectively. Revenue from Ocwen as a percentage of consolidated revenue was 54%, 56% and 52% for the years ended December 31, 2020, 2019 and 2018, respectively.</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earn additional revenue related to the portfolios serviced and subserviced by Ocwen when a party other than Ocwen or the MSR owner selects Altisource as the service provider. For the years ended December 31, 2020, 2019 and 2018, we recognized revenue of $23.8 million, $37.5 million and $47.1 million, respectively, related to the portfolios serviced by Ocwen when a party other than Ocwen or the MSR owner selected Altisource as the service provider. These amounts are not included in deriving revenue from Ocwen and revenue from Ocwen as a percentage of revenue discussed above.</w:t>
      </w:r>
    </w:p>
    <w:p>
      <w:pPr>
        <w:spacing w:after="0" w:line="9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February 2019, Altisource and Ocwen entered into agreements that, among other things, facilitated Ocwen’s transition from REALServicing</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related technologies to another mortgage servicing software platform, establish a process for Ocwen to review and approve the assignment of one or more of our agreements to potential buyers of Altisource’s business lines, requiring Ocwen to use Altisource as service provider for certain service referrals totaling an amount equal to 100% of the applicable service referrals on certain portfolios plus an amount equal to not less than 90% of applicable service referrals from certain other portfolios (determined on a service by service basis), subject to certain additional restrictions and limitations, and affirm Altisource’s role as a strategic service provider to Ocwen through August 2025. In connection with these agreements, Altisource expressly preserved and did not waive any of its existing contractual rights relating to service referrals, other than with respect to Ocwen transitioning from the REALServicing and related technologies. If Altisource fails certain performance standards for specified periods of time, then Ocwen may terminate Altisource as a provider for the applicable service(s), subject to certain limitations and Altisource’s right to cure. Ocwen’s transition to another mortgage servicing platform was completed during 2019.</w:t>
      </w:r>
    </w:p>
    <w:p>
      <w:pPr>
        <w:spacing w:after="0" w:line="13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second quarter of 2020, Ocwen informed us that an MSR investor instructed Ocwen to use a field services provider other than Altisource on properties associated with certain MSRs. Based upon the impacted portfolios to date and the designated service provider, Altisource believes that Ocwen received these directions from NRZ. We believe Ocwen commenced using another field services provider for these properties in July 2020 and continued to transition services during the third quarter of 2020. We believe that the transition to the replacement field service provider was largely completed as of September 30, 2020. We estimate that $70.1 million, $150.2 million and $171.0 million of service revenue from Ocwen for the years ended December 31, 2020, 2019 and 2018, respectively, was derived from Field Services referrals from the NRZ portfolios. Ocwen also communicated to Altisource in the fourth quarter of 2020 that the same investor instructed Ocwen to</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use a provider for default valuations and certain default title services other than Altisource on properties associated with such certain MSRs and commenced moving these referrals to other service providers in the fourth quarter of 2020. We anticipate that the transition of such default valuations and title services will continue during the course of 2021. We estimate that $18.2 million, $33.2 million and $40.1 million of service revenue from Ocwen for the years ended December 31, 2020, 2019 and 2018, respectively, was derived from default valuations and title services referrals from the NRZ portfolios. Altisource believes that any action taken by Ocwen to redirect these service referrals breaches Altisource's agreement with Ocwen. We are currently in discussions with Ocwen to address this matter, and have reserved all of our rights with respect to this matter.</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To address the reduction in revenue, Altisource is undertaking several measures to further reduce its cost structure and strengthen its operations.</w:t>
      </w:r>
    </w:p>
    <w:p>
      <w:pPr>
        <w:spacing w:after="0" w:line="1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2020, accounts receivable from Ocwen totaled $5.9 million, $5.1 million of which was billed and $0.8 million of which was unbilled. As of December 31, 2019, accounts receivable from Ocwen totaled $19.1 million, $15.7 million of which was billed and $3.4 million of which was unbilled.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NRZ</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NRZ is a real estate investment trust that invests in and manages investments primarily related to residential real estate, including MSRs and excess MSRs.</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Ocwen has disclosed that NRZ is its largest client. As of December 31, 2020, NRZ MSRs or rights to MSRs relating to approximately 36% of loans serviced and subserviced by Ocwen (measured in unpaid principal balance (“UPB”)). In July 2017 and January 2018, Ocwen and NRZ entered into a series of agreements pursuant to which the parties agreed, among other things, to undertake certain actions to facilitate the transfer from Ocwen to NRZ of Ocwen’s legal title to certain of its MSRs (the “Subject MSRs”) and under which Ocwen will subservice mortgage loans underlying the MSRs for an initial term of five years, subject to early termination rights.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28, 2017, Altisource, through its licensed subsidiaries, entered into a Cooperative Brokerage Agreement, as amended, and related letter agreement (collectively, the “Brokerage Agreement”) with NRZ which extends through August 2025. Under this agreement and related amendments, Altisource remains the exclusive provider of brokerage services for REO associated with the Subject MSRs, irrespective of the subservicer, subject to certain limitations. NRZ’s brokerage subsidiary receives a cooperative brokerage commission on the sale of REO properties from these portfolios subject to certain exceptions.</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Brokerage Agreement may be terminated by NRZ upon the occurrence of certain specified events. Termination events include, but are not limited to, a breach of the terms of the Brokerage Agreement (including, without limitation, the failure to meet performance standards and non-compliance with law in a material respect), the failure to maintain licenses which failure materially prevents performance of the contract, regulatory allegations of non-compliance resulting in an adversarial proceeding against NRZ, voluntary or involuntary bankruptcy, appointment of a receiver, disclosure in a Form 10-K or Form 10-Q that there is significant uncertainty about Altisource’s ability to continue as a going concern, failure to maintain a specified level of cash and an unapproved change of control.</w:t>
      </w:r>
    </w:p>
    <w:p>
      <w:pPr>
        <w:spacing w:after="0" w:line="13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For the years ended December 31, 2020, 2019 and 2018, we recognized revenue from NRZ of $8.6 million, $12.5 million and $28.7 million, respectively, under the Brokerage Agreement. For the years ended December 31, 2020, 2019 and 2018, we recognized additional revenue of $35.1 million, $60.0 million and $83.6 million, respectively, relating to the Subject MSRs when a party other than NRZ selects Altisource as the service provider.</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services are provided to customers predominantly located in the United States.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enterprise sales and marketing team has extensive relationship management and industry experience. These individuals cultivate and maintain relationships throughout the industry sectors we serve. We sell our suite of services to mortgage servicers, mortgage originators, GSEs, buyers and sellers of homes for investment use and financial services firms.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Our primary sales and marketing focus areas are to:</w:t>
      </w:r>
    </w:p>
    <w:p>
      <w:pPr>
        <w:spacing w:after="0" w:line="171" w:lineRule="exact"/>
        <w:rPr>
          <w:sz w:val="20"/>
          <w:szCs w:val="20"/>
          <w:color w:val="auto"/>
        </w:rPr>
      </w:pPr>
    </w:p>
    <w:p>
      <w:pPr>
        <w:ind w:left="660" w:hanging="328"/>
        <w:spacing w:after="0" w:line="258"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Expand relationships with existing customers by cross-selling additional services and growing the volume of existing services we provide. We believe our customer relationships represent meaningful growth opportunities for us; and</w:t>
      </w:r>
    </w:p>
    <w:p>
      <w:pPr>
        <w:spacing w:after="0" w:line="1"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 new customer relationships by leveraging our comprehensive suite of services, performance and controls. We believe there are meaningful growth opportunities to sell our suite of services to new customers.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Given the highly regulated nature of the industries that we serve and the comprehensive purchasing process that our institutional customers and prospects follow, the time and effort we spend in expanding relationships or winning new relationships is significant. For example, it can often take more than one year from the request for proposal or qualified lead stage to the selection of Altisource as a service provider. Furthermore, following the selection of Altisource, it is not unusual for it to take an additional six to twelve months or more to negotiate the services agreement(s), complete the implementation procedures and begin receiving referrals.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Data</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rely on a combination of contractual restrictions, internal security practices, patents, trademarks and copyrights to establish and protect our trade secrets, intellectual property, software, technology and expertise. We also own or, as necessary and appropriate, have obtained licenses from third parties to intellectual property relating to our services, processes and businesses. These intellectual property rights are important factors in the success of our businesses.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2020, we have been awarded two patents that expire in 2023, one patent that expires in 2024, eight patents that expire in 2025, three patents that expire in 2026, two patents that expire in 2029, one patent that expires in 2030 and one patent that expires in 2036. In addition, we have registered trademarks in a number of jurisdictions including the United States, the European Union (“EU”), India and nine other jurisdictions. These trademarks generally can be renewed indefinitely, provided they are being used in commerce.</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actively protect our rights and intend to continue our policy of taking the measures we deem reasonable and necessary to develop and protect our patents, trademarks, copyrights, trade secrets and other intellectual property rights.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may make use of data in connection with certain of our services. This data generally relates to mortgage information, real property information and consumer information. We gather this data from a variety of third party sources, including from governmental entities and, subject to licensed usage rights, we use this data in connection with the delivery of our services, including combining it with proprietary data we generate to further enhance data and metrics in connection with our services.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Competition</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sell our suite of services to mortgage servicers, mortgage originators, GSEs, buyers and sellers of homes for investment use and financial services firms. The mortgage and real estate markets are very large and are influenced by macroeconomic factors such as credit availability, interest rates, home prices, inflation, unemployment rates, consumer confidence and, in 2020, the global COVID-19 pandemic.</w:t>
      </w:r>
    </w:p>
    <w:p>
      <w:pPr>
        <w:spacing w:after="0" w:line="14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markets to provide services for mortgage servicers and mortgage originators are highly competitive and generally consist of national companies, in-house providers and a large number of regional and local providers. We typically compete based upon product and service awareness and offerings, product performance and service delivery, quality and control environment, technology integration and support, price and financial strength.</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markets to provide services for buyers and sellers of homes for investment are highly competitive and generally consist of several national companies, a large number of regional and local providers and start-up companies. We typically compete based upon product and service awareness and offerings, product performance and service delivery, ease of transacting, price and personal service.</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competitors may have greater financial resources, brand recognition, alternative or disruptive products and technology and other competitive advantages. We cannot determine our market share with certainty, but believe for mortgage servicers we have a modest share of the market, and for the others we have a relatively small market share.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Every day at Altisource, our global team across four different continents works together to provide industry-leading services and solutions to our clients. We consider our diverse workforce as a key differentiator for our business. The following sections describe some of the key elements of one of our greatest assets, our human capital.</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Culture</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function by a set of core values communicated to our employees by management and available on our website. The following core values, which are regularly referenced in our employee communications, guide the conduct of Altisource and its employees:</w:t>
      </w:r>
    </w:p>
    <w:p>
      <w:pPr>
        <w:spacing w:after="0" w:line="112"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Act With Integrity </w:t>
      </w:r>
      <w:r>
        <w:rPr>
          <w:rFonts w:ascii="Arial" w:cs="Arial" w:eastAsia="Arial" w:hAnsi="Arial"/>
          <w:sz w:val="18"/>
          <w:szCs w:val="18"/>
          <w:color w:val="auto"/>
        </w:rPr>
        <w:t>- Exhibit unwavering integrity, compliance and ethical conduct at all times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Energize People </w:t>
      </w:r>
      <w:r>
        <w:rPr>
          <w:rFonts w:ascii="Arial" w:cs="Arial" w:eastAsia="Arial" w:hAnsi="Arial"/>
          <w:sz w:val="18"/>
          <w:szCs w:val="18"/>
          <w:color w:val="auto"/>
        </w:rPr>
        <w:t>- Enable exceptional people to inspire their teams and drive results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Empower Innovation </w:t>
      </w:r>
      <w:r>
        <w:rPr>
          <w:rFonts w:ascii="Arial" w:cs="Arial" w:eastAsia="Arial" w:hAnsi="Arial"/>
          <w:sz w:val="18"/>
          <w:szCs w:val="18"/>
          <w:color w:val="auto"/>
        </w:rPr>
        <w:t>- Reward the relentless creation of innovative and compliant solutions to achieve our mission and generate value for our</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Exceed Customer Expectations </w:t>
      </w:r>
      <w:r>
        <w:rPr>
          <w:rFonts w:ascii="Arial" w:cs="Arial" w:eastAsia="Arial" w:hAnsi="Arial"/>
          <w:sz w:val="18"/>
          <w:szCs w:val="18"/>
          <w:color w:val="auto"/>
        </w:rPr>
        <w:t>- Deliver best-in-class results and customer service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Win as a Team </w:t>
      </w:r>
      <w:r>
        <w:rPr>
          <w:rFonts w:ascii="Arial" w:cs="Arial" w:eastAsia="Arial" w:hAnsi="Arial"/>
          <w:sz w:val="18"/>
          <w:szCs w:val="18"/>
          <w:color w:val="auto"/>
        </w:rPr>
        <w:t>- Embrace the passion, energy and power of our global teams to win as “One-Altisource”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Enrich Communities </w:t>
      </w:r>
      <w:r>
        <w:rPr>
          <w:rFonts w:ascii="Arial" w:cs="Arial" w:eastAsia="Arial" w:hAnsi="Arial"/>
          <w:sz w:val="18"/>
          <w:szCs w:val="18"/>
          <w:color w:val="auto"/>
        </w:rPr>
        <w:t>- Create positive impacts for the communities where we live and serve</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adjusted our social and environmental engagement efforts in 2020 in response to the difficulties presented by COVID-19 pandemic. We undertook many successful community support initiatives including our participation in the “National Wreaths Across America” and the “Toys for Tots” programs to give presents to children across the United States, food donations to soup kitchens in Uruguay and providing “Happiness Kits” to underprivileged children in India.</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sought to play our part in addressing climate change. During 2020, we continued with programs to reduce waste, and paper, energy and water consumption. In 2021 we intend to continue to assess our real estate portfolio, telecommuting and transport programs to further reduce our impact on the environment, including as employees potentially return from remote work arrangements.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Workforce and Diversity</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Given the nature of our business, our global workforce consists of various diverse talent groups. The majority of our employees support our mortgage default-related and originations services. We also have a significant number of technology employees developing and maintaining our technology enabled solutions. In the United States, in addition to supporting operations, a number of our employees fill roles that require professional licenses and work in the product, sales and marketing, and corporate functions. The India workforce primarily comprises the operations teams supporting operations, technology, and corporate functions, while Uruguay supports several of the corporate functions. The executive management team is mostly based out of Luxembourg, our headquarters.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we employed 2,726 employees across four continents:</w:t>
      </w:r>
    </w:p>
    <w:p>
      <w:pPr>
        <w:spacing w:after="0" w:line="16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North America, United States</w:t>
      </w:r>
      <w:r>
        <w:rPr>
          <w:rFonts w:ascii="Arial" w:cs="Arial" w:eastAsia="Arial" w:hAnsi="Arial"/>
          <w:sz w:val="18"/>
          <w:szCs w:val="18"/>
          <w:color w:val="auto"/>
        </w:rPr>
        <w:t>: 697 employees</w:t>
      </w:r>
    </w:p>
    <w:p>
      <w:pPr>
        <w:spacing w:after="0" w:line="27"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50% female / 50% male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Asia, India</w:t>
      </w:r>
      <w:r>
        <w:rPr>
          <w:rFonts w:ascii="Arial" w:cs="Arial" w:eastAsia="Arial" w:hAnsi="Arial"/>
          <w:sz w:val="18"/>
          <w:szCs w:val="18"/>
          <w:color w:val="auto"/>
        </w:rPr>
        <w:t>: 1,945 employees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30% female / 70% male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South America, Uruguay</w:t>
      </w:r>
      <w:r>
        <w:rPr>
          <w:rFonts w:ascii="Arial" w:cs="Arial" w:eastAsia="Arial" w:hAnsi="Arial"/>
          <w:sz w:val="18"/>
          <w:szCs w:val="18"/>
          <w:color w:val="auto"/>
        </w:rPr>
        <w:t>: 74 employees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69% female / 31% male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Europe, Luxembourg</w:t>
      </w:r>
      <w:r>
        <w:rPr>
          <w:rFonts w:ascii="Arial" w:cs="Arial" w:eastAsia="Arial" w:hAnsi="Arial"/>
          <w:sz w:val="18"/>
          <w:szCs w:val="18"/>
          <w:color w:val="auto"/>
        </w:rPr>
        <w:t>: 10 employees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40% female / 60% male</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United States, 50% of the workforce self-identifies as members of an ethnic minority group. We believe that our globally diverse, inclusive, and collaborative workforce makes us a more innovative and creative company. We are an equal opportunity employer and prohibit any form of unlawful discrimination or harassment. At Altisource, everyone is valued and appreciated for their distinct contributions to the growth and sustainability of our business.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Hiring Practices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Altisource, we believe in hiring the best talent, empowering our people and encouraging them to deliver their best. Globally our recruiting conversion rate (initial screening to hire) is approximately 5%. Our hiring process comprises of a mix of assessments and interviews, which help us hire the best candidates who are likely to succeed in our organization. In 2020, we added 922 talented professionals to our global workforce. We also place a strong emphasis on internal development and promotion, as well as encouraging mobility within our internal talent. In 2020, 27% of our open positions were filled internally.</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leverage social and networking platforms to identify and engage with key talent for critical and senior positions. We use Altisource talent communities where we can engage inquiring candidates to share information about our Company and accept profiles for future opportunities. For our entry level roles, where we hire in volumes, we often run campaigns on job portals,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engage with universities, use career-service platforms and host virtual or walk-in interviews. We may adjust our talent acquisition strategies according to the cultural and social norms of the applicable geographies in which we operate.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People Practices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people practices aim to develop our workforce and retain high performers. We maintain various touchpoints along the employee life cycle to support our employees and improve their experiences. At an overall level in 2020, we successfully retained 72% of our workforce, which included the retention of 85% of employees deemed high performers. However, our originations business witnessed significantly higher turnover in 2020 compared to the Companywide average, primarily driven by a highly competitive employment market for experienced originations professionals in the United States and India. Our human resources team partnered with the business to implement measures designed to improve retention rates and develop a steady talent pipeline to meet business requirements for the origination businesses.</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developed processes in 2020 to adapt to remote working arrangements, including efforts aimed at maintaining employee engagement. We emphasized virtual engagement activities through the year, created virtual recognition forums for our employees and are currently working on further improving our employee experience in a remote environment.</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emphasize employee development and training. Each of our employees invested on average 40 hours in training in 2020, generally including a mix of functional, compliance and behavioral learning programs. We believe that our structured training programs help our employees to acquire and maintain the skills necessary to be effective in their roles. A key focus area for 2021 is to help our employees to improve their work performance in a remote work environment.</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also conduct regular talent review and succession planning exercises that help us identify and develop key talent and to create plans to mitigate potential succession gaps. In 2020, we conducted a detailed succession planning exercise covering several critical roles.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Compensation and Benefits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compensation practices strive to attract, retain, motivate, and reward employees to drive performance.</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generally position our compensation levels to the mid-point of the market; however, we may adjust our compensation above the mid-point in response to applicable market conditions or to attract critical resources as may be needed. In 2020, owing to high demand for residential mortgage originations skills, we implemented significant increases in compensation for origination roles in an effort to maintain market competitiveness.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Incentives are a key component of our compensation structure. The incentive plans vary for different businesses and help us drive performance. Our incentive structure primarily comprises of:</w:t>
      </w:r>
    </w:p>
    <w:p>
      <w:pPr>
        <w:spacing w:after="0" w:line="116" w:lineRule="exact"/>
        <w:rPr>
          <w:sz w:val="20"/>
          <w:szCs w:val="20"/>
          <w:color w:val="auto"/>
        </w:rPr>
      </w:pPr>
    </w:p>
    <w:p>
      <w:pPr>
        <w:ind w:left="660" w:hanging="328"/>
        <w:spacing w:after="0" w:line="291" w:lineRule="auto"/>
        <w:tabs>
          <w:tab w:leader="none" w:pos="6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Annual incentives for most of the employees in a managerial role, linked to tangible annual scorecards which are comprised of defined financial goals specific to the Company and/or their respective businesses as well as the employees’ individual performance against pre-established metrics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Quarterly or annual incentive plan for our sales employees, linked to defined performance and long-term value add metrics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Monthly or quarterly incentives for our associates in operations, mainly linked to defined production, productivity, quality and compliance metrics</w:t>
      </w:r>
    </w:p>
    <w:p>
      <w:pPr>
        <w:spacing w:after="0" w:line="18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Most of the employees in managerial roles receive a part of their annual incentive in Restricted Stock Units (“RSUs”). The composition of the incentives is determined by the Compensation Committee of our Board of Directors, with the equity component generally constituting between 25% and 40% of the total value of the incentive, depending on the level of the employee, with the Compensation Committee retaining the discretion to increase the equity component up to 100% of the value of the incentive. Employees at senior levels generally receive a larger portion of their incentives in equity. We believe that this methodology helps align the interests of our management level employees with the interests of our shareholders on long term value creation.</w:t>
      </w:r>
    </w:p>
    <w:p>
      <w:pPr>
        <w:spacing w:after="0" w:line="10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Apart from our annual incentive plans, we also employ long-term incentive plans for certain senior executives. Our long-term incentives are primarily comprised of:</w:t>
      </w:r>
    </w:p>
    <w:p>
      <w:pPr>
        <w:spacing w:after="0" w:line="116" w:lineRule="exact"/>
        <w:rPr>
          <w:sz w:val="20"/>
          <w:szCs w:val="20"/>
          <w:color w:val="auto"/>
        </w:rPr>
      </w:pPr>
    </w:p>
    <w:p>
      <w:pPr>
        <w:ind w:left="660" w:hanging="328"/>
        <w:spacing w:after="0" w:line="258" w:lineRule="auto"/>
        <w:tabs>
          <w:tab w:leader="none" w:pos="655"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Service-based awards </w:t>
      </w:r>
      <w:r>
        <w:rPr>
          <w:rFonts w:ascii="Arial" w:cs="Arial" w:eastAsia="Arial" w:hAnsi="Arial"/>
          <w:sz w:val="18"/>
          <w:szCs w:val="18"/>
          <w:color w:val="auto"/>
        </w:rPr>
        <w:t>to encourage retention, linked to achieving minimum performance goals. These awards generally vest over three to four</w:t>
      </w:r>
      <w:r>
        <w:rPr>
          <w:rFonts w:ascii="Arial" w:cs="Arial" w:eastAsia="Arial" w:hAnsi="Arial"/>
          <w:sz w:val="18"/>
          <w:szCs w:val="18"/>
          <w:i w:val="1"/>
          <w:iCs w:val="1"/>
          <w:color w:val="auto"/>
        </w:rPr>
        <w:t xml:space="preserve"> </w:t>
      </w:r>
      <w:r>
        <w:rPr>
          <w:rFonts w:ascii="Arial" w:cs="Arial" w:eastAsia="Arial" w:hAnsi="Arial"/>
          <w:sz w:val="18"/>
          <w:szCs w:val="18"/>
          <w:color w:val="auto"/>
        </w:rPr>
        <w:t>year periods with vesting in equal annual installments.</w:t>
      </w:r>
    </w:p>
    <w:p>
      <w:pPr>
        <w:spacing w:after="0" w:line="1" w:lineRule="exact"/>
        <w:rPr>
          <w:rFonts w:ascii="Arial" w:cs="Arial" w:eastAsia="Arial" w:hAnsi="Arial"/>
          <w:sz w:val="18"/>
          <w:szCs w:val="18"/>
          <w:i w:val="1"/>
          <w:iCs w:val="1"/>
          <w:color w:val="auto"/>
        </w:rPr>
      </w:pPr>
    </w:p>
    <w:p>
      <w:pPr>
        <w:ind w:left="660" w:hanging="328"/>
        <w:spacing w:after="0" w:line="26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Performance-Based Awards</w:t>
      </w:r>
      <w:r>
        <w:rPr>
          <w:rFonts w:ascii="Arial" w:cs="Arial" w:eastAsia="Arial" w:hAnsi="Arial"/>
          <w:sz w:val="18"/>
          <w:szCs w:val="18"/>
          <w:color w:val="auto"/>
        </w:rPr>
        <w:t>. These awards generally vest if certain specific financial measures are achieved; generally one-third vests on each</w:t>
      </w:r>
      <w:r>
        <w:rPr>
          <w:rFonts w:ascii="Arial" w:cs="Arial" w:eastAsia="Arial" w:hAnsi="Arial"/>
          <w:sz w:val="18"/>
          <w:szCs w:val="18"/>
          <w:i w:val="1"/>
          <w:iCs w:val="1"/>
          <w:color w:val="auto"/>
        </w:rPr>
        <w:t xml:space="preserve"> </w:t>
      </w:r>
      <w:r>
        <w:rPr>
          <w:rFonts w:ascii="Arial" w:cs="Arial" w:eastAsia="Arial" w:hAnsi="Arial"/>
          <w:sz w:val="18"/>
          <w:szCs w:val="18"/>
          <w:color w:val="auto"/>
        </w:rPr>
        <w:t>anniversary of the grant date or the awards cliff-vest on the third anniversary of the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grant date. The number of performance-based restricted shares and restricted share units that may vest will be based on the level of achievement, as specified in the award agreements. If the performance criteria achieved is above certain financial performance levels, participants have the opportunity to vest in up to 150% of the restricted share unit award for certain awards. If the performance criteria achieved is below a certain thresholds, the award is canceled.</w:t>
      </w:r>
    </w:p>
    <w:p>
      <w:pPr>
        <w:spacing w:after="0" w:line="2" w:lineRule="exact"/>
        <w:rPr>
          <w:sz w:val="20"/>
          <w:szCs w:val="20"/>
          <w:color w:val="auto"/>
        </w:rPr>
      </w:pPr>
    </w:p>
    <w:p>
      <w:pPr>
        <w:jc w:val="both"/>
        <w:ind w:left="660" w:hanging="328"/>
        <w:spacing w:after="0" w:line="290" w:lineRule="auto"/>
        <w:tabs>
          <w:tab w:leader="none" w:pos="655"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Performance-Based and Market-Based Awards</w:t>
      </w:r>
      <w:r>
        <w:rPr>
          <w:rFonts w:ascii="Arial" w:cs="Arial" w:eastAsia="Arial" w:hAnsi="Arial"/>
          <w:sz w:val="16"/>
          <w:szCs w:val="16"/>
          <w:color w:val="auto"/>
        </w:rPr>
        <w:t>. These awards generally vest if certain specific financial measures are achieved and if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specific market conditions are achieved (i.e., Total Shareholder Return (“TSR”) compared against the Russell 3000 stock market index). If the performance criteria achieved is above certain financial performance levels and Altisource’s share performance is above certain established criteria, participants have the opportunity to vest in up to 300% of the restricted share unit award for certain awards. If the performance criteria or the market criteria is below certain thresholds, the award is canceled. We believe that the design of the performance-based award and market-based award, incentivizes the leadership team to focus on the long-term value creation for shareholders and other stakeholders.</w:t>
      </w:r>
    </w:p>
    <w:p>
      <w:pPr>
        <w:spacing w:after="0" w:line="110" w:lineRule="exact"/>
        <w:rPr>
          <w:sz w:val="20"/>
          <w:szCs w:val="20"/>
          <w:color w:val="auto"/>
        </w:rPr>
      </w:pPr>
    </w:p>
    <w:p>
      <w:pPr>
        <w:ind w:right="2140"/>
        <w:spacing w:after="0" w:line="438" w:lineRule="auto"/>
        <w:rPr>
          <w:sz w:val="20"/>
          <w:szCs w:val="20"/>
          <w:color w:val="auto"/>
        </w:rPr>
      </w:pPr>
      <w:r>
        <w:rPr>
          <w:rFonts w:ascii="Arial" w:cs="Arial" w:eastAsia="Arial" w:hAnsi="Arial"/>
          <w:sz w:val="18"/>
          <w:szCs w:val="18"/>
          <w:color w:val="auto"/>
        </w:rPr>
        <w:t xml:space="preserve">Our employee benefit programs are customized for each geography. We regularly benchmark our plans to remain competitive. </w:t>
      </w:r>
      <w:r>
        <w:rPr>
          <w:rFonts w:ascii="Arial" w:cs="Arial" w:eastAsia="Arial" w:hAnsi="Arial"/>
          <w:sz w:val="18"/>
          <w:szCs w:val="18"/>
          <w:u w:val="single" w:color="auto"/>
          <w:color w:val="auto"/>
        </w:rPr>
        <w:t>Impact of COVID-19 Pandemic</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Employee health and well-being is critical for us and we are committed to supporting our employees through the COVID-19 pandemic. As part of this support, we ensure our employees in the United States and India have health coverage to help address medical costs related to the treatment of COVID-19. Our employees in other countries are covered by their local applicable social security or health programs. We also provide time off to those employees who are diagnosed with the virus.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Driven by health considerations, as well as local regulations, we temporarily converted most of our workforce to remote out-of-office work arrangements beginning in March 2020. As of December 31, 2020, most of our workforce continued to work remotely, except for a small number of employees who work at our facilities due to client requirements or other requirements related to their job duties.</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provide a safe working environment for our employees who continue to work from our facilities in the United States, we introduced safety measures in line with the United States Centers for Disease Control (CDC) and Prevention guidelines. For our employees who continue to work from our facilities in India, we defined safety measures in line with the guidelines provided by the regulatory bodies of the central and state governments and the local municipal corporations. We intend to continue reviewing our safety measures and recommendations from the relevant authorities as we consider the return of employees to our facilities.</w:t>
      </w:r>
    </w:p>
    <w:p>
      <w:pPr>
        <w:spacing w:after="0" w:line="13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believe the remote workforce model has allowed us to continue operations without interruption or a significant impact to productivity. We expect the current remote workforce model to continue for most employees until the threat of the COVID-19 pandemic is substantially reduced. As the COVID-19 pandemic progresses, we will continue to assess its impact on our operations and may adjust our working model to respond to changing circumstances.</w:t>
      </w:r>
    </w:p>
    <w:p>
      <w:pPr>
        <w:spacing w:after="0" w:line="9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undertook several workforce related initiatives in 2020 in response to declines in our default-related businesses as a result of the COVID-19 pandemic and one of the investors of our largest customer instructing our customer to redirect certain referral from us to the investor’s captive service provider. These cost reduction measures included workforce reductions across our operations, employee furloughs and temporary compensation reductions for most of our United States and Luxembourg employees, senior management and independent directors. As of December 31, 2020, our workforce was 17% lower than our workforce as of January 1, 2020. Our workforce compensation was reinstated between June and October, with the compensation of senior management being reinstated in October. The cash compensation of our independent directors remains reduced to 80% of the pre-reduction compensation.</w:t>
      </w:r>
    </w:p>
    <w:p>
      <w:pPr>
        <w:spacing w:after="0" w:line="11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provided notice of further workforce reductions in February 2021 in response to certain measures and announcements from the federal government regarding the extension and expansion of the national foreclosure and eviction moratoriums, and the anticipated continued impact to our default related businesses. This reduction will impact approximately 8% of our global workforce through the first two quarters of 2021.</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of our revenues can be impacted by seasonality. More specifically, revenues from property sales, loan originations and certain property preservation services in Field Services typically tend to be at their lowest level during the fall and winter months and at their highest level during the spring and summer months.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business and the business of our customers are or may be subject to extensive scrutiny and regulation by federal, state and local governmental authorities including the Federal Trade Commission (“FTC”), the Consumer Financial Protection Bureau (“CFPB”), the Securities and Exchange Commission (“SEC”), the Department of Housing and Urban Development (“HUD”), various federal and state banking, financial and consumer regulators and the state and local agencies that license or oversee certain of our auction, real estate brokerage, mortgage and debt collection services, trustee services, mortgage origination underwriter and broker services, property management services and insurance services. We also must comply with a number of federal, state and local laws, which may include, among others:</w:t>
      </w:r>
    </w:p>
    <w:p>
      <w:pPr>
        <w:spacing w:after="0" w:line="12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Americans with Disabilities Act (“ADA”);</w:t>
      </w:r>
    </w:p>
    <w:p>
      <w:pPr>
        <w:spacing w:after="0" w:line="1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Bank Secrecy Act;</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California Consumer Privacy Act (“CCPA”);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California Homeowner Bill of Rights (“CHBR”);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California Privacy Rights Act;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Controlling the Assault of Non-Solicited Pornography And Marketing Act (“CAN-SPAM”);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Equal Credit Opportunity Act (“ECOA”);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Fair and Accurate Credit Transactions Act (“FACTA”);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Fair Credit Reporting Act (“FCRA”);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Fair Housing Act;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Federal Trade Commission Act (“FTC Act”);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Gramm-Leach-Bliley Act (“GLBA”);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Home Affordable Refinance Program (“HARP”);</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Home Mortgage Disclosure Act (“HMDA”);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Home Ownership and Equity Protection Act (“HOEPA”);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National Housing Act;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New York Real Property Actions and Proceedings Law (“RPAPL”);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Real Estate Settlement Procedures Act (“RESPA”);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Secure and Fair Enforcement for Mortgage Licensing (“SAFE”) Act;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Servicemembers Civil Relief Act (“SCRA”);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Telephone Consumer Protection Act (“TCPA”);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Truth in Lending Act (“TILA”);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Unfair, Deceptive or Abusive Acts and Practices statutes (“UDAAP”).</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also subject to the requirements of the Foreign Corrupt Practices Act (“FCPA”) and comparable foreign laws, due to our activities in foreign jurisdictions.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federal and state laws regarding privacy and data security, we are also subject to data protection laws in the countries in which we operate.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Additionally, certain of our entities are or may be subject to the EU General Data Protection Regulation (“GDPR”).</w:t>
      </w:r>
    </w:p>
    <w:p>
      <w:pPr>
        <w:spacing w:after="0" w:line="15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Legal requirements can and do change as statutes and regulations are enacted, promulgated or amended. One such enacted regulation is the Dodd-Frank Wall Street Reform and Consumer Protection Act (“Dodd-Frank Act”). The Dodd-Frank Act is extensive and includes reform of the regulation and supervision of financial institutions, as well as the regulation of derivatives, capital market activities and consumer financial services. The Dodd-Frank Act, among other things, created the CFPB, a federal entity responsible for regulating consumer financial services and products. Title XIV of the Dodd-Frank Act contains the Mortgage Reform and Anti-Predatory Lending Act (“Mortgage Act”). The Mortgage Act imposes a number of additional requirements on lenders and servicers of residential mortgage loans by amending and expanding certain existing regulations. The interpretation or enforcement by regulatory authorities of applicable laws and regulations also may change over time. In addition, the creation of new regulatory authorities or changes in the regulatory authorities overseeing applicable laws and regulations may also result in changing interpretation or enforcement of such laws or regulations.</w:t>
      </w:r>
    </w:p>
    <w:p>
      <w:pPr>
        <w:spacing w:after="0" w:line="1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failure or the failure of our customers or vendors to comply with applicable laws or regulations or changing interpretation of such laws or regulations could subject the Company to criminal or civil liability, significant penalties, fines, settlements, costs and consent orders affecting us or our customers that may curtail or restrict the business as it is currently conducted and could have a material adverse effect on our financial condition or results of operations.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Furthermore, certain of our services are provided at the direction of, and pursuant to, the identified requirements of our customers. The failure of our customers to properly identify or account for regulatory requirements applicable to such services could expose us to significant penalties, fines, settlements, costs and consent orders that could have an adverse effect on our financial condition or results of operations.</w:t>
      </w:r>
    </w:p>
    <w:p>
      <w:pPr>
        <w:spacing w:after="0" w:line="13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may be subject to licensing and regulation as a provider of certain services including, among others, services as a mortgage origination underwriter, mortgage broker, valuation provider, appraisal management company, asset manager, property inspection and preservation provider, title insurance agent, insurance broker and underwriter, real estate broker, auctioneer and foreclosure trustee in a number of jurisdictions. Our employees and subsidiaries may be required to be licensed by or registered with various jurisdictions for the particular type of service sold or provided and to participate in regular continuing education programs. Periodically, we are subject to audits, examinations and investigations by federal, state and local governmental authorities and receive subpoenas, civil investigative demands or other requests for information from such governmental authorities in connection with their regulatory or investigative authority. Due to the inherent uncertainty of such actions, it is often difficult to predict the potential outcome or estimate any potential financial impact in connection with any such inquiries.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We file Annual Reports on Form 10-K, Quarterly Reports on Form 10-Q, Current Reports on Form 8-K and other information with the SEC. These filings are available to the public on the SEC’s website at </w:t>
      </w:r>
      <w:r>
        <w:rPr>
          <w:rFonts w:ascii="Arial" w:cs="Arial" w:eastAsia="Arial" w:hAnsi="Arial"/>
          <w:sz w:val="18"/>
          <w:szCs w:val="18"/>
          <w:i w:val="1"/>
          <w:iCs w:val="1"/>
          <w:u w:val="single" w:color="auto"/>
          <w:color w:val="380BB5"/>
        </w:rPr>
        <w:t>www.sec.gov</w:t>
      </w:r>
      <w:r>
        <w:rPr>
          <w:rFonts w:ascii="Arial" w:cs="Arial" w:eastAsia="Arial" w:hAnsi="Arial"/>
          <w:sz w:val="18"/>
          <w:szCs w:val="18"/>
          <w:color w:val="auto"/>
        </w:rPr>
        <w:t>.</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principal Internet address is </w:t>
      </w:r>
      <w:r>
        <w:rPr>
          <w:rFonts w:ascii="Arial" w:cs="Arial" w:eastAsia="Arial" w:hAnsi="Arial"/>
          <w:sz w:val="18"/>
          <w:szCs w:val="18"/>
          <w:i w:val="1"/>
          <w:iCs w:val="1"/>
          <w:u w:val="single" w:color="auto"/>
          <w:color w:val="380BB5"/>
        </w:rPr>
        <w:t>www.altisource.com</w:t>
      </w:r>
      <w:r>
        <w:rPr>
          <w:rFonts w:ascii="Arial" w:cs="Arial" w:eastAsia="Arial" w:hAnsi="Arial"/>
          <w:sz w:val="18"/>
          <w:szCs w:val="18"/>
          <w:color w:val="auto"/>
        </w:rPr>
        <w:t xml:space="preserve"> and we encourage investors to use it as a way to easily find information about us. We promptly make the reports we file or furnish with the SEC, corporate governance information (including our Code of Business Conduct and Ethics), select press releases and other related information available on this website. The contents of our website are available for informational purposes only and shall not be deemed incorporated by reference in this report.</w:t>
      </w:r>
    </w:p>
    <w:p>
      <w:pPr>
        <w:spacing w:after="0" w:line="1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risk factors and other information included in this Annual Report on Form 10-K should be carefully considered. The risks and uncertainties described below address the most materials risks, of which we are currently aware but are not the only ones we face. Therefore, the following risk factors should not be considered a complete list of potential risks that we may face.</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Any risk factor described in this Annual Report on Form 10-K or in any of our other SEC filings, or any risk not currently known to us or that we currently anticipate to be immaterial may, by itself, or together with other factors, materially adversely affect our business, reputation, prospects, competitive position, liquidity, results of operations, capital position or financial condition, including by materially increasing our expenses or decreasing our revenues, which could result in material losses. If any of these risks occur, the trading price of our common stock could decline, and investors could lose all or part of their investment.</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While insurance coverage may be applicable to help address certain risks that may crystalize, recovery pursuant to our insurance policies may not be available, and available insurance may be insufficient to compensate for damages, expenses, fines, penalties, and other losses we may incur as a result of these and other risks.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this ITEM 1A, unless the context otherwise clearly indicates, references to our “services” include any services, products or solutions provided, or made available, by us.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COVID-19 Pandemic</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face certain risks related to the COVID-19 pandemic and the measures taken to prevent its spread. The COVID-19 pandemic continues to have a profound impact on our business, our customers, the industries in which we operate, and the societies and economies in which we conduct our business and operations. We anticipate that we will continue to experience the impacts of the COVID-19 pandemic through at least the 2021 calendar year and beyond. The extent and duration of the impact of the COVID-19 pandemic and governmental, mortgage servicer, mortgage investor and societal responses will depend on future developments, including the duration and severity of the pandemic, which remain highly uncertain. As a result, it is difficult to predict the impact on our business. Further, as a result of interruptions caused by the pandemic and responses to the pandemic by our customers’, various governmental bodies and mortgage investors:</w:t>
      </w:r>
    </w:p>
    <w:p>
      <w:pPr>
        <w:spacing w:after="0" w:line="141" w:lineRule="exact"/>
        <w:rPr>
          <w:sz w:val="20"/>
          <w:szCs w:val="20"/>
          <w:color w:val="auto"/>
        </w:rPr>
      </w:pPr>
    </w:p>
    <w:p>
      <w:pPr>
        <w:jc w:val="both"/>
        <w:ind w:left="660" w:hanging="328"/>
        <w:spacing w:after="0" w:line="263"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not be able to maintain a stable workforce or operate our workforce and facilities in an efficient or productive manner as we respond to changes caused by the COVID-19 pandemic, restrictions on services or work that may be performed, restrictions on workforce reductions, facility closures or remote work arrangements, or mandates from</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governments or public health authorities, particularly with respect to our services that require travel or an on-site presence.</w:t>
      </w:r>
    </w:p>
    <w:p>
      <w:pPr>
        <w:spacing w:after="0" w:line="23" w:lineRule="exact"/>
        <w:rPr>
          <w:sz w:val="20"/>
          <w:szCs w:val="20"/>
          <w:color w:val="auto"/>
        </w:rPr>
      </w:pPr>
    </w:p>
    <w:p>
      <w:pPr>
        <w:jc w:val="both"/>
        <w:ind w:left="660" w:hanging="328"/>
        <w:spacing w:after="0" w:line="265" w:lineRule="auto"/>
        <w:tabs>
          <w:tab w:leader="none" w:pos="655"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demand for our services and our vendors’ ability to provide services in a timely and cost-effective fashion may be negatively impacted, which could result in a reduction in our revenue and/or an increase in our costs. For example, foreclosure and REO referrals may be impacted by foreclosure and eviction moratoriums. In addition, certain of our field services offerings may be precluded by government orders limiting the performance of non-essential services or become difficult to fulfill due to our field vendors’ reluctance to perform services, especially services that are not clearly specified by authorities as essential or those that present the potential for human contact.</w:t>
      </w:r>
    </w:p>
    <w:p>
      <w:pPr>
        <w:jc w:val="both"/>
        <w:ind w:left="660" w:hanging="328"/>
        <w:spacing w:after="0" w:line="253"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need to seek alternate vendors or suppliers as existing vendors and suppliers may be unable to timely and cost effectively provide services. This may disrupt our operations, negatively impact our ability to provide services, and may be more expensive. If we are not able to obtain or contract with alternate vendors or suppliers our operations would be negatively impacted. In addition, our customers or consumers may be unwilling to interact with our employees or vendors, or visit properties related to our services, which may impact our ability to provide such services.</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Volatile or uncertain economic conditions caused by the COVID-19 pandemic, or its consequences, have and may continue to affect our customers and the markets we serve, causing customers to reduce, defer or eliminate spending on our services.</w:t>
      </w:r>
    </w:p>
    <w:p>
      <w:pPr>
        <w:spacing w:after="0" w:line="1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Our compliance with work from home, business closure, shelter in place and other similar regulations may impose additional costs on us and could negatively impact our control environment or create additional risks for our business, including increasing our risk for cybersecurity breaches or failures.</w:t>
      </w:r>
    </w:p>
    <w:p>
      <w:pPr>
        <w:spacing w:after="0" w:line="7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have transitioned a significant portion of our workforce to work remotely to protect the health and safety of our workforce and customers and, in certain instances, in response to government actions. We are not able to anticipate the potential duration of remote work arrangements necessitated by the COVID-19 pandemic. We may incur significant costs associated with such work arrangements. Further, our business continuity plans in the face of remote working and other adjustments to business may not be sufficient to address business interruptions or a global pandemic of COVID-19's scale and magnitude, or may not be implemented on a timely or error free basis in response to changes, resulting in negative operational impacts and errors.</w:t>
      </w:r>
    </w:p>
    <w:p>
      <w:pPr>
        <w:spacing w:after="0" w:line="10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Employing a remote work environment could decrease employee productivity, including due to a lower level of employee oversight, distraction caused by the pandemic and its impact on daily life, employee health conditions or illnesses, employees acting as caregivers, disruption due to home schooling and child care obligations, use of slower residential Internet connections, the instability, inadequacy or unavailability of our network, or unstable electrical services or unreliable Internet access. We also may face increased data privacy and security risks resulting from the use of non-Altisource networks to access information and to provide services. Additional risks to our systems and data, and customer, vendor and/or borrower data are presented by increased phishing activities targeting employees, vendors and counterparties in transactions, the possibility of attacks on our systems or systems of employees working remotely as well as by decreased supervision or monitoring of employees. Remote work arrangements could also negatively impact certain controls, such as our financial reporting systems, internal control over financial reporting and disclosure controls and procedures. If we do face a reduction in productivity, data privacy or cybersecurity failures or breaches, or issues with our controls, we may incur additional costs to address such issues and our financial condition and results may be adversely impacted.</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may be subject to legal claims from customers, employees and other third parties as a result of the response to COVID-19, including contractual breach claims and personal injury claims.</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Interruptions caused by the pandemic and our, our customers’ and various governmental bodies’ responses to the pandemic could adversely impact our ability to comply with various legal and contractual obligations, including service level agreements and performance standards in our revenue agreements, restoration obligations in our leases, and obligations to perform or use services in pre-approved locations, whether as a result of an inability to staff personnel for certain services in appropriate locations or as a result of compliance with various imposed regulations. Some of our agreements may not contain force majeure clauses or similar provisions that would sufficiently excuse any non-performance due to the pandemic. Accordingly, counterparties to these contracts may assert that we have breached these contracts and caused damages. Even if our agreements contain force majeure clauses or similar provisions, our customers may dispute that such provisions are applicable to excuse our failures to perform. In such cases, we could face additional costs, penalties, fee reductions, an exercise of termination rights, legal claims and liabilities.</w:t>
      </w:r>
    </w:p>
    <w:p>
      <w:pPr>
        <w:spacing w:after="0" w:line="127"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Further, we could face legal claims from employees, contractors, vendors, borrowers or other individuals who claim to have been exposed to and contracted the COVID-19 virus as a result of our failure to comply with legal or hygiene requirements related to COVID-19 in the provision of our services.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If we face claims under contracts or claims from employees, contractors, vendors, borrowers or others our insurance coverage may not be applicable to, or sufficient to cover, all claims, costs, and damages we incur, which would result in us bearing these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COVID-19 pandemic and its ramifications could further aggravate, accelerate, or precipitate any of the risk factors discussed below.</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earn the majority of our revenue in connection with providing services to two customers.</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majority of our revenue is earned from providing services to Ocwen and NRZ. If either party substantially reduces the scope or volume of services acquired from us, or otherwise ceases using us as a vendor, it would negatively impact our business. In addition, providing services to these customers affords us the opportunity to provide certain services to third parties. For example, we may have the opportunity to earn commissions or fees from, or we may be able to provide on-line auction services, title insurance and escrow services, or other services to, buyers on certain real estate transactions, and the loss of these customers would also result in the loss of these additional revenue streams.</w:t>
      </w:r>
    </w:p>
    <w:p>
      <w:pPr>
        <w:spacing w:after="0" w:line="13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Customer concentration exposes us to concentrated credit risk, as a significant portion of our accounts receivable may be from one or both of these customers.</w:t>
      </w:r>
    </w:p>
    <w:p>
      <w:pPr>
        <w:spacing w:after="0" w:line="11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If the characteristics of the portfolios of properties on which we provide services for either of these customers were to significantly change, for example to become more rural or lower value, this could impact the type and volume of services that we provide, increase our costs of doing business, or reduce the value of commissions or fees we earn.</w:t>
      </w:r>
    </w:p>
    <w:p>
      <w:pPr>
        <w:spacing w:after="0" w:line="12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business concentration or relationships with these two customers may be viewed as a risk or otherwise negatively by other customers or potential customers, impeding our efforts to retain customers or obtain new customers.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Changes that reduce or limit the use of online default real estate auctions or otherwise reduce the volume or rate of success of such auctions can negatively impact our auction marketplace, real estate brokerage and related default services.</w:t>
      </w:r>
    </w:p>
    <w:p>
      <w:pPr>
        <w:spacing w:after="0" w:line="11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Governmental, GSE, servicer or investor actions or action by others that restrict online real estate auctions (foreclosure and REO), or direct the use of auction providers other than us, could negatively impact demand for our auction marketplace, real estate brokerage and related services, and negatively impact our ability to meet certain contractual performance metrics, including those related to aging of assets, time on market and sale price compared to valuation. If we fail to satisfy applicable performance metrics or perform in a manner satisfactory to our customers, such customers may reduce the services they acquire from us or otherwise terminate us as a provider.</w:t>
      </w:r>
    </w:p>
    <w:p>
      <w:pPr>
        <w:spacing w:after="0" w:line="13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We entered into a Cooperative Brokerage Agreement with NRZ’s licensed brokerage subsidiary. If the agreement is terminated, or if there is a significant reduction in the volume of services that we provide pursuant to such agreement, our business and results of operations could be adversely affected.</w:t>
      </w:r>
    </w:p>
    <w:p>
      <w:pPr>
        <w:spacing w:after="0" w:line="70"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On August 28, 2017, Altisource, through its licensed subsidiaries, entered into the Brokerage Agreement with NRZ which extends through August 2025. Under this agreement and related amendments, Altisource is the exclusive provider of brokerage services for REO associated with the certain MSRs, irrespective of the subservicer, as long as NRZ owns such MSRs. The Brokerage Agreement may be terminated by NRZ upon the occurrence of certain specified events. Termination events include, but are not limited to, a breach of the terms of the Brokerage Agreement (including, without limitation, the failure to meet performance standards and non-compliance with law in a material respect), the failure to maintain licenses which failure materially prevents performance of the contract, regulatory allegations of non-compliance resulting in an adversarial proceeding against NRZ, voluntary or involuntary bankruptcy, appointment of a receiver, disclosure in a Form 10-K or Form 10-Q that there is significant uncertainty about Altisource’s ability to continue as a going concern, failure to maintain a specified level of cash and an unapproved change of control. If any one of these termination events occurs and the Brokerage Agreement is terminated, this could have an adverse impact on business and results of operations.</w:t>
      </w:r>
    </w:p>
    <w:p>
      <w:pPr>
        <w:spacing w:after="0" w:line="11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addition, NRZ operational changes or other actions that reduce the number of properties converting to REO status could: (i) reduce the volume of services that we provide on the applicable MSRs pursuant to our agreements with Ocwen, and (ii) reduce the volume of services that we provide pursuant to the Brokerage Agreement.</w:t>
      </w:r>
    </w:p>
    <w:p>
      <w:pPr>
        <w:spacing w:after="0" w:line="12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Technology disruptions, failures, defects or inadequacies, delays or difficulties in implementing software or hardware changes, acts of vandalism or the introduction of harmful code could damage our business operations and increase our costs.</w:t>
      </w:r>
    </w:p>
    <w:p>
      <w:pPr>
        <w:spacing w:after="0" w:line="11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rely on critical technology to provide certain of our services. We rely on our proprietary technology in our Hubzu real estate marketing, Equator, Trelix Connect, Vendorly and other platforms. We leverage third party technology to provide certain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of our services, including using third party order management and billing technology in our default businesses, and using third party technology to access data or take actions, such as governmental filings, and externally hosted and managed data centers and operating environments. Disruptions, failures, defects or inadequacies in our technology or third party technology or related services we utilize, delays or errors in developing of our technology, or acts of vandalism, misuse or malicious use of our solutions, system attacks or the introduction of malicious code in technology we utilize, may interrupt or delay our ability to provide products or services to our customers, impact our ability to satisfy performance requirements, or cause the loss, corruption or disclosure of data. We may be a particular target for network hackers or others with malicious intent due to our storage and processing of consumer information as part of providing our services or as a result of operating public-facing technology platforms, including, for example, our Hubzu marketing platform. Any sustained and repeated disruptions in these services may have an adverse impact on our and our customers’ business and results of operations and, in the case of acts of vandalism or introduction of harmful code, could necessitate improvements to our physical and cybersecurity practices that may require an investment of money, time and resources.</w:t>
      </w:r>
    </w:p>
    <w:p>
      <w:pPr>
        <w:spacing w:after="0" w:line="12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Many of our services and processes require effective interoperation with internal and external technology platforms and services, and failures in such interoperation could have a negative impact on our operations and the operations of our customers.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Further, our customers may require changes and improvements to the systems we provide to them to manage the volume and complexity, laws or regulations of their businesses, or to interoperate with other systems, which changes and improvements may be unfeasible, unsuccessful, costly or time-consuming to implement or may create disruptions in our provision of services to customers. Our customers may refuse to agree to modifications to technology or infrastructure that we provide to them or that interoperate with the technology or infrastructure we provide to them that we may believe are desirable to improve the reliability, performance, efficiency and/or cost in delivering. Additionally, the improper implementation or use of Altisource technology, such as Equator, by customers could adversely impact the operation of that technology, and potentially cause harm to our reputation, loss of customers, negative publicity or exposure to liability claims or government investigations or actions.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depend on our ability to use services, products, data and infrastructure provided by third parties to maintain and grow our businesses.</w:t>
      </w:r>
    </w:p>
    <w:p>
      <w:pPr>
        <w:spacing w:after="0" w:line="171"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We rely on certain third parties to provide services, products and solutions including certain data, infrastructure, technology, systems and functionality including a third party hosted and managed data center and operating environment (collectively, “Technologies”) critical to our services, including our Hubzu real estate marketing, Equator, Trelix</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Connect, Vendorly®, RentRange® and other solutions. The failure of such third parties to provide or make available the Technologies in accordance with applicable requirements could negatively impact our ability to provide our services or perform transactions and to meet our obligations. In addition, these third parties could cease providing or reduce the availability, type, details or other aspects of the Technologies, and change the pricing, performance or functionality of the Technologies. If such Technologies become unavailable or too expensive and we are unable to obtain suitable alternatives and efficiently and effectively integrate these alternatives into our service offerings or infrastructure, we could experience service disruptions, increased costs and reduced quality of our services.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Company’s databases contain our proprietary information, the proprietary information of third parties and personal information of our customers, consumers, vendors and employees. Our failure to comply with applicable information management requirements or best practices, or the unauthorized disclosure of information, could subject us to adverse publicity, investigations, fines, costly government enforcement actions or private litigation and expenses.</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As part of our business we collect, store, process, transfer and dispose in tangible and electronic forms customer, consumer, vendor and employee personal information (“PI”). We and our vendors rely on processes that are intended to provide necessary notices regarding the collection, storage, processing and destruction of PI, and to permit subjects to exercise their legal rights concerning their PI in our possession. If those processes are not sufficient, we or our vendors may fail to comply with applicable requirements concerning PI. In addition, we rely on the security of our facilities, networks, databases, systems and processes and, in certain circumstances, third parties, such as vendors, to protect PI. If our controls and those of our customers or vendors are not effective, are outdated or do not exist, or if we fail to detect or respond to attacks or intrusions, unauthorized parties may gain access to our networks or databases or information, or those of our customers or vendors with which we interconnect or share information, and they may be able to steal, publish, delete, or modify PI. In addition, employees may intentionally or inadvertently cause data or security breaches that result in unauthorized release of such PI. Further, our efforts to delete or destroy PI may not be consistent with our disclosed policies or may not be successful, resulting in the theft or unintentional disclosure of PI, including when disposing of media on which PI may be stored. In such circumstances, our business could be harmed and we could be liable to our customers, employees or vendors, or to regulators, consumers or other parties, as well as be subject to notification requirements or regulatory or other actions for breaching applicable laws or failing to adequately protect such information. This could result in costly investigations and litigation, civil or criminal penalties, large scale remediation requirements, operational changes or other response measures, significant penalties, fines, settlements, costs, consent orders, loss of consumer confidence in our security measures and negative publicity.</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insurance underwriting loss limitation methods we use could fail.</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Altisource, through its subsidiary Association of Certified Mortgage Originators Risk Retention Group, Inc., provides certified loan insurance to its customers. Altisource reduces a portion of its risk of insurance loss through third party reinsurance. The incidence and severity of claims against insurance policies are inherently unpredictable. Although we attempt to manage our exposure to insurance underwriting risk through the use of disciplined underwriting controls and the purchase of third party reinsurance, the frequency and severity of claims could be greater than contemplated in our pricing and risk management methods and our controls and mitigation efforts may not be effective or sufficient.</w:t>
      </w:r>
    </w:p>
    <w:p>
      <w:pPr>
        <w:spacing w:after="0" w:line="12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also face counterparty risk when purchasing reinsurance from third party reinsurers. The insolvency or unwillingness of any of our present or future reinsurers to contract with us or make timely payments to us under the terms of our reinsurance agreements could have an adverse effect on us. Further, there is no certainty that we will be able to purchase the amount or type of reinsurance we desire in the future or that the reinsurance we desire will be available on terms we consider acceptable or with reinsurers with whom we want to do business.</w:t>
      </w:r>
    </w:p>
    <w:p>
      <w:pPr>
        <w:spacing w:after="0" w:line="13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Under certain material agreements that we are currently a party to or may enter into in the future, the formation by shareholders of Altisource of a “group” with ownership of Altisource capital stock exceeding a defined percentage may give rise to a termination event or an event of default.</w:t>
      </w:r>
    </w:p>
    <w:p>
      <w:pPr>
        <w:spacing w:after="0" w:line="92" w:lineRule="exact"/>
        <w:rPr>
          <w:sz w:val="20"/>
          <w:szCs w:val="20"/>
          <w:color w:val="auto"/>
        </w:rPr>
      </w:pPr>
    </w:p>
    <w:p>
      <w:pPr>
        <w:jc w:val="both"/>
        <w:spacing w:after="0"/>
        <w:rPr>
          <w:sz w:val="20"/>
          <w:szCs w:val="20"/>
          <w:color w:val="auto"/>
        </w:rPr>
      </w:pPr>
      <w:r>
        <w:rPr>
          <w:rFonts w:ascii="Arial" w:cs="Arial" w:eastAsia="Arial" w:hAnsi="Arial"/>
          <w:sz w:val="18"/>
          <w:szCs w:val="18"/>
          <w:color w:val="auto"/>
        </w:rPr>
        <w:t>Under certain of our material agreements a change of control would be deemed to occur if, among other things, a “group” (as that term is used in Sections 13(d) and 14(d) of the Exchange Act) is formed by shareholders holding beneficial ownership of a defined percentage of the combined voting power or economic interest of our capital stock. The Brokerage Agreement with NRZ’s licensed brokerage subsidiary contains a similar provision, and we may enter into material agreements in the future that contain similar provisions. The formation of a “group” could occur without the involvement of or input by us, and we are not in a position to prevent such an event from occurring. Such a change of control could constitute a termination event or an event of default under these agreements.</w:t>
      </w:r>
    </w:p>
    <w:p>
      <w:pPr>
        <w:spacing w:after="0" w:line="13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We rely on third party vendors for many aspects of our business. If our vendor oversight activities are ineffective, we may fail to meet customer or regulatory requirements. We may face difficulties sourcing required vendors or managing our relationships with third party vendors.</w:t>
      </w:r>
    </w:p>
    <w:p>
      <w:pPr>
        <w:spacing w:after="0" w:line="92"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We rely on third party vendors to provide goods and services in relation to many aspects of our operations, including certain providers of web-based services or software as services. Our dependence on these vendors makes our operations vulnerable to the unavailability of such third parties, the pricing and quality of services offered by such third parties, solvency of those third parties and such third parties’ failure to perform adequately under our agreements with them. In addition, where a vendor provides services that we are required to provide under a contract with a customer, we are generally responsible for such performance and could be held accountable by the customer for any failure of performance by our vendors. If our vendor sourcing efforts are not effective or if we are otherwise not able to secure an appropriate supply and quality of vendors and services, or if vendors are prohibited or prevented from performing the services or providing the products for which we contract, including as the result of restrictions imposed by state or local governments or health departments, we may be unable to provide services or compliant services. If our vendor oversight activities are ineffective or if a vendor fails to provide the services that we require or expect, or fails to meet contractual requirements, such as service levels or compliance with applicable laws, the failure could negatively impact our business by adversely affecting our ability to serve our customers or subjecting us to litigation and regulatory risk for ineffective vendor oversight. Furthermore, the failure to obtain services at anticipated pricing could impact our cost structure and the prices of services we provide. In addition, Altisource may be contractually required by its customers or by applicable regulations to oversee its vendors and document procedures performed to demonstrate that oversight. If we fail to meet such customer or regulatory requirements, or we face difficulties managing our relationships with third party vendors, we may lose customers or may no longer be granted referrals for certain services or could be subject to adverse regulatory action.</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make extensive use of contractors in certain of our lines of business. If we are required to reclassify contractors as employees, we may incur fines and penalties and additional costs and taxes.</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 significant number of contractors provide services in our operations for whom we do not pay or withhold any federal, state or local employment tax or provide employee benefits. These contractors may be retained by us or retained by vendors providing services to us. There are a number of tests used in determining whether an individual is an employee or a contractor. There can be no assurance that legislative, judicial or regulatory (including tax) authorities will not introduce proposals or assert interpretations of existing rules and regulations that would change, or at least challenge, the classification of our contractors. Although we believe we have properly classified our contractors, and require our vendors to property classify contractors used in connection with providing services to us, the United States Internal Revenue Service or other United States federal or state authorities or similar authorities of a foreign government may determine that we or our vendors have misclassified our contractors for employment tax or other purposes and, as a result, seek additional taxes from us, require us to pay certain</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compensation or benefits to wrongly classified employees, or attempt to impose fines or penalties. In addition, contractors may assert claims that they are our employees and seek to recover compensation, benefits, damages and penalties from us. If we are required to pay employer taxes, pay backup withholding compensation, benefits, damages or penalties with respect to prior periods with respect to or on behalf of our contractors or those of our vendors, our operating costs will increase.</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could have conflicts of interest with Ocwen, NRZ, and/or certain of our shareholders, members of management, employees and members of our Board of Directors, which may be resolved in a manner adverse to us.</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We have significant business relationships with and provide services to Ocwen and to NRZ. Certain members of our management and independent members of our Board of Directors (or entities affiliated with such Board of Directors members) have direct or beneficial equity interests in Ocwen or in NRZ, including in one instance, equity interests in Ocwen (slightly less than 10%) and Altisource (approximately 24%) as well as debt of both of these parties, and equity interests in NRZ (less than 1%). Such interests could create, or appear to create, potential conflicts of interest with respect to matters potentially or actually involving or affecting us and Ocwen or NRZ. There can be no assurance that we will implement measures that will enable us to manage potential conflicts with Ocwen or NRZ. There can be no assurance that any current or future measures that may be implemented to manage potential conflicts will be effective or that we will be able to manage or resolve all potential conflicts with Ocwen or NRZ, and, even if we do, that the resolution will be no less favorable to us than if we were dealing with another third party that has none of the connections we have with Ocwen or NRZ.</w:t>
      </w:r>
    </w:p>
    <w:p>
      <w:pPr>
        <w:spacing w:after="0" w:line="11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Further, certain employees, directors and officers have, and may continue to hold interests in, non-wholly owned subsidiaries. Their ownership of these interests may divert their time and attention away from operating our business and may otherwise create or appear to create potential conflicts of interest with us. There can be no guarantee that we will be able to continue to implement appropriate measures to manage these potential conflicts of interest.</w:t>
      </w:r>
    </w:p>
    <w:p>
      <w:pPr>
        <w:spacing w:after="0" w:line="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success depends on the relevant industry experience and relationships of certain members of our Board of Directors, executive officers and other key personnel.</w:t>
      </w:r>
    </w:p>
    <w:p>
      <w:pPr>
        <w:spacing w:after="0" w:line="11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success is dependent on the efforts and abilities of members of our Board of Directors, our executive officers and other key employees, many of whom have significant experience in the real estate and mortgage, financial services and technology industries or play a substantial role in our relationship with certain customers. In particular, we are dependent on the services of members of our Board of Directors and key executives at our corporate headquarters and personnel at each of our lines of business and support groups. In addition, certain members of our Board of Directors, executive officers or other key employees have relationships with certain customers or vendors that facilitate our business and operations. The loss of the services of any of these members of our Board of Directors, executives or key personnel could have an adverse effect on our business and results of operations or relationships with certain customers or vendors.</w:t>
      </w:r>
    </w:p>
    <w:p>
      <w:pPr>
        <w:spacing w:after="0" w:line="13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To maintain our substance and leadership as a Luxembourg company, we seek to convene Board meetings in Luxembourg several times each year and our executive management is largely based in Luxembourg. The travel required by our directors, and current restrictions on and requirements to such travel, to Luxembourg may serve as an impediment to attract and retain directors and director candidates. Our Luxembourg location can also make it difficult to attract and retain executive officers and other senior leadership.</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face difficulties to attract, motivate and retain skilled employees.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Our business is labor intensive and places significant importance on our ability to recruit, engage, train and retain skilled employees. Additionally, demand for qualified professionals with experience in certain businesses (e.g. residential title, valuation and loan underwriting) or technologies may exceed available supply. Our ability to recruit and train employees is critical to achieving our growth objective. Further, some of our business operations require recruiting and retaining employees with certain professional licenses, particularly in the United States. In 2020, we saw an increase demand for professionals licensed to work in our originations and default business, and significant turnover in that area. Our originations business may continue to encounter significant challenges in attracting and retaining employees as needed to satisfy demand or growth expectations for our services, or to be able to limit compensation related costs to make operations economically viable. We may not be able to attract and retain skilled employees, we may face an increase in wages or other costs of attracting, training or retaining skilled employees.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presence of our operations in multiple countries subject us to risks endemic to those countries.</w:t>
      </w:r>
    </w:p>
    <w:p>
      <w:pPr>
        <w:spacing w:after="0" w:line="17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have employees and operations outside of the US in countries such as Luxembourg, India and Uruguay. The occurrence of natural disasters, epidemics or other health emergencies, or political or economic instability impacting these countries could interfere with work performed by these labor sources or could result in us having to replace or reduce these labor sources.</w:t>
      </w:r>
    </w:p>
    <w:p>
      <w:pPr>
        <w:spacing w:after="0" w:line="12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Furthermore, the practice of utilizing labor based in foreign countries has come under increased scrutiny in the United States. Governmental authorities could seek to impose financial costs or restrictions on foreign companies providing services to</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customers in the United States. Governmental authorities may attempt to prohibit or otherwise discourage our United States-based customers from sourcing services from foreign companies and, as a result, some of our customers may require us to use labor based in the United States or cease doing business with Altisource. In addition, some of our customers may require us to use labor based in the United States for other reasons. To the extent that we are required to use labor based in the United States, we may not be able to pass on the increased costs of higher-priced United States-based labor to our customers.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Growth Strategy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unable to realize sales represented by our awarded business or sales pipeline.</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have significantly expanded the scope of services that we provide to our existing customer base and expanded our customer portfolio with the addition of several new customers. As part of our business and financial planning, we make assumptions about the quantity and timing of services that each of these customers will order from us. In many instances, however, our customers may not be obligated to acquire our services or may only be obligated to acquire our services to the extent the customer can make use of such services. Our volume of sales may not materialize to the extent our customers elect to use providers of services other than us, or if economic or industry conditions exist such that our clients do not require the assumed quantity of services. For example, economic conditions and restrictions instituted by governmental authorities, GSEs, servicers or investors in response to the COVID-19 pandemic may negatively impact the quantity or timing of customer demand for our services despite the existence of an agreement. Our customers may use more than one provider for given services resulting in such customers varying over time the quantity or mix of services acquired from us versus other providers. Even in cases where our customer contracts require minimum purchases by a customer, we may be unable or we may determine that it is unadvisable for us to seek to enforce or collect upon the contractual minimums.</w:t>
      </w:r>
    </w:p>
    <w:p>
      <w:pPr>
        <w:spacing w:after="0" w:line="12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We may fail to adapt our services to changes in technology or in the marketplace related to mortgage servicing or originations, changing requirements of governmental authorities, GSEs and customers. Customers may seek to reduce reliance upon or the number of service providers.</w:t>
      </w:r>
    </w:p>
    <w:p>
      <w:pPr>
        <w:spacing w:after="0" w:line="92"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markets for our services are characterized by constant technological and other changes, our customers’ and competitors’ frequent introduction of new services, and evolving industry standards and government regulations. We are currently in the process of, and from time to time will be, developing and introducing new services and technologies and improvements to existing services. Our future success will be significantly affected by our ability to complete our current efforts and in the future enhance, our services and develop and introduce new services that address the increasingly sophisticated needs of our customers and their customers, as well as our ability to reduce costs by relying on cloud architecture and other infrastructure advancements. These efforts may include implementing new real estate auction and marketing capabilities, as well as technological and other modifications to increase efficiency and flexibility in supplying our default-related and originations services. These initiatives carry the risks associated with any new service development effort, including cost overruns, delays in delivery and performance effectiveness. There can be no assurance that we will be successful in developing, marketing, selling and implementing new and improved services. In addition, we may experience difficulties that could delay or prevent the successful development, introduction and marketing of these services. Our services and their enhancements may also not adequately meet the demands of the marketplace or governmental authorities and achieve market acceptance.</w:t>
      </w:r>
    </w:p>
    <w:p>
      <w:pPr>
        <w:spacing w:after="0" w:line="13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Customers of our default-related services and origination services may seek to reduce the number of service providers employed through vendor consolidation, insourcing (providing the services itself) or by other means. Such changes could reduce the demand for our services or control over the prices we are able to charge for our services.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to accelerate growth initiatives involve potential risks.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Historically, our strategy has included the acquisition of complementary businesses from time to time. In the future, we may consider acquisitions of or merger with other businesses that could complement our business, offer us greater access in our current markets or offer us greater access and expertise in other asset types and markets that are related to ours but we do not currently serve. Our ability to pursue additional acquisitions in the future is dependent on our access to sufficient capital (equity and/or debt) to fund the acquisition and subsequent integration. Because of the obligations to maintain a minimum cash threshold in the Cooperative Brokerage Agreement and restrictions in our senior secured term loan agreement, we may not be able to secure adequate capital as needed on terms that are acceptable to us, or at all.</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When we acquire new businesses, we may face a number of integration risks, including a loss of focus on our daily operations, the need for additional management, constraints on operating resources, constraints on financial resources from integration and system conversion costs and the inability to maintain key pre-acquisition relationships with customers, suppliers and employees. We may have particular integration risks as we are a Luxembourg-domiciled company, resulting in numerous changes that may need to be made immediately or promptly following closing of such an acquisition. In addition, any acquisition may result in the incurrence of additional amortization expense of related intangible assets, which could reduce our profitability.</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Failure to properly and timely integrate any acquired business may result in our inability to realize the expected value from the acquisition, which can lead us to sell or otherwise dispose of the acquired business at a loss.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the housing or mortgage originations markets could negatively impact demand for our services.</w:t>
      </w:r>
    </w:p>
    <w:p>
      <w:pPr>
        <w:spacing w:after="0" w:line="17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 decrease in sales of residential properties in the United States could reduce the demand for certain of our services provided in connection with the marketing and sale of real estate, including services ancillary to the sale, such as closing services and title insurance services. In addition, reduced demand for residential property could depress the price of sales that do occur, negatively impacting commissions and other fees we receive which are set as a percentage of the property sale price.</w:t>
      </w:r>
    </w:p>
    <w:p>
      <w:pPr>
        <w:spacing w:after="0" w:line="13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Reductions in the volume of residential mortgage originations in the United States could decrease the demand for mortgage originations and mortgage insurance related products, including services provided to members of the Lenders One mortgage cooperative.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 reduction in residential mortgage delinquencies, defaults or foreclosures in the United States can negatively affect demand for certain of our services.</w:t>
      </w:r>
    </w:p>
    <w:p>
      <w:pPr>
        <w:spacing w:after="0" w:line="194"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We provide certain services to residential mortgage servicers and subservicers, as well as government sponsored entities, federal agencies and others, to protect, preserve, manage and potentially dispose of properties securing residential mortgage loans, when such loans become delinquent, default, undergo foreclosure or become a REO asset. Rates of residential mortgage delinquencies, defaults and foreclosures can be negatively impacted by numerous factors, including strengthening economic conditions, a reduction in the number of residential mortgages outstanding or a reduction in home ownership levels or by governmental action. National servicing standards, federal and state government scrutiny and regulation, requirements specifying loan loss mitigation, modification and foreclosure procedures, rules instituted by governmental authorities, GSEs, servicers or investors preventing actions related to loan delinquencies and foreclosures, including moratoriums on foreclosures and mortgage payment forbearance plans, such as those implemented in response to the COVID-19 pandemic, among others may reduce the number of mortgage loans entering the foreclosure process and suspend pending foreclosure and eviction actions. If these conditions continue, they would likely negatively impact demand for our default services. The expiration dates of certain of these requirements may be indefinite or extended in the future making it difficult to predict when such requirements may end. Reductions in the rates of residential mortgage delinquencies, defaults, foreclosures and REO would likely reduce demand for our services related to inspecting, maintaining, valuing, marketing and selling such assets.</w:t>
      </w:r>
    </w:p>
    <w:p>
      <w:pPr>
        <w:spacing w:after="0" w:line="12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If faced with an extended period of decline in demand for and revenue from certain of our services as a result of economic conditions or due to government, GSE, servicer or investor restrictions related to loan delinquencies and foreclosures, including moratoriums on foreclosures and mortgage payment forbearance plans, such as those implemented in response to the COVID-19 pandemic, we may be unable to sufficiently adjust our cost structure to avoid losses in our operations that provide such impacted services or to maintain our ability to offer those services in the future. In response to such conditions, we may be required to modify or suspend such operations which could negatively impact our ability to timely respond to an increase in demand for such services or to provide such services in the future, or which could cause us to incur significant expense to restart or scale such services in response to an increase in demand.</w:t>
      </w:r>
    </w:p>
    <w:p>
      <w:pPr>
        <w:spacing w:after="0" w:line="1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Developments that reduce the supply or sale of REO could negatively affect demand for certain of our services and negatively impact our ability to meet certain contractual performance metrics.</w:t>
      </w:r>
    </w:p>
    <w:p>
      <w:pPr>
        <w:spacing w:after="0" w:line="116"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Reduction in the supply of REO or sales of REO in the United States could reduce the demand for and volume of certain of our services, including REO asset management, REO property inspection and preservation, real estate brokerage and real estate auction and marketing services, as well as sales of REO, especially in cases where more desirable properties are sold at foreclosure auctions and do not convert to REO. For example, we anticipate that the continuation of foreclosure and eviction moratoriums will reduce the supply of REO we receive from our customers through 2021. The reduction in the supply of REO or sales of REO could also impact our ability to meet certain contractually required service metrics, including those related to aging of assets, time on market and sale price compared to valuation. If we fail to satisfy applicable performance metrics or perform in a manner satisfactory to our customers, such customers may reduce the services they acquire from us or otherwise terminate us as a service provider.</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Financing, Our Indebtedness and Capital Structure</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If we are unable to generate sufficient cash flow or access the capital markets or our borrowing capacity is reduced, our liquidity and competitive position may be negatively affected.</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An extended period of reduced demand for our default-related services or for our higher margin default-related services could negatively impact our cash flow such that we may need to use unrestricted cash on hand to satisfy our obligations, which would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reduce our cash balance negatively impacting our liquidity. If the limitations on foreclosures and evictions, and the forbearance plans, instituted by governmental authorities, GSEs, servicers or investors in response to the COVID-19 pandemic are extended, this could lengthen the period of reduced demand for our default-related services and continue to negatively impact our higher margin default related services, negatively impacting our liquidity.</w:t>
      </w:r>
    </w:p>
    <w:p>
      <w:pPr>
        <w:spacing w:after="0" w:line="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addition, our liquidity could be adversely affected by any inability to access the capital markets, volatility in the capital markets, unforeseen outflows of cash, funding for contingencies and increased regulatory liquidity requirements.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Our ability to borrow money could be limited, or our cost of borrowing could increase, due to volatility in the capital markets, worsening terms on which credit is available or limitations in our senior secured term loan agreements. In addition, reduced revenue or cash flow, or volatility in the markets which we support, could negatively impact our ability to borrow or our ability to continue to satisfy the covenants and terms of our senior secured term loan agreements. If we were to have a covenant default under our loan agreements, we would not be able borrow additional funds under our existing agreements and our lenders could seek to enforce the remedies available to them under our loan agreements. A reduction in our ability to borrow funds to support our operations could also reduce our ability to pursue our business strategy to diversify and grow our customer base.</w:t>
      </w:r>
    </w:p>
    <w:p>
      <w:pPr>
        <w:spacing w:after="0" w:line="1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have a significant net operating loss recognized by one of our Luxembourg subsidiaries, Altisource S.à r.l. We may not be able to fully utilize this deferred tax asset before the net operating loss expires.</w:t>
      </w:r>
    </w:p>
    <w:p>
      <w:pPr>
        <w:spacing w:after="0" w:line="11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 connection with a merger of two of the Company’s wholly-owned subsidiaries in December 2017, which was recognized at fair value, a net operating loss of $1.3 billion with a 17 year life was generated, creating a deferred tax asset of $342.6 million. During 2019, the Company recognized a full valuation allowance with respect to this deferred tax asset. If Altisource S.à r.l. is unable to generate sufficient pretax income by 2034, the Company may not be able to fully utilize this deferred tax asset. In addition, changes in our structure or operations could prevent us from fully realizing the benefit of such deferred tax asset.</w:t>
      </w:r>
    </w:p>
    <w:p>
      <w:pPr>
        <w:spacing w:after="0" w:line="13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Our primary source of liquidity is cash flows from operations. Our level of debt makes us sensitive to the effects of our declining financial performance and interest rate increases; our level of debt and provisions in our senior secured term loan agreement could limit our ability to react to changes in the economy or our industry.</w:t>
      </w:r>
    </w:p>
    <w:p>
      <w:pPr>
        <w:spacing w:after="0" w:line="130"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senior secured term loan makes us more vulnerable to changes in our results of operations because a portion of our cash flows from operations is dedicated to servicing our debt and is not available for other purposes. Our senior secured term loan is secured by virtually all of our assets and from time to time may trade at a substantial discount to face value. Our ability to raise additional debt is largely limited and in many circumstances would be subject to lender approval and would require modification of certain senior secured term loan agreements. Additionally, increases in interest rates above 1% will negatively impact our cash flows as the interest rate on our debt is variable. The provisions of our senior secured term loan agreements could have other negative consequences to us including the following:</w:t>
      </w:r>
    </w:p>
    <w:p>
      <w:pPr>
        <w:spacing w:after="0" w:line="135" w:lineRule="exact"/>
        <w:rPr>
          <w:sz w:val="20"/>
          <w:szCs w:val="20"/>
          <w:color w:val="auto"/>
        </w:rPr>
      </w:pPr>
    </w:p>
    <w:p>
      <w:pPr>
        <w:ind w:left="660" w:hanging="328"/>
        <w:spacing w:after="0" w:line="258"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limiting our ability to borrow money for our working capital, capital expenditures and debt service requirements or other general corporate purposes;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operations, our business or the industry in which we compete;</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requiring us to use a portion of our consolidated excess cash flow, as specified in the senior secured term loan agreements, to repay debt in the event our net debt less marketable securities to earnings before interest, taxes, depreciation and amortization (“EBITDA”) ratio, as specified in the senior secured term loan agreements, exceed certain thresholds;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placing us at a competitive disadvantage by limiting our ability to invest in our business.</w:t>
      </w:r>
    </w:p>
    <w:p>
      <w:pPr>
        <w:spacing w:after="0" w:line="157"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Our ability to make payments on our indebtedness depends, in part, on our ability to generate cash in the future. If we do not generate sufficient cash flows and do not have sufficient cash on hand to meet our debt service and working capital requirements, we may need to seek additional financing, raise equity or sell assets, and our ability to take these actions may be limited by the terms of our senior secured term loan. This may make it more difficult for us to obtain financing on terms that are acceptable to us, or at all. Without any such financing, we could be forced to sell assets under unfavorable circumstances to make up for any shortfall in our payment obligations. If necessary, we may not be able to sell assets quickly enough or for sufficient amounts to enable us to meet our obligations. Failure to meet our debt service requirements could result in an event of default under our senior secured term loan agreement which, if not cured or waived, could result in the holders of the defaulted debt causing all outstanding amounts with respect to that debt to be immediately due and payable and potentially permitting lenders to execute applicable security interests, impacting our future operations or ability to engage in other favorable business activities.</w:t>
      </w:r>
    </w:p>
    <w:p>
      <w:pPr>
        <w:spacing w:after="0" w:line="13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addition, certain senior secured term loan agreements contain covenants that may limit our flexibility in planning for, or reacting to changes in, our business and our industry, including limitations on incurring additional indebtedness, making investments, adding new product lines, disposing or selling of assets, granting liens and merging or consolidating with other</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companies. Complying with these covenants may impair our ability to finance our future operations or capital needs or to engage in other favorable business activities.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failure to comply with the covenants or terms contained in our senior secured term loan agreements, including as a result of events beyond our control, could result in an event of default.</w:t>
      </w:r>
    </w:p>
    <w:p>
      <w:pPr>
        <w:spacing w:after="0" w:line="116"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Our senior secured term loan agreements require us to comply with various operational, reporting and other covenants or terms including, among other things, limiting us from engaging in certain types of transactions. If we experience an event of default under our senior secured term loan agreements that is not cured or waived, it could result in a going concern uncertainty, which in turn could provide certain of our clients the ability to terminate our agreements, and allows the holders of the defaulted debt to cause all amounts outstanding with respect to that debt to be immediately due and payable or choose to execute on applicable security interests. Our assets or cash flows may not be sufficient to fully repay borrowings under our outstanding senior secured term loan if accelerated upon an event of default and we may not be able to refinance or restructure the payments on the senior secured term loan.</w:t>
      </w:r>
    </w:p>
    <w:p>
      <w:pPr>
        <w:spacing w:after="0" w:line="1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may be unable to repay the balance of our senior secured term loan upon maturity in April 2024, particularly if cash from operations declines, assets are not readily available for sale or we are unable to refinance on favorable terms or at all.</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Our senior secured term loan agreements require us to repay the outstanding balance due in April 2024 ($247.2 million, based on scheduled repayments through the maturity date). If our cash from operations declines, there can be no assurance that our cash balances and other assets readily available for sale would be sufficient to fully repay borrowings under our outstanding senior secured term loan upon maturity in April 2024 or that we will be able to refinance the remaining portion of the debt prior to the due date. If we were to default on the senior secured term loan, our lenders could take action adverse to our interests under the terms of the loan agreement, including seeking to take possession of the applicable collateral. Under such circumstances, if we are not able to agree upon a resolution with our lenders, we might seek applicable legal protections including under bankruptcy law, which in turn could provide certain of our clients the ability to terminate our agreements. If we refinance the loan under less favorable terms, we may be more constrained in our ability to finance and operate our business.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failure to maintain the net debt less marketable securities to EBITDA ratio contained in our senior secured term loan agreements could result in required payments to the lenders of a percentage of our excess cash flows.</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senior secured term loan agreements require us to distribute to our lenders 50% of our consolidated excess cash flows, as specified in the senior secured term loan agreements, if our net debt less marketable securities to EBITDA ratio, as defined in the senior secured term loan agreements, exceed 3.50 to 1.00, and 25% of our consolidated excess cash flows if our net debt less marketable securities to EBITDA ratio is 3.50 to 1.00 or less, but greater than 3.00 to 1.00. If we were required to distribute a portion of our excess cash flows to our lenders, we may be limited in our ability to support our business, grow our business through acquisitions or investments in technology and we may be limited in our ability to repurchase our common stock, pay dividends or take other potentially advantageous actions. There can be no assurance that we will maintain net debt less marketable securities to EBITDA ratio at levels that will not require us to distribute a portion of our excess cash flows to lenders.</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have significant investments in goodwill and intangible assets recorded as a result of prior acquisitions and an impairment of these assets would require a write-down that would reduce our net income.</w:t>
      </w:r>
    </w:p>
    <w:p>
      <w:pPr>
        <w:spacing w:after="0" w:line="11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a result of prior investments we have made, we significant goodwill and intangible assets recorded in our financial statements. Goodwill and intangible assets are assessed for impairment annually or sooner if circumstances indicate a possible impairment. Factors that could lead to impairment of goodwill and intangible assets include significant under-performance relative to historical or projected future operating results, a significant decline in our stock price and market capitalization and negative industry or economic trends, among other indications of impairment. In the event that the recorded values of goodwill and intangible assets are impaired, any such impairment would be charged to earnings in the period of impairment. In the event of significant volatility in the capital markets or a worsening of current economic conditions, we may be required to record an impairment charge, which would adversely affect our business and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escrow funds we hold at financial institutions could be lost and not recoverable.</w:t>
      </w:r>
    </w:p>
    <w:p>
      <w:pPr>
        <w:spacing w:after="0" w:line="17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hold our cash and cash equivalents at various financial institutions, including customer deposits in escrow accounts pending completion of certain real estate activities. These cash balances expose us to purposeful misappropriation of cash by employees or others and unintentional mistakes resulting in a loss of cash which may not be recoverable.</w:t>
      </w:r>
    </w:p>
    <w:p>
      <w:pPr>
        <w:spacing w:after="0" w:line="12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Amounts that are held in escrow accounts for limited periods of time are not included in the accompanying consolidated balance sheets. We may become liable for funds owed to third parties as a result of purposeful misappropriation of cash by employees or others, unintentional mistakes or the failure of one or more of these financial institutions. There is no guarantee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380"/>
        <w:spacing w:after="0" w:line="430" w:lineRule="auto"/>
        <w:rPr>
          <w:sz w:val="20"/>
          <w:szCs w:val="20"/>
          <w:color w:val="auto"/>
        </w:rPr>
      </w:pPr>
      <w:r>
        <w:rPr>
          <w:rFonts w:ascii="Arial" w:cs="Arial" w:eastAsia="Arial" w:hAnsi="Arial"/>
          <w:sz w:val="18"/>
          <w:szCs w:val="18"/>
          <w:color w:val="auto"/>
        </w:rPr>
        <w:t xml:space="preserve">we would recover the funds deposited, whether through Federal Deposit Insurance Corporation coverage, private insurance or otherwise. </w:t>
      </w:r>
      <w:r>
        <w:rPr>
          <w:rFonts w:ascii="Arial" w:cs="Arial" w:eastAsia="Arial" w:hAnsi="Arial"/>
          <w:sz w:val="18"/>
          <w:szCs w:val="18"/>
          <w:i w:val="1"/>
          <w:iCs w:val="1"/>
          <w:color w:val="auto"/>
        </w:rPr>
        <w:t>Foreign Exchange</w:t>
      </w:r>
    </w:p>
    <w:p>
      <w:pPr>
        <w:spacing w:after="0" w:line="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operations in India, Luxembourg and Uruguay which may result in us being party to non-United States dollar denominated transactions or incurring obligations in currencies other than the United States dollar, including, for example, payroll, taxes, facilities-related expenses. Weakness of the United States dollar in relation to these applicable currencies (e.g., Euro, Indian rupee, Uruguayan peso) may increase our costs.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Luxembourg Organization and Ownership of Our Shares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We are a Luxembourg company. The rights of shareholder under Luxembourg law may differ in certain respects from the rights afforded to shareholders of companies organized under laws in other jurisdictions. It may also be difficult to obtain and enforce judgments against us or our directors and executive officers.</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are a public limited liability company organized under the laws of, and headquartered in, Luxembourg. As a result, Luxembourg law and our articles of incorporation govern the rights of shareholders. The rights of shareholders under Luxembourg law may differ from the rights of shareholders of companies incorporated in other jurisdictions. A significant portion of our assets are owned outside of the United States. It may be difficult for our investors to obtain and enforce, in the United States, judgments obtained in United States courts against us or our directors based on the civil liability provisions of the United States securities laws or to enforce, in Luxembourg, judgments obtained in other jurisdictions including the United States.</w:t>
      </w:r>
    </w:p>
    <w:p>
      <w:pPr>
        <w:spacing w:after="0" w:line="1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 significant challenge of the Luxembourg tax regime or of its interpretation by the Luxembourg tax authorities, or its application of us or our business could negative impact us.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received and historically operated under a tax ruling from the Luxembourg tax authorities, which would have expired in 2019 unless extended or renewed. In connection with an internal reorganization by the Company during 2017, we no longer operate under this tax ruling. The European Commission (“EC”) has initiated investigations into several EU member states, including Luxembourg, to determine whether these EU member states have provided tax advantages to companies pursuant to tax rulings or otherwise on a basis not allowed by the EU. While the EC’s investigations continue, it has concluded that certain companies in certain EU member states, including Luxembourg, have been provided such tax advantages. The EC is requiring these EU member states to recover from certain companies the prior year tax benefits they received.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Regulation</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Our business and the business of our customers are subject to extensive scrutiny and legal requirements. We, or our services, may fail or be perceived as failing to comply with applicable legal requirements.</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Our business and the business of our customers are subject to extensive scrutiny and regulation by federal, state and local governmental authorities including the FTC, the CFPB, the SEC, HUD and state and local agencies, including those which license or oversee certain of our auction, real estate brokerage, mortgage services, trustee services, residential mortgage origination services and insurance services. We also must comply with a number of federal, state and local consumer protection laws including, among others, the laws and regulations listed in the Government Regulation section of Item 1 of Part I, “Business” above. We are also subject to various foreign laws and regulations based on our operations or the location of our affiliates as well, including those pertaining to data protection, such as the GDPR. These foreign, federal, state and local requirements can and do change as statutes and regulations are enacted, promulgated or amended. Furthermore, the interpretation or enforcement by regulatory authorities of these requirements may change over time or may not be predictable or consistent with our interpretations or expectations. The creation of new regulatory authorities or changes in the regulatory authorities overseeing applicable laws and regulations may also result in changing interpretation or enforcement of such laws or regulations.</w:t>
      </w:r>
    </w:p>
    <w:p>
      <w:pPr>
        <w:spacing w:after="0" w:line="11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If governmental authorities impose new or more restrictive requirements or enhanced oversight related to our services, we may be required to increase or decrease our prices, modify our contracts or course of dealing and/or we may incur significant additional costs to comply with such requirements. Additionally, we may be unable to adapt our services to conform to the new laws and regulations.</w:t>
      </w:r>
    </w:p>
    <w:p>
      <w:pPr>
        <w:spacing w:after="0" w:line="12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Periodically, we are subject to audits and examinations by federal, state and local governmental authorities and receive subpoenas, civil investigative demands or other requests for information from such governmental authorities in connection with their regulatory or investigative authority. Responding to audits, examinations and inquiries will cause us to incur costs, including legal fees or other charges, which may be material in amount, and in addition, may result in management distraction or may cause us to modify or terminate certain services we currently offer. If any such audits, examinations or inquiries result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allegations or findings of non-compliance, we could incur significant penalties, fines, settlements, costs and consent orders that may curtail, restrict or otherwise have an adverse effect on our business.</w:t>
      </w:r>
    </w:p>
    <w:p>
      <w:pPr>
        <w:spacing w:after="0" w:line="117"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Regulatory inquiries or determinations of failures to comply with applicable requirements could increase our costs and expose us to sanctions which could include limitations on our ability to provide services, or otherwise reduce demand for our services. Furthermore, even if we believe we comply with applicable laws and regulations, we may choose to settle such allegations in order to avoid the potentially significant costs of defending such allegations and to further avoid the risk of increased damages if we ultimately were to receive an unfavorable outcome, but such settlements may also result in further claims or create issues for existing and potential customers. Such settlements and additional actions could increase costs, place limitations on our services, and result in a reduction in demand.</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From time to time, we may be subject to costly and time-consuming regulatory or legal proceedings that claim legal violations or wrongful conduct, including claims for violations of consumer protection laws, laws concerning PI or third party intellectual property rights. These proceedings may involve regulators, customers, our customers’ clients, vendors, competitors, third parties or other large groups of plaintiffs and, if resulting in findings of violations, could result in substantial damages or indemnification obligations. Additionally, we may be forced to settle some claims and change our existing practices, services processes or technologies that are currently revenue generating. Certain regulations to which we are subject provide for potentially significant penalties such that even if we believe we have no liability for the alleged regulatory or legal violations or wrongful conduct, we may choose to settle such regulatory or legal proceedings in order to avoid the potentially significant costs of defending such allegations and to further avoid the risk of increased damages if we ultimately were to receive an unfavorable outcome; however, such settlements may also result in further claims or create issues for existing and potential customers. Such proceedings and settlement could increase our costs and expose us to sanctions, including limitations on our ability to provide services, or otherwise reduce demand for our services.</w:t>
      </w:r>
    </w:p>
    <w:p>
      <w:pPr>
        <w:spacing w:after="0" w:line="12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We are subject to licensing and regulation as a provider of certain services. If we fail to maintain our licenses or if our licenses are suspended or terminated, we may not be able to provide certain of our services. In addition, the lack of certain licenses in one or more jurisdictions could cause us to breach applicable contracts.</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are required to have and maintain licenses as a provider of certain product and services including, among others, services as a residential mortgage origination underwriter, valuation provider, appraisal management company, asset manager, property manager, title insurance agent, insurance broker and underwriter, real estate broker, auctioneer and foreclosure trustee in a number of jurisdictions. Our employees and subsidiaries may be required to be licensed by various state or regulatory commissions or bodies for the particular type of product or service provided and to participate in regular continuing education programs. If one or more of our licenses are lost, revoked, expire or limited, or if we fail to maintain or otherwise surrender one or more such license, we may be prohibited from doing business in certain markets. Further, certain of our agreements require that we possess and maintain certain licenses. The failure to hold such licenses may result in us breaching certain agreements, which could cause us to be subject to claims for damages, termination of applicable agreements or unable to obtain inputs required for certain of our services.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violation by our customers of applicable legal requirements in the selection or use of our services could generate legal liability for us.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Certain of our services are provided at the direction and pursuant to the identified requirements of our customers, including property preservation, inspection, foreclosure and eviction services that are triggered by information provided by our customers. The failure of our customers to properly identify or account for regulatory requirements applicable to the use of our services, in selecting appropriate services for the intended purposes, or in specifying how services are rendered could expose us to significant penalties, fines, litigation, settlements, costs and consent orders.</w:t>
      </w:r>
    </w:p>
    <w:p>
      <w:pPr>
        <w:spacing w:after="0" w:line="11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i w:val="1"/>
          <w:iCs w:val="1"/>
          <w:color w:val="auto"/>
        </w:rPr>
        <w:t>Certain of our customers are subject to governmental oversight, regulations, orders, judgments or settlements which may impose certain obligations and limitations on their use of our services.</w:t>
      </w:r>
    </w:p>
    <w:p>
      <w:pPr>
        <w:spacing w:after="0" w:line="11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Participants in the industries in which we operate are subject to a high level of oversight and regulation. The failure of our services to meet applicable legal requirements could subject us to civil and criminal liability, loss of licensure, damage to our reputation, significant penalties, fines, settlements, adverse publicity, litigation, including class action lawsuits or administrative enforcement actions, costs and consent orders against us or our customers that may curtail or restrict our business as it is currently conducted. Such failures could also cause customers to reduce or cease using our services.</w:t>
      </w:r>
    </w:p>
    <w:p>
      <w:pPr>
        <w:spacing w:after="0" w:line="10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Certain of our customers are subject to vendor oversight requirements. As such, we are subject to oversight by our customers. If we do not meet the standards established by or imposed upon our customers, regulators allege that products or services provided by Altisource fail to meet applicable legal requirements, or if any other oversight procedures result in a negative outcome for Altisource, we may lose customers, may no longer be granted referrals for certain services, or may have to conform our business to address these standards.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tax regulations, and the interpretation thereof, in the countries, states and local jurisdictions in which we operate periodically change, which may adversely affect our results due to higher taxes, interest and penalties, or our inability to utilize tax credits available to us.</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Certain of our subsidiaries provide services in the United States and several other countries. Those jurisdictions are subject to changing tax environments, which may result in higher operating expenses or taxes and which may introduce uncertainty as to the application of tax laws and regulations to our operations. Furthermore, we may determine that we owe additional taxes or may be required to pay taxes for services provided in prior periods as interpretations of tax laws and regulations are clarified or revised. Changes in laws concerning sales tax, gross recipient tax, dividends, retained earnings, application of operating or other losses, and intercompany transactions and loans, among others, could impact us. We may not be able to raise our prices to customers or pass-through such taxes to our customers or vendors in response to changes, which could adversely affect our results of operations. If we fail to accurately anticipate or apply tax laws and regulations to our operations, we could be subject to liabilities and penalties. We may be unable to take advantage of operating losses or other tax credits to the full extent available or at all due to changes in tax regulations or our results of operations.</w:t>
      </w:r>
    </w:p>
    <w:p>
      <w:pPr>
        <w:spacing w:after="0" w:line="11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principal executive offices are located in leased office space in Luxembourg, Grand Duchy of Luxembourg. Our principal leased offices in other countries as of December 31, 2020 include four offices in the United States and one office each in India and Uruguay.</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We do not own any office facilities. We consider these facilities to be suitable and currently adequate for the management and operations of our businesses.</w:t>
      </w:r>
    </w:p>
    <w:p>
      <w:pPr>
        <w:spacing w:after="0" w:line="19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LEGAL PROCEEDINGS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7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are currently involved in legal actions in the course of our business, some of which seek monetary damages. We do not believe that the outcome of these proceedings, both individually and in the aggregate, will have a material impact on our financial condition, results of operations or cash flows.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Periodically, we are subject to audits, examinations and investigations by federal, state and local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businesses are also subject to extensive regulation which may result in regulatory proceedings or actions against us. For further information, see Item 1A of Part I, “</w:t>
      </w:r>
      <w:r>
        <w:rPr>
          <w:rFonts w:ascii="Arial" w:cs="Arial" w:eastAsia="Arial" w:hAnsi="Arial"/>
          <w:sz w:val="18"/>
          <w:szCs w:val="18"/>
          <w:i w:val="1"/>
          <w:iCs w:val="1"/>
          <w:color w:val="auto"/>
        </w:rPr>
        <w:t>Risk Factors</w:t>
      </w:r>
      <w:r>
        <w:rPr>
          <w:rFonts w:ascii="Arial" w:cs="Arial" w:eastAsia="Arial" w:hAnsi="Arial"/>
          <w:sz w:val="18"/>
          <w:szCs w:val="18"/>
          <w:color w:val="auto"/>
        </w:rPr>
        <w:t>” above and Note 25 to the consolidated financial statements.</w:t>
      </w:r>
    </w:p>
    <w:p>
      <w:pPr>
        <w:spacing w:after="0" w:line="11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jc w:val="both"/>
        <w:ind w:left="920" w:hanging="971"/>
        <w:spacing w:after="0" w:line="282" w:lineRule="auto"/>
        <w:tabs>
          <w:tab w:leader="none" w:pos="900" w:val="left"/>
        </w:tabs>
        <w:rPr>
          <w:sz w:val="20"/>
          <w:szCs w:val="20"/>
          <w:color w:val="auto"/>
        </w:rPr>
      </w:pPr>
      <w:r>
        <w:rPr>
          <w:rFonts w:ascii="Arial" w:cs="Arial" w:eastAsia="Arial" w:hAnsi="Arial"/>
          <w:sz w:val="18"/>
          <w:szCs w:val="18"/>
          <w:b w:val="1"/>
          <w:bCs w:val="1"/>
          <w:color w:val="auto"/>
        </w:rPr>
        <w:t>ITEM 5.</w:t>
        <w:tab/>
        <w:t>MARKET FOR REGISTRANT’S COMMON EQUITY, RELATED STOCKHOLDER MATTERS AND ISSUER PURCHASES OF EQUITY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Global Select Market under the symbol “ASPS.”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number of holders of record of our common stock as of March 5, 2021 was 336. We believe the number of beneficial shareholders is substantially greater than the number of holders as a large portion of our common stock is held through brokerage firms.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not historically declared or paid cash dividends on our common stock, but may declare dividends in the future. Under Luxembourg law, shareholders need to approve certain dividends. Such approval typically occurs during a company’s annual meeting of shareholders. Luxembourg law imposes limits on our ability to pay dividends based on annual net income and net income carried forward, less any amounts placed in reserve. The provisions of our senior secured term loan agreement, as amended, also limit our ability to pay dividends.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7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graph below compares the cumulative total stockholder return on our common stock with the cumulative total return on the S&amp;P 500 Index and the NASDAQ Composite Index for the five year period ending on December 31, 2020. The graph assumes an investment of $100 at the beginning of this period. The comparisons in the graph below are based upon historical data and are not indicative of, nor intended to forecast,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5863590" cy="3086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63590" cy="308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tcPr>
          <w:p>
            <w:pPr>
              <w:spacing w:after="0"/>
              <w:rPr>
                <w:sz w:val="16"/>
                <w:szCs w:val="16"/>
                <w:color w:val="auto"/>
              </w:rPr>
            </w:pPr>
          </w:p>
        </w:tc>
        <w:tc>
          <w:tcPr>
            <w:tcW w:w="78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12/31/15</w:t>
            </w:r>
          </w:p>
        </w:tc>
        <w:tc>
          <w:tcPr>
            <w:tcW w:w="100" w:type="dxa"/>
            <w:vAlign w:val="bottom"/>
          </w:tcPr>
          <w:p>
            <w:pPr>
              <w:spacing w:after="0"/>
              <w:rPr>
                <w:sz w:val="16"/>
                <w:szCs w:val="16"/>
                <w:color w:val="auto"/>
              </w:rPr>
            </w:pPr>
          </w:p>
        </w:tc>
        <w:tc>
          <w:tcPr>
            <w:tcW w:w="78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6/30/16</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91"/>
              </w:rPr>
              <w:t>12/31/16</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w w:val="98"/>
              </w:rPr>
              <w:t>6/30/17</w:t>
            </w:r>
          </w:p>
        </w:tc>
        <w:tc>
          <w:tcPr>
            <w:tcW w:w="120" w:type="dxa"/>
            <w:vAlign w:val="bottom"/>
          </w:tcPr>
          <w:p>
            <w:pPr>
              <w:spacing w:after="0"/>
              <w:rPr>
                <w:sz w:val="16"/>
                <w:szCs w:val="16"/>
                <w:color w:val="auto"/>
              </w:rPr>
            </w:pPr>
          </w:p>
        </w:tc>
        <w:tc>
          <w:tcPr>
            <w:tcW w:w="78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12/31/17</w:t>
            </w:r>
          </w:p>
        </w:tc>
        <w:tc>
          <w:tcPr>
            <w:tcW w:w="100" w:type="dxa"/>
            <w:vAlign w:val="bottom"/>
          </w:tcPr>
          <w:p>
            <w:pPr>
              <w:spacing w:after="0"/>
              <w:rPr>
                <w:sz w:val="16"/>
                <w:szCs w:val="16"/>
                <w:color w:val="auto"/>
              </w:rPr>
            </w:pPr>
          </w:p>
        </w:tc>
        <w:tc>
          <w:tcPr>
            <w:tcW w:w="78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6/30/18</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1"/>
              </w:rPr>
              <w:t>12/31/18</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w w:val="94"/>
              </w:rPr>
              <w:t>6/30/19</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1"/>
              </w:rPr>
              <w:t>12/31/19</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8"/>
              </w:rPr>
              <w:t>6/30/20</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1"/>
              </w:rPr>
              <w:t>12/31/20</w:t>
            </w:r>
          </w:p>
        </w:tc>
        <w:tc>
          <w:tcPr>
            <w:tcW w:w="0" w:type="dxa"/>
            <w:vAlign w:val="bottom"/>
          </w:tcPr>
          <w:p>
            <w:pPr>
              <w:spacing w:after="0"/>
              <w:rPr>
                <w:sz w:val="1"/>
                <w:szCs w:val="1"/>
                <w:color w:val="auto"/>
              </w:rPr>
            </w:pPr>
          </w:p>
        </w:tc>
      </w:tr>
      <w:tr>
        <w:trPr>
          <w:trHeight w:val="202"/>
        </w:trPr>
        <w:tc>
          <w:tcPr>
            <w:tcW w:w="1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Altisource</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100.00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100.11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78.46</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  100.68</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104.89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80.87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70.69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46.31</w:t>
            </w:r>
          </w:p>
        </w:tc>
        <w:tc>
          <w:tcPr>
            <w:tcW w:w="0" w:type="dxa"/>
            <w:vAlign w:val="bottom"/>
          </w:tcPr>
          <w:p>
            <w:pPr>
              <w:spacing w:after="0"/>
              <w:rPr>
                <w:sz w:val="1"/>
                <w:szCs w:val="1"/>
                <w:color w:val="auto"/>
              </w:rPr>
            </w:pPr>
          </w:p>
        </w:tc>
      </w:tr>
      <w:tr>
        <w:trPr>
          <w:trHeight w:val="213"/>
        </w:trPr>
        <w:tc>
          <w:tcPr>
            <w:tcW w:w="1620" w:type="dxa"/>
            <w:vAlign w:val="bottom"/>
          </w:tcPr>
          <w:p>
            <w:pPr>
              <w:ind w:left="20"/>
              <w:spacing w:after="0"/>
              <w:rPr>
                <w:sz w:val="20"/>
                <w:szCs w:val="20"/>
                <w:color w:val="auto"/>
              </w:rPr>
            </w:pPr>
            <w:r>
              <w:rPr>
                <w:rFonts w:ascii="Arial" w:cs="Arial" w:eastAsia="Arial" w:hAnsi="Arial"/>
                <w:sz w:val="16"/>
                <w:szCs w:val="16"/>
                <w:color w:val="auto"/>
              </w:rPr>
              <w:t>S&amp;P 500 Index</w:t>
            </w:r>
          </w:p>
        </w:tc>
        <w:tc>
          <w:tcPr>
            <w:tcW w:w="78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102.69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109.54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118.57</w:t>
            </w:r>
          </w:p>
        </w:tc>
        <w:tc>
          <w:tcPr>
            <w:tcW w:w="1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130.81</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133.00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122.65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143.93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158.07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151.68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183.77</w:t>
            </w:r>
          </w:p>
        </w:tc>
        <w:tc>
          <w:tcPr>
            <w:tcW w:w="0" w:type="dxa"/>
            <w:vAlign w:val="bottom"/>
          </w:tcPr>
          <w:p>
            <w:pPr>
              <w:spacing w:after="0"/>
              <w:rPr>
                <w:sz w:val="1"/>
                <w:szCs w:val="1"/>
                <w:color w:val="auto"/>
              </w:rPr>
            </w:pPr>
          </w:p>
        </w:tc>
      </w:tr>
      <w:tr>
        <w:trPr>
          <w:trHeight w:val="169"/>
        </w:trPr>
        <w:tc>
          <w:tcPr>
            <w:tcW w:w="16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NASDAQ Composite</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96.71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107.50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122.63</w:t>
            </w: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137.86</w:t>
            </w:r>
          </w:p>
        </w:tc>
        <w:tc>
          <w:tcPr>
            <w:tcW w:w="1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149.98</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132.51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159.89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179.19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200.88</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257.38</w:t>
            </w:r>
          </w:p>
        </w:tc>
        <w:tc>
          <w:tcPr>
            <w:tcW w:w="0" w:type="dxa"/>
            <w:vAlign w:val="bottom"/>
          </w:tcPr>
          <w:p>
            <w:pPr>
              <w:spacing w:after="0"/>
              <w:rPr>
                <w:sz w:val="1"/>
                <w:szCs w:val="1"/>
                <w:color w:val="auto"/>
              </w:rPr>
            </w:pPr>
          </w:p>
        </w:tc>
      </w:tr>
      <w:tr>
        <w:trPr>
          <w:trHeight w:val="212"/>
        </w:trPr>
        <w:tc>
          <w:tcPr>
            <w:tcW w:w="1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Index</w:t>
            </w: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in connection with our 2021 annual meeting of shareholders to be filed pursuant to Regulation 14A under the Exchange Act.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May 15, 2018, our shareholders approved the renewal and replacement of the share repurchase program previously approved by the shareholders on May 17, 2017. Under the program, we are authorized to purchase up to 4.3 million shares of our common stock, based on a limit of 25% of the outstanding shares of common stock on the date of approval, at a minimum price of $1.00 per share and a maximum price of $500.00 per share, for a period of five years from the date of approval. As of December 31, 2020, approximately 2.4 million shares of common stock remain available for repurchase under the program. There were no purchases of shares of common stock during the year ended December 31, 2020. We purchased 1.0 million shares at an average price of $20.33 per share during the year ended December 31, 2019 and 1.6 million shares at an average price of $25.53 per share during the year ended December 31, 2018. Luxembourg law limits share repurchases to the balance of Altisource Portfolio Solutions S.A. (unconsolidated parent company) retained earnings, less the value of shares repurchased. As of December 31, 2020, we can repurchase up to approximately $91 million of our common stock under Luxembourg law. Our Credit Agreement also limits the amount we can spend on share repurchases, which limit was approximately $430 million as of December 31, 2020, and may prevent repurchases in certain circumstances, including if our leverage ratio exceeds 3.50 to 1.00. Our leverage ratio exceeded 3.50 to 1.00 during the year ended December 31, 2020.</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SELECTED FINANCIAL DATA</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selected financial data as of and for the years ended December 31, 2020, 2019, 2018, 2017 and 2016 has been derived from our audited consolidated financial statements. The historical results may not be indicative of our future performance.</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selected consolidated financial data should be read in conjunction with the information contained in Item 7 of Part II, </w:t>
      </w:r>
      <w:r>
        <w:rPr>
          <w:rFonts w:ascii="Arial" w:cs="Arial" w:eastAsia="Arial" w:hAnsi="Arial"/>
          <w:sz w:val="18"/>
          <w:szCs w:val="18"/>
          <w:i w:val="1"/>
          <w:iCs w:val="1"/>
          <w:color w:val="auto"/>
        </w:rPr>
        <w:t>“Management’s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Analysis of Financial Condition and Results of Operations” </w:t>
      </w:r>
      <w:r>
        <w:rPr>
          <w:rFonts w:ascii="Arial" w:cs="Arial" w:eastAsia="Arial" w:hAnsi="Arial"/>
          <w:sz w:val="18"/>
          <w:szCs w:val="18"/>
          <w:color w:val="auto"/>
        </w:rPr>
        <w:t>and our consolidated financial statements and notes thereto in Item 8 of Part II,</w:t>
      </w:r>
      <w:r>
        <w:rPr>
          <w:rFonts w:ascii="Arial" w:cs="Arial" w:eastAsia="Arial" w:hAnsi="Arial"/>
          <w:sz w:val="18"/>
          <w:szCs w:val="18"/>
          <w:i w:val="1"/>
          <w:iCs w:val="1"/>
          <w:color w:val="auto"/>
        </w:rPr>
        <w:t xml:space="preserve"> “Financial Statements and Supplementary Data.”</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47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 except per share data)</w:t>
            </w:r>
          </w:p>
        </w:tc>
        <w:tc>
          <w:tcPr>
            <w:tcW w:w="280" w:type="dxa"/>
            <w:vAlign w:val="bottom"/>
          </w:tcPr>
          <w:p>
            <w:pPr>
              <w:spacing w:after="0"/>
              <w:rPr>
                <w:sz w:val="17"/>
                <w:szCs w:val="17"/>
                <w:color w:val="auto"/>
              </w:rPr>
            </w:pPr>
          </w:p>
        </w:tc>
        <w:tc>
          <w:tcPr>
            <w:tcW w:w="900" w:type="dxa"/>
            <w:vAlign w:val="bottom"/>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371"/>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4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365,547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648,651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838,202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942,213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997,303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revenue</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305,194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493,256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622,165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699,865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690,045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60,353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216,037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242,348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60" w:type="dxa"/>
            <w:vAlign w:val="bottom"/>
            <w:gridSpan w:val="2"/>
          </w:tcPr>
          <w:p>
            <w:pPr>
              <w:ind w:left="20"/>
              <w:spacing w:after="0"/>
              <w:rPr>
                <w:sz w:val="20"/>
                <w:szCs w:val="20"/>
                <w:color w:val="auto"/>
              </w:rPr>
            </w:pPr>
            <w:r>
              <w:rPr>
                <w:rFonts w:ascii="Arial" w:cs="Arial" w:eastAsia="Arial" w:hAnsi="Arial"/>
                <w:sz w:val="18"/>
                <w:szCs w:val="18"/>
                <w:color w:val="auto"/>
              </w:rPr>
              <w:t>Operating expenses (income):</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92,736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60" w:type="dxa"/>
            <w:vAlign w:val="bottom"/>
            <w:gridSpan w:val="2"/>
          </w:tcPr>
          <w:p>
            <w:pPr>
              <w:ind w:left="140"/>
              <w:spacing w:after="0"/>
              <w:rPr>
                <w:sz w:val="20"/>
                <w:szCs w:val="20"/>
                <w:color w:val="auto"/>
              </w:rPr>
            </w:pPr>
            <w:r>
              <w:rPr>
                <w:rFonts w:ascii="Arial" w:cs="Arial" w:eastAsia="Arial" w:hAnsi="Arial"/>
                <w:sz w:val="18"/>
                <w:szCs w:val="18"/>
                <w:color w:val="auto"/>
              </w:rPr>
              <w:t>Gain on sale of businesses</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(17,814)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(13,688)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Restructuring charges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60" w:type="dxa"/>
            <w:vAlign w:val="bottom"/>
            <w:gridSpan w:val="2"/>
          </w:tcPr>
          <w:p>
            <w:pPr>
              <w:ind w:left="140"/>
              <w:spacing w:after="0"/>
              <w:rPr>
                <w:sz w:val="20"/>
                <w:szCs w:val="20"/>
                <w:color w:val="auto"/>
              </w:rPr>
            </w:pPr>
            <w:r>
              <w:rPr>
                <w:rFonts w:ascii="Arial" w:cs="Arial" w:eastAsia="Arial" w:hAnsi="Arial"/>
                <w:sz w:val="18"/>
                <w:szCs w:val="18"/>
                <w:color w:val="auto"/>
                <w:w w:val="98"/>
              </w:rPr>
              <w:t>Litigation settlement loss, net of $4,000 insurance recovery</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(Loss) income from operations</w:t>
            </w:r>
          </w:p>
        </w:tc>
        <w:tc>
          <w:tcPr>
            <w:tcW w:w="2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(44,355)</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42,495</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49,706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60" w:type="dxa"/>
            <w:vAlign w:val="bottom"/>
            <w:gridSpan w:val="2"/>
          </w:tcPr>
          <w:p>
            <w:pPr>
              <w:ind w:left="20"/>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60" w:type="dxa"/>
            <w:vAlign w:val="bottom"/>
            <w:gridSpan w:val="2"/>
          </w:tcPr>
          <w:p>
            <w:pPr>
              <w:ind w:left="140"/>
              <w:spacing w:after="0" w:line="230" w:lineRule="exact"/>
              <w:rPr>
                <w:sz w:val="20"/>
                <w:szCs w:val="20"/>
                <w:color w:val="auto"/>
              </w:rPr>
            </w:pPr>
            <w:r>
              <w:rPr>
                <w:rFonts w:ascii="Arial" w:cs="Arial" w:eastAsia="Arial" w:hAnsi="Arial"/>
                <w:sz w:val="18"/>
                <w:szCs w:val="18"/>
                <w:color w:val="auto"/>
                <w:w w:val="99"/>
              </w:rPr>
              <w:t>Unrealized gain (loss) on investment in equity securities</w:t>
            </w:r>
            <w:r>
              <w:rPr>
                <w:rFonts w:ascii="Arial" w:cs="Arial" w:eastAsia="Arial" w:hAnsi="Arial"/>
                <w:sz w:val="23"/>
                <w:szCs w:val="23"/>
                <w:color w:val="auto"/>
                <w:w w:val="99"/>
                <w:vertAlign w:val="superscript"/>
              </w:rPr>
              <w:t>(1)</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4,004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14,431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(12,972)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60" w:type="dxa"/>
            <w:vAlign w:val="bottom"/>
            <w:gridSpan w:val="2"/>
          </w:tcPr>
          <w:p>
            <w:pPr>
              <w:ind w:left="360"/>
              <w:spacing w:after="0"/>
              <w:rPr>
                <w:sz w:val="20"/>
                <w:szCs w:val="20"/>
                <w:color w:val="auto"/>
              </w:rPr>
            </w:pPr>
            <w:r>
              <w:rPr>
                <w:rFonts w:ascii="Arial" w:cs="Arial" w:eastAsia="Arial" w:hAnsi="Arial"/>
                <w:sz w:val="18"/>
                <w:szCs w:val="18"/>
                <w:color w:val="auto"/>
              </w:rPr>
              <w:t>Total other income (expense), net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(13,351)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(41,096)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(14,331)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(20,782)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7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(Loss) income before income taxes and non-controlling</w:t>
            </w:r>
          </w:p>
        </w:tc>
        <w:tc>
          <w:tcPr>
            <w:tcW w:w="2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(57,706)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12,439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1,399</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35,375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44,321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60" w:type="dxa"/>
            <w:vAlign w:val="bottom"/>
            <w:gridSpan w:val="2"/>
          </w:tcPr>
          <w:p>
            <w:pPr>
              <w:ind w:left="180"/>
              <w:spacing w:after="0"/>
              <w:rPr>
                <w:sz w:val="20"/>
                <w:szCs w:val="20"/>
                <w:color w:val="auto"/>
              </w:rPr>
            </w:pPr>
            <w:r>
              <w:rPr>
                <w:rFonts w:ascii="Arial" w:cs="Arial" w:eastAsia="Arial" w:hAnsi="Arial"/>
                <w:sz w:val="18"/>
                <w:szCs w:val="18"/>
                <w:color w:val="auto"/>
              </w:rPr>
              <w:t>interests</w:t>
            </w:r>
          </w:p>
        </w:tc>
        <w:tc>
          <w:tcPr>
            <w:tcW w:w="2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(318,296)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276,256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311,631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60" w:type="dxa"/>
            <w:vAlign w:val="bottom"/>
            <w:gridSpan w:val="2"/>
          </w:tcPr>
          <w:p>
            <w:pPr>
              <w:ind w:left="20"/>
              <w:spacing w:after="0"/>
              <w:rPr>
                <w:sz w:val="20"/>
                <w:szCs w:val="20"/>
                <w:color w:val="auto"/>
              </w:rPr>
            </w:pPr>
            <w:r>
              <w:rPr>
                <w:rFonts w:ascii="Arial" w:cs="Arial" w:eastAsia="Arial" w:hAnsi="Arial"/>
                <w:sz w:val="18"/>
                <w:szCs w:val="18"/>
                <w:color w:val="auto"/>
              </w:rPr>
              <w:t>Net (loss) income attributable to Altisource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(67,156)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(307,969)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(5,382)</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308,891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4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60" w:type="dxa"/>
            <w:vAlign w:val="bottom"/>
            <w:gridSpan w:val="2"/>
          </w:tcPr>
          <w:p>
            <w:pPr>
              <w:ind w:left="20"/>
              <w:spacing w:after="0"/>
              <w:rPr>
                <w:sz w:val="20"/>
                <w:szCs w:val="20"/>
                <w:color w:val="auto"/>
              </w:rPr>
            </w:pPr>
            <w:r>
              <w:rPr>
                <w:rFonts w:ascii="Arial" w:cs="Arial" w:eastAsia="Arial" w:hAnsi="Arial"/>
                <w:sz w:val="18"/>
                <w:szCs w:val="18"/>
                <w:color w:val="auto"/>
              </w:rPr>
              <w:t>(Loss) income per share:</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40" w:type="dxa"/>
            <w:vAlign w:val="bottom"/>
          </w:tcPr>
          <w:p>
            <w:pPr>
              <w:spacing w:after="0"/>
              <w:rPr>
                <w:sz w:val="21"/>
                <w:szCs w:val="21"/>
                <w:color w:val="auto"/>
              </w:rPr>
            </w:pPr>
          </w:p>
        </w:tc>
        <w:tc>
          <w:tcPr>
            <w:tcW w:w="4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4760" w:type="dxa"/>
            <w:vAlign w:val="bottom"/>
            <w:gridSpan w:val="2"/>
          </w:tcPr>
          <w:p>
            <w:pPr>
              <w:ind w:left="140"/>
              <w:spacing w:after="0" w:line="203" w:lineRule="exact"/>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(4.31)</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(19.26)</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(0.32)</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16.53</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4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60" w:type="dxa"/>
            <w:vAlign w:val="bottom"/>
            <w:gridSpan w:val="2"/>
          </w:tcPr>
          <w:p>
            <w:pPr>
              <w:ind w:left="20"/>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1"/>
                <w:szCs w:val="21"/>
                <w:color w:val="auto"/>
              </w:rPr>
            </w:pPr>
          </w:p>
        </w:tc>
        <w:tc>
          <w:tcPr>
            <w:tcW w:w="4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18,183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4760" w:type="dxa"/>
            <w:vAlign w:val="bottom"/>
            <w:gridSpan w:val="2"/>
          </w:tcPr>
          <w:p>
            <w:pPr>
              <w:ind w:left="140"/>
              <w:spacing w:after="0" w:line="203" w:lineRule="exact"/>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15,598</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15,991</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17,073</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18,692</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19,612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4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60" w:type="dxa"/>
            <w:vAlign w:val="bottom"/>
            <w:gridSpan w:val="2"/>
          </w:tcPr>
          <w:p>
            <w:pPr>
              <w:ind w:left="20"/>
              <w:spacing w:after="0"/>
              <w:rPr>
                <w:sz w:val="20"/>
                <w:szCs w:val="20"/>
                <w:color w:val="auto"/>
              </w:rPr>
            </w:pPr>
            <w:r>
              <w:rPr>
                <w:rFonts w:ascii="Arial" w:cs="Arial" w:eastAsia="Arial" w:hAnsi="Arial"/>
                <w:sz w:val="18"/>
                <w:szCs w:val="18"/>
                <w:color w:val="auto"/>
              </w:rPr>
              <w:t>Outstanding shares (at December 31)</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15,664</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15,454</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16,276</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17,418</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4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Non-GAAP Financial Measures</w:t>
            </w:r>
            <w:r>
              <w:rPr>
                <w:rFonts w:ascii="Arial" w:cs="Arial" w:eastAsia="Arial" w:hAnsi="Arial"/>
                <w:sz w:val="23"/>
                <w:szCs w:val="23"/>
                <w:color w:val="auto"/>
                <w:vertAlign w:val="superscript"/>
              </w:rPr>
              <w:t>(2)</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40" w:type="dxa"/>
            <w:vAlign w:val="bottom"/>
          </w:tcPr>
          <w:p>
            <w:pPr>
              <w:spacing w:after="0"/>
              <w:rPr>
                <w:sz w:val="21"/>
                <w:szCs w:val="21"/>
                <w:color w:val="auto"/>
              </w:rPr>
            </w:pPr>
          </w:p>
        </w:tc>
        <w:tc>
          <w:tcPr>
            <w:tcW w:w="4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Adjusted net (loss) income attributable to Altisource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(29,121)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42,609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94,884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4760" w:type="dxa"/>
            <w:vAlign w:val="bottom"/>
            <w:gridSpan w:val="2"/>
          </w:tcPr>
          <w:p>
            <w:pPr>
              <w:ind w:left="140"/>
              <w:spacing w:after="0" w:line="203" w:lineRule="exact"/>
              <w:rPr>
                <w:sz w:val="20"/>
                <w:szCs w:val="20"/>
                <w:color w:val="auto"/>
              </w:rPr>
            </w:pPr>
            <w:r>
              <w:rPr>
                <w:rFonts w:ascii="Arial" w:cs="Arial" w:eastAsia="Arial" w:hAnsi="Arial"/>
                <w:sz w:val="18"/>
                <w:szCs w:val="18"/>
                <w:color w:val="auto"/>
              </w:rPr>
              <w:t>Adjusted diluted (loss) earnings per share</w:t>
            </w: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(1.87)</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1.34</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2.43</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2.98</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0" w:type="dxa"/>
            <w:vAlign w:val="bottom"/>
          </w:tcPr>
          <w:p>
            <w:pPr>
              <w:spacing w:after="0"/>
              <w:rPr>
                <w:sz w:val="21"/>
                <w:szCs w:val="21"/>
                <w:color w:val="auto"/>
              </w:rPr>
            </w:pPr>
          </w:p>
        </w:tc>
        <w:tc>
          <w:tcPr>
            <w:tcW w:w="4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118,279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184,501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6"/>
        </w:trPr>
        <w:tc>
          <w:tcPr>
            <w:tcW w:w="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ind w:right="17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4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00"/>
        </w:trPr>
        <w:tc>
          <w:tcPr>
            <w:tcW w:w="478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7"/>
                <w:szCs w:val="17"/>
                <w:color w:val="auto"/>
              </w:rPr>
            </w:pPr>
          </w:p>
        </w:tc>
        <w:tc>
          <w:tcPr>
            <w:tcW w:w="900" w:type="dxa"/>
            <w:vAlign w:val="bottom"/>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37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372"/>
              <w:spacing w:after="0"/>
              <w:rPr>
                <w:sz w:val="20"/>
                <w:szCs w:val="20"/>
                <w:color w:val="auto"/>
              </w:rPr>
            </w:pPr>
            <w:r>
              <w:rPr>
                <w:rFonts w:ascii="Arial" w:cs="Arial" w:eastAsia="Arial" w:hAnsi="Arial"/>
                <w:sz w:val="14"/>
                <w:szCs w:val="14"/>
                <w:b w:val="1"/>
                <w:bCs w:val="1"/>
                <w:color w:val="auto"/>
              </w:rPr>
              <w:t>2016</w:t>
            </w:r>
          </w:p>
        </w:tc>
      </w:tr>
      <w:tr>
        <w:trPr>
          <w:trHeight w:val="199"/>
        </w:trPr>
        <w:tc>
          <w:tcPr>
            <w:tcW w:w="4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r>
      <w:tr>
        <w:trPr>
          <w:trHeight w:val="230"/>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149,294</w:t>
            </w:r>
          </w:p>
        </w:tc>
      </w:tr>
      <w:tr>
        <w:trPr>
          <w:trHeight w:val="229"/>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Investment in equity securities</w:t>
            </w:r>
          </w:p>
        </w:tc>
        <w:tc>
          <w:tcPr>
            <w:tcW w:w="2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42,618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36,181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49,153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45,754</w:t>
            </w:r>
          </w:p>
        </w:tc>
      </w:tr>
      <w:tr>
        <w:trPr>
          <w:trHeight w:val="229"/>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87,821</w:t>
            </w:r>
          </w:p>
        </w:tc>
      </w:tr>
      <w:tr>
        <w:trPr>
          <w:trHeight w:val="230"/>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Short-term investments in real estate</w:t>
            </w:r>
          </w:p>
        </w:tc>
        <w:tc>
          <w:tcPr>
            <w:tcW w:w="2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39,873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29,405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13,025</w:t>
            </w:r>
          </w:p>
        </w:tc>
      </w:tr>
      <w:tr>
        <w:trPr>
          <w:trHeight w:val="229"/>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Premises and equipment, net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73,273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103,473</w:t>
            </w:r>
          </w:p>
        </w:tc>
      </w:tr>
      <w:tr>
        <w:trPr>
          <w:trHeight w:val="229"/>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73,849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73,849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81,387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86,283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86,283</w:t>
            </w:r>
          </w:p>
        </w:tc>
      </w:tr>
      <w:tr>
        <w:trPr>
          <w:trHeight w:val="230"/>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120,065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155,432</w:t>
            </w:r>
          </w:p>
        </w:tc>
      </w:tr>
      <w:tr>
        <w:trPr>
          <w:trHeight w:val="229"/>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265,685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394,256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741,700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865,164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689,212</w:t>
            </w:r>
          </w:p>
        </w:tc>
      </w:tr>
      <w:tr>
        <w:trPr>
          <w:trHeight w:val="230"/>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debt (including current portion)</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287,882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331,476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409,281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473,545</w:t>
            </w:r>
          </w:p>
        </w:tc>
      </w:tr>
      <w:tr>
        <w:trPr>
          <w:trHeight w:val="229"/>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348,241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415,613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445,032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525,179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627,018</w:t>
            </w:r>
          </w:p>
        </w:tc>
      </w:tr>
      <w:tr>
        <w:trPr>
          <w:trHeight w:val="229"/>
        </w:trPr>
        <w:tc>
          <w:tcPr>
            <w:tcW w:w="47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Net debt less investment in equity securities</w:t>
            </w:r>
            <w:r>
              <w:rPr>
                <w:rFonts w:ascii="Arial" w:cs="Arial" w:eastAsia="Arial" w:hAnsi="Arial"/>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284,605</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63" w:lineRule="exact"/>
        <w:rPr>
          <w:sz w:val="20"/>
          <w:szCs w:val="20"/>
          <w:color w:val="auto"/>
        </w:rPr>
      </w:pPr>
    </w:p>
    <w:p>
      <w:pPr>
        <w:ind w:left="260" w:hanging="252"/>
        <w:spacing w:after="0" w:line="227" w:lineRule="auto"/>
        <w:tabs>
          <w:tab w:leader="none" w:pos="248"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Effective January 1, 2018, mark-to-market adjustments of our investment in equity securities are reflected in our results of operations in connection with the adoption of a new accounting principle (previously reflected in comprehensive income).</w:t>
      </w:r>
    </w:p>
    <w:p>
      <w:pPr>
        <w:ind w:left="260" w:hanging="252"/>
        <w:spacing w:after="0" w:line="196" w:lineRule="auto"/>
        <w:tabs>
          <w:tab w:leader="none" w:pos="260"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These are non-GAAP measures that are defined and reconciled to the corresponding GAAP measures on pages 28 to 33.</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Significant events affecting our historical earnings trends from 2018 through 2020, are described in Item 7 of Part II, </w:t>
      </w:r>
      <w:r>
        <w:rPr>
          <w:rFonts w:ascii="Arial" w:cs="Arial" w:eastAsia="Arial" w:hAnsi="Arial"/>
          <w:sz w:val="18"/>
          <w:szCs w:val="18"/>
          <w:i w:val="1"/>
          <w:iCs w:val="1"/>
          <w:color w:val="auto"/>
        </w:rPr>
        <w:t>“Management’s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 of Financial Condition and Results of Operations.”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MEASURES</w:t>
      </w:r>
    </w:p>
    <w:p>
      <w:pPr>
        <w:spacing w:after="0" w:line="17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Adjusted net (loss) income attributable to Altisource, adjusted diluted (loss) earnings per share, adjusted earnings before interest, taxes depreciation and amortization (“Adjusted EBITDA”) and net debt less investment in equity securities, which are presented elsewhere in this Annual Report on Form 10-K, are non-GAAP measures used by management, existing shareholders, potential shareholders and other users of our financial information to measure Altisource’s performance. These measures do not purport to be alternatives to net (loss) income attributable to Altisource, diluted (loss) earnings per share and long-term debt, including current portion, as measures of Altisource’s performance. We believe these measures are useful to management, existing shareholders, potential shareholders and other users of our financial information in evaluating operating profitability and cash flow generation more on the basis of continuing cost and cash flows as they exclude amortization expense related to acquisitions that occurred in prior periods and non-cash share-based compensation expense and/or depreciation expense, financing expense and income taxes, as well as the effect of more significant non-operational items from earnings and long-term debt net of cash on-hand and investment in equity securities. We believe these measures are also useful in evaluating the effectiveness of our operations and underlying business trends in a manner that is consistent with management’s evaluation of business performance. Furthermore, we believe the exclusion of more significant non-operational items enables comparability to prior period performance and trend analysis.</w:t>
      </w:r>
    </w:p>
    <w:p>
      <w:pPr>
        <w:spacing w:after="0" w:line="1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It is management’s intent to provide non-GAAP financial information to enhance the understanding of Altisource’s GAAP financial information, and it should be considered by the reader in addition to, but not instead of, the financial statements prepared in accordance with GAAP. Each non-GAAP financial measure is presented along with the corresponding GAAP measure so as not to imply that more emphasis should be placed on the non-GAAP measure. The non-GAAP financial information presented may be determined or calculated differently by other companies. The non-GAAP financial information should not be unduly relied upon.</w:t>
      </w:r>
    </w:p>
    <w:p>
      <w:pPr>
        <w:spacing w:after="0" w:line="13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Adjusted net (loss) income attributable to Altisource is calculated by removing intangible asset amortization expense (net of tax), share-based compensation expense (net of tax), restructuring charges (net of tax), Pointillist losses (net of tax), unrealized gain (loss) on investment in equity securities (net of tax), third quarter 2020 cost saving initiatives (net of tax), loss on BRS portfolio sale (net of tax), gain on sale of businesses (net of tax), sales tax net accrual (reimbursements) (net of tax), goodwill and intangible and other assets write-off from business exits (net of tax), write-off of net discount and debt issuance costs from debt refinancing (net of tax), litigation settlement loss, net of insurance recovery (net of tax) and certain income tax related items relating to adjustments to foreign income tax reserves, the Luxembourg deferred tax asset from the Luxembourg subsidiary merger in 2017 and increase in the valuation allowance in 2019 and income tax rate changes in Luxembourg, India and the United States from net (loss) income attributable to Altisource. Adjusted diluted (loss) earnings per share is calculated by dividing net (loss) income attributable to Altisource after removing intangible asset amortization expense (net of tax), share-based compensation expense (net of tax), restructuring charges (net of tax), Pointillist losses (net of tax), unrealized gain (loss) on investment in equity securities (net of tax), third quarter 2020 cost saving initiatives (net of tax), loss on BRS portfolio sale (net of tax), gain on sale of businesses (net of tax), sales tax net accrual (reimbursements) (net of tax), goodwill and intangible and other assets write-off from business exits (net of tax), write-off of net discount and debt issuance costs from debt refinancing (net of tax), litigation settlement loss, net of insurance recovery (net of tax) and certain income tax related items described above by the weighted average number of diluted shares. Adjusted EBITDA is calculated by removing the income tax (provision) benefit, interest expense (net of interest income), depreciation and amortization, intangible asset amortization expense, share-based compensation expense, restructuring charges, Pointillist losses, unrealized gain (loss) on investment in equity securities, third quarter 2020 cost savings initiatives, loss on BRS portfolio sale, sales tax net accrual (reimbursements), goodwill and intangible and other assets write-off from business exits, write-off of net discount and debt issuance costs from debt refinancing, and litigation settlement loss, net of insurance recovery from net (loss) income attributable to Altisource. Net debt less investment in equity securities is calculated as long-term debt, including current portion, less cash and cash equivalents and investment in equity securities.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the non-GAAP measures to the corresponding GAAP measures are set forth in the following tables: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9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 except per share data)</w:t>
            </w:r>
          </w:p>
        </w:tc>
        <w:tc>
          <w:tcPr>
            <w:tcW w:w="280" w:type="dxa"/>
            <w:vAlign w:val="bottom"/>
          </w:tcPr>
          <w:p>
            <w:pPr>
              <w:spacing w:after="0"/>
              <w:rPr>
                <w:sz w:val="17"/>
                <w:szCs w:val="17"/>
                <w:color w:val="auto"/>
              </w:rPr>
            </w:pPr>
          </w:p>
        </w:tc>
        <w:tc>
          <w:tcPr>
            <w:tcW w:w="880" w:type="dxa"/>
            <w:vAlign w:val="bottom"/>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5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ind w:right="351"/>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51"/>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4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Altisource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(67,156)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(307,969)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308,891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Intangible asset amortization expense, net of tax</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gridSpan w:val="2"/>
          </w:tcPr>
          <w:p>
            <w:pPr>
              <w:ind w:left="220"/>
              <w:spacing w:after="0"/>
              <w:rPr>
                <w:sz w:val="20"/>
                <w:szCs w:val="20"/>
                <w:color w:val="auto"/>
              </w:rPr>
            </w:pPr>
            <w:r>
              <w:rPr>
                <w:rFonts w:ascii="Arial" w:cs="Arial" w:eastAsia="Arial" w:hAnsi="Arial"/>
                <w:sz w:val="18"/>
                <w:szCs w:val="18"/>
                <w:color w:val="auto"/>
              </w:rPr>
              <w:t>Share-based compensation expense, net of tax</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6,939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7,141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3,311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Restructuring charges, net of tax</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gridSpan w:val="2"/>
          </w:tcPr>
          <w:p>
            <w:pPr>
              <w:ind w:left="220"/>
              <w:spacing w:after="0"/>
              <w:rPr>
                <w:sz w:val="20"/>
                <w:szCs w:val="20"/>
                <w:color w:val="auto"/>
              </w:rPr>
            </w:pPr>
            <w:r>
              <w:rPr>
                <w:rFonts w:ascii="Arial" w:cs="Arial" w:eastAsia="Arial" w:hAnsi="Arial"/>
                <w:sz w:val="18"/>
                <w:szCs w:val="18"/>
                <w:color w:val="auto"/>
              </w:rPr>
              <w:t>Pointillist losses, net of tax</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96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w w:val="94"/>
              </w:rPr>
              <w:t>Unrealized (gain) loss on investment in equity securities, net of</w:t>
            </w:r>
          </w:p>
        </w:tc>
        <w:tc>
          <w:tcPr>
            <w:tcW w:w="2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(4,004)</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(10,832)</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9,598</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tax</w:t>
            </w:r>
          </w:p>
        </w:tc>
        <w:tc>
          <w:tcPr>
            <w:tcW w:w="2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gridSpan w:val="2"/>
          </w:tcPr>
          <w:p>
            <w:pPr>
              <w:ind w:left="220"/>
              <w:spacing w:after="0"/>
              <w:rPr>
                <w:sz w:val="20"/>
                <w:szCs w:val="20"/>
                <w:color w:val="auto"/>
              </w:rPr>
            </w:pPr>
            <w:r>
              <w:rPr>
                <w:rFonts w:ascii="Arial" w:cs="Arial" w:eastAsia="Arial" w:hAnsi="Arial"/>
                <w:sz w:val="18"/>
                <w:szCs w:val="18"/>
                <w:color w:val="auto"/>
              </w:rPr>
              <w:t>Third quarter 2020 cost savings initiatives, net of tax</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Loss on BRS portfolio sale, net of tax</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gridSpan w:val="2"/>
          </w:tcPr>
          <w:p>
            <w:pPr>
              <w:ind w:left="220"/>
              <w:spacing w:after="0"/>
              <w:rPr>
                <w:sz w:val="20"/>
                <w:szCs w:val="20"/>
                <w:color w:val="auto"/>
              </w:rPr>
            </w:pPr>
            <w:r>
              <w:rPr>
                <w:rFonts w:ascii="Arial" w:cs="Arial" w:eastAsia="Arial" w:hAnsi="Arial"/>
                <w:sz w:val="18"/>
                <w:szCs w:val="18"/>
                <w:color w:val="auto"/>
              </w:rPr>
              <w:t>Gain on sale of businesses, net of tax</w:t>
            </w: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(10,642)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(9,341)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Sales tax net accrual (reimbursement), net of tax</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960" w:type="dxa"/>
            <w:vAlign w:val="bottom"/>
            <w:gridSpan w:val="2"/>
          </w:tcPr>
          <w:p>
            <w:pPr>
              <w:ind w:left="220"/>
              <w:spacing w:after="0" w:line="176" w:lineRule="exact"/>
              <w:rPr>
                <w:sz w:val="20"/>
                <w:szCs w:val="20"/>
                <w:color w:val="auto"/>
              </w:rPr>
            </w:pPr>
            <w:r>
              <w:rPr>
                <w:rFonts w:ascii="Arial" w:cs="Arial" w:eastAsia="Arial" w:hAnsi="Arial"/>
                <w:sz w:val="18"/>
                <w:szCs w:val="18"/>
                <w:color w:val="auto"/>
              </w:rPr>
              <w:t>Goodwill and intangible and other assets write-off from</w:t>
            </w:r>
          </w:p>
        </w:tc>
        <w:tc>
          <w:tcPr>
            <w:tcW w:w="280" w:type="dxa"/>
            <w:vAlign w:val="bottom"/>
          </w:tcPr>
          <w:p>
            <w:pPr>
              <w:spacing w:after="0"/>
              <w:rPr>
                <w:sz w:val="15"/>
                <w:szCs w:val="15"/>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4,578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1,953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60" w:type="dxa"/>
            <w:vAlign w:val="bottom"/>
            <w:gridSpan w:val="2"/>
          </w:tcPr>
          <w:p>
            <w:pPr>
              <w:ind w:left="400"/>
              <w:spacing w:after="0"/>
              <w:rPr>
                <w:sz w:val="20"/>
                <w:szCs w:val="20"/>
                <w:color w:val="auto"/>
              </w:rPr>
            </w:pPr>
            <w:r>
              <w:rPr>
                <w:rFonts w:ascii="Arial" w:cs="Arial" w:eastAsia="Arial" w:hAnsi="Arial"/>
                <w:sz w:val="18"/>
                <w:szCs w:val="18"/>
                <w:color w:val="auto"/>
              </w:rPr>
              <w:t>business exits, net of tax</w:t>
            </w:r>
          </w:p>
        </w:tc>
        <w:tc>
          <w:tcPr>
            <w:tcW w:w="28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96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Write-off of net discount and debt issuance costs from debt</w:t>
            </w:r>
          </w:p>
        </w:tc>
        <w:tc>
          <w:tcPr>
            <w:tcW w:w="28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3,232</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refinancing, net of tax</w:t>
            </w:r>
          </w:p>
        </w:tc>
        <w:tc>
          <w:tcPr>
            <w:tcW w:w="28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gridSpan w:val="2"/>
          </w:tcPr>
          <w:p>
            <w:pPr>
              <w:ind w:left="220"/>
              <w:spacing w:after="0"/>
              <w:rPr>
                <w:sz w:val="20"/>
                <w:szCs w:val="20"/>
                <w:color w:val="auto"/>
              </w:rPr>
            </w:pPr>
            <w:r>
              <w:rPr>
                <w:rFonts w:ascii="Arial" w:cs="Arial" w:eastAsia="Arial" w:hAnsi="Arial"/>
                <w:sz w:val="18"/>
                <w:szCs w:val="18"/>
                <w:color w:val="auto"/>
              </w:rPr>
              <w:t>Certain income tax related items, net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3,062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311,173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1,588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3"/>
              </w:rPr>
              <w:t>(284,108)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litigation settlement loss, net of tax</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4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Adjusted net (loss) income attributable to Altisource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42,609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94,884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 (loss) earnings per share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96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w w:val="92"/>
              </w:rPr>
              <w:t>Impact of using diluted share count instead of basic share count</w:t>
            </w:r>
          </w:p>
        </w:tc>
        <w:tc>
          <w:tcPr>
            <w:tcW w:w="28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for a loss per share</w:t>
            </w:r>
          </w:p>
        </w:tc>
        <w:tc>
          <w:tcPr>
            <w:tcW w:w="28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960" w:type="dxa"/>
            <w:vAlign w:val="bottom"/>
            <w:gridSpan w:val="2"/>
          </w:tcPr>
          <w:p>
            <w:pPr>
              <w:ind w:left="220"/>
              <w:spacing w:after="0" w:line="176" w:lineRule="exact"/>
              <w:rPr>
                <w:sz w:val="20"/>
                <w:szCs w:val="20"/>
                <w:color w:val="auto"/>
              </w:rPr>
            </w:pPr>
            <w:r>
              <w:rPr>
                <w:rFonts w:ascii="Arial" w:cs="Arial" w:eastAsia="Arial" w:hAnsi="Arial"/>
                <w:sz w:val="18"/>
                <w:szCs w:val="18"/>
                <w:color w:val="auto"/>
                <w:w w:val="98"/>
              </w:rPr>
              <w:t>Intangible asset amortization expense, net of tax, per diluted</w:t>
            </w:r>
          </w:p>
        </w:tc>
        <w:tc>
          <w:tcPr>
            <w:tcW w:w="2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0.94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0.88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1.88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960" w:type="dxa"/>
            <w:vAlign w:val="bottom"/>
            <w:gridSpan w:val="2"/>
          </w:tcPr>
          <w:p>
            <w:pPr>
              <w:ind w:left="400"/>
              <w:spacing w:after="0"/>
              <w:rPr>
                <w:sz w:val="20"/>
                <w:szCs w:val="20"/>
                <w:color w:val="auto"/>
              </w:rPr>
            </w:pPr>
            <w:r>
              <w:rPr>
                <w:rFonts w:ascii="Arial" w:cs="Arial" w:eastAsia="Arial" w:hAnsi="Arial"/>
                <w:sz w:val="18"/>
                <w:szCs w:val="18"/>
                <w:color w:val="auto"/>
              </w:rPr>
              <w:t>share</w:t>
            </w:r>
          </w:p>
        </w:tc>
        <w:tc>
          <w:tcPr>
            <w:tcW w:w="2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0"/>
              </w:rPr>
              <w:t>Share-based compensation expense, net of tax, per diluted share</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gridSpan w:val="2"/>
          </w:tcPr>
          <w:p>
            <w:pPr>
              <w:ind w:left="220"/>
              <w:spacing w:after="0"/>
              <w:rPr>
                <w:sz w:val="20"/>
                <w:szCs w:val="20"/>
                <w:color w:val="auto"/>
              </w:rPr>
            </w:pPr>
            <w:r>
              <w:rPr>
                <w:rFonts w:ascii="Arial" w:cs="Arial" w:eastAsia="Arial" w:hAnsi="Arial"/>
                <w:sz w:val="18"/>
                <w:szCs w:val="18"/>
                <w:color w:val="auto"/>
              </w:rPr>
              <w:t>Restructuring charges, net of tax, per diluted share</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0.68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0.66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Pointillist losses, net of tax, per diluted share</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960" w:type="dxa"/>
            <w:vAlign w:val="bottom"/>
            <w:gridSpan w:val="2"/>
          </w:tcPr>
          <w:p>
            <w:pPr>
              <w:ind w:left="220"/>
              <w:spacing w:after="0" w:line="176" w:lineRule="exact"/>
              <w:rPr>
                <w:sz w:val="20"/>
                <w:szCs w:val="20"/>
                <w:color w:val="auto"/>
              </w:rPr>
            </w:pPr>
            <w:r>
              <w:rPr>
                <w:rFonts w:ascii="Arial" w:cs="Arial" w:eastAsia="Arial" w:hAnsi="Arial"/>
                <w:sz w:val="18"/>
                <w:szCs w:val="18"/>
                <w:color w:val="auto"/>
                <w:w w:val="94"/>
              </w:rPr>
              <w:t>Unrealized (gain) loss on investment in equity securities, net of</w:t>
            </w:r>
          </w:p>
        </w:tc>
        <w:tc>
          <w:tcPr>
            <w:tcW w:w="2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(0.67)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60" w:type="dxa"/>
            <w:vAlign w:val="bottom"/>
            <w:gridSpan w:val="2"/>
          </w:tcPr>
          <w:p>
            <w:pPr>
              <w:ind w:left="400"/>
              <w:spacing w:after="0"/>
              <w:rPr>
                <w:sz w:val="20"/>
                <w:szCs w:val="20"/>
                <w:color w:val="auto"/>
              </w:rPr>
            </w:pPr>
            <w:r>
              <w:rPr>
                <w:rFonts w:ascii="Arial" w:cs="Arial" w:eastAsia="Arial" w:hAnsi="Arial"/>
                <w:sz w:val="18"/>
                <w:szCs w:val="18"/>
                <w:color w:val="auto"/>
              </w:rPr>
              <w:t>tax, per diluted share</w:t>
            </w:r>
          </w:p>
        </w:tc>
        <w:tc>
          <w:tcPr>
            <w:tcW w:w="2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96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Third quarter 2020 cost savings initiatives, net of tax, per</w:t>
            </w:r>
          </w:p>
        </w:tc>
        <w:tc>
          <w:tcPr>
            <w:tcW w:w="2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diluted share</w:t>
            </w:r>
          </w:p>
        </w:tc>
        <w:tc>
          <w:tcPr>
            <w:tcW w:w="2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gridSpan w:val="2"/>
          </w:tcPr>
          <w:p>
            <w:pPr>
              <w:ind w:left="220"/>
              <w:spacing w:after="0"/>
              <w:rPr>
                <w:sz w:val="20"/>
                <w:szCs w:val="20"/>
                <w:color w:val="auto"/>
              </w:rPr>
            </w:pPr>
            <w:r>
              <w:rPr>
                <w:rFonts w:ascii="Arial" w:cs="Arial" w:eastAsia="Arial" w:hAnsi="Arial"/>
                <w:sz w:val="18"/>
                <w:szCs w:val="18"/>
                <w:color w:val="auto"/>
              </w:rPr>
              <w:t>Loss on BRS portfolio sale, net of tax, per diluted share</w:t>
            </w: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Gain on sale of businesses, net of tax, per diluted share</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960" w:type="dxa"/>
            <w:vAlign w:val="bottom"/>
            <w:gridSpan w:val="2"/>
          </w:tcPr>
          <w:p>
            <w:pPr>
              <w:ind w:left="220"/>
              <w:spacing w:after="0" w:line="176" w:lineRule="exact"/>
              <w:rPr>
                <w:sz w:val="20"/>
                <w:szCs w:val="20"/>
                <w:color w:val="auto"/>
              </w:rPr>
            </w:pPr>
            <w:r>
              <w:rPr>
                <w:rFonts w:ascii="Arial" w:cs="Arial" w:eastAsia="Arial" w:hAnsi="Arial"/>
                <w:sz w:val="18"/>
                <w:szCs w:val="18"/>
                <w:color w:val="auto"/>
                <w:w w:val="98"/>
              </w:rPr>
              <w:t>Sales tax net accrual (reimbursement) net of tax, per diluted</w:t>
            </w:r>
          </w:p>
        </w:tc>
        <w:tc>
          <w:tcPr>
            <w:tcW w:w="2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60" w:type="dxa"/>
            <w:vAlign w:val="bottom"/>
            <w:gridSpan w:val="2"/>
          </w:tcPr>
          <w:p>
            <w:pPr>
              <w:ind w:left="400"/>
              <w:spacing w:after="0"/>
              <w:rPr>
                <w:sz w:val="20"/>
                <w:szCs w:val="20"/>
                <w:color w:val="auto"/>
              </w:rPr>
            </w:pPr>
            <w:r>
              <w:rPr>
                <w:rFonts w:ascii="Arial" w:cs="Arial" w:eastAsia="Arial" w:hAnsi="Arial"/>
                <w:sz w:val="18"/>
                <w:szCs w:val="18"/>
                <w:color w:val="auto"/>
              </w:rPr>
              <w:t>share</w:t>
            </w:r>
          </w:p>
        </w:tc>
        <w:tc>
          <w:tcPr>
            <w:tcW w:w="2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96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Goodwill and intangible and other assets write-off from</w:t>
            </w:r>
          </w:p>
        </w:tc>
        <w:tc>
          <w:tcPr>
            <w:tcW w:w="28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business exits, net of tax, per diluted share</w:t>
            </w:r>
          </w:p>
        </w:tc>
        <w:tc>
          <w:tcPr>
            <w:tcW w:w="28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960" w:type="dxa"/>
            <w:vAlign w:val="bottom"/>
            <w:gridSpan w:val="2"/>
          </w:tcPr>
          <w:p>
            <w:pPr>
              <w:ind w:left="220"/>
              <w:spacing w:after="0" w:line="176" w:lineRule="exact"/>
              <w:rPr>
                <w:sz w:val="20"/>
                <w:szCs w:val="20"/>
                <w:color w:val="auto"/>
              </w:rPr>
            </w:pPr>
            <w:r>
              <w:rPr>
                <w:rFonts w:ascii="Arial" w:cs="Arial" w:eastAsia="Arial" w:hAnsi="Arial"/>
                <w:sz w:val="18"/>
                <w:szCs w:val="18"/>
                <w:color w:val="auto"/>
              </w:rPr>
              <w:t>Write-off of net discount and debt issuance costs from debt</w:t>
            </w:r>
          </w:p>
        </w:tc>
        <w:tc>
          <w:tcPr>
            <w:tcW w:w="280" w:type="dxa"/>
            <w:vAlign w:val="bottom"/>
          </w:tcPr>
          <w:p>
            <w:pPr>
              <w:spacing w:after="0"/>
              <w:rPr>
                <w:sz w:val="15"/>
                <w:szCs w:val="15"/>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60" w:type="dxa"/>
            <w:vAlign w:val="bottom"/>
            <w:gridSpan w:val="2"/>
          </w:tcPr>
          <w:p>
            <w:pPr>
              <w:ind w:left="400"/>
              <w:spacing w:after="0"/>
              <w:rPr>
                <w:sz w:val="20"/>
                <w:szCs w:val="20"/>
                <w:color w:val="auto"/>
              </w:rPr>
            </w:pPr>
            <w:r>
              <w:rPr>
                <w:rFonts w:ascii="Arial" w:cs="Arial" w:eastAsia="Arial" w:hAnsi="Arial"/>
                <w:sz w:val="18"/>
                <w:szCs w:val="18"/>
                <w:color w:val="auto"/>
              </w:rPr>
              <w:t>refinancing, net of tax, per diluted share</w:t>
            </w:r>
          </w:p>
        </w:tc>
        <w:tc>
          <w:tcPr>
            <w:tcW w:w="28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Certain income tax related items, net, per diluted share</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gridSpan w:val="2"/>
          </w:tcPr>
          <w:p>
            <w:pPr>
              <w:ind w:left="220"/>
              <w:spacing w:after="0"/>
              <w:rPr>
                <w:sz w:val="20"/>
                <w:szCs w:val="20"/>
                <w:color w:val="auto"/>
              </w:rPr>
            </w:pPr>
            <w:r>
              <w:rPr>
                <w:rFonts w:ascii="Arial" w:cs="Arial" w:eastAsia="Arial" w:hAnsi="Arial"/>
                <w:sz w:val="18"/>
                <w:szCs w:val="18"/>
                <w:color w:val="auto"/>
              </w:rPr>
              <w:t>Net litigation settlement loss, net of tax, per diluted share</w:t>
            </w: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960" w:type="dxa"/>
            <w:vAlign w:val="bottom"/>
            <w:gridSpan w:val="2"/>
          </w:tcPr>
          <w:p>
            <w:pPr>
              <w:ind w:left="20"/>
              <w:spacing w:after="0"/>
              <w:rPr>
                <w:sz w:val="20"/>
                <w:szCs w:val="20"/>
                <w:color w:val="auto"/>
              </w:rPr>
            </w:pPr>
            <w:r>
              <w:rPr>
                <w:rFonts w:ascii="Arial" w:cs="Arial" w:eastAsia="Arial" w:hAnsi="Arial"/>
                <w:sz w:val="18"/>
                <w:szCs w:val="18"/>
                <w:color w:val="auto"/>
              </w:rPr>
              <w:t>Adjusted diluted (loss) earnings per share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ind w:right="311"/>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For the years ended December 31,</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78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 except per share data)</w:t>
            </w:r>
          </w:p>
        </w:tc>
        <w:tc>
          <w:tcPr>
            <w:tcW w:w="280" w:type="dxa"/>
            <w:vAlign w:val="bottom"/>
          </w:tcPr>
          <w:p>
            <w:pPr>
              <w:spacing w:after="0"/>
              <w:rPr>
                <w:sz w:val="17"/>
                <w:szCs w:val="17"/>
                <w:color w:val="auto"/>
              </w:rPr>
            </w:pPr>
          </w:p>
        </w:tc>
        <w:tc>
          <w:tcPr>
            <w:tcW w:w="860" w:type="dxa"/>
            <w:vAlign w:val="bottom"/>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ind w:right="35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45"/>
        </w:trPr>
        <w:tc>
          <w:tcPr>
            <w:tcW w:w="4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7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Calculation of the impact of intangible asset amortization</w:t>
            </w: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expense, net of tax</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ind w:left="220"/>
              <w:spacing w:after="0"/>
              <w:rPr>
                <w:sz w:val="20"/>
                <w:szCs w:val="20"/>
                <w:color w:val="auto"/>
              </w:rPr>
            </w:pPr>
            <w:r>
              <w:rPr>
                <w:rFonts w:ascii="Arial" w:cs="Arial" w:eastAsia="Arial" w:hAnsi="Arial"/>
                <w:sz w:val="18"/>
                <w:szCs w:val="18"/>
                <w:color w:val="auto"/>
              </w:rPr>
              <w:t>Intangible asset amortization expense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14,720</w:t>
            </w:r>
          </w:p>
        </w:tc>
        <w:tc>
          <w:tcPr>
            <w:tcW w:w="4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19,021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28,412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35,367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47,576</w:t>
            </w: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Tax benefit from intangible asset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4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(10,757)</w:t>
            </w:r>
          </w:p>
        </w:tc>
        <w:tc>
          <w:tcPr>
            <w:tcW w:w="0" w:type="dxa"/>
            <w:vAlign w:val="bottom"/>
          </w:tcPr>
          <w:p>
            <w:pPr>
              <w:spacing w:after="0"/>
              <w:rPr>
                <w:sz w:val="1"/>
                <w:szCs w:val="1"/>
                <w:color w:val="auto"/>
              </w:rPr>
            </w:pPr>
          </w:p>
        </w:tc>
      </w:tr>
      <w:tr>
        <w:trPr>
          <w:trHeight w:val="223"/>
        </w:trPr>
        <w:tc>
          <w:tcPr>
            <w:tcW w:w="4780" w:type="dxa"/>
            <w:vAlign w:val="bottom"/>
            <w:gridSpan w:val="2"/>
          </w:tcPr>
          <w:p>
            <w:pPr>
              <w:ind w:left="220"/>
              <w:spacing w:after="0"/>
              <w:rPr>
                <w:sz w:val="20"/>
                <w:szCs w:val="20"/>
                <w:color w:val="auto"/>
              </w:rPr>
            </w:pPr>
            <w:r>
              <w:rPr>
                <w:rFonts w:ascii="Arial" w:cs="Arial" w:eastAsia="Arial" w:hAnsi="Arial"/>
                <w:sz w:val="18"/>
                <w:szCs w:val="18"/>
                <w:color w:val="auto"/>
              </w:rPr>
              <w:t>Intangible asset amortization expense, net of tax</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14,650</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19,905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27,523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36,819</w:t>
            </w: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Diluted share count</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15,598</w:t>
            </w:r>
          </w:p>
        </w:tc>
        <w:tc>
          <w:tcPr>
            <w:tcW w:w="4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16,277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19,612</w:t>
            </w:r>
          </w:p>
        </w:tc>
        <w:tc>
          <w:tcPr>
            <w:tcW w:w="0" w:type="dxa"/>
            <w:vAlign w:val="bottom"/>
          </w:tcPr>
          <w:p>
            <w:pPr>
              <w:spacing w:after="0"/>
              <w:rPr>
                <w:sz w:val="1"/>
                <w:szCs w:val="1"/>
                <w:color w:val="auto"/>
              </w:rPr>
            </w:pPr>
          </w:p>
        </w:tc>
      </w:tr>
      <w:tr>
        <w:trPr>
          <w:trHeight w:val="128"/>
        </w:trPr>
        <w:tc>
          <w:tcPr>
            <w:tcW w:w="4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7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Intangible asset amortization expense, net of tax, per diluted</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4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10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23"/>
        </w:trPr>
        <w:tc>
          <w:tcPr>
            <w:tcW w:w="4780" w:type="dxa"/>
            <w:vAlign w:val="bottom"/>
            <w:tcBorders>
              <w:bottom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share</w:t>
            </w: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4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47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Calculation of the impact of share-based compensation expense,</w:t>
            </w: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of tax</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ind w:left="220"/>
              <w:spacing w:after="0"/>
              <w:rPr>
                <w:sz w:val="20"/>
                <w:szCs w:val="20"/>
                <w:color w:val="auto"/>
              </w:rPr>
            </w:pPr>
            <w:r>
              <w:rPr>
                <w:rFonts w:ascii="Arial" w:cs="Arial" w:eastAsia="Arial" w:hAnsi="Arial"/>
                <w:sz w:val="18"/>
                <w:szCs w:val="18"/>
                <w:color w:val="auto"/>
              </w:rPr>
              <w:t>Share-based compensation expense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7,804</w:t>
            </w:r>
          </w:p>
        </w:tc>
        <w:tc>
          <w:tcPr>
            <w:tcW w:w="4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11,874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10,192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4,255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6,188</w:t>
            </w: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Tax benefit from share-based compensation expense</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4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23"/>
        </w:trPr>
        <w:tc>
          <w:tcPr>
            <w:tcW w:w="4780" w:type="dxa"/>
            <w:vAlign w:val="bottom"/>
            <w:gridSpan w:val="2"/>
          </w:tcPr>
          <w:p>
            <w:pPr>
              <w:ind w:left="220"/>
              <w:spacing w:after="0"/>
              <w:rPr>
                <w:sz w:val="20"/>
                <w:szCs w:val="20"/>
                <w:color w:val="auto"/>
              </w:rPr>
            </w:pPr>
            <w:r>
              <w:rPr>
                <w:rFonts w:ascii="Arial" w:cs="Arial" w:eastAsia="Arial" w:hAnsi="Arial"/>
                <w:sz w:val="18"/>
                <w:szCs w:val="18"/>
                <w:color w:val="auto"/>
              </w:rPr>
              <w:t>Share-based compensation expense, net of tax</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6,939</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4,789</w:t>
            </w: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Diluted share count</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15,598</w:t>
            </w:r>
          </w:p>
        </w:tc>
        <w:tc>
          <w:tcPr>
            <w:tcW w:w="4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16,277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19,612</w:t>
            </w:r>
          </w:p>
        </w:tc>
        <w:tc>
          <w:tcPr>
            <w:tcW w:w="0" w:type="dxa"/>
            <w:vAlign w:val="bottom"/>
          </w:tcPr>
          <w:p>
            <w:pPr>
              <w:spacing w:after="0"/>
              <w:rPr>
                <w:sz w:val="1"/>
                <w:szCs w:val="1"/>
                <w:color w:val="auto"/>
              </w:rPr>
            </w:pPr>
          </w:p>
        </w:tc>
      </w:tr>
      <w:tr>
        <w:trPr>
          <w:trHeight w:val="128"/>
        </w:trPr>
        <w:tc>
          <w:tcPr>
            <w:tcW w:w="4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0"/>
              </w:rPr>
              <w:t>Share-based compensation expense, net of tax, per diluted share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4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4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Calculation of the impact of restructuring charges, net of tax</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gridSpan w:val="2"/>
          </w:tcPr>
          <w:p>
            <w:pPr>
              <w:ind w:left="220"/>
              <w:spacing w:after="0"/>
              <w:rPr>
                <w:sz w:val="20"/>
                <w:szCs w:val="20"/>
                <w:color w:val="auto"/>
              </w:rPr>
            </w:pPr>
            <w:r>
              <w:rPr>
                <w:rFonts w:ascii="Arial" w:cs="Arial" w:eastAsia="Arial" w:hAnsi="Arial"/>
                <w:sz w:val="18"/>
                <w:szCs w:val="18"/>
                <w:color w:val="auto"/>
              </w:rPr>
              <w:t>Restructuring charges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11,972</w:t>
            </w:r>
          </w:p>
        </w:tc>
        <w:tc>
          <w:tcPr>
            <w:tcW w:w="4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14,080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11,560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Tax benefit from restructuring charges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80" w:type="dxa"/>
            <w:vAlign w:val="bottom"/>
            <w:gridSpan w:val="2"/>
          </w:tcPr>
          <w:p>
            <w:pPr>
              <w:ind w:left="220"/>
              <w:spacing w:after="0"/>
              <w:rPr>
                <w:sz w:val="20"/>
                <w:szCs w:val="20"/>
                <w:color w:val="auto"/>
              </w:rPr>
            </w:pPr>
            <w:r>
              <w:rPr>
                <w:rFonts w:ascii="Arial" w:cs="Arial" w:eastAsia="Arial" w:hAnsi="Arial"/>
                <w:sz w:val="18"/>
                <w:szCs w:val="18"/>
                <w:color w:val="auto"/>
              </w:rPr>
              <w:t>Restructuring charges, net of tax</w:t>
            </w: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10,586</w:t>
            </w:r>
          </w:p>
        </w:tc>
        <w:tc>
          <w:tcPr>
            <w:tcW w:w="4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10,666</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8,966</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Diluted share count</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15,598</w:t>
            </w:r>
          </w:p>
        </w:tc>
        <w:tc>
          <w:tcPr>
            <w:tcW w:w="4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16,277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19,612</w:t>
            </w:r>
          </w:p>
        </w:tc>
        <w:tc>
          <w:tcPr>
            <w:tcW w:w="0" w:type="dxa"/>
            <w:vAlign w:val="bottom"/>
          </w:tcPr>
          <w:p>
            <w:pPr>
              <w:spacing w:after="0"/>
              <w:rPr>
                <w:sz w:val="1"/>
                <w:szCs w:val="1"/>
                <w:color w:val="auto"/>
              </w:rPr>
            </w:pPr>
          </w:p>
        </w:tc>
      </w:tr>
      <w:tr>
        <w:trPr>
          <w:trHeight w:val="128"/>
        </w:trPr>
        <w:tc>
          <w:tcPr>
            <w:tcW w:w="4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Restructuring charges, net of tax, per diluted share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4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4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Calculation of the impact of Pointillist losses, net of tax</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ind w:left="220"/>
              <w:spacing w:after="0"/>
              <w:rPr>
                <w:sz w:val="20"/>
                <w:szCs w:val="20"/>
                <w:color w:val="auto"/>
              </w:rPr>
            </w:pPr>
            <w:r>
              <w:rPr>
                <w:rFonts w:ascii="Arial" w:cs="Arial" w:eastAsia="Arial" w:hAnsi="Arial"/>
                <w:sz w:val="18"/>
                <w:szCs w:val="18"/>
                <w:color w:val="auto"/>
              </w:rPr>
              <w:t>Pointillist losses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7,999</w:t>
            </w:r>
          </w:p>
        </w:tc>
        <w:tc>
          <w:tcPr>
            <w:tcW w:w="4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Tax provision from Pointillist losses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80" w:type="dxa"/>
            <w:vAlign w:val="bottom"/>
            <w:gridSpan w:val="2"/>
          </w:tcPr>
          <w:p>
            <w:pPr>
              <w:ind w:left="220"/>
              <w:spacing w:after="0"/>
              <w:rPr>
                <w:sz w:val="20"/>
                <w:szCs w:val="20"/>
                <w:color w:val="auto"/>
              </w:rPr>
            </w:pPr>
            <w:r>
              <w:rPr>
                <w:rFonts w:ascii="Arial" w:cs="Arial" w:eastAsia="Arial" w:hAnsi="Arial"/>
                <w:sz w:val="18"/>
                <w:szCs w:val="18"/>
                <w:color w:val="auto"/>
              </w:rPr>
              <w:t>Pointillist losses, net of tax</w:t>
            </w: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8,914</w:t>
            </w:r>
          </w:p>
        </w:tc>
        <w:tc>
          <w:tcPr>
            <w:tcW w:w="4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Diluted share count</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15,598</w:t>
            </w:r>
          </w:p>
        </w:tc>
        <w:tc>
          <w:tcPr>
            <w:tcW w:w="4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16,277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19,612</w:t>
            </w:r>
          </w:p>
        </w:tc>
        <w:tc>
          <w:tcPr>
            <w:tcW w:w="0" w:type="dxa"/>
            <w:vAlign w:val="bottom"/>
          </w:tcPr>
          <w:p>
            <w:pPr>
              <w:spacing w:after="0"/>
              <w:rPr>
                <w:sz w:val="1"/>
                <w:szCs w:val="1"/>
                <w:color w:val="auto"/>
              </w:rPr>
            </w:pPr>
          </w:p>
        </w:tc>
      </w:tr>
      <w:tr>
        <w:trPr>
          <w:trHeight w:val="129"/>
        </w:trPr>
        <w:tc>
          <w:tcPr>
            <w:tcW w:w="4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Pointillist losses, net of tax, per diluted share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4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4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47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Calculation of the impact of the unrealized (gain) loss on</w:t>
            </w: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investment in equity securities, net of tax</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gridSpan w:val="2"/>
          </w:tcPr>
          <w:p>
            <w:pPr>
              <w:ind w:left="220"/>
              <w:spacing w:after="0"/>
              <w:rPr>
                <w:sz w:val="20"/>
                <w:szCs w:val="20"/>
                <w:color w:val="auto"/>
              </w:rPr>
            </w:pPr>
            <w:r>
              <w:rPr>
                <w:rFonts w:ascii="Arial" w:cs="Arial" w:eastAsia="Arial" w:hAnsi="Arial"/>
                <w:sz w:val="18"/>
                <w:szCs w:val="18"/>
                <w:color w:val="auto"/>
              </w:rPr>
              <w:t>Unrealized (gain) loss on investment in equity securities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(4,004)</w:t>
            </w:r>
          </w:p>
        </w:tc>
        <w:tc>
          <w:tcPr>
            <w:tcW w:w="4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(14,431)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12,972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478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Tax provision (benefit) from the unrealized (gain) loss on</w:t>
            </w:r>
          </w:p>
        </w:tc>
        <w:tc>
          <w:tcPr>
            <w:tcW w:w="2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vMerge w:val="restart"/>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3,599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(3,374)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investment in equity securities</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780" w:type="dxa"/>
            <w:vAlign w:val="bottom"/>
            <w:gridSpan w:val="2"/>
          </w:tcPr>
          <w:p>
            <w:pPr>
              <w:ind w:left="220"/>
              <w:spacing w:after="0" w:line="156" w:lineRule="exact"/>
              <w:rPr>
                <w:sz w:val="20"/>
                <w:szCs w:val="20"/>
                <w:color w:val="auto"/>
              </w:rPr>
            </w:pPr>
            <w:r>
              <w:rPr>
                <w:rFonts w:ascii="Arial" w:cs="Arial" w:eastAsia="Arial" w:hAnsi="Arial"/>
                <w:sz w:val="18"/>
                <w:szCs w:val="18"/>
                <w:color w:val="auto"/>
                <w:w w:val="94"/>
              </w:rPr>
              <w:t>Unrealized (gain) loss on investment in equity securities, net</w:t>
            </w:r>
          </w:p>
        </w:tc>
        <w:tc>
          <w:tcPr>
            <w:tcW w:w="28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(4,004)</w:t>
            </w: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(10,832)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9,598</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80" w:type="dxa"/>
            <w:vAlign w:val="bottom"/>
            <w:gridSpan w:val="2"/>
          </w:tcPr>
          <w:p>
            <w:pPr>
              <w:ind w:left="400"/>
              <w:spacing w:after="0"/>
              <w:rPr>
                <w:sz w:val="20"/>
                <w:szCs w:val="20"/>
                <w:color w:val="auto"/>
              </w:rPr>
            </w:pPr>
            <w:r>
              <w:rPr>
                <w:rFonts w:ascii="Arial" w:cs="Arial" w:eastAsia="Arial" w:hAnsi="Arial"/>
                <w:sz w:val="18"/>
                <w:szCs w:val="18"/>
                <w:color w:val="auto"/>
              </w:rPr>
              <w:t>of tax</w:t>
            </w:r>
          </w:p>
        </w:tc>
        <w:tc>
          <w:tcPr>
            <w:tcW w:w="2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Diluted share count</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15,598</w:t>
            </w:r>
          </w:p>
        </w:tc>
        <w:tc>
          <w:tcPr>
            <w:tcW w:w="4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16,277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19,612</w:t>
            </w:r>
          </w:p>
        </w:tc>
        <w:tc>
          <w:tcPr>
            <w:tcW w:w="0" w:type="dxa"/>
            <w:vAlign w:val="bottom"/>
          </w:tcPr>
          <w:p>
            <w:pPr>
              <w:spacing w:after="0"/>
              <w:rPr>
                <w:sz w:val="1"/>
                <w:szCs w:val="1"/>
                <w:color w:val="auto"/>
              </w:rPr>
            </w:pPr>
          </w:p>
        </w:tc>
      </w:tr>
      <w:tr>
        <w:trPr>
          <w:trHeight w:val="128"/>
        </w:trPr>
        <w:tc>
          <w:tcPr>
            <w:tcW w:w="4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7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Unrealized (gain) loss on investment in equity securities, net of</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4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10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0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tax, per diluted share</w:t>
            </w:r>
          </w:p>
        </w:tc>
        <w:tc>
          <w:tcPr>
            <w:tcW w:w="28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47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Calculation of the impact of third quarter 2020 cost savings</w:t>
            </w: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initiatives, net of tax</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gridSpan w:val="2"/>
          </w:tcPr>
          <w:p>
            <w:pPr>
              <w:ind w:left="220"/>
              <w:spacing w:after="0"/>
              <w:rPr>
                <w:sz w:val="20"/>
                <w:szCs w:val="20"/>
                <w:color w:val="auto"/>
              </w:rPr>
            </w:pPr>
            <w:r>
              <w:rPr>
                <w:rFonts w:ascii="Arial" w:cs="Arial" w:eastAsia="Arial" w:hAnsi="Arial"/>
                <w:sz w:val="18"/>
                <w:szCs w:val="18"/>
                <w:color w:val="auto"/>
              </w:rPr>
              <w:t>Third quarter 2020 cost savings initiatives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697</w:t>
            </w:r>
          </w:p>
        </w:tc>
        <w:tc>
          <w:tcPr>
            <w:tcW w:w="4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8"/>
              </w:rPr>
              <w:t>Tax benefit from third quarter 2020 cost savings initiatives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80" w:type="dxa"/>
            <w:vAlign w:val="bottom"/>
            <w:gridSpan w:val="2"/>
          </w:tcPr>
          <w:p>
            <w:pPr>
              <w:ind w:left="220"/>
              <w:spacing w:after="0"/>
              <w:rPr>
                <w:sz w:val="20"/>
                <w:szCs w:val="20"/>
                <w:color w:val="auto"/>
              </w:rPr>
            </w:pPr>
            <w:r>
              <w:rPr>
                <w:rFonts w:ascii="Arial" w:cs="Arial" w:eastAsia="Arial" w:hAnsi="Arial"/>
                <w:sz w:val="18"/>
                <w:szCs w:val="18"/>
                <w:color w:val="auto"/>
              </w:rPr>
              <w:t>Third quarter 2020 cost savings initiatives, net of tax</w:t>
            </w: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4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Diluted share count</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15,598</w:t>
            </w:r>
          </w:p>
        </w:tc>
        <w:tc>
          <w:tcPr>
            <w:tcW w:w="4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16,277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19,612</w:t>
            </w:r>
          </w:p>
        </w:tc>
        <w:tc>
          <w:tcPr>
            <w:tcW w:w="0" w:type="dxa"/>
            <w:vAlign w:val="bottom"/>
          </w:tcPr>
          <w:p>
            <w:pPr>
              <w:spacing w:after="0"/>
              <w:rPr>
                <w:sz w:val="1"/>
                <w:szCs w:val="1"/>
                <w:color w:val="auto"/>
              </w:rPr>
            </w:pPr>
          </w:p>
        </w:tc>
      </w:tr>
      <w:tr>
        <w:trPr>
          <w:trHeight w:val="88"/>
        </w:trPr>
        <w:tc>
          <w:tcPr>
            <w:tcW w:w="4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47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Third quarter 2020 cost savings initiatives, net of tax, per</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4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diluted share</w:t>
            </w:r>
          </w:p>
        </w:tc>
        <w:tc>
          <w:tcPr>
            <w:tcW w:w="28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5" w:right="359" w:bottom="1440" w:gutter="0" w:footer="0" w:header="0"/>
        </w:sect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98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 except per share data)</w:t>
            </w:r>
          </w:p>
        </w:tc>
        <w:tc>
          <w:tcPr>
            <w:tcW w:w="260" w:type="dxa"/>
            <w:vAlign w:val="bottom"/>
          </w:tcPr>
          <w:p>
            <w:pPr>
              <w:spacing w:after="0"/>
              <w:rPr>
                <w:sz w:val="17"/>
                <w:szCs w:val="17"/>
                <w:color w:val="auto"/>
              </w:rPr>
            </w:pPr>
          </w:p>
        </w:tc>
        <w:tc>
          <w:tcPr>
            <w:tcW w:w="900" w:type="dxa"/>
            <w:vAlign w:val="bottom"/>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5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ind w:right="351"/>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51"/>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48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6"/>
              </w:rPr>
              <w:t>Calculation of the impact of loss on BRS portfolio sale, net of tax</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gridSpan w:val="2"/>
          </w:tcPr>
          <w:p>
            <w:pPr>
              <w:ind w:left="220"/>
              <w:spacing w:after="0"/>
              <w:rPr>
                <w:sz w:val="20"/>
                <w:szCs w:val="20"/>
                <w:color w:val="auto"/>
              </w:rPr>
            </w:pPr>
            <w:r>
              <w:rPr>
                <w:rFonts w:ascii="Arial" w:cs="Arial" w:eastAsia="Arial" w:hAnsi="Arial"/>
                <w:sz w:val="18"/>
                <w:szCs w:val="18"/>
                <w:color w:val="auto"/>
              </w:rPr>
              <w:t>Loss on BRS portfolio sale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1,770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Tax benefit from loss on BRS portfolio sale</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gridSpan w:val="2"/>
          </w:tcPr>
          <w:p>
            <w:pPr>
              <w:ind w:left="220"/>
              <w:spacing w:after="0"/>
              <w:rPr>
                <w:sz w:val="20"/>
                <w:szCs w:val="20"/>
                <w:color w:val="auto"/>
              </w:rPr>
            </w:pPr>
            <w:r>
              <w:rPr>
                <w:rFonts w:ascii="Arial" w:cs="Arial" w:eastAsia="Arial" w:hAnsi="Arial"/>
                <w:sz w:val="18"/>
                <w:szCs w:val="18"/>
                <w:color w:val="auto"/>
              </w:rPr>
              <w:t>Loss on BRS portfolio sale, net of tax</w:t>
            </w: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1,405</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Diluted share count</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16,277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49"/>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on BRS portfolio sale, net of tax, per diluted share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5"/>
              </w:rPr>
              <w:t>Calculation of the impact of gain on sale of businesses, net of tax</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gridSpan w:val="2"/>
          </w:tcPr>
          <w:p>
            <w:pPr>
              <w:ind w:left="220"/>
              <w:spacing w:after="0"/>
              <w:rPr>
                <w:sz w:val="20"/>
                <w:szCs w:val="20"/>
                <w:color w:val="auto"/>
              </w:rPr>
            </w:pPr>
            <w:r>
              <w:rPr>
                <w:rFonts w:ascii="Arial" w:cs="Arial" w:eastAsia="Arial" w:hAnsi="Arial"/>
                <w:sz w:val="18"/>
                <w:szCs w:val="18"/>
                <w:color w:val="auto"/>
              </w:rPr>
              <w:t>Gain on sale of businesses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(17,814)</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(13,688)</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Tax provision from gain on sale of businesses</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gridSpan w:val="2"/>
          </w:tcPr>
          <w:p>
            <w:pPr>
              <w:ind w:left="220"/>
              <w:spacing w:after="0"/>
              <w:rPr>
                <w:sz w:val="20"/>
                <w:szCs w:val="20"/>
                <w:color w:val="auto"/>
              </w:rPr>
            </w:pPr>
            <w:r>
              <w:rPr>
                <w:rFonts w:ascii="Arial" w:cs="Arial" w:eastAsia="Arial" w:hAnsi="Arial"/>
                <w:sz w:val="18"/>
                <w:szCs w:val="18"/>
                <w:color w:val="auto"/>
              </w:rPr>
              <w:t>Gain on sale of businesses, net of tax</w:t>
            </w: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(10,642)</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(9,341)</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Diluted share count</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16,277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49"/>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Gain on sale of businesses, net of tax, per diluted share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49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Calculation of the impact of sales tax net accrual (reimbursement),</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of tax</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gridSpan w:val="2"/>
          </w:tcPr>
          <w:p>
            <w:pPr>
              <w:ind w:left="220"/>
              <w:spacing w:after="0"/>
              <w:rPr>
                <w:sz w:val="20"/>
                <w:szCs w:val="20"/>
                <w:color w:val="auto"/>
              </w:rPr>
            </w:pPr>
            <w:r>
              <w:rPr>
                <w:rFonts w:ascii="Arial" w:cs="Arial" w:eastAsia="Arial" w:hAnsi="Arial"/>
                <w:sz w:val="18"/>
                <w:szCs w:val="18"/>
                <w:color w:val="auto"/>
              </w:rPr>
              <w:t>Sales tax net accrual (reimbursement)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(2,677)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6,228</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Tax benefit from sales tax net accrual (reimbursement)</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gridSpan w:val="2"/>
          </w:tcPr>
          <w:p>
            <w:pPr>
              <w:ind w:left="220"/>
              <w:spacing w:after="0"/>
              <w:rPr>
                <w:sz w:val="20"/>
                <w:szCs w:val="20"/>
                <w:color w:val="auto"/>
              </w:rPr>
            </w:pPr>
            <w:r>
              <w:rPr>
                <w:rFonts w:ascii="Arial" w:cs="Arial" w:eastAsia="Arial" w:hAnsi="Arial"/>
                <w:sz w:val="18"/>
                <w:szCs w:val="18"/>
                <w:color w:val="auto"/>
              </w:rPr>
              <w:t>Sales tax net accrual (reimbursement), net of tax</w:t>
            </w: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(2,677)</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4,608</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Diluted share count</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16,277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49"/>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3"/>
              </w:rPr>
              <w:t>Sales tax net accrual (reimbursement) net of tax, per diluted share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49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Calculation of the impact of goodwill and intangible and other</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assets write-off from business exits, net of tax</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980" w:type="dxa"/>
            <w:vAlign w:val="bottom"/>
            <w:gridSpan w:val="2"/>
          </w:tcPr>
          <w:p>
            <w:pPr>
              <w:ind w:left="220"/>
              <w:spacing w:after="0" w:line="176" w:lineRule="exact"/>
              <w:rPr>
                <w:sz w:val="20"/>
                <w:szCs w:val="20"/>
                <w:color w:val="auto"/>
              </w:rPr>
            </w:pPr>
            <w:r>
              <w:rPr>
                <w:rFonts w:ascii="Arial" w:cs="Arial" w:eastAsia="Arial" w:hAnsi="Arial"/>
                <w:sz w:val="18"/>
                <w:szCs w:val="18"/>
                <w:color w:val="auto"/>
              </w:rPr>
              <w:t>Goodwill and intangible and other assets write-off from</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6,102</w:t>
            </w:r>
          </w:p>
        </w:tc>
        <w:tc>
          <w:tcPr>
            <w:tcW w:w="120" w:type="dxa"/>
            <w:vAlign w:val="bottom"/>
          </w:tcPr>
          <w:p>
            <w:pPr>
              <w:spacing w:after="0"/>
              <w:rPr>
                <w:sz w:val="15"/>
                <w:szCs w:val="15"/>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2,640</w:t>
            </w:r>
          </w:p>
        </w:tc>
        <w:tc>
          <w:tcPr>
            <w:tcW w:w="100" w:type="dxa"/>
            <w:vAlign w:val="bottom"/>
          </w:tcPr>
          <w:p>
            <w:pPr>
              <w:spacing w:after="0"/>
              <w:rPr>
                <w:sz w:val="15"/>
                <w:szCs w:val="15"/>
                <w:color w:val="auto"/>
              </w:rPr>
            </w:pP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80" w:type="dxa"/>
            <w:vAlign w:val="bottom"/>
            <w:gridSpan w:val="2"/>
          </w:tcPr>
          <w:p>
            <w:pPr>
              <w:ind w:left="400"/>
              <w:spacing w:after="0"/>
              <w:rPr>
                <w:sz w:val="20"/>
                <w:szCs w:val="20"/>
                <w:color w:val="auto"/>
              </w:rPr>
            </w:pPr>
            <w:r>
              <w:rPr>
                <w:rFonts w:ascii="Arial" w:cs="Arial" w:eastAsia="Arial" w:hAnsi="Arial"/>
                <w:sz w:val="18"/>
                <w:szCs w:val="18"/>
                <w:color w:val="auto"/>
              </w:rPr>
              <w:t>business exits</w:t>
            </w:r>
          </w:p>
        </w:tc>
        <w:tc>
          <w:tcPr>
            <w:tcW w:w="260" w:type="dxa"/>
            <w:vAlign w:val="bottom"/>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98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w w:val="93"/>
              </w:rPr>
              <w:t>Tax benefit from goodwill and intangible and other assets write-</w:t>
            </w: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9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off from business exits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980" w:type="dxa"/>
            <w:vAlign w:val="bottom"/>
            <w:gridSpan w:val="2"/>
          </w:tcPr>
          <w:p>
            <w:pPr>
              <w:ind w:left="220"/>
              <w:spacing w:after="0" w:line="156" w:lineRule="exact"/>
              <w:rPr>
                <w:sz w:val="20"/>
                <w:szCs w:val="20"/>
                <w:color w:val="auto"/>
              </w:rPr>
            </w:pPr>
            <w:r>
              <w:rPr>
                <w:rFonts w:ascii="Arial" w:cs="Arial" w:eastAsia="Arial" w:hAnsi="Arial"/>
                <w:sz w:val="18"/>
                <w:szCs w:val="18"/>
                <w:color w:val="auto"/>
              </w:rPr>
              <w:t>Goodwill and intangible and other assets write-off from</w:t>
            </w:r>
          </w:p>
        </w:tc>
        <w:tc>
          <w:tcPr>
            <w:tcW w:w="260" w:type="dxa"/>
            <w:vAlign w:val="bottom"/>
          </w:tcPr>
          <w:p>
            <w:pPr>
              <w:spacing w:after="0"/>
              <w:rPr>
                <w:sz w:val="13"/>
                <w:szCs w:val="13"/>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4,578</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1,953</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3"/>
                <w:szCs w:val="13"/>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80" w:type="dxa"/>
            <w:vAlign w:val="bottom"/>
            <w:gridSpan w:val="2"/>
          </w:tcPr>
          <w:p>
            <w:pPr>
              <w:ind w:left="400"/>
              <w:spacing w:after="0"/>
              <w:rPr>
                <w:sz w:val="20"/>
                <w:szCs w:val="20"/>
                <w:color w:val="auto"/>
              </w:rPr>
            </w:pPr>
            <w:r>
              <w:rPr>
                <w:rFonts w:ascii="Arial" w:cs="Arial" w:eastAsia="Arial" w:hAnsi="Arial"/>
                <w:sz w:val="18"/>
                <w:szCs w:val="18"/>
                <w:color w:val="auto"/>
              </w:rPr>
              <w:t>business exits, net of tax</w:t>
            </w:r>
          </w:p>
        </w:tc>
        <w:tc>
          <w:tcPr>
            <w:tcW w:w="26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Diluted share count</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16,277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9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Goodwill and intangible and other assets write-off from business</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2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9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exits, net of tax, per diluted share</w:t>
            </w:r>
          </w:p>
        </w:tc>
        <w:tc>
          <w:tcPr>
            <w:tcW w:w="260" w:type="dxa"/>
            <w:vAlign w:val="bottom"/>
            <w:vMerge w:val="continue"/>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9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Calculation of the impact of the write-off of net discount and debt</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issuance costs from debt refinancing, net of tax</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980" w:type="dxa"/>
            <w:vAlign w:val="bottom"/>
            <w:gridSpan w:val="2"/>
          </w:tcPr>
          <w:p>
            <w:pPr>
              <w:ind w:left="220"/>
              <w:spacing w:after="0" w:line="176" w:lineRule="exact"/>
              <w:rPr>
                <w:sz w:val="20"/>
                <w:szCs w:val="20"/>
                <w:color w:val="auto"/>
              </w:rPr>
            </w:pPr>
            <w:r>
              <w:rPr>
                <w:rFonts w:ascii="Arial" w:cs="Arial" w:eastAsia="Arial" w:hAnsi="Arial"/>
                <w:sz w:val="18"/>
                <w:szCs w:val="18"/>
                <w:color w:val="auto"/>
              </w:rPr>
              <w:t>Write-off of net discount and debt issuance costs from debt</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4,434</w:t>
            </w:r>
          </w:p>
        </w:tc>
        <w:tc>
          <w:tcPr>
            <w:tcW w:w="100" w:type="dxa"/>
            <w:vAlign w:val="bottom"/>
          </w:tcPr>
          <w:p>
            <w:pPr>
              <w:spacing w:after="0"/>
              <w:rPr>
                <w:sz w:val="15"/>
                <w:szCs w:val="15"/>
                <w:color w:val="auto"/>
              </w:rPr>
            </w:pP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80" w:type="dxa"/>
            <w:vAlign w:val="bottom"/>
            <w:gridSpan w:val="2"/>
          </w:tcPr>
          <w:p>
            <w:pPr>
              <w:ind w:left="400"/>
              <w:spacing w:after="0"/>
              <w:rPr>
                <w:sz w:val="20"/>
                <w:szCs w:val="20"/>
                <w:color w:val="auto"/>
              </w:rPr>
            </w:pPr>
            <w:r>
              <w:rPr>
                <w:rFonts w:ascii="Arial" w:cs="Arial" w:eastAsia="Arial" w:hAnsi="Arial"/>
                <w:sz w:val="18"/>
                <w:szCs w:val="18"/>
                <w:color w:val="auto"/>
              </w:rPr>
              <w:t>refinancing</w:t>
            </w:r>
          </w:p>
        </w:tc>
        <w:tc>
          <w:tcPr>
            <w:tcW w:w="260" w:type="dxa"/>
            <w:vAlign w:val="bottom"/>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98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w w:val="94"/>
              </w:rPr>
              <w:t>Tax benefit from the write-off of net discount and debt issuance</w:t>
            </w: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9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costs from debt refinancing</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980" w:type="dxa"/>
            <w:vAlign w:val="bottom"/>
            <w:gridSpan w:val="2"/>
          </w:tcPr>
          <w:p>
            <w:pPr>
              <w:ind w:left="220"/>
              <w:spacing w:after="0" w:line="156" w:lineRule="exact"/>
              <w:rPr>
                <w:sz w:val="20"/>
                <w:szCs w:val="20"/>
                <w:color w:val="auto"/>
              </w:rPr>
            </w:pPr>
            <w:r>
              <w:rPr>
                <w:rFonts w:ascii="Arial" w:cs="Arial" w:eastAsia="Arial" w:hAnsi="Arial"/>
                <w:sz w:val="18"/>
                <w:szCs w:val="18"/>
                <w:color w:val="auto"/>
              </w:rPr>
              <w:t>Write-off of net discount and debt issuance costs from debt</w:t>
            </w:r>
          </w:p>
        </w:tc>
        <w:tc>
          <w:tcPr>
            <w:tcW w:w="260" w:type="dxa"/>
            <w:vAlign w:val="bottom"/>
          </w:tcPr>
          <w:p>
            <w:pPr>
              <w:spacing w:after="0"/>
              <w:rPr>
                <w:sz w:val="13"/>
                <w:szCs w:val="13"/>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3"/>
                <w:szCs w:val="13"/>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3,232</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3"/>
                <w:szCs w:val="13"/>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80" w:type="dxa"/>
            <w:vAlign w:val="bottom"/>
            <w:gridSpan w:val="2"/>
          </w:tcPr>
          <w:p>
            <w:pPr>
              <w:ind w:left="400"/>
              <w:spacing w:after="0"/>
              <w:rPr>
                <w:sz w:val="20"/>
                <w:szCs w:val="20"/>
                <w:color w:val="auto"/>
              </w:rPr>
            </w:pPr>
            <w:r>
              <w:rPr>
                <w:rFonts w:ascii="Arial" w:cs="Arial" w:eastAsia="Arial" w:hAnsi="Arial"/>
                <w:sz w:val="18"/>
                <w:szCs w:val="18"/>
                <w:color w:val="auto"/>
              </w:rPr>
              <w:t>refinancing, net of tax</w:t>
            </w:r>
          </w:p>
        </w:tc>
        <w:tc>
          <w:tcPr>
            <w:tcW w:w="26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Diluted share count</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16,277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9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Write-off of net discount and debt issuance costs from debt</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9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refinancing, net of tax, per diluted share</w:t>
            </w:r>
          </w:p>
        </w:tc>
        <w:tc>
          <w:tcPr>
            <w:tcW w:w="260" w:type="dxa"/>
            <w:vAlign w:val="bottom"/>
            <w:vMerge w:val="continue"/>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33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040"/>
        <w:spacing w:after="0"/>
        <w:rPr>
          <w:sz w:val="20"/>
          <w:szCs w:val="20"/>
          <w:color w:val="auto"/>
        </w:rPr>
      </w:pPr>
      <w:r>
        <w:rPr>
          <w:rFonts w:ascii="Arial" w:cs="Arial" w:eastAsia="Arial" w:hAnsi="Arial"/>
          <w:sz w:val="14"/>
          <w:szCs w:val="14"/>
          <w:b w:val="1"/>
          <w:bCs w:val="1"/>
          <w:color w:val="auto"/>
        </w:rPr>
        <w:t>For the years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94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 except per share data)</w:t>
            </w:r>
          </w:p>
        </w:tc>
        <w:tc>
          <w:tcPr>
            <w:tcW w:w="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42"/>
        </w:trPr>
        <w:tc>
          <w:tcPr>
            <w:tcW w:w="4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Certain income tax related items resulting from:</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940" w:type="dxa"/>
            <w:vAlign w:val="bottom"/>
            <w:gridSpan w:val="2"/>
          </w:tcPr>
          <w:p>
            <w:pPr>
              <w:ind w:left="220"/>
              <w:spacing w:after="0" w:line="176" w:lineRule="exact"/>
              <w:rPr>
                <w:sz w:val="20"/>
                <w:szCs w:val="20"/>
                <w:color w:val="auto"/>
              </w:rPr>
            </w:pPr>
            <w:r>
              <w:rPr>
                <w:rFonts w:ascii="Arial" w:cs="Arial" w:eastAsia="Arial" w:hAnsi="Arial"/>
                <w:sz w:val="18"/>
                <w:szCs w:val="18"/>
                <w:color w:val="auto"/>
              </w:rPr>
              <w:t>Luxembourg deferred tax valuation allowance and</w:t>
            </w:r>
          </w:p>
        </w:tc>
        <w:tc>
          <w:tcPr>
            <w:tcW w:w="2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99"/>
              </w:rPr>
              <w:t>$</w:t>
            </w:r>
          </w:p>
        </w:tc>
        <w:tc>
          <w:tcPr>
            <w:tcW w:w="100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291,484</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(300,908)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vMerge w:val="restart"/>
          </w:tcPr>
          <w:p>
            <w:pPr>
              <w:jc w:val="right"/>
              <w:ind w:right="74"/>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40" w:type="dxa"/>
            <w:vAlign w:val="bottom"/>
            <w:gridSpan w:val="2"/>
          </w:tcPr>
          <w:p>
            <w:pPr>
              <w:ind w:left="400"/>
              <w:spacing w:after="0"/>
              <w:rPr>
                <w:sz w:val="20"/>
                <w:szCs w:val="20"/>
                <w:color w:val="auto"/>
              </w:rPr>
            </w:pPr>
            <w:r>
              <w:rPr>
                <w:rFonts w:ascii="Arial" w:cs="Arial" w:eastAsia="Arial" w:hAnsi="Arial"/>
                <w:sz w:val="18"/>
                <w:szCs w:val="18"/>
                <w:color w:val="auto"/>
              </w:rPr>
              <w:t>Luxembourg subsidiaries merger, net</w:t>
            </w:r>
          </w:p>
        </w:tc>
        <w:tc>
          <w:tcPr>
            <w:tcW w:w="280" w:type="dxa"/>
            <w:vAlign w:val="bottom"/>
            <w:gridSpan w:val="2"/>
            <w:vMerge w:val="continue"/>
          </w:tcPr>
          <w:p>
            <w:pPr>
              <w:spacing w:after="0"/>
              <w:rPr>
                <w:sz w:val="19"/>
                <w:szCs w:val="19"/>
                <w:color w:val="auto"/>
              </w:rPr>
            </w:pPr>
          </w:p>
        </w:tc>
        <w:tc>
          <w:tcPr>
            <w:tcW w:w="1000" w:type="dxa"/>
            <w:vAlign w:val="bottom"/>
            <w:gridSpan w:val="3"/>
            <w:vMerge w:val="continue"/>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Income tax rate changes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Foreign income tax reserves</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1,678</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Certain income tax related items, net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(284,108)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Diluted share count</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15,598</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16,277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18,692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19,612</w:t>
            </w:r>
          </w:p>
        </w:tc>
        <w:tc>
          <w:tcPr>
            <w:tcW w:w="0" w:type="dxa"/>
            <w:vAlign w:val="bottom"/>
          </w:tcPr>
          <w:p>
            <w:pPr>
              <w:spacing w:after="0"/>
              <w:rPr>
                <w:sz w:val="1"/>
                <w:szCs w:val="1"/>
                <w:color w:val="auto"/>
              </w:rPr>
            </w:pPr>
          </w:p>
        </w:tc>
      </w:tr>
      <w:tr>
        <w:trPr>
          <w:trHeight w:val="142"/>
        </w:trPr>
        <w:tc>
          <w:tcPr>
            <w:tcW w:w="4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Certain income tax related items, net, per diluted share</w:t>
            </w:r>
          </w:p>
        </w:tc>
        <w:tc>
          <w:tcPr>
            <w:tcW w:w="2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94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8"/>
              </w:rPr>
              <w:t>Calculation of the impact of net litigation settlement loss, net of</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940" w:type="dxa"/>
            <w:vAlign w:val="bottom"/>
            <w:gridSpan w:val="2"/>
          </w:tcPr>
          <w:p>
            <w:pPr>
              <w:ind w:left="180"/>
              <w:spacing w:after="0"/>
              <w:rPr>
                <w:sz w:val="20"/>
                <w:szCs w:val="20"/>
                <w:color w:val="auto"/>
              </w:rPr>
            </w:pPr>
            <w:r>
              <w:rPr>
                <w:rFonts w:ascii="Arial" w:cs="Arial" w:eastAsia="Arial" w:hAnsi="Arial"/>
                <w:sz w:val="18"/>
                <w:szCs w:val="18"/>
                <w:color w:val="auto"/>
              </w:rPr>
              <w:t>tax</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litigation settlement loss</w:t>
            </w: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28,000</w:t>
            </w:r>
          </w:p>
        </w:tc>
        <w:tc>
          <w:tcPr>
            <w:tcW w:w="0" w:type="dxa"/>
            <w:vAlign w:val="bottom"/>
          </w:tcPr>
          <w:p>
            <w:pPr>
              <w:spacing w:after="0"/>
              <w:rPr>
                <w:sz w:val="1"/>
                <w:szCs w:val="1"/>
                <w:color w:val="auto"/>
              </w:rPr>
            </w:pPr>
          </w:p>
        </w:tc>
      </w:tr>
      <w:tr>
        <w:trPr>
          <w:trHeight w:val="229"/>
        </w:trPr>
        <w:tc>
          <w:tcPr>
            <w:tcW w:w="4940" w:type="dxa"/>
            <w:vAlign w:val="bottom"/>
            <w:gridSpan w:val="2"/>
          </w:tcPr>
          <w:p>
            <w:pPr>
              <w:ind w:left="220"/>
              <w:spacing w:after="0"/>
              <w:rPr>
                <w:sz w:val="20"/>
                <w:szCs w:val="20"/>
                <w:color w:val="auto"/>
              </w:rPr>
            </w:pPr>
            <w:r>
              <w:rPr>
                <w:rFonts w:ascii="Arial" w:cs="Arial" w:eastAsia="Arial" w:hAnsi="Arial"/>
                <w:sz w:val="18"/>
                <w:szCs w:val="18"/>
                <w:color w:val="auto"/>
              </w:rPr>
              <w:t>Tax benefit from net litigation settlement loss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(3,417)</w:t>
            </w:r>
          </w:p>
        </w:tc>
        <w:tc>
          <w:tcPr>
            <w:tcW w:w="0" w:type="dxa"/>
            <w:vAlign w:val="bottom"/>
          </w:tcPr>
          <w:p>
            <w:pPr>
              <w:spacing w:after="0"/>
              <w:rPr>
                <w:sz w:val="1"/>
                <w:szCs w:val="1"/>
                <w:color w:val="auto"/>
              </w:rPr>
            </w:pPr>
          </w:p>
        </w:tc>
      </w:tr>
      <w:tr>
        <w:trPr>
          <w:trHeight w:val="223"/>
        </w:trPr>
        <w:tc>
          <w:tcPr>
            <w:tcW w:w="494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Net litigation settlement loss, net of tax</w:t>
            </w:r>
          </w:p>
        </w:tc>
        <w:tc>
          <w:tcPr>
            <w:tcW w:w="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24,583</w:t>
            </w:r>
          </w:p>
        </w:tc>
        <w:tc>
          <w:tcPr>
            <w:tcW w:w="0" w:type="dxa"/>
            <w:vAlign w:val="bottom"/>
          </w:tcPr>
          <w:p>
            <w:pPr>
              <w:spacing w:after="0"/>
              <w:rPr>
                <w:sz w:val="1"/>
                <w:szCs w:val="1"/>
                <w:color w:val="auto"/>
              </w:rPr>
            </w:pPr>
          </w:p>
        </w:tc>
      </w:tr>
      <w:tr>
        <w:trPr>
          <w:trHeight w:val="229"/>
        </w:trPr>
        <w:tc>
          <w:tcPr>
            <w:tcW w:w="49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Diluted share count</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15,598</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16,277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18,692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19,612</w:t>
            </w:r>
          </w:p>
        </w:tc>
        <w:tc>
          <w:tcPr>
            <w:tcW w:w="0" w:type="dxa"/>
            <w:vAlign w:val="bottom"/>
          </w:tcPr>
          <w:p>
            <w:pPr>
              <w:spacing w:after="0"/>
              <w:rPr>
                <w:sz w:val="1"/>
                <w:szCs w:val="1"/>
                <w:color w:val="auto"/>
              </w:rPr>
            </w:pPr>
          </w:p>
        </w:tc>
      </w:tr>
      <w:tr>
        <w:trPr>
          <w:trHeight w:val="142"/>
        </w:trPr>
        <w:tc>
          <w:tcPr>
            <w:tcW w:w="4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Net litigation settlement loss, net of tax, per diluted share</w:t>
            </w: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4"/>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940" w:type="dxa"/>
            <w:vAlign w:val="bottom"/>
            <w:gridSpan w:val="2"/>
          </w:tcPr>
          <w:p>
            <w:pPr>
              <w:ind w:left="80"/>
              <w:spacing w:after="0"/>
              <w:rPr>
                <w:sz w:val="20"/>
                <w:szCs w:val="20"/>
                <w:color w:val="auto"/>
              </w:rPr>
            </w:pPr>
            <w:r>
              <w:rPr>
                <w:rFonts w:ascii="Arial" w:cs="Arial" w:eastAsia="Arial" w:hAnsi="Arial"/>
                <w:sz w:val="18"/>
                <w:szCs w:val="18"/>
                <w:color w:val="auto"/>
              </w:rPr>
              <w:t>Net (loss) income attributable to Altisource</w:t>
            </w: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(67,156)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(307,969)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(5,382)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308,891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28,693</w:t>
            </w:r>
          </w:p>
        </w:tc>
        <w:tc>
          <w:tcPr>
            <w:tcW w:w="0" w:type="dxa"/>
            <w:vAlign w:val="bottom"/>
          </w:tcPr>
          <w:p>
            <w:pPr>
              <w:spacing w:after="0"/>
              <w:rPr>
                <w:sz w:val="1"/>
                <w:szCs w:val="1"/>
                <w:color w:val="auto"/>
              </w:rPr>
            </w:pPr>
          </w:p>
        </w:tc>
      </w:tr>
      <w:tr>
        <w:trPr>
          <w:trHeight w:val="230"/>
        </w:trPr>
        <w:tc>
          <w:tcPr>
            <w:tcW w:w="4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Income tax provision (benefit)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318,296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(276,256)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12,935</w:t>
            </w:r>
          </w:p>
        </w:tc>
        <w:tc>
          <w:tcPr>
            <w:tcW w:w="0" w:type="dxa"/>
            <w:vAlign w:val="bottom"/>
          </w:tcPr>
          <w:p>
            <w:pPr>
              <w:spacing w:after="0"/>
              <w:rPr>
                <w:sz w:val="1"/>
                <w:szCs w:val="1"/>
                <w:color w:val="auto"/>
              </w:rPr>
            </w:pPr>
          </w:p>
        </w:tc>
      </w:tr>
      <w:tr>
        <w:trPr>
          <w:trHeight w:val="229"/>
        </w:trPr>
        <w:tc>
          <w:tcPr>
            <w:tcW w:w="4940" w:type="dxa"/>
            <w:vAlign w:val="bottom"/>
            <w:gridSpan w:val="2"/>
          </w:tcPr>
          <w:p>
            <w:pPr>
              <w:ind w:left="220"/>
              <w:spacing w:after="0"/>
              <w:rPr>
                <w:sz w:val="20"/>
                <w:szCs w:val="20"/>
                <w:color w:val="auto"/>
              </w:rPr>
            </w:pPr>
            <w:r>
              <w:rPr>
                <w:rFonts w:ascii="Arial" w:cs="Arial" w:eastAsia="Arial" w:hAnsi="Arial"/>
                <w:sz w:val="18"/>
                <w:szCs w:val="18"/>
                <w:color w:val="auto"/>
              </w:rPr>
              <w:t>Interest expense (net of interest income)</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17,616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21,051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25,514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21,983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24,321</w:t>
            </w:r>
          </w:p>
        </w:tc>
        <w:tc>
          <w:tcPr>
            <w:tcW w:w="0" w:type="dxa"/>
            <w:vAlign w:val="bottom"/>
          </w:tcPr>
          <w:p>
            <w:pPr>
              <w:spacing w:after="0"/>
              <w:rPr>
                <w:sz w:val="1"/>
                <w:szCs w:val="1"/>
                <w:color w:val="auto"/>
              </w:rPr>
            </w:pPr>
          </w:p>
        </w:tc>
      </w:tr>
      <w:tr>
        <w:trPr>
          <w:trHeight w:val="230"/>
        </w:trPr>
        <w:tc>
          <w:tcPr>
            <w:tcW w:w="4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36,447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36,788</w:t>
            </w:r>
          </w:p>
        </w:tc>
        <w:tc>
          <w:tcPr>
            <w:tcW w:w="0" w:type="dxa"/>
            <w:vAlign w:val="bottom"/>
          </w:tcPr>
          <w:p>
            <w:pPr>
              <w:spacing w:after="0"/>
              <w:rPr>
                <w:sz w:val="1"/>
                <w:szCs w:val="1"/>
                <w:color w:val="auto"/>
              </w:rPr>
            </w:pPr>
          </w:p>
        </w:tc>
      </w:tr>
      <w:tr>
        <w:trPr>
          <w:trHeight w:val="229"/>
        </w:trPr>
        <w:tc>
          <w:tcPr>
            <w:tcW w:w="4940" w:type="dxa"/>
            <w:vAlign w:val="bottom"/>
            <w:gridSpan w:val="2"/>
          </w:tcPr>
          <w:p>
            <w:pPr>
              <w:ind w:left="220"/>
              <w:spacing w:after="0"/>
              <w:rPr>
                <w:sz w:val="20"/>
                <w:szCs w:val="20"/>
                <w:color w:val="auto"/>
              </w:rPr>
            </w:pPr>
            <w:r>
              <w:rPr>
                <w:rFonts w:ascii="Arial" w:cs="Arial" w:eastAsia="Arial" w:hAnsi="Arial"/>
                <w:sz w:val="18"/>
                <w:szCs w:val="18"/>
                <w:color w:val="auto"/>
              </w:rPr>
              <w:t>Intangible asset amortization expense</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14,720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28,412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35,367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47,576</w:t>
            </w:r>
          </w:p>
        </w:tc>
        <w:tc>
          <w:tcPr>
            <w:tcW w:w="0" w:type="dxa"/>
            <w:vAlign w:val="bottom"/>
          </w:tcPr>
          <w:p>
            <w:pPr>
              <w:spacing w:after="0"/>
              <w:rPr>
                <w:sz w:val="1"/>
                <w:szCs w:val="1"/>
                <w:color w:val="auto"/>
              </w:rPr>
            </w:pPr>
          </w:p>
        </w:tc>
      </w:tr>
      <w:tr>
        <w:trPr>
          <w:trHeight w:val="230"/>
        </w:trPr>
        <w:tc>
          <w:tcPr>
            <w:tcW w:w="4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Share-based compensation expense</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6,188</w:t>
            </w:r>
          </w:p>
        </w:tc>
        <w:tc>
          <w:tcPr>
            <w:tcW w:w="0" w:type="dxa"/>
            <w:vAlign w:val="bottom"/>
          </w:tcPr>
          <w:p>
            <w:pPr>
              <w:spacing w:after="0"/>
              <w:rPr>
                <w:sz w:val="1"/>
                <w:szCs w:val="1"/>
                <w:color w:val="auto"/>
              </w:rPr>
            </w:pPr>
          </w:p>
        </w:tc>
      </w:tr>
      <w:tr>
        <w:trPr>
          <w:trHeight w:val="230"/>
        </w:trPr>
        <w:tc>
          <w:tcPr>
            <w:tcW w:w="4940" w:type="dxa"/>
            <w:vAlign w:val="bottom"/>
            <w:gridSpan w:val="2"/>
          </w:tcPr>
          <w:p>
            <w:pPr>
              <w:ind w:left="220"/>
              <w:spacing w:after="0"/>
              <w:rPr>
                <w:sz w:val="20"/>
                <w:szCs w:val="20"/>
                <w:color w:val="auto"/>
              </w:rPr>
            </w:pPr>
            <w:r>
              <w:rPr>
                <w:rFonts w:ascii="Arial" w:cs="Arial" w:eastAsia="Arial" w:hAnsi="Arial"/>
                <w:sz w:val="18"/>
                <w:szCs w:val="18"/>
                <w:color w:val="auto"/>
              </w:rPr>
              <w:t>Restructuring charges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11,972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Pointillist losses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40" w:type="dxa"/>
            <w:vAlign w:val="bottom"/>
            <w:gridSpan w:val="2"/>
          </w:tcPr>
          <w:p>
            <w:pPr>
              <w:ind w:left="220"/>
              <w:spacing w:after="0"/>
              <w:rPr>
                <w:sz w:val="20"/>
                <w:szCs w:val="20"/>
                <w:color w:val="auto"/>
              </w:rPr>
            </w:pPr>
            <w:r>
              <w:rPr>
                <w:rFonts w:ascii="Arial" w:cs="Arial" w:eastAsia="Arial" w:hAnsi="Arial"/>
                <w:sz w:val="18"/>
                <w:szCs w:val="18"/>
                <w:color w:val="auto"/>
              </w:rPr>
              <w:t>Unrealized (gain) loss on investment in equity securities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(4,004)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(14,431)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Third quarter 2020 cost savings initiatives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40" w:type="dxa"/>
            <w:vAlign w:val="bottom"/>
            <w:gridSpan w:val="2"/>
          </w:tcPr>
          <w:p>
            <w:pPr>
              <w:ind w:left="220"/>
              <w:spacing w:after="0"/>
              <w:rPr>
                <w:sz w:val="20"/>
                <w:szCs w:val="20"/>
                <w:color w:val="auto"/>
              </w:rPr>
            </w:pPr>
            <w:r>
              <w:rPr>
                <w:rFonts w:ascii="Arial" w:cs="Arial" w:eastAsia="Arial" w:hAnsi="Arial"/>
                <w:sz w:val="18"/>
                <w:szCs w:val="18"/>
                <w:color w:val="auto"/>
              </w:rPr>
              <w:t>Loss on BRS portfolio sale</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Gain on sale of businesses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40" w:type="dxa"/>
            <w:vAlign w:val="bottom"/>
            <w:gridSpan w:val="2"/>
          </w:tcPr>
          <w:p>
            <w:pPr>
              <w:ind w:left="220"/>
              <w:spacing w:after="0"/>
              <w:rPr>
                <w:sz w:val="20"/>
                <w:szCs w:val="20"/>
                <w:color w:val="auto"/>
              </w:rPr>
            </w:pPr>
            <w:r>
              <w:rPr>
                <w:rFonts w:ascii="Arial" w:cs="Arial" w:eastAsia="Arial" w:hAnsi="Arial"/>
                <w:sz w:val="18"/>
                <w:szCs w:val="18"/>
                <w:color w:val="auto"/>
              </w:rPr>
              <w:t>Sales tax net accrual (reimbursement)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(2,677)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494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Goodwill and intangible and other assets write-off from</w:t>
            </w: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6,102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2,640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business exits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3"/>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3"/>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940" w:type="dxa"/>
            <w:vAlign w:val="bottom"/>
            <w:gridSpan w:val="2"/>
          </w:tcPr>
          <w:p>
            <w:pPr>
              <w:ind w:left="220"/>
              <w:spacing w:after="0" w:line="176" w:lineRule="exact"/>
              <w:rPr>
                <w:sz w:val="20"/>
                <w:szCs w:val="20"/>
                <w:color w:val="auto"/>
              </w:rPr>
            </w:pPr>
            <w:r>
              <w:rPr>
                <w:rFonts w:ascii="Arial" w:cs="Arial" w:eastAsia="Arial" w:hAnsi="Arial"/>
                <w:sz w:val="18"/>
                <w:szCs w:val="18"/>
                <w:color w:val="auto"/>
              </w:rPr>
              <w:t>Write-off of net discount and debt issuance costs from debt</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4,434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40" w:type="dxa"/>
            <w:vAlign w:val="bottom"/>
            <w:gridSpan w:val="2"/>
          </w:tcPr>
          <w:p>
            <w:pPr>
              <w:ind w:left="400"/>
              <w:spacing w:after="0"/>
              <w:rPr>
                <w:sz w:val="20"/>
                <w:szCs w:val="20"/>
                <w:color w:val="auto"/>
              </w:rPr>
            </w:pPr>
            <w:r>
              <w:rPr>
                <w:rFonts w:ascii="Arial" w:cs="Arial" w:eastAsia="Arial" w:hAnsi="Arial"/>
                <w:sz w:val="18"/>
                <w:szCs w:val="18"/>
                <w:color w:val="auto"/>
              </w:rPr>
              <w:t>refinancing</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3"/>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litigation settlement loss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28,000</w:t>
            </w: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5"/>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130,687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184,501</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4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4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84"/>
        </w:trPr>
        <w:tc>
          <w:tcPr>
            <w:tcW w:w="4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secured term loan</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247,204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413,581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9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479,653</w:t>
            </w:r>
          </w:p>
        </w:tc>
        <w:tc>
          <w:tcPr>
            <w:tcW w:w="0" w:type="dxa"/>
            <w:vAlign w:val="bottom"/>
          </w:tcPr>
          <w:p>
            <w:pPr>
              <w:spacing w:after="0"/>
              <w:rPr>
                <w:sz w:val="1"/>
                <w:szCs w:val="1"/>
                <w:color w:val="auto"/>
              </w:rPr>
            </w:pPr>
          </w:p>
        </w:tc>
      </w:tr>
      <w:tr>
        <w:trPr>
          <w:trHeight w:val="229"/>
        </w:trPr>
        <w:tc>
          <w:tcPr>
            <w:tcW w:w="4940" w:type="dxa"/>
            <w:vAlign w:val="bottom"/>
            <w:gridSpan w:val="2"/>
          </w:tcPr>
          <w:p>
            <w:pPr>
              <w:ind w:left="220"/>
              <w:spacing w:after="0"/>
              <w:rPr>
                <w:sz w:val="20"/>
                <w:szCs w:val="20"/>
                <w:color w:val="auto"/>
              </w:rPr>
            </w:pPr>
            <w:r>
              <w:rPr>
                <w:rFonts w:ascii="Arial" w:cs="Arial" w:eastAsia="Arial" w:hAnsi="Arial"/>
                <w:sz w:val="18"/>
                <w:szCs w:val="18"/>
                <w:color w:val="auto"/>
              </w:rPr>
              <w:t>Less: Cash and cash equivalents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(58,263)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(82,741)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(58,294)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(105,006)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(149,294)</w:t>
            </w:r>
          </w:p>
        </w:tc>
        <w:tc>
          <w:tcPr>
            <w:tcW w:w="0" w:type="dxa"/>
            <w:vAlign w:val="bottom"/>
          </w:tcPr>
          <w:p>
            <w:pPr>
              <w:spacing w:after="0"/>
              <w:rPr>
                <w:sz w:val="1"/>
                <w:szCs w:val="1"/>
                <w:color w:val="auto"/>
              </w:rPr>
            </w:pPr>
          </w:p>
        </w:tc>
      </w:tr>
      <w:tr>
        <w:trPr>
          <w:trHeight w:val="230"/>
        </w:trPr>
        <w:tc>
          <w:tcPr>
            <w:tcW w:w="4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Less: Investment in equity securities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(49,153)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(45,754)</w:t>
            </w:r>
          </w:p>
        </w:tc>
        <w:tc>
          <w:tcPr>
            <w:tcW w:w="0" w:type="dxa"/>
            <w:vAlign w:val="bottom"/>
          </w:tcPr>
          <w:p>
            <w:pPr>
              <w:spacing w:after="0"/>
              <w:rPr>
                <w:sz w:val="1"/>
                <w:szCs w:val="1"/>
                <w:color w:val="auto"/>
              </w:rPr>
            </w:pPr>
          </w:p>
        </w:tc>
      </w:tr>
      <w:tr>
        <w:trPr>
          <w:trHeight w:val="196"/>
        </w:trPr>
        <w:tc>
          <w:tcPr>
            <w:tcW w:w="4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debt less investment in equity securities</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188,941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168,467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244,347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259,422</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9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284,605</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3"/>
                <w:szCs w:val="13"/>
                <w:color w:val="auto"/>
              </w:rPr>
              <w:t>____________________________________</w:t>
            </w: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84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940" w:type="dxa"/>
            <w:vAlign w:val="bottom"/>
            <w:gridSpan w:val="2"/>
          </w:tcPr>
          <w:p>
            <w:pPr>
              <w:spacing w:after="0"/>
              <w:rPr>
                <w:sz w:val="20"/>
                <w:szCs w:val="20"/>
                <w:color w:val="auto"/>
              </w:rPr>
            </w:pPr>
            <w:r>
              <w:rPr>
                <w:rFonts w:ascii="Arial" w:cs="Arial" w:eastAsia="Arial" w:hAnsi="Arial"/>
                <w:sz w:val="18"/>
                <w:szCs w:val="18"/>
                <w:color w:val="auto"/>
              </w:rPr>
              <w:t>Note: Amounts may not add to the total due to rounding.</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5" w:right="359" w:bottom="1440" w:gutter="0" w:footer="0" w:header="0"/>
        </w:sect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Management’s discussion and analysis of financial condition and results of operations (“MD&amp;A”) is a supplement to the accompanying consolidated financial statements and is intended to provide a reader of our financial statements with a narrative from the perspective of management on our businesses, current developments, financial condition, results of operations and liquidity. Significant sections of the MD&amp;A are as follows:</w:t>
      </w:r>
    </w:p>
    <w:p>
      <w:pPr>
        <w:spacing w:after="0" w:line="111"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i w:val="1"/>
          <w:iCs w:val="1"/>
          <w:color w:val="auto"/>
        </w:rPr>
        <w:t xml:space="preserve">Overview. </w:t>
      </w:r>
      <w:r>
        <w:rPr>
          <w:rFonts w:ascii="Arial" w:cs="Arial" w:eastAsia="Arial" w:hAnsi="Arial"/>
          <w:sz w:val="17"/>
          <w:szCs w:val="17"/>
          <w:color w:val="auto"/>
        </w:rPr>
        <w:t>This section, beginning below, provides a description of recent developments we believe are important in understanding our results of</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and financial condition as well as understanding anticipated future trends. It also provides a brief description of significant transactions and events that affect the comparability of financial results and a discussion of the progress being made on our strategic initiatives.</w:t>
      </w:r>
    </w:p>
    <w:p>
      <w:pPr>
        <w:spacing w:after="0" w:line="111"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i w:val="1"/>
          <w:iCs w:val="1"/>
          <w:color w:val="auto"/>
        </w:rPr>
        <w:t xml:space="preserve">Results of Operations. </w:t>
      </w:r>
      <w:r>
        <w:rPr>
          <w:rFonts w:ascii="Arial" w:cs="Arial" w:eastAsia="Arial" w:hAnsi="Arial"/>
          <w:sz w:val="18"/>
          <w:szCs w:val="18"/>
          <w:color w:val="auto"/>
        </w:rPr>
        <w:t>This section, beginning on page 45, provides an analysis of our consolidated results of operations for the three years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2020.</w:t>
      </w:r>
    </w:p>
    <w:p>
      <w:pPr>
        <w:spacing w:after="0" w:line="116"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This section, beginning on page 51, provides an analysis of our cash flows for the three years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2020. We also discuss restrictions on cash movements, future commitments and capital resources.</w:t>
      </w:r>
    </w:p>
    <w:p>
      <w:pPr>
        <w:spacing w:after="0" w:line="116"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i w:val="1"/>
          <w:iCs w:val="1"/>
          <w:color w:val="auto"/>
        </w:rPr>
        <w:t xml:space="preserve">Critical Accounting Policies, Estimates and Recent Accounting Pronouncements. </w:t>
      </w:r>
      <w:r>
        <w:rPr>
          <w:rFonts w:ascii="Arial" w:cs="Arial" w:eastAsia="Arial" w:hAnsi="Arial"/>
          <w:sz w:val="17"/>
          <w:szCs w:val="17"/>
          <w:color w:val="auto"/>
        </w:rPr>
        <w:t>This section, beginning on page 53, identifies those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principles we believe are most important to our financial results and that require significant judgment and estimates on the part of management in application. We provide all of our significant accounting policies in Note 2 to the accompanying consolidated financial statements.</w:t>
      </w:r>
    </w:p>
    <w:p>
      <w:pPr>
        <w:spacing w:after="0" w:line="111"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i w:val="1"/>
          <w:iCs w:val="1"/>
          <w:color w:val="auto"/>
        </w:rPr>
        <w:t xml:space="preserve">Other Matters. </w:t>
      </w:r>
      <w:r>
        <w:rPr>
          <w:rFonts w:ascii="Arial" w:cs="Arial" w:eastAsia="Arial" w:hAnsi="Arial"/>
          <w:sz w:val="17"/>
          <w:szCs w:val="17"/>
          <w:color w:val="auto"/>
        </w:rPr>
        <w:t>This section, beginning on page 56, provides a discussion of off-balance sheet arrangements to the extent they exist. In addition, we</w:t>
      </w:r>
      <w:r>
        <w:rPr>
          <w:rFonts w:ascii="Arial" w:cs="Arial" w:eastAsia="Arial" w:hAnsi="Arial"/>
          <w:sz w:val="17"/>
          <w:szCs w:val="17"/>
          <w:i w:val="1"/>
          <w:iCs w:val="1"/>
          <w:color w:val="auto"/>
        </w:rPr>
        <w:t xml:space="preserve"> </w:t>
      </w:r>
      <w:r>
        <w:rPr>
          <w:rFonts w:ascii="Arial" w:cs="Arial" w:eastAsia="Arial" w:hAnsi="Arial"/>
          <w:sz w:val="17"/>
          <w:szCs w:val="17"/>
          <w:color w:val="auto"/>
        </w:rPr>
        <w:t>provide a tabular discussion of contractual obligations, discuss any significant commitments or contingencies and customer concentration.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an integrated service provider and marketplace for the real estate and mortgage industries. Combining operational excellence with a suite of innovative services and technologies, Altisource helps solve the demands of the ever-changing markets we serve.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Company operates with one reportable segment (total Company).</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classify revenue in three categories: service revenue, revenue from reimbursable expenses and non-controlling interests. In evaluating our performance, we focus on service revenue. Service revenue consists of amounts attributable to our fee-based services and sales of short-term investments in real estate (wound down in 2019).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Lenders One. Lenders One is a mortgage cooperative managed, but not owned, by Altisource. The Lenders One members’ earnings are included in revenue and reduced from net income to arrive at net income attributable to Altisource.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 and Core Businesses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focused on becoming the premier provider of mortgage and real estate marketplaces and related services to a broad and diversified customer base of residential loan investors and servicers, and originators. The real estate and mortgage marketplaces represent very large markets, and we believe our scale and suite of offerings provide us with competitive advantages that could support our growth.</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Through our offerings that support residential loan investors and servicers, we provide a suite of services and technologies intended to meet their growing and evolving needs. We are focused on growing referrals from our existing customer base and attracting new customers to our offerings. We have a customer base that includes GSEs, asset managers, and several large bank and non-bank servicers including Ocwen and NRZ. We believe we are one of only a few providers with a broad suite of servicer solutions, nationwide coverage and scalability. Further, we believe we are well positioned to gain market share from existing and new customers in the event delinquency rates rise, or customers and prospects consolidate to larger, full-service providers or outsource services that have historically been performed in-house.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also provide services to loan originators (or other similar mortgage market participants) in originating, buying and selling residential mortgages. We provide a suite of services and technologies to meet the evolving and growing needs of lenders, mortgage purchasers and securitizers. We are focused on growing referrals from our existing customer base and attracting new customers to our offerings. We have a customer base that includes the Lenders One cooperative mortgage bankers and mid-size and larger bank and non-bank loan originators. We believe our suite of services, technologies and unique access to the members of the Lenders One mortgage cooperative position us to grow our relationships with our existing customer base by providing additional products, services and solutions to these customers. Further, we believe we are well positioned to gain market share from existing and new customers in the event origination volumes rise, or customers and prospects consolidate to larger, full-service providers or outsource services that have historically been performed in-house.</w:t>
      </w:r>
    </w:p>
    <w:p>
      <w:pPr>
        <w:spacing w:after="0" w:line="1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earlier stage business consists of Pointillist, Inc. (“Pointillist”). The Pointillist business was developed by Altisource through our consumer analytics capabilities. We believe the Pointillist business is a potentially disruptive SaaS-based platform which provides unique customer journey analytics at scale and enables customers to engage through our intelligent platform. During 2019, we created Pointillist as a separate legal entity to position it for accelerated growth and outside investment and contributed the Pointillist business and $8.5 million to it. Pointillist is owned by Altisource and management of Pointillist. Management of Pointillist owns a non-controlling interest representing 12.1% of the outstanding equity of Pointillist. Additional equity shares of Pointillist are available for issuance to management and board members of Pointillist. Altisource has an option, but no ongoing obligation, to participate in future funding of Pointillist.</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previously reported the results of Owners.com as an earlier stage business. In October 2019, the Company announced its plans to wind down and close the Owners.com business, which was completed by December 31, 2019.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 Impacts</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response to the COVID-19 pandemic, various governmental entities and servicers implemented unprecedented foreclosure and eviction moratoriums and forbearance programs to help mitigate the impact to borrowers and renters. Additionally, at various times throughout 2020, certain jurisdictions in the United States placed restrictions on non-essential services and travel. As a result of these measures, foreclosure initiations were 84% lower for April through December 2020 compared to the same period in 2019 despite 271% growth in the number of delinquent mortgages in December 2020 compared to March 2020 (according to data from a recent Black Knight report). The decline in foreclosure initiations resulted in significantly lower REO referrals and negatively impacted virtually all of the default related services performed on delinquent loans, loans in foreclosure and REO. With the expectation that the foreclosure and eviction moratoriums will be extended through at least September 2021, we anticipate that default related referrals will remain severely depressed throughout 2021.</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same time, to reduce interest rates, the Federal Reserve lowered the target for the federal funds rate to 0% to 0.25% and bought billions of dollars of mortgage backed securities on the secondary market. As a result of the lower interest rate environment, 2020 mortgage originations were 59% higher than 2019 (according to the Mortgage Bankers Association) driving higher demand for origination related services. The higher demand for origination related services is anticipated to continue into 2021.</w:t>
      </w:r>
    </w:p>
    <w:p>
      <w:pPr>
        <w:spacing w:after="0" w:line="13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While we cannot predict the duration of the pandemic and future governmental measures, we anticipate that revenue from our default related businesses will continue to be under significant pressure throughout 2021 with referrals being impacted by the extension of the foreclosure and eviction moratoriums and forbearance plans, and Ocwen’s transition of field services, valuation and title referrals associated with certain investor's MSRs to the investor's captive service provider (see Ocwen Related Matters below). Furthermore, we anticipate that our Marketplace and Field Services businesses will continue to be negatively impacted by low REO referrals and lower REO inventory at the beginning of 2021 compared to the beginning of 2020. We further anticipate that our origination related business will continue to experience growth from a strong originations market, new customer wins and, more recently, new product launches. However, due to the relative size of Altisource’s default related businesses compared to its origination related businesses, we anticipate that Altisource’s total service revenue will decline in 2021 compared to 2020.</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address the lower anticipated revenue, Altisource is working to (1) reduce our cost structure, (2) maintain the infrastructure to deliver default related services for our customer base and support the anticipated surge in demand following the expiration of the moratoriums and forbearance plans, and (3) accelerate the growth of our originations related businesses.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anticipate that demand for default related services will begin to return in late 2021 and into 2022. We anticipate that the volume of referrals will be significantly higher driven by much higher delinquency rates than before the pandemic began. We currently anticipate that the default related business should stabilize in 2023 when certain post-forbearance plan foreclosures become REO. We further anticipate that our originations related business will continue to grow from new customer wins and product expansion with our originations customers.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May 15, 2018, our shareholders approved the renewal and replacement of the share repurchase program previously approved by the shareholders on May 17, 2017. Under the program, we are authorized to purchase up to 4.3 million shares of our common stock, based on a limit of 25% of the outstanding shares of common stock on the date of approval, at a minimum price of $1.00 per share and a maximum price of $500.00 per share, for a period of five years from the date of approval. As of December 31, 2020, approximately 2.4 million shares of common stock remain available for repurchase under the program. There were no purchases of shares of common stock during the year ended December 31, 2020. We purchased 1.0 million shares at an average price of $20.33 per share during the year ended December 31, 2019 and 1.6 million shares at an average price of $25.53 per share during the year ended December 31, 2018. Luxembourg law limits share repurchases to the balance of Altisource Portfolio Solutions S.A. (unconsolidated parent company) retained earnings, less the value of shares repurchased. As of December 31, 2020, we can repurchase up to approximately $91 million of our common stock under Luxembourg law. Our Credit Agreement also limits the amount we can spend on share repurchases, which limit was approximately $430 million as of December 31, 2020, and may prevent repurchases in certain circumstances, including if our leverage ratio exceeds 3.50 to 1.00. Our leverage ratio exceeded 3.50 to 1.00 during the year ended December 31, 2020.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 Related Matters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 ended December 31, 2020, Ocwen was our largest customer, accounting for 54% of our total revenue. Additionally, 7% of our revenue for the year ended December 31, 2020 was earned on the loan portfolios serviced by Ocwen, when a party other than Ocwen or the MSR owner selected Altisource as the service provider.</w:t>
      </w:r>
    </w:p>
    <w:p>
      <w:pPr>
        <w:spacing w:after="0" w:line="13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Ocwen has disclosed that it is subject to a number of ongoing federal and state regulatory examinations, consent orders, inquiries, subpoenas, civil investigative demands, requests for information and other actions and is subject to pending and threatened legal proceedings, some of which include claims against Ocwen for substantial monetary damages. In addition to monetary damages, various complaints have sought to obtain injunctive relief, consumer redress, refunds, restitution, disgorgement, civil penalties, costs and fees and other relief. Existing or future similar matters could result in, and in some cases, have resulted in, adverse regulatory or other actions against Ocwen. Previous regulatory actions against Ocwen have subjected Ocwen to independent oversight of its operations and placed certain restrictions on its ability to acquire servicing rights. In addition to the above, Ocwen may become subject to future adverse regulatory or other actions.</w:t>
      </w:r>
    </w:p>
    <w:p>
      <w:pPr>
        <w:spacing w:after="0" w:line="1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Ocwen has disclosed that NRZ is its largest client. As of December 31, 2020, NRZ MSRs or rights to MSRs relating to approximately 36% of loans serviced and subserviced by Ocwen (measured in UPB). In July 2017 and January 2018, Ocwen and NRZ entered into a series of agreements pursuant to which the parties agreed, among other things, to undertake certain actions to facilitate the transfer from Ocwen to NRZ of Ocwen’s legal title to the Subject MSRs and under which Ocwen will subservice mortgage loans underlying the MSRs for an initial term of five years. NRZ can terminate its sub-servicing agreement with Ocwen in exchange for the payment of a termination fee.</w:t>
      </w:r>
    </w:p>
    <w:p>
      <w:pPr>
        <w:spacing w:after="0" w:line="13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existence or outcome of Ocwen regulatory matters or the termination of the NRZ sub-servicing agreement with Ocwen may have significant adverse effects on Ocwen’s business and/or our continuing relationship with Ocwen. For example, Ocwen may be required to alter the way it conducts business, including the parties it contracts with for services, it may be required to seek changes to its existing pricing structure with us, it may lose its non-GSE servicing rights or subservicing arrangements or may lose one or more of its state servicing or origination licenses. Additional regulatory actions or adverse financial developments may impose additional restrictions on or require changes in Ocwen’s business that could require it to sell assets or change its business operations. Any or all of these effects and others could result in our eventual loss of Ocwen as a customer or a reduction in the number and/or volume of services they purchase from us or the loss of other customers.</w:t>
      </w:r>
    </w:p>
    <w:p>
      <w:pPr>
        <w:spacing w:after="0" w:line="1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the second quarter of 2020, Ocwen informed us that an MSR investor instructed Ocwen to use a field services provider other than Altisource on properties associated with certain MSRs. Based upon the impacted portfolios to date and the designated service provider, Altisource believes that Ocwen received these directions from NRZ. We believe Ocwen commenced using another field services provider for these properties in July 2020 and continued to transition services during the third quarter of 2020. We believe that the transition to the replacement field service provider was largely completed as of September 30, 2020. We estimate that $70.1 million, $150.2 million and $171.0 million of service revenue from Ocwen for the years ended December 31, 2020, 2019 and 2018, respectively, was derived from Field Services referrals from the NRZ portfolios. Ocwen also communicated to Altisource in the fourth quarter of 2020 that the same investor instructed Ocwen to use a provider for default valuations and certain default title services other than Altisource on properties associated with such certain MSRs and commenced moving these referrals to other service providers in the fourth quarter of 2020. We anticipate that the transition of such default valuations and title services will continue during the course of 2021. We estimate that $18.2 million, $33.2 million and $40.1 million of service revenue from Ocwen for the years ended December 31, 2020, 2019 and 2018, respectively, was derived from default valuations and title services referrals from the NRZ portfolios. Altisource believes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that any action taken by Ocwen to redirect these service referrals breaches Altisource's agreement with Ocwen. We are currently in discussions with Ocwen to address this matter, and have reserved all of our rights with respect to this matter.</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To address the reduction in revenue, Altisource is undertaking several measures to further reduce its cost structure and strengthen its operations.</w:t>
      </w:r>
    </w:p>
    <w:p>
      <w:pPr>
        <w:spacing w:after="0" w:line="1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to expected reductions in our revenue from the transition of referrals for default related services previously identified, if any of the following events occurred, Altisource’s revenue could be further significantly reduced and our results of operations could be materially adversely affected, including from the possible impairment or write-off of goodwill, intangible assets, property and equipment, other assets and accounts receivable:</w:t>
      </w:r>
    </w:p>
    <w:p>
      <w:pPr>
        <w:spacing w:after="0" w:line="11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Altisource loses Ocwen as a customer or there is an additional significant reduction in the volume of services they purchase from us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Ocwen loses, sells or transfers a significant portion of its GSE servicing rights or subservicing arrangements or remaining non-GSE servicing rights or subservicing arrangements and Altisource fails to be retained as a service provider</w:t>
      </w:r>
    </w:p>
    <w:p>
      <w:pPr>
        <w:spacing w:after="0" w:line="8"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contractual relationship between Ocwen and NRZ changes significantly and this change results in a change in our status as a provider of services related to the Subject MSRs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Ocwen loses state servicing licenses in states with a significant number of loans in Ocwen’s servicing portfolio</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contractual relationship between Ocwen and Altisource changes significantly or there are significant changes to our pricing to Ocwen for services from which we generate material revenue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Altisource otherwise fails to be retained as a service provider</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Management cannot predict whether any of these events will occur or the amount of any impact they may have on Altisource. However, we are focused on diversifying and growing our revenue and customer base and we have a sales and marketing strategy to support these efforts. Moreover, in the event one or more of these events materially negatively impact Altisource, we believe the variable nature of our cost structure would allow us to realign our cost structure to address some of the impact to revenue and that current liquidity would be sufficient to meet our working capital, capital expenditures, debt service and other cash needs. There can be no assurance that our plans will be successful or our operations will be profitable.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Comparability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items impact the comparability of our results:</w:t>
      </w:r>
    </w:p>
    <w:p>
      <w:pPr>
        <w:spacing w:after="0" w:line="171" w:lineRule="exact"/>
        <w:rPr>
          <w:sz w:val="20"/>
          <w:szCs w:val="20"/>
          <w:color w:val="auto"/>
        </w:rPr>
      </w:pPr>
    </w:p>
    <w:p>
      <w:pPr>
        <w:jc w:val="both"/>
        <w:ind w:left="660" w:hanging="328"/>
        <w:spacing w:after="0" w:line="266" w:lineRule="auto"/>
        <w:tabs>
          <w:tab w:leader="none" w:pos="655"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Company’s financial performance for the year ended December 31, 2020 in its default related services businesses was negatively impacted by the COVID-19 pandemic. Governmental, and in some instances, servicer measures to provide support to borrowers, including foreclosure and eviction moratoriums and forbearance programs, reduced referral volumes and inflows of REO. Further, COVID-19 pandemic related governmental restrictions and changing vendor and consumer behavior also impacted revenue. This impact was partially offset by stronger performance from the Company’s origination related businesses that benefited from lower interest rates for the year ended December 31, 2020. Across the Company’s three core businesses, service revenue from customers other than Ocwen, NRZ and RESI for the year ended December 31, 2020 grew by 9% compared to the year ended December 31, 2019, despite the COVID-19 pandemic impacts the Company began facing late in the first quarter of 2020. Compared to the year ended December 31, 2019, the increase is primarily from growth in our customer base and market share expansion. Service revenue from the origination businesses such as loan fulfillment, loan certification, title, settlement and valuation services in Mortgage and Real Estate Solutions, excluding our construction risk mitigation business that was impacted by the pandemic, grew by 47% for the year ended December 31, 2020 compared to 2019. In the Marketplace and Field Services businesses, revenue from customers other than Ocwen and NRZ was relatively flat and the decline in service revenue was primarily driven by lower revenue from Ocwen’s declining servicing portfolio and the impact of the COVID-19 pandemic.</w:t>
      </w:r>
    </w:p>
    <w:p>
      <w:pPr>
        <w:spacing w:after="0" w:line="5" w:lineRule="exact"/>
        <w:rPr>
          <w:rFonts w:ascii="Arial" w:cs="Arial" w:eastAsia="Arial" w:hAnsi="Arial"/>
          <w:sz w:val="17"/>
          <w:szCs w:val="17"/>
          <w:color w:val="auto"/>
        </w:rPr>
      </w:pPr>
    </w:p>
    <w:p>
      <w:pPr>
        <w:jc w:val="both"/>
        <w:ind w:left="660" w:hanging="328"/>
        <w:spacing w:after="0" w:line="251"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During the second quarter of 2020, Ocwen informed us that an MSR investor instructed Ocwen to use a field services provider other than Altisource on properties associated with certain MSRs. Based upon the impacted portfolios to date and the designated service provider, Altisource believes that Ocwen received these directions from NRZ. We believe Ocwen commenced using another field services provider for these properties in July 2020 and continued to transition services during the third quarter of 2020. We believe that the transition to the replacement field service provider was largely completed as of September 30, 2020. We estimate that $70.1 million, $150.2 million and $171.0 million of service revenue from Ocwen for the years ended December 31, 2020, 2019 and 2018, respectively, was derived from Field Services referrals from the NRZ portfolios. Ocwen also communicated to Altisource in the fourth quarter of 2020 that the same investor instructed Ocwen to use a provider for default valuations and certain default title services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660"/>
        <w:spacing w:after="0" w:line="268" w:lineRule="auto"/>
        <w:rPr>
          <w:sz w:val="20"/>
          <w:szCs w:val="20"/>
          <w:color w:val="auto"/>
        </w:rPr>
      </w:pPr>
      <w:r>
        <w:rPr>
          <w:rFonts w:ascii="Arial" w:cs="Arial" w:eastAsia="Arial" w:hAnsi="Arial"/>
          <w:sz w:val="17"/>
          <w:szCs w:val="17"/>
          <w:color w:val="auto"/>
        </w:rPr>
        <w:t>other than Altisource on properties associated with such certain MSRs and commenced moving these referrals to other service providers in the fourth quarter of 2020. We anticipate that the transition of such default valuations and title services will continue during the course of 2021. We estimate that $18.2 million, $33.2 million and $40.1 million of service revenue from Ocwen for the years ended December 31, 2020, 2019 and 2018, respectively, was derived from default valuations and title services referrals from the NRZ portfolios. To address the reduction in revenue, Altisource is undertaking several measures to further reduce its cost structure and strengthen its operations.</w:t>
      </w:r>
    </w:p>
    <w:p>
      <w:pPr>
        <w:spacing w:after="0" w:line="3" w:lineRule="exact"/>
        <w:rPr>
          <w:sz w:val="20"/>
          <w:szCs w:val="20"/>
          <w:color w:val="auto"/>
        </w:rPr>
      </w:pPr>
    </w:p>
    <w:p>
      <w:pPr>
        <w:jc w:val="both"/>
        <w:ind w:left="66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During the years ended December 31, 2020, 2019 and 2018 we recognized an unrealized gain (loss) of $4.0 million, $14.4 million and $(13.0) million, respectively, from the change in fair value on our investment in RESI in other income (expense), net in the consolidated statements of operations and comprehensive loss from a change in the market value of RESI common shares.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May 2019, the Company began selling its investment in RESI common stock. During the year ended December 31, 2019, the Company sold 0.7 million shares for net proceeds of $8.0 million. Between October 19, 2020 and November 23, 2020, the Company sold all of its remaining 3.5 million shares for net proceeds of $46.6 million. As required by our senior secured term loan agreement, the Company used the net proceeds to repay a portion of its senior secured term loan.</w:t>
      </w:r>
    </w:p>
    <w:p>
      <w:pPr>
        <w:spacing w:after="0" w:line="1" w:lineRule="exact"/>
        <w:rPr>
          <w:rFonts w:ascii="Arial" w:cs="Arial" w:eastAsia="Arial" w:hAnsi="Arial"/>
          <w:sz w:val="18"/>
          <w:szCs w:val="18"/>
          <w:color w:val="auto"/>
        </w:rPr>
      </w:pPr>
    </w:p>
    <w:p>
      <w:pPr>
        <w:jc w:val="both"/>
        <w:ind w:left="660" w:hanging="328"/>
        <w:spacing w:after="0" w:line="265" w:lineRule="auto"/>
        <w:tabs>
          <w:tab w:leader="none" w:pos="6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 August 2018, Altisource initiated Project Catalyst, a project intended to optimize its operations and reduce costs to better align its cost structure with its anticipated revenues and improve its operating margins (finalized in 2020). During the years ended December 31, 2020, 2019 and 2018, Altisource incurred $12.0 million, $14.1 million and $11.6 million, respectively, of severance costs, professional services fees, facility consolidation costs, technology costs and business wind down costs related to the reorganization plan.</w:t>
      </w:r>
    </w:p>
    <w:p>
      <w:pPr>
        <w:jc w:val="both"/>
        <w:ind w:left="660" w:hanging="328"/>
        <w:spacing w:after="0" w:line="281" w:lineRule="auto"/>
        <w:tabs>
          <w:tab w:leader="none" w:pos="655" w:val="left"/>
        </w:tabs>
        <w:numPr>
          <w:ilvl w:val="0"/>
          <w:numId w:val="24"/>
        </w:numPr>
        <w:rPr>
          <w:rFonts w:ascii="Arial" w:cs="Arial" w:eastAsia="Arial" w:hAnsi="Arial"/>
          <w:sz w:val="16"/>
          <w:szCs w:val="16"/>
          <w:color w:val="auto"/>
        </w:rPr>
      </w:pPr>
      <w:r>
        <w:rPr>
          <w:rFonts w:ascii="Arial" w:cs="Arial" w:eastAsia="Arial" w:hAnsi="Arial"/>
          <w:sz w:val="16"/>
          <w:szCs w:val="16"/>
          <w:color w:val="auto"/>
        </w:rPr>
        <w:t>On July 1, 2019, Altisource sold its Financial Services business, consisting of its post-charge-off consumer debt and mortgage charge-off collection services and customer relationship management services (the “Financial Services Business”) to Transworld Systems Inc. (“TSI”) for $44.0 million consisting of an upfront payment of $40.0 million, subject to a working capital adjustment (finalized during 2019) and transaction costs upon closing of the sale, and an additional $4.0 million payment on the one year anniversary of the sale closing. In connection with the sale, we recognized a $17.8 million pretax gain on sale for the year ended December 31, 2019. On July 1, 2020, the Company received net proceeds of $3.3 million representing TSI’s final installment payment less certain amounts owed to TSI. The parties also entered into a transition services agreement to provide for the management and orderly transition of certain services and technologies to TSI for periods ranging from 2 months to 13 months, subject to additional 3 month extensions. As of December 31, 2020, all of the transition services and technologies have been fully transitioned to TSI. On July 17, 2019, Altisource used $37.0 million of the net up-front payment to repay a portion of its senior secured term loan. For the years ended December 31, 2019 and 2018, service revenue from the Financial Services Business was $33.4 million and $64.1 million, respectively (no comparative amounts for the year ended December 31, 2020).</w:t>
      </w:r>
    </w:p>
    <w:p>
      <w:pPr>
        <w:spacing w:after="0" w:line="6" w:lineRule="exact"/>
        <w:rPr>
          <w:rFonts w:ascii="Arial" w:cs="Arial" w:eastAsia="Arial" w:hAnsi="Arial"/>
          <w:sz w:val="16"/>
          <w:szCs w:val="16"/>
          <w:color w:val="auto"/>
        </w:rPr>
      </w:pPr>
    </w:p>
    <w:p>
      <w:pPr>
        <w:jc w:val="both"/>
        <w:ind w:left="66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February 2019, Altisource and Ocwen entered into agreements that, among other things, facilitated Ocwen’s transition from REALServicing and related technologies to another mortgage servicing software platform. The transition was completed during 2019. For the years ended December 31, 2019 and 2018, service revenue from REALServicing and related technologies was $14.1 million and $35.1 million, respectively (no comparative amounts for the year ended December 31, 2020).</w:t>
      </w:r>
    </w:p>
    <w:p>
      <w:pPr>
        <w:spacing w:after="0" w:line="1" w:lineRule="exact"/>
        <w:rPr>
          <w:rFonts w:ascii="Arial" w:cs="Arial" w:eastAsia="Arial" w:hAnsi="Arial"/>
          <w:sz w:val="18"/>
          <w:szCs w:val="18"/>
          <w:color w:val="auto"/>
        </w:rPr>
      </w:pPr>
    </w:p>
    <w:p>
      <w:pPr>
        <w:jc w:val="both"/>
        <w:ind w:left="660" w:hanging="328"/>
        <w:spacing w:after="0" w:line="281" w:lineRule="auto"/>
        <w:tabs>
          <w:tab w:leader="none" w:pos="655"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November 2018, the Company announced its plans to sell its short-term investments in real estate (“BRS Inventory”) and exit the Company’s BRS business. For the years ended December 31, 2019 and 2018, service revenue from BRS was $42.5 million and $61.2 million, respectively (no comparative amounts for the year ended December 31, 2020). In anticipation of receiving the majority of the proceeds from the sale of the BRS Inventory in 2019, the Company repaid $49.9 million of its senior secured term loan in the fourth quarter of 2018.</w:t>
      </w:r>
    </w:p>
    <w:p>
      <w:pPr>
        <w:spacing w:after="0" w:line="2" w:lineRule="exact"/>
        <w:rPr>
          <w:rFonts w:ascii="Arial" w:cs="Arial" w:eastAsia="Arial" w:hAnsi="Arial"/>
          <w:sz w:val="16"/>
          <w:szCs w:val="16"/>
          <w:color w:val="auto"/>
        </w:rPr>
      </w:pPr>
    </w:p>
    <w:p>
      <w:pPr>
        <w:jc w:val="both"/>
        <w:ind w:left="660" w:hanging="328"/>
        <w:spacing w:after="0" w:line="265" w:lineRule="auto"/>
        <w:tabs>
          <w:tab w:leader="none" w:pos="6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 October 2019, the Company announced its plans to wind down and close the Owners.com business, which was completed by December 31, 2019. In connection with the wind down of the Owners.com business, the Company recognized a write-off of $5.9 million of goodwill and intangible assets in 2019 as well as wind down and severance costs. For the years ended December 31, 2019 and 2018, service revenue from Owners.com was $7.1 million and $8.6 million, respectively (no comparative amounts for the year ended December 31, 2020).</w:t>
      </w:r>
    </w:p>
    <w:p>
      <w:pPr>
        <w:jc w:val="both"/>
        <w:ind w:left="66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Effective January 1, 2019, the Company implemented a new accounting standard on leases which required the recognition of operating leases by companies as operating lease liabilities on their balance sheets and also required the recognition of right-of-use assets. Adoption of this new standard resulted in the recognition of $42.1 million of right-of-use assets in right-of-use assets under operating leases, $45.5 million of operating lease liabilities ($16.7 million in other current liabilities and $28.8 million in other non-current liabilities) and reduced accrued rent and lease incentives by $3.4 million in accounts payable and accrued liabilities and other non-current liabilities on the accompanying consolidated balance sheets.</w:t>
      </w:r>
    </w:p>
    <w:p>
      <w:pPr>
        <w:spacing w:after="0" w:line="2" w:lineRule="exact"/>
        <w:rPr>
          <w:rFonts w:ascii="Arial" w:cs="Arial" w:eastAsia="Arial" w:hAnsi="Arial"/>
          <w:sz w:val="18"/>
          <w:szCs w:val="18"/>
          <w:color w:val="auto"/>
        </w:rPr>
      </w:pPr>
    </w:p>
    <w:p>
      <w:pPr>
        <w:ind w:left="660" w:right="20" w:hanging="328"/>
        <w:spacing w:after="0" w:line="26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June 21, 2018, the United States Supreme Court rendered a 5-4 majority decision in South Dakota v. Wayfair, Inc., holding that a state may require a remote seller with no physical presence in the state to collect and remit sales tax 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goods and services provided to purchasers in the state, overturning certain existing court precedent. During the year ended December 31, 2019, the Company completed the analysis of its services for potential exposure to sales tax in various jurisdictions in the United States. The Company recognized a $(2.7) million loss reimbursement, $0.3 million and $6.2 million net loss for the years ended December 31, 2020, 2019 and 2018, respectively, in selling, general and administrative (“SG&amp;A”) expenses in the accompanying consolidated statements of operations and comprehensive loss. The Company began invoicing, collecting and remitting sales tax in applicable jurisdictions in 2019. Future changes in our estimated sales tax exposure could result in a material adjustment to our consolidated financial statements which would impact our financial condition and results of operations.</w:t>
      </w:r>
    </w:p>
    <w:p>
      <w:pPr>
        <w:spacing w:after="0" w:line="5" w:lineRule="exact"/>
        <w:rPr>
          <w:sz w:val="20"/>
          <w:szCs w:val="20"/>
          <w:color w:val="auto"/>
        </w:rPr>
      </w:pPr>
    </w:p>
    <w:p>
      <w:pPr>
        <w:jc w:val="both"/>
        <w:ind w:left="660" w:hanging="328"/>
        <w:spacing w:after="0" w:line="265" w:lineRule="auto"/>
        <w:tabs>
          <w:tab w:leader="none" w:pos="6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 August 2018, the Company sold its rental property management business to RESI for total transaction proceeds of $18.0 million, $15.0 million of which was received on the closing date of August 8, 2018 and $3.0 million of which is to be received on the earlier of a RESI change of control or August 8, 2023. The Company recognized a $13.7 million pretax gain on the sale of this business during the year ended December 31, 2018 in the consolidated statements of operations and comprehensive income (loss) in connection with this transaction. For the year ended December 31, 2018, service revenue from the rental property management business was $4.2 million (no comparative amounts for the years ended December 31, 2019 and 2020). In addition, the Company used the proceeds received from the sale of the rental property management business to RESI to repay $15.0 million of the Term B Loans in 2018.</w:t>
      </w:r>
    </w:p>
    <w:p>
      <w:pPr>
        <w:spacing w:after="0" w:line="1" w:lineRule="exact"/>
        <w:rPr>
          <w:rFonts w:ascii="Arial" w:cs="Arial" w:eastAsia="Arial" w:hAnsi="Arial"/>
          <w:sz w:val="17"/>
          <w:szCs w:val="17"/>
          <w:color w:val="auto"/>
        </w:rPr>
      </w:pPr>
    </w:p>
    <w:p>
      <w:pPr>
        <w:jc w:val="both"/>
        <w:ind w:left="66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April 3, 2018, Altisource and its wholly-owned subsidiary, Altisource S.à r.l. entered into the Credit Agreement, pursuant to which, among other things, Altisource borrowed $412.0 million in the form of Term B Loans. Proceeds from the Term B Loans were used to repay the Company’s prior senior secured term loan. In connection with the refinancing, we recognized a loss of $(4.4) million from the write-off of unamortized debt issuance costs and debt discount for the year ended December 31, 2018. The comparative average interest rates under the Credit Agreement for the Term B Loans and the prior credit agreement were 5.3%, 6.4% and 6.0% for the years ended December 31, 2020, 2019 and 2018, respectively.</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recognized an income tax provision of $8.6 million for the year ended December 31, 2020. The income tax provision on losses before income taxes and non-controlling interests for the year ended December 31, 2020 was primarily driven by income in our US and other foreign operations from transfer pricing on services provided to our Luxembourg operating company, no tax benefit on the pretax losses from our Luxembourg operating company for the year ended December 31, 2020 and tax expense on unrepatriated earnings in India, partially offset by lower transfer pricing rates due to the COVID-19 pandemic.</w:t>
      </w:r>
    </w:p>
    <w:p>
      <w:pPr>
        <w:spacing w:after="0" w:line="1" w:lineRule="exact"/>
        <w:rPr>
          <w:rFonts w:ascii="Arial" w:cs="Arial" w:eastAsia="Arial" w:hAnsi="Arial"/>
          <w:sz w:val="18"/>
          <w:szCs w:val="18"/>
          <w:color w:val="auto"/>
        </w:rPr>
      </w:pPr>
    </w:p>
    <w:p>
      <w:pPr>
        <w:jc w:val="both"/>
        <w:ind w:left="660" w:hanging="328"/>
        <w:spacing w:after="0" w:line="281" w:lineRule="auto"/>
        <w:tabs>
          <w:tab w:leader="none" w:pos="655"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Company recognized an income tax provision of $318.3 million for the year ended December 31, 2019, which included an increase in the valuation allowance in connection with Luxembourg net operating loss (“NOL”) carryforward of $291.5 million, the impact of a decrease in the Luxembourg statutory income tax rate on deferred taxes of $14.0 million and foreign income tax reserves of $5.6 million. The resulting effective tax rate differs from Luxembourg statutory income tax rate of 24.9% principally as a result of the increase in the valuation allowance, the impact of the decrease in the Luxembourg statutory income tax rate on deferred taxes and foreign income tax reserves discussed above and the jurisdictional mix of income before income taxes and non-controlling interest. Certain of the Company’s India subsidiaries generated taxable income based on cost plus transfer pricing to our Luxembourg subsidiary for their services and certain US and Luxembourg subsidiaries generated taxable losses that did not result in a tax benefit due to a valuation allowance applied to the tax benefit.</w:t>
      </w:r>
    </w:p>
    <w:p>
      <w:pPr>
        <w:spacing w:after="0" w:line="4" w:lineRule="exact"/>
        <w:rPr>
          <w:rFonts w:ascii="Arial" w:cs="Arial" w:eastAsia="Arial" w:hAnsi="Arial"/>
          <w:sz w:val="16"/>
          <w:szCs w:val="16"/>
          <w:color w:val="auto"/>
        </w:rPr>
      </w:pPr>
    </w:p>
    <w:p>
      <w:pPr>
        <w:jc w:val="both"/>
        <w:ind w:left="660" w:hanging="328"/>
        <w:spacing w:after="0" w:line="270" w:lineRule="auto"/>
        <w:tabs>
          <w:tab w:leader="none" w:pos="6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Company’s effective income tax rate for the year ended December 31, 2018 was 292.9%, which differs from the Luxembourg statutory income tax rate of 26.0%. In 2018, the Company’s effective income tax rate was unusually high because certain of the Company’s India and United States subsidiaries generated taxable income based on cost plus transfer pricing to our Luxembourg subsidiary for their services and the Luxembourg subsidiary incurred a taxable loss. As these jurisdictions have different effective income tax rates (i.e., India has a higher effective income tax rate than Luxembourg), and because of a $1.6 million foreign income tax reserve (and related interest), the Company recognized consolidated income tax expense that was greater than income before income taxes and non-controlling interest.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discussion of our results of operations for the years ended December 31, 2020, 2019 and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on our consolidated results of operations for the years ended December 31: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 except per share data)</w:t>
            </w:r>
          </w:p>
        </w:tc>
        <w:tc>
          <w:tcPr>
            <w:tcW w:w="300" w:type="dxa"/>
            <w:vAlign w:val="bottom"/>
          </w:tcPr>
          <w:p>
            <w:pPr>
              <w:spacing w:after="0"/>
              <w:rPr>
                <w:sz w:val="14"/>
                <w:szCs w:val="14"/>
                <w:color w:val="auto"/>
              </w:rPr>
            </w:pPr>
          </w:p>
        </w:tc>
        <w:tc>
          <w:tcPr>
            <w:tcW w:w="102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 Increase</w:t>
            </w:r>
          </w:p>
        </w:tc>
        <w:tc>
          <w:tcPr>
            <w:tcW w:w="280" w:type="dxa"/>
            <w:vAlign w:val="bottom"/>
          </w:tcPr>
          <w:p>
            <w:pPr>
              <w:spacing w:after="0"/>
              <w:rPr>
                <w:sz w:val="14"/>
                <w:szCs w:val="14"/>
                <w:color w:val="auto"/>
              </w:rPr>
            </w:pPr>
          </w:p>
        </w:tc>
        <w:tc>
          <w:tcPr>
            <w:tcW w:w="106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1300" w:type="dxa"/>
            <w:vAlign w:val="bottom"/>
            <w:gridSpan w:val="2"/>
          </w:tcPr>
          <w:p>
            <w:pPr>
              <w:ind w:left="260"/>
              <w:spacing w:after="0"/>
              <w:rPr>
                <w:sz w:val="20"/>
                <w:szCs w:val="20"/>
                <w:color w:val="auto"/>
              </w:rPr>
            </w:pPr>
            <w:r>
              <w:rPr>
                <w:rFonts w:ascii="Arial" w:cs="Arial" w:eastAsia="Arial" w:hAnsi="Arial"/>
                <w:sz w:val="14"/>
                <w:szCs w:val="14"/>
                <w:b w:val="1"/>
                <w:bCs w:val="1"/>
                <w:color w:val="auto"/>
              </w:rPr>
              <w:t>% Increase</w:t>
            </w:r>
          </w:p>
        </w:tc>
        <w:tc>
          <w:tcPr>
            <w:tcW w:w="320" w:type="dxa"/>
            <w:vAlign w:val="bottom"/>
          </w:tcPr>
          <w:p>
            <w:pPr>
              <w:spacing w:after="0"/>
              <w:rPr>
                <w:sz w:val="14"/>
                <w:szCs w:val="14"/>
                <w:color w:val="auto"/>
              </w:rPr>
            </w:pPr>
          </w:p>
        </w:tc>
        <w:tc>
          <w:tcPr>
            <w:tcW w:w="102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8"/>
        </w:trPr>
        <w:tc>
          <w:tcPr>
            <w:tcW w:w="44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ind w:left="300"/>
              <w:spacing w:after="0"/>
              <w:rPr>
                <w:sz w:val="20"/>
                <w:szCs w:val="20"/>
                <w:color w:val="auto"/>
              </w:rPr>
            </w:pPr>
            <w:r>
              <w:rPr>
                <w:rFonts w:ascii="Arial" w:cs="Arial" w:eastAsia="Arial" w:hAnsi="Arial"/>
                <w:sz w:val="14"/>
                <w:szCs w:val="14"/>
                <w:b w:val="1"/>
                <w:bCs w:val="1"/>
                <w:color w:val="auto"/>
              </w:rPr>
              <w:t>(decrease)</w:t>
            </w: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 revenue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347,313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621,866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805,480</w:t>
            </w:r>
          </w:p>
        </w:tc>
        <w:tc>
          <w:tcPr>
            <w:tcW w:w="0" w:type="dxa"/>
            <w:vAlign w:val="bottom"/>
          </w:tcPr>
          <w:p>
            <w:pPr>
              <w:spacing w:after="0"/>
              <w:rPr>
                <w:sz w:val="1"/>
                <w:szCs w:val="1"/>
                <w:color w:val="auto"/>
              </w:rPr>
            </w:pPr>
          </w:p>
        </w:tc>
      </w:tr>
      <w:tr>
        <w:trPr>
          <w:trHeight w:val="229"/>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Reimbursable expenses</w:t>
            </w:r>
          </w:p>
        </w:tc>
        <w:tc>
          <w:tcPr>
            <w:tcW w:w="30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16,285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24,172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30,039</w:t>
            </w:r>
          </w:p>
        </w:tc>
        <w:tc>
          <w:tcPr>
            <w:tcW w:w="0" w:type="dxa"/>
            <w:vAlign w:val="bottom"/>
          </w:tcPr>
          <w:p>
            <w:pPr>
              <w:spacing w:after="0"/>
              <w:rPr>
                <w:sz w:val="1"/>
                <w:szCs w:val="1"/>
                <w:color w:val="auto"/>
              </w:rPr>
            </w:pPr>
          </w:p>
        </w:tc>
      </w:tr>
      <w:tr>
        <w:trPr>
          <w:trHeight w:val="230"/>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1,949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2,613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2,683</w:t>
            </w:r>
          </w:p>
        </w:tc>
        <w:tc>
          <w:tcPr>
            <w:tcW w:w="0" w:type="dxa"/>
            <w:vAlign w:val="bottom"/>
          </w:tcPr>
          <w:p>
            <w:pPr>
              <w:spacing w:after="0"/>
              <w:rPr>
                <w:sz w:val="1"/>
                <w:szCs w:val="1"/>
                <w:color w:val="auto"/>
              </w:rPr>
            </w:pPr>
          </w:p>
        </w:tc>
      </w:tr>
      <w:tr>
        <w:trPr>
          <w:trHeight w:val="223"/>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365,547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648,651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838,202</w:t>
            </w:r>
          </w:p>
        </w:tc>
        <w:tc>
          <w:tcPr>
            <w:tcW w:w="0" w:type="dxa"/>
            <w:vAlign w:val="bottom"/>
          </w:tcPr>
          <w:p>
            <w:pPr>
              <w:spacing w:after="0"/>
              <w:rPr>
                <w:sz w:val="1"/>
                <w:szCs w:val="1"/>
                <w:color w:val="auto"/>
              </w:rPr>
            </w:pPr>
          </w:p>
        </w:tc>
      </w:tr>
      <w:tr>
        <w:trPr>
          <w:trHeight w:val="230"/>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305,194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493,256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622,165</w:t>
            </w:r>
          </w:p>
        </w:tc>
        <w:tc>
          <w:tcPr>
            <w:tcW w:w="0" w:type="dxa"/>
            <w:vAlign w:val="bottom"/>
          </w:tcPr>
          <w:p>
            <w:pPr>
              <w:spacing w:after="0"/>
              <w:rPr>
                <w:sz w:val="1"/>
                <w:szCs w:val="1"/>
                <w:color w:val="auto"/>
              </w:rPr>
            </w:pPr>
          </w:p>
        </w:tc>
      </w:tr>
      <w:tr>
        <w:trPr>
          <w:trHeight w:val="223"/>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60,353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155,395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216,037</w:t>
            </w:r>
          </w:p>
        </w:tc>
        <w:tc>
          <w:tcPr>
            <w:tcW w:w="0" w:type="dxa"/>
            <w:vAlign w:val="bottom"/>
          </w:tcPr>
          <w:p>
            <w:pPr>
              <w:spacing w:after="0"/>
              <w:rPr>
                <w:sz w:val="1"/>
                <w:szCs w:val="1"/>
                <w:color w:val="auto"/>
              </w:rPr>
            </w:pPr>
          </w:p>
        </w:tc>
      </w:tr>
      <w:tr>
        <w:trPr>
          <w:trHeight w:val="230"/>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expenses (income):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gridSpan w:val="2"/>
          </w:tcPr>
          <w:p>
            <w:pPr>
              <w:ind w:left="10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92,736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141,076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175,670</w:t>
            </w:r>
          </w:p>
        </w:tc>
        <w:tc>
          <w:tcPr>
            <w:tcW w:w="0" w:type="dxa"/>
            <w:vAlign w:val="bottom"/>
          </w:tcPr>
          <w:p>
            <w:pPr>
              <w:spacing w:after="0"/>
              <w:rPr>
                <w:sz w:val="1"/>
                <w:szCs w:val="1"/>
                <w:color w:val="auto"/>
              </w:rPr>
            </w:pPr>
          </w:p>
        </w:tc>
      </w:tr>
      <w:tr>
        <w:trPr>
          <w:trHeight w:val="229"/>
        </w:trPr>
        <w:tc>
          <w:tcPr>
            <w:tcW w:w="4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Gain on sale of businesses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(17,814)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(13,688)</w:t>
            </w:r>
          </w:p>
        </w:tc>
        <w:tc>
          <w:tcPr>
            <w:tcW w:w="0" w:type="dxa"/>
            <w:vAlign w:val="bottom"/>
          </w:tcPr>
          <w:p>
            <w:pPr>
              <w:spacing w:after="0"/>
              <w:rPr>
                <w:sz w:val="1"/>
                <w:szCs w:val="1"/>
                <w:color w:val="auto"/>
              </w:rPr>
            </w:pPr>
          </w:p>
        </w:tc>
      </w:tr>
      <w:tr>
        <w:trPr>
          <w:trHeight w:val="230"/>
        </w:trPr>
        <w:tc>
          <w:tcPr>
            <w:tcW w:w="444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Restructuring charges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11,972</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14,080</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11,560</w:t>
            </w:r>
          </w:p>
        </w:tc>
        <w:tc>
          <w:tcPr>
            <w:tcW w:w="0" w:type="dxa"/>
            <w:vAlign w:val="bottom"/>
          </w:tcPr>
          <w:p>
            <w:pPr>
              <w:spacing w:after="0"/>
              <w:rPr>
                <w:sz w:val="1"/>
                <w:szCs w:val="1"/>
                <w:color w:val="auto"/>
              </w:rPr>
            </w:pPr>
          </w:p>
        </w:tc>
      </w:tr>
      <w:tr>
        <w:trPr>
          <w:trHeight w:val="223"/>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income from operations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(44,355)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18,053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42,495</w:t>
            </w:r>
          </w:p>
        </w:tc>
        <w:tc>
          <w:tcPr>
            <w:tcW w:w="0" w:type="dxa"/>
            <w:vAlign w:val="bottom"/>
          </w:tcPr>
          <w:p>
            <w:pPr>
              <w:spacing w:after="0"/>
              <w:rPr>
                <w:sz w:val="1"/>
                <w:szCs w:val="1"/>
                <w:color w:val="auto"/>
              </w:rPr>
            </w:pPr>
          </w:p>
        </w:tc>
      </w:tr>
      <w:tr>
        <w:trPr>
          <w:trHeight w:val="230"/>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(17,730)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(21,393)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(26,254)</w:t>
            </w:r>
          </w:p>
        </w:tc>
        <w:tc>
          <w:tcPr>
            <w:tcW w:w="0" w:type="dxa"/>
            <w:vAlign w:val="bottom"/>
          </w:tcPr>
          <w:p>
            <w:pPr>
              <w:spacing w:after="0"/>
              <w:rPr>
                <w:sz w:val="1"/>
                <w:szCs w:val="1"/>
                <w:color w:val="auto"/>
              </w:rPr>
            </w:pPr>
          </w:p>
        </w:tc>
      </w:tr>
      <w:tr>
        <w:trPr>
          <w:trHeight w:val="230"/>
        </w:trPr>
        <w:tc>
          <w:tcPr>
            <w:tcW w:w="4440" w:type="dxa"/>
            <w:vAlign w:val="bottom"/>
            <w:gridSpan w:val="2"/>
          </w:tcPr>
          <w:p>
            <w:pPr>
              <w:ind w:left="100"/>
              <w:spacing w:after="0"/>
              <w:rPr>
                <w:sz w:val="20"/>
                <w:szCs w:val="20"/>
                <w:color w:val="auto"/>
              </w:rPr>
            </w:pPr>
            <w:r>
              <w:rPr>
                <w:rFonts w:ascii="Arial" w:cs="Arial" w:eastAsia="Arial" w:hAnsi="Arial"/>
                <w:sz w:val="18"/>
                <w:szCs w:val="18"/>
                <w:color w:val="auto"/>
                <w:w w:val="97"/>
              </w:rPr>
              <w:t>Unrealized gain (loss) on investment in equity securities</w:t>
            </w:r>
          </w:p>
        </w:tc>
        <w:tc>
          <w:tcPr>
            <w:tcW w:w="30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4,004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14,431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(12,972)</w:t>
            </w:r>
          </w:p>
        </w:tc>
        <w:tc>
          <w:tcPr>
            <w:tcW w:w="0" w:type="dxa"/>
            <w:vAlign w:val="bottom"/>
          </w:tcPr>
          <w:p>
            <w:pPr>
              <w:spacing w:after="0"/>
              <w:rPr>
                <w:sz w:val="1"/>
                <w:szCs w:val="1"/>
                <w:color w:val="auto"/>
              </w:rPr>
            </w:pPr>
          </w:p>
        </w:tc>
      </w:tr>
      <w:tr>
        <w:trPr>
          <w:trHeight w:val="229"/>
        </w:trPr>
        <w:tc>
          <w:tcPr>
            <w:tcW w:w="4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375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1,348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(1,870)</w:t>
            </w:r>
          </w:p>
        </w:tc>
        <w:tc>
          <w:tcPr>
            <w:tcW w:w="0" w:type="dxa"/>
            <w:vAlign w:val="bottom"/>
          </w:tcPr>
          <w:p>
            <w:pPr>
              <w:spacing w:after="0"/>
              <w:rPr>
                <w:sz w:val="1"/>
                <w:szCs w:val="1"/>
                <w:color w:val="auto"/>
              </w:rPr>
            </w:pPr>
          </w:p>
        </w:tc>
      </w:tr>
      <w:tr>
        <w:trPr>
          <w:trHeight w:val="223"/>
        </w:trPr>
        <w:tc>
          <w:tcPr>
            <w:tcW w:w="4440" w:type="dxa"/>
            <w:vAlign w:val="bottom"/>
            <w:gridSpan w:val="2"/>
          </w:tcPr>
          <w:p>
            <w:pPr>
              <w:ind w:left="360"/>
              <w:spacing w:after="0"/>
              <w:rPr>
                <w:sz w:val="20"/>
                <w:szCs w:val="20"/>
                <w:color w:val="auto"/>
              </w:rPr>
            </w:pPr>
            <w:r>
              <w:rPr>
                <w:rFonts w:ascii="Arial" w:cs="Arial" w:eastAsia="Arial" w:hAnsi="Arial"/>
                <w:sz w:val="18"/>
                <w:szCs w:val="18"/>
                <w:color w:val="auto"/>
              </w:rPr>
              <w:t>Total other income (expense), net</w:t>
            </w:r>
          </w:p>
        </w:tc>
        <w:tc>
          <w:tcPr>
            <w:tcW w:w="300" w:type="dxa"/>
            <w:vAlign w:val="bottom"/>
          </w:tcPr>
          <w:p>
            <w:pPr>
              <w:spacing w:after="0"/>
              <w:rPr>
                <w:sz w:val="19"/>
                <w:szCs w:val="19"/>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(13,351)</w:t>
            </w:r>
          </w:p>
        </w:tc>
        <w:tc>
          <w:tcPr>
            <w:tcW w:w="1300" w:type="dxa"/>
            <w:vAlign w:val="bottom"/>
            <w:gridSpan w:val="2"/>
          </w:tcPr>
          <w:p>
            <w:pPr>
              <w:jc w:val="right"/>
              <w:ind w:right="2"/>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(5,614)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(41,096)</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4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(Loss) income before income taxes and non-controlling</w:t>
            </w:r>
          </w:p>
        </w:tc>
        <w:tc>
          <w:tcPr>
            <w:tcW w:w="300" w:type="dxa"/>
            <w:vAlign w:val="bottom"/>
          </w:tcPr>
          <w:p>
            <w:pPr>
              <w:spacing w:after="0"/>
              <w:rPr>
                <w:sz w:val="15"/>
                <w:szCs w:val="15"/>
                <w:color w:val="auto"/>
              </w:rPr>
            </w:pPr>
          </w:p>
        </w:tc>
        <w:tc>
          <w:tcPr>
            <w:tcW w:w="1020" w:type="dxa"/>
            <w:vAlign w:val="bottom"/>
            <w:vMerge w:val="restart"/>
          </w:tcPr>
          <w:p>
            <w:pPr>
              <w:jc w:val="right"/>
              <w:ind w:right="91"/>
              <w:spacing w:after="0"/>
              <w:rPr>
                <w:sz w:val="20"/>
                <w:szCs w:val="20"/>
                <w:color w:val="auto"/>
              </w:rPr>
            </w:pPr>
            <w:r>
              <w:rPr>
                <w:rFonts w:ascii="Arial" w:cs="Arial" w:eastAsia="Arial" w:hAnsi="Arial"/>
                <w:sz w:val="18"/>
                <w:szCs w:val="18"/>
                <w:color w:val="auto"/>
              </w:rPr>
              <w:t>(57,706)</w:t>
            </w:r>
          </w:p>
        </w:tc>
        <w:tc>
          <w:tcPr>
            <w:tcW w:w="100" w:type="dxa"/>
            <w:vAlign w:val="bottom"/>
          </w:tcPr>
          <w:p>
            <w:pPr>
              <w:spacing w:after="0"/>
              <w:rPr>
                <w:sz w:val="15"/>
                <w:szCs w:val="15"/>
                <w:color w:val="auto"/>
              </w:rPr>
            </w:pPr>
          </w:p>
        </w:tc>
        <w:tc>
          <w:tcPr>
            <w:tcW w:w="1300" w:type="dxa"/>
            <w:vAlign w:val="bottom"/>
            <w:gridSpan w:val="2"/>
            <w:vMerge w:val="restart"/>
          </w:tcPr>
          <w:p>
            <w:pPr>
              <w:ind w:left="840"/>
              <w:spacing w:after="0"/>
              <w:rPr>
                <w:sz w:val="20"/>
                <w:szCs w:val="20"/>
                <w:color w:val="auto"/>
              </w:rPr>
            </w:pPr>
            <w:r>
              <w:rPr>
                <w:rFonts w:ascii="Arial" w:cs="Arial" w:eastAsia="Arial" w:hAnsi="Arial"/>
                <w:sz w:val="18"/>
                <w:szCs w:val="18"/>
                <w:color w:val="auto"/>
              </w:rPr>
              <w:t>N/M</w:t>
            </w:r>
          </w:p>
        </w:tc>
        <w:tc>
          <w:tcPr>
            <w:tcW w:w="280" w:type="dxa"/>
            <w:vAlign w:val="bottom"/>
          </w:tcPr>
          <w:p>
            <w:pPr>
              <w:spacing w:after="0"/>
              <w:rPr>
                <w:sz w:val="15"/>
                <w:szCs w:val="15"/>
                <w:color w:val="auto"/>
              </w:rPr>
            </w:pPr>
          </w:p>
        </w:tc>
        <w:tc>
          <w:tcPr>
            <w:tcW w:w="1060" w:type="dxa"/>
            <w:vAlign w:val="bottom"/>
            <w:vMerge w:val="restart"/>
          </w:tcPr>
          <w:p>
            <w:pPr>
              <w:jc w:val="right"/>
              <w:ind w:right="131"/>
              <w:spacing w:after="0"/>
              <w:rPr>
                <w:sz w:val="20"/>
                <w:szCs w:val="20"/>
                <w:color w:val="auto"/>
              </w:rPr>
            </w:pPr>
            <w:r>
              <w:rPr>
                <w:rFonts w:ascii="Arial" w:cs="Arial" w:eastAsia="Arial" w:hAnsi="Arial"/>
                <w:sz w:val="18"/>
                <w:szCs w:val="18"/>
                <w:color w:val="auto"/>
              </w:rPr>
              <w:t>12,439</w:t>
            </w:r>
          </w:p>
        </w:tc>
        <w:tc>
          <w:tcPr>
            <w:tcW w:w="100" w:type="dxa"/>
            <w:vAlign w:val="bottom"/>
          </w:tcPr>
          <w:p>
            <w:pPr>
              <w:spacing w:after="0"/>
              <w:rPr>
                <w:sz w:val="15"/>
                <w:szCs w:val="15"/>
                <w:color w:val="auto"/>
              </w:rPr>
            </w:pPr>
          </w:p>
        </w:tc>
        <w:tc>
          <w:tcPr>
            <w:tcW w:w="1300" w:type="dxa"/>
            <w:vAlign w:val="bottom"/>
            <w:gridSpan w:val="2"/>
            <w:vMerge w:val="restart"/>
          </w:tcPr>
          <w:p>
            <w:pPr>
              <w:ind w:left="840"/>
              <w:spacing w:after="0"/>
              <w:rPr>
                <w:sz w:val="20"/>
                <w:szCs w:val="20"/>
                <w:color w:val="auto"/>
              </w:rPr>
            </w:pPr>
            <w:r>
              <w:rPr>
                <w:rFonts w:ascii="Arial" w:cs="Arial" w:eastAsia="Arial" w:hAnsi="Arial"/>
                <w:sz w:val="18"/>
                <w:szCs w:val="18"/>
                <w:color w:val="auto"/>
              </w:rPr>
              <w:t>N/M</w:t>
            </w:r>
          </w:p>
        </w:tc>
        <w:tc>
          <w:tcPr>
            <w:tcW w:w="320" w:type="dxa"/>
            <w:vAlign w:val="bottom"/>
          </w:tcPr>
          <w:p>
            <w:pPr>
              <w:spacing w:after="0"/>
              <w:rPr>
                <w:sz w:val="15"/>
                <w:szCs w:val="15"/>
                <w:color w:val="auto"/>
              </w:rPr>
            </w:pPr>
          </w:p>
        </w:tc>
        <w:tc>
          <w:tcPr>
            <w:tcW w:w="1020" w:type="dxa"/>
            <w:vAlign w:val="bottom"/>
            <w:vMerge w:val="restart"/>
          </w:tcPr>
          <w:p>
            <w:pPr>
              <w:jc w:val="right"/>
              <w:ind w:right="131"/>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29"/>
        </w:trPr>
        <w:tc>
          <w:tcPr>
            <w:tcW w:w="4440" w:type="dxa"/>
            <w:vAlign w:val="bottom"/>
            <w:gridSpan w:val="2"/>
          </w:tcPr>
          <w:p>
            <w:pPr>
              <w:ind w:left="180"/>
              <w:spacing w:after="0"/>
              <w:rPr>
                <w:sz w:val="20"/>
                <w:szCs w:val="20"/>
                <w:color w:val="auto"/>
              </w:rPr>
            </w:pPr>
            <w:r>
              <w:rPr>
                <w:rFonts w:ascii="Arial" w:cs="Arial" w:eastAsia="Arial" w:hAnsi="Arial"/>
                <w:sz w:val="18"/>
                <w:szCs w:val="18"/>
                <w:color w:val="auto"/>
              </w:rPr>
              <w:t>interests</w:t>
            </w:r>
          </w:p>
        </w:tc>
        <w:tc>
          <w:tcPr>
            <w:tcW w:w="3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(8,609)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(318,296)</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N/M</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(4,098)</w:t>
            </w:r>
          </w:p>
        </w:tc>
        <w:tc>
          <w:tcPr>
            <w:tcW w:w="0" w:type="dxa"/>
            <w:vAlign w:val="bottom"/>
          </w:tcPr>
          <w:p>
            <w:pPr>
              <w:spacing w:after="0"/>
              <w:rPr>
                <w:sz w:val="1"/>
                <w:szCs w:val="1"/>
                <w:color w:val="auto"/>
              </w:rPr>
            </w:pPr>
          </w:p>
        </w:tc>
      </w:tr>
      <w:tr>
        <w:trPr>
          <w:trHeight w:val="196"/>
        </w:trPr>
        <w:tc>
          <w:tcPr>
            <w:tcW w:w="4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(66,315)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(305,857)</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N/M</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(2,699)</w:t>
            </w:r>
          </w:p>
        </w:tc>
        <w:tc>
          <w:tcPr>
            <w:tcW w:w="0" w:type="dxa"/>
            <w:vAlign w:val="bottom"/>
          </w:tcPr>
          <w:p>
            <w:pPr>
              <w:spacing w:after="0"/>
              <w:rPr>
                <w:sz w:val="1"/>
                <w:szCs w:val="1"/>
                <w:color w:val="auto"/>
              </w:rPr>
            </w:pPr>
          </w:p>
        </w:tc>
      </w:tr>
      <w:tr>
        <w:trPr>
          <w:trHeight w:val="230"/>
        </w:trPr>
        <w:tc>
          <w:tcPr>
            <w:tcW w:w="44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(841)</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(2,112)</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(2,683)</w:t>
            </w:r>
          </w:p>
        </w:tc>
        <w:tc>
          <w:tcPr>
            <w:tcW w:w="0" w:type="dxa"/>
            <w:vAlign w:val="bottom"/>
          </w:tcPr>
          <w:p>
            <w:pPr>
              <w:spacing w:after="0"/>
              <w:rPr>
                <w:sz w:val="1"/>
                <w:szCs w:val="1"/>
                <w:color w:val="auto"/>
              </w:rPr>
            </w:pPr>
          </w:p>
        </w:tc>
      </w:tr>
      <w:tr>
        <w:trPr>
          <w:trHeight w:val="196"/>
        </w:trPr>
        <w:tc>
          <w:tcPr>
            <w:tcW w:w="4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Net loss attributable to Altisource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(67,156)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(307,969)</w:t>
            </w:r>
          </w:p>
        </w:tc>
        <w:tc>
          <w:tcPr>
            <w:tcW w:w="100" w:type="dxa"/>
            <w:vAlign w:val="bottom"/>
          </w:tcPr>
          <w:p>
            <w:pPr>
              <w:spacing w:after="0"/>
              <w:rPr>
                <w:sz w:val="19"/>
                <w:szCs w:val="19"/>
                <w:color w:val="auto"/>
              </w:rPr>
            </w:pPr>
          </w:p>
        </w:tc>
        <w:tc>
          <w:tcPr>
            <w:tcW w:w="1300" w:type="dxa"/>
            <w:vAlign w:val="bottom"/>
            <w:gridSpan w:val="2"/>
          </w:tcPr>
          <w:p>
            <w:pPr>
              <w:ind w:left="840"/>
              <w:spacing w:after="0"/>
              <w:rPr>
                <w:sz w:val="20"/>
                <w:szCs w:val="20"/>
                <w:color w:val="auto"/>
              </w:rPr>
            </w:pPr>
            <w:r>
              <w:rPr>
                <w:rFonts w:ascii="Arial" w:cs="Arial" w:eastAsia="Arial" w:hAnsi="Arial"/>
                <w:sz w:val="18"/>
                <w:szCs w:val="18"/>
                <w:color w:val="auto"/>
              </w:rPr>
              <w:t>N/M</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(5,382)</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Margins: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Gross profit/service revenue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30"/>
        </w:trPr>
        <w:tc>
          <w:tcPr>
            <w:tcW w:w="4440" w:type="dxa"/>
            <w:vAlign w:val="bottom"/>
            <w:gridSpan w:val="2"/>
          </w:tcPr>
          <w:p>
            <w:pPr>
              <w:ind w:left="140"/>
              <w:spacing w:after="0"/>
              <w:rPr>
                <w:sz w:val="20"/>
                <w:szCs w:val="20"/>
                <w:color w:val="auto"/>
              </w:rPr>
            </w:pPr>
            <w:r>
              <w:rPr>
                <w:rFonts w:ascii="Arial" w:cs="Arial" w:eastAsia="Arial" w:hAnsi="Arial"/>
                <w:sz w:val="18"/>
                <w:szCs w:val="18"/>
                <w:color w:val="auto"/>
              </w:rPr>
              <w:t>(Loss) income from operations/service revenue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Loss per share:</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44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(4.31)</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(19.26)</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N/M</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440" w:type="dxa"/>
            <w:vAlign w:val="bottom"/>
            <w:gridSpan w:val="2"/>
          </w:tcPr>
          <w:p>
            <w:pPr>
              <w:ind w:left="140"/>
              <w:spacing w:after="0" w:line="203" w:lineRule="exact"/>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91"/>
              <w:spacing w:after="0" w:line="203" w:lineRule="exact"/>
              <w:rPr>
                <w:sz w:val="20"/>
                <w:szCs w:val="20"/>
                <w:color w:val="auto"/>
              </w:rPr>
            </w:pPr>
            <w:r>
              <w:rPr>
                <w:rFonts w:ascii="Arial" w:cs="Arial" w:eastAsia="Arial" w:hAnsi="Arial"/>
                <w:sz w:val="18"/>
                <w:szCs w:val="18"/>
                <w:color w:val="auto"/>
              </w:rPr>
              <w:t>(4.31)</w:t>
            </w:r>
          </w:p>
        </w:tc>
        <w:tc>
          <w:tcPr>
            <w:tcW w:w="13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(78)</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91"/>
              <w:spacing w:after="0" w:line="203" w:lineRule="exact"/>
              <w:rPr>
                <w:sz w:val="20"/>
                <w:szCs w:val="20"/>
                <w:color w:val="auto"/>
              </w:rPr>
            </w:pPr>
            <w:r>
              <w:rPr>
                <w:rFonts w:ascii="Arial" w:cs="Arial" w:eastAsia="Arial" w:hAnsi="Arial"/>
                <w:sz w:val="18"/>
                <w:szCs w:val="18"/>
                <w:color w:val="auto"/>
              </w:rPr>
              <w:t>(19.26)</w:t>
            </w:r>
          </w:p>
        </w:tc>
        <w:tc>
          <w:tcPr>
            <w:tcW w:w="100" w:type="dxa"/>
            <w:vAlign w:val="bottom"/>
          </w:tcPr>
          <w:p>
            <w:pPr>
              <w:spacing w:after="0"/>
              <w:rPr>
                <w:sz w:val="17"/>
                <w:szCs w:val="17"/>
                <w:color w:val="auto"/>
              </w:rPr>
            </w:pPr>
          </w:p>
        </w:tc>
        <w:tc>
          <w:tcPr>
            <w:tcW w:w="1300" w:type="dxa"/>
            <w:vAlign w:val="bottom"/>
            <w:gridSpan w:val="2"/>
          </w:tcPr>
          <w:p>
            <w:pPr>
              <w:ind w:left="840"/>
              <w:spacing w:after="0" w:line="203" w:lineRule="exact"/>
              <w:rPr>
                <w:sz w:val="20"/>
                <w:szCs w:val="20"/>
                <w:color w:val="auto"/>
              </w:rPr>
            </w:pPr>
            <w:r>
              <w:rPr>
                <w:rFonts w:ascii="Arial" w:cs="Arial" w:eastAsia="Arial" w:hAnsi="Arial"/>
                <w:sz w:val="18"/>
                <w:szCs w:val="18"/>
                <w:color w:val="auto"/>
              </w:rPr>
              <w:t>N/M</w:t>
            </w: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91"/>
              <w:spacing w:after="0" w:line="203" w:lineRule="exact"/>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Weighted average shares outstanding:</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44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15,598</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15,991</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17,073</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440" w:type="dxa"/>
            <w:vAlign w:val="bottom"/>
            <w:gridSpan w:val="2"/>
          </w:tcPr>
          <w:p>
            <w:pPr>
              <w:ind w:left="140"/>
              <w:spacing w:after="0" w:line="203" w:lineRule="exact"/>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31"/>
              <w:spacing w:after="0" w:line="203" w:lineRule="exact"/>
              <w:rPr>
                <w:sz w:val="20"/>
                <w:szCs w:val="20"/>
                <w:color w:val="auto"/>
              </w:rPr>
            </w:pPr>
            <w:r>
              <w:rPr>
                <w:rFonts w:ascii="Arial" w:cs="Arial" w:eastAsia="Arial" w:hAnsi="Arial"/>
                <w:sz w:val="18"/>
                <w:szCs w:val="18"/>
                <w:color w:val="auto"/>
              </w:rPr>
              <w:t>15,598</w:t>
            </w:r>
          </w:p>
        </w:tc>
        <w:tc>
          <w:tcPr>
            <w:tcW w:w="13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31"/>
              <w:spacing w:after="0" w:line="203" w:lineRule="exact"/>
              <w:rPr>
                <w:sz w:val="20"/>
                <w:szCs w:val="20"/>
                <w:color w:val="auto"/>
              </w:rPr>
            </w:pPr>
            <w:r>
              <w:rPr>
                <w:rFonts w:ascii="Arial" w:cs="Arial" w:eastAsia="Arial" w:hAnsi="Arial"/>
                <w:sz w:val="18"/>
                <w:szCs w:val="18"/>
                <w:color w:val="auto"/>
              </w:rPr>
              <w:t>15,991</w:t>
            </w:r>
          </w:p>
        </w:tc>
        <w:tc>
          <w:tcPr>
            <w:tcW w:w="13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31"/>
              <w:spacing w:after="0" w:line="203" w:lineRule="exact"/>
              <w:rPr>
                <w:sz w:val="20"/>
                <w:szCs w:val="20"/>
                <w:color w:val="auto"/>
              </w:rPr>
            </w:pPr>
            <w:r>
              <w:rPr>
                <w:rFonts w:ascii="Arial" w:cs="Arial" w:eastAsia="Arial" w:hAnsi="Arial"/>
                <w:sz w:val="18"/>
                <w:szCs w:val="18"/>
                <w:color w:val="auto"/>
              </w:rPr>
              <w:t>17,073</w:t>
            </w: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w:t>
            </w: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43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440" w:type="dxa"/>
            <w:vAlign w:val="bottom"/>
            <w:gridSpan w:val="2"/>
          </w:tcPr>
          <w:p>
            <w:pPr>
              <w:spacing w:after="0"/>
              <w:rPr>
                <w:sz w:val="20"/>
                <w:szCs w:val="20"/>
                <w:color w:val="auto"/>
              </w:rPr>
            </w:pPr>
            <w:r>
              <w:rPr>
                <w:rFonts w:ascii="Arial" w:cs="Arial" w:eastAsia="Arial" w:hAnsi="Arial"/>
                <w:sz w:val="18"/>
                <w:szCs w:val="18"/>
                <w:color w:val="auto"/>
              </w:rPr>
              <w:t>N/M — not meaningful.</w:t>
            </w: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64"/>
        </w:trPr>
        <w:tc>
          <w:tcPr>
            <w:tcW w:w="4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Certain non-GAAP financial measures for the years ended December 31: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 except per share data)</w:t>
            </w:r>
          </w:p>
        </w:tc>
        <w:tc>
          <w:tcPr>
            <w:tcW w:w="100" w:type="dxa"/>
            <w:vAlign w:val="bottom"/>
            <w:vMerge w:val="restart"/>
          </w:tcPr>
          <w:p>
            <w:pPr>
              <w:spacing w:after="0"/>
              <w:rPr>
                <w:sz w:val="14"/>
                <w:szCs w:val="14"/>
                <w:color w:val="auto"/>
              </w:rPr>
            </w:pPr>
          </w:p>
        </w:tc>
        <w:tc>
          <w:tcPr>
            <w:tcW w:w="124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122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122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8"/>
        </w:trPr>
        <w:tc>
          <w:tcPr>
            <w:tcW w:w="45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100" w:type="dxa"/>
            <w:vAlign w:val="bottom"/>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120" w:type="dxa"/>
            <w:vAlign w:val="bottom"/>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Financial Measures</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29"/>
        </w:trPr>
        <w:tc>
          <w:tcPr>
            <w:tcW w:w="4660" w:type="dxa"/>
            <w:vAlign w:val="bottom"/>
          </w:tcPr>
          <w:p>
            <w:pPr>
              <w:ind w:left="140"/>
              <w:spacing w:after="0"/>
              <w:rPr>
                <w:sz w:val="20"/>
                <w:szCs w:val="20"/>
                <w:color w:val="auto"/>
              </w:rPr>
            </w:pPr>
            <w:r>
              <w:rPr>
                <w:rFonts w:ascii="Arial" w:cs="Arial" w:eastAsia="Arial" w:hAnsi="Arial"/>
                <w:sz w:val="18"/>
                <w:szCs w:val="18"/>
                <w:color w:val="auto"/>
              </w:rPr>
              <w:t>Adjusted net (loss) income attributable to Altisource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(29,121)</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(234)</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21,802</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(49)</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42,609</w:t>
            </w: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9"/>
        </w:trPr>
        <w:tc>
          <w:tcPr>
            <w:tcW w:w="4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Adjusted diluted (loss) earnings per share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(240)</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(45)</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660" w:type="dxa"/>
            <w:vAlign w:val="bottom"/>
          </w:tcPr>
          <w:p>
            <w:pPr>
              <w:ind w:left="140"/>
              <w:spacing w:after="0" w:line="203" w:lineRule="exact"/>
              <w:rPr>
                <w:sz w:val="20"/>
                <w:szCs w:val="20"/>
                <w:color w:val="auto"/>
              </w:rPr>
            </w:pPr>
            <w:r>
              <w:rPr>
                <w:rFonts w:ascii="Arial" w:cs="Arial" w:eastAsia="Arial" w:hAnsi="Arial"/>
                <w:sz w:val="18"/>
                <w:szCs w:val="18"/>
                <w:color w:val="auto"/>
              </w:rPr>
              <w:t>Adjusted EBITDA</w:t>
            </w:r>
          </w:p>
        </w:tc>
        <w:tc>
          <w:tcPr>
            <w:tcW w:w="3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10,243</w:t>
            </w:r>
          </w:p>
        </w:tc>
        <w:tc>
          <w:tcPr>
            <w:tcW w:w="1440" w:type="dxa"/>
            <w:vAlign w:val="bottom"/>
          </w:tcPr>
          <w:p>
            <w:pPr>
              <w:jc w:val="right"/>
              <w:ind w:right="50"/>
              <w:spacing w:after="0" w:line="203" w:lineRule="exact"/>
              <w:rPr>
                <w:sz w:val="20"/>
                <w:szCs w:val="20"/>
                <w:color w:val="auto"/>
              </w:rPr>
            </w:pPr>
            <w:r>
              <w:rPr>
                <w:rFonts w:ascii="Arial" w:cs="Arial" w:eastAsia="Arial" w:hAnsi="Arial"/>
                <w:sz w:val="18"/>
                <w:szCs w:val="18"/>
                <w:color w:val="auto"/>
              </w:rPr>
              <w:t>(86)</w:t>
            </w:r>
          </w:p>
        </w:tc>
        <w:tc>
          <w:tcPr>
            <w:tcW w:w="3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70,800</w:t>
            </w:r>
          </w:p>
        </w:tc>
        <w:tc>
          <w:tcPr>
            <w:tcW w:w="1460" w:type="dxa"/>
            <w:vAlign w:val="bottom"/>
          </w:tcPr>
          <w:p>
            <w:pPr>
              <w:jc w:val="right"/>
              <w:ind w:right="50"/>
              <w:spacing w:after="0" w:line="203" w:lineRule="exact"/>
              <w:rPr>
                <w:sz w:val="20"/>
                <w:szCs w:val="20"/>
                <w:color w:val="auto"/>
              </w:rPr>
            </w:pPr>
            <w:r>
              <w:rPr>
                <w:rFonts w:ascii="Arial" w:cs="Arial" w:eastAsia="Arial" w:hAnsi="Arial"/>
                <w:sz w:val="18"/>
                <w:szCs w:val="18"/>
                <w:color w:val="auto"/>
              </w:rPr>
              <w:t>(40)</w:t>
            </w: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118,279</w:t>
            </w:r>
          </w:p>
        </w:tc>
      </w:tr>
      <w:tr>
        <w:trPr>
          <w:trHeight w:val="20"/>
        </w:trPr>
        <w:tc>
          <w:tcPr>
            <w:tcW w:w="4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w:t>
      </w:r>
    </w:p>
    <w:p>
      <w:pPr>
        <w:spacing w:after="0" w:line="20" w:lineRule="exact"/>
        <w:rPr>
          <w:sz w:val="20"/>
          <w:szCs w:val="20"/>
          <w:color w:val="auto"/>
        </w:rPr>
      </w:pPr>
    </w:p>
    <w:p>
      <w:pPr>
        <w:ind w:left="260" w:hanging="252"/>
        <w:spacing w:after="0"/>
        <w:tabs>
          <w:tab w:leader="none" w:pos="260"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These are non-GAAP measures that are defined and reconciled to the corresponding GAAP measures on pages 28 to 33.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Revenue by line of business consists of the following for the years ended December 31: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460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 except per share data)</w:t>
            </w:r>
          </w:p>
        </w:tc>
        <w:tc>
          <w:tcPr>
            <w:tcW w:w="280" w:type="dxa"/>
            <w:vAlign w:val="bottom"/>
          </w:tcPr>
          <w:p>
            <w:pPr>
              <w:spacing w:after="0"/>
              <w:rPr>
                <w:sz w:val="14"/>
                <w:szCs w:val="14"/>
                <w:color w:val="auto"/>
              </w:rPr>
            </w:pPr>
          </w:p>
        </w:tc>
        <w:tc>
          <w:tcPr>
            <w:tcW w:w="9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4"/>
                <w:szCs w:val="14"/>
                <w:color w:val="auto"/>
              </w:rPr>
            </w:pPr>
          </w:p>
        </w:tc>
        <w:tc>
          <w:tcPr>
            <w:tcW w:w="94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4"/>
                <w:szCs w:val="14"/>
                <w:color w:val="auto"/>
              </w:rPr>
            </w:pPr>
          </w:p>
        </w:tc>
        <w:tc>
          <w:tcPr>
            <w:tcW w:w="94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46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4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 revenue: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600" w:type="dxa"/>
            <w:vAlign w:val="bottom"/>
            <w:gridSpan w:val="2"/>
          </w:tcPr>
          <w:p>
            <w:pPr>
              <w:ind w:left="140"/>
              <w:spacing w:after="0"/>
              <w:rPr>
                <w:sz w:val="20"/>
                <w:szCs w:val="20"/>
                <w:color w:val="auto"/>
              </w:rPr>
            </w:pPr>
            <w:r>
              <w:rPr>
                <w:rFonts w:ascii="Arial" w:cs="Arial" w:eastAsia="Arial" w:hAnsi="Arial"/>
                <w:sz w:val="18"/>
                <w:szCs w:val="18"/>
                <w:color w:val="auto"/>
              </w:rPr>
              <w:t>Field Services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157,100</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271,924</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296,343</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Marketplace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82,189</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127,093</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186,620</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600" w:type="dxa"/>
            <w:vAlign w:val="bottom"/>
            <w:gridSpan w:val="2"/>
          </w:tcPr>
          <w:p>
            <w:pPr>
              <w:ind w:left="140"/>
              <w:spacing w:after="0"/>
              <w:rPr>
                <w:sz w:val="20"/>
                <w:szCs w:val="20"/>
                <w:color w:val="auto"/>
              </w:rPr>
            </w:pPr>
            <w:r>
              <w:rPr>
                <w:rFonts w:ascii="Arial" w:cs="Arial" w:eastAsia="Arial" w:hAnsi="Arial"/>
                <w:sz w:val="18"/>
                <w:szCs w:val="18"/>
                <w:color w:val="auto"/>
              </w:rPr>
              <w:t>Mortgage and Real Estate Solutions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103,906</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116,194</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128,926</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Earlier Stage Business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N/M</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6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1,875</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105,104</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193,298</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service revenue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347,313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621,866</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805,480</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Reimbursable expenses: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600" w:type="dxa"/>
            <w:vAlign w:val="bottom"/>
            <w:gridSpan w:val="2"/>
          </w:tcPr>
          <w:p>
            <w:pPr>
              <w:ind w:left="140"/>
              <w:spacing w:after="0"/>
              <w:rPr>
                <w:sz w:val="20"/>
                <w:szCs w:val="20"/>
                <w:color w:val="auto"/>
              </w:rPr>
            </w:pPr>
            <w:r>
              <w:rPr>
                <w:rFonts w:ascii="Arial" w:cs="Arial" w:eastAsia="Arial" w:hAnsi="Arial"/>
                <w:sz w:val="18"/>
                <w:szCs w:val="18"/>
                <w:color w:val="auto"/>
              </w:rPr>
              <w:t>Field Services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4,344</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9,290</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21,083</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Marketplace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8,331</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10,819</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3,817</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600" w:type="dxa"/>
            <w:vAlign w:val="bottom"/>
            <w:gridSpan w:val="2"/>
          </w:tcPr>
          <w:p>
            <w:pPr>
              <w:ind w:left="140"/>
              <w:spacing w:after="0"/>
              <w:rPr>
                <w:sz w:val="20"/>
                <w:szCs w:val="20"/>
                <w:color w:val="auto"/>
              </w:rPr>
            </w:pPr>
            <w:r>
              <w:rPr>
                <w:rFonts w:ascii="Arial" w:cs="Arial" w:eastAsia="Arial" w:hAnsi="Arial"/>
                <w:sz w:val="18"/>
                <w:szCs w:val="18"/>
                <w:color w:val="auto"/>
              </w:rPr>
              <w:t>Mortgage and Real Estate Solutions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3,610</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3,873</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4,900</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600" w:type="dxa"/>
            <w:vAlign w:val="bottom"/>
            <w:gridSpan w:val="2"/>
          </w:tcPr>
          <w:p>
            <w:pPr>
              <w:ind w:left="340"/>
              <w:spacing w:after="0"/>
              <w:rPr>
                <w:sz w:val="20"/>
                <w:szCs w:val="20"/>
                <w:color w:val="auto"/>
              </w:rPr>
            </w:pPr>
            <w:r>
              <w:rPr>
                <w:rFonts w:ascii="Arial" w:cs="Arial" w:eastAsia="Arial" w:hAnsi="Arial"/>
                <w:sz w:val="18"/>
                <w:szCs w:val="18"/>
                <w:color w:val="auto"/>
              </w:rPr>
              <w:t>Total reimbursable expenses</w:t>
            </w: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16,285</w:t>
            </w:r>
          </w:p>
        </w:tc>
        <w:tc>
          <w:tcPr>
            <w:tcW w:w="100" w:type="dxa"/>
            <w:vAlign w:val="bottom"/>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24,172</w:t>
            </w:r>
          </w:p>
        </w:tc>
        <w:tc>
          <w:tcPr>
            <w:tcW w:w="12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30,039</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600" w:type="dxa"/>
            <w:vAlign w:val="bottom"/>
            <w:gridSpan w:val="2"/>
          </w:tcPr>
          <w:p>
            <w:pPr>
              <w:ind w:left="20"/>
              <w:spacing w:after="0"/>
              <w:rPr>
                <w:sz w:val="20"/>
                <w:szCs w:val="20"/>
                <w:color w:val="auto"/>
              </w:rPr>
            </w:pPr>
            <w:r>
              <w:rPr>
                <w:rFonts w:ascii="Arial" w:cs="Arial" w:eastAsia="Arial" w:hAnsi="Arial"/>
                <w:sz w:val="18"/>
                <w:szCs w:val="18"/>
                <w:color w:val="auto"/>
              </w:rPr>
              <w:t>Non-controlling interests: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Mortgage and Real Estate Solutions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1,949</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2,613</w:t>
            </w:r>
          </w:p>
        </w:tc>
        <w:tc>
          <w:tcPr>
            <w:tcW w:w="12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2,683</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6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365,547</w:t>
            </w: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648,651</w:t>
            </w: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838,202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660" w:type="dxa"/>
            <w:vAlign w:val="bottom"/>
            <w:gridSpan w:val="3"/>
            <w:vMerge w:val="restart"/>
          </w:tcPr>
          <w:p>
            <w:pPr>
              <w:spacing w:after="0"/>
              <w:rPr>
                <w:sz w:val="20"/>
                <w:szCs w:val="20"/>
                <w:color w:val="auto"/>
              </w:rPr>
            </w:pPr>
            <w:r>
              <w:rPr>
                <w:rFonts w:ascii="Arial" w:cs="Arial" w:eastAsia="Arial" w:hAnsi="Arial"/>
                <w:sz w:val="18"/>
                <w:szCs w:val="18"/>
                <w:color w:val="auto"/>
              </w:rPr>
              <w:t>N/M — not meaningful.</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466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2020 service revenue of $347.3 million was 44% lower than 2019 primarily from COVID-19 pandemic related foreclosure and eviction moratoriums and borrower forbearance plans, an MSR investor’s instructions to Ocwen to transition field services, title and valuation referrals historically provided to Altisource to the MSR investor’s captive vendors, a higher percentage of a customer’s homes sold at the foreclosure auction (this reduces our REO auction, brokerage, field services and title service revenue) and the 2019 sale, discontinuation and exit from certain businesses, partially offset by an increase in revenue from customers other than Ocwen, NRZ and RESI.</w:t>
      </w:r>
    </w:p>
    <w:p>
      <w:pPr>
        <w:spacing w:after="0" w:line="13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recognized service revenue of $621.9 million for the year ended December 31, 2019, a 23% decrease compared to the year ended December 31, 2018. Field Services, Marketplace and Mortgage and Real Estate Solutions were negatively impacted during 2019 by the reduction in the size of Ocwen’s portfolio and number of delinquent loans, NRZ’s more aggressive sale of homes at foreclosure auctions (which reduces our REO auction, brokerage, field services and title referral service revenue), RESI’s smaller portfolio of non-performing loans and REO and the temporary impact that Ocwen’s transition to another servicing system had on Ocwen and NRZ default related referral volume and Ocwen and NRZ REO inventory conversion rates. The Company estimates that revenue was approximately $7.2 million lower in the year ended December 31, 2019 because of lower REO inventory conversion rates related to Ocwen’s transition to a new servicing system. These decreases were partially offset by an increase in Field Services and Mortgage and Real Estate Solutions revenue from higher volumes of orders and services from customers other than Ocwen, NRZ and RESI. In addition, Other service revenue declined from the July 1, 2019</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sale of the Financial Services Business, lower REALServicing revenue from Ocwen’s second quarter 2019 migration to another servicing system and from the discontinuation of the BRS business.</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recognized reimbursable expense revenue of $16.3 million for the year ended December 31, 2020, a 33% decrease compared to the year ended December 31, 2019. We recognized reimbursable expense revenue of $24.2 million for the year ended December 31, 2019, a 20% decrease compared to the year ended December 31, 2018. The decreases in reimbursable expense revenue for the years ended December 31, 2020 and 2019 were primarily for the reasons discussed in service revenue above, partially offset by increases in reimbursable expense revenue for a new early stage disposition service offering (cash for keys program and evictions) initiated in June 2019 in Marketplace and, for the year ended December 2020, an increase in certain title and foreclosure trustee volumes in Mortgage and Real Estate Solutions.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of our revenues can be impacted by seasonality. More specifically, revenues from property sales, loan originations and certain property preservation services in Field Services typically tend to be at their lowest level during the fall and winter months and at their highest level during the spring and summer months.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 and Gross Profit</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revenue principally includes payroll and employee benefits associated with personnel employed in customer service and operations roles, fees paid to external providers related to the provision of services, cost of real estate sold, reimbursable expenses, technology and telecommunications costs and depreciation and amortization of operating assets.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consists of the following for the years ended December 31: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4"/>
                <w:szCs w:val="14"/>
                <w:color w:val="auto"/>
              </w:rPr>
            </w:pPr>
          </w:p>
        </w:tc>
        <w:tc>
          <w:tcPr>
            <w:tcW w:w="90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4"/>
                <w:szCs w:val="14"/>
                <w:color w:val="auto"/>
              </w:rPr>
            </w:pPr>
          </w:p>
        </w:tc>
        <w:tc>
          <w:tcPr>
            <w:tcW w:w="90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4"/>
                <w:szCs w:val="14"/>
                <w:color w:val="auto"/>
              </w:rPr>
            </w:pPr>
          </w:p>
        </w:tc>
        <w:tc>
          <w:tcPr>
            <w:tcW w:w="92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8"/>
        </w:trPr>
        <w:tc>
          <w:tcPr>
            <w:tcW w:w="47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94,365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135,502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200,486</w:t>
            </w:r>
          </w:p>
        </w:tc>
        <w:tc>
          <w:tcPr>
            <w:tcW w:w="0" w:type="dxa"/>
            <w:vAlign w:val="bottom"/>
          </w:tcPr>
          <w:p>
            <w:pPr>
              <w:spacing w:after="0"/>
              <w:rPr>
                <w:sz w:val="1"/>
                <w:szCs w:val="1"/>
                <w:color w:val="auto"/>
              </w:rPr>
            </w:pPr>
          </w:p>
        </w:tc>
      </w:tr>
      <w:tr>
        <w:trPr>
          <w:trHeight w:val="229"/>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Outside fees and services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146,322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240,796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278,380</w:t>
            </w: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Technology and telecommunications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35,912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41,588</w:t>
            </w:r>
          </w:p>
        </w:tc>
        <w:tc>
          <w:tcPr>
            <w:tcW w:w="0" w:type="dxa"/>
            <w:vAlign w:val="bottom"/>
          </w:tcPr>
          <w:p>
            <w:pPr>
              <w:spacing w:after="0"/>
              <w:rPr>
                <w:sz w:val="1"/>
                <w:szCs w:val="1"/>
                <w:color w:val="auto"/>
              </w:rPr>
            </w:pPr>
          </w:p>
        </w:tc>
      </w:tr>
      <w:tr>
        <w:trPr>
          <w:trHeight w:val="230"/>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Reimbursable expenses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16,285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24,172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30,039</w:t>
            </w: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24,013</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real estate sold</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42,763</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47,659</w:t>
            </w:r>
          </w:p>
        </w:tc>
        <w:tc>
          <w:tcPr>
            <w:tcW w:w="0" w:type="dxa"/>
            <w:vAlign w:val="bottom"/>
          </w:tcPr>
          <w:p>
            <w:pPr>
              <w:spacing w:after="0"/>
              <w:rPr>
                <w:sz w:val="1"/>
                <w:szCs w:val="1"/>
                <w:color w:val="auto"/>
              </w:rPr>
            </w:pPr>
          </w:p>
        </w:tc>
      </w:tr>
      <w:tr>
        <w:trPr>
          <w:trHeight w:val="196"/>
        </w:trPr>
        <w:tc>
          <w:tcPr>
            <w:tcW w:w="4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305,194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493,256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622,165</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recognized cost of revenue of $305.2 million for the year ended December 31, 2020, a 38% decrease compared to the year ended December 31, 2019. The decreases in compensation and benefits, outside fees and services and cost of real estate sold were primarily driven by lower service revenue in Field Services and Marketplace businesses, the July 1, 2019 sale of the Financial Services Business, the discontinuation of the BRS business and the wind down of Owners.com, discussed in the revenue section above. Compensation and benefits also decreased due to lower headcount and temporary reductions in compensation in connection with cash cost savings measures initiated in the second quarter of 2020 in response to the COVID-19 pandemic related decreases in service revenue discussed in the revenue section above and as a result of the Project Catalyst reorganization. The decreases in reimbursable expenses were consistent with the changes in reimbursable expense revenue discussed in the revenue section above.</w:t>
      </w:r>
    </w:p>
    <w:p>
      <w:pPr>
        <w:spacing w:after="0" w:line="1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recognized cost of revenue of $493.3 million for the year ended December 31, 2019, a 21% decrease compared to the year ended December 31, 2018. The decrease was primarily driven by lower revenue in Field Services, Marketplace and Mortgage and Real Estate Solutions businesses and the July 1, 2019 sale of the Financial Services Business. Compensation and benefits decreased at a greater percentage than the decline in service revenue due to lower headcount as a result of the Project Catalyst reorganization and the transfer of certain employees to SG&amp;A functions in connection with the Project Catalyst reorganization. Depreciation and amortization was lower from the completion of the depreciation periods of certain premises and equipment and the reduction in capital expenditures. The decrease in reimbursable expenses was consistent with the decrease in reimbursable expense revenue discussed in the revenue section above.</w:t>
      </w:r>
    </w:p>
    <w:p>
      <w:pPr>
        <w:spacing w:after="0" w:line="14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Gross profit decreased to $60.4 million, representing 17% of service revenue, for the year ended December 31, 2020 compared to $155.4 million, representing 25% of service revenue, for the year ended December 31, 2019. Gross profit as a percentage of service revenue in 2020 decreased compared to 2019, primarily due to revenue mix with lower revenue from the higher margin Marketplace business, lower gross margin in the Field Services business, the impact of the July 1, 2019 sale of the Financial Services Business and higher revenue from the 2019 sale of the BRS Inventory that resulted in a $1.8 million loss. These decreases were partially offset by our COVID-19 pandemic cost savings measures, Project Catalyst cost reduction initiatives.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Gross profit decreased to $155.4 million, representing 25% of service revenue, for the year ended December 31, 2019 compared to $216.0 million, representing 27% of service revenue, for the year ended December 31, 2018. Gross profit as a percentage of service revenue in 2019 decreased compared to 2018, primarily due to revenue mix with lower revenue from the higher margin Marketplace business. The revenue mix change was partially impacted by Ocwen's servicing system transition, as discussed above. Absent the transition, we believe we would have had substantially higher Hubzu sale conversion rates generating more revenue at higher margins. These decreases were partially offset by our Project Catalyst cost reduction initiatives.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SG&amp;A includes payroll for personnel employed in executive, sales and marketing, finance, law, compliance, human resources, vendor management, facilities and risk management roles. This category also includes professional services fees, occupancy costs, marketing costs, depreciation and amortization of non-operating assets and other expenses.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consist of the following for the years ended December 31: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4"/>
                <w:szCs w:val="14"/>
                <w:color w:val="auto"/>
              </w:rPr>
            </w:pPr>
          </w:p>
        </w:tc>
        <w:tc>
          <w:tcPr>
            <w:tcW w:w="90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4"/>
                <w:szCs w:val="14"/>
                <w:color w:val="auto"/>
              </w:rPr>
            </w:pPr>
          </w:p>
        </w:tc>
        <w:tc>
          <w:tcPr>
            <w:tcW w:w="92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4"/>
                <w:szCs w:val="14"/>
                <w:color w:val="auto"/>
              </w:rPr>
            </w:pPr>
          </w:p>
        </w:tc>
        <w:tc>
          <w:tcPr>
            <w:tcW w:w="92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8"/>
        </w:trPr>
        <w:tc>
          <w:tcPr>
            <w:tcW w:w="47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49,875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51,043</w:t>
            </w:r>
          </w:p>
        </w:tc>
        <w:tc>
          <w:tcPr>
            <w:tcW w:w="0" w:type="dxa"/>
            <w:vAlign w:val="bottom"/>
          </w:tcPr>
          <w:p>
            <w:pPr>
              <w:spacing w:after="0"/>
              <w:rPr>
                <w:sz w:val="1"/>
                <w:szCs w:val="1"/>
                <w:color w:val="auto"/>
              </w:rPr>
            </w:pPr>
          </w:p>
        </w:tc>
      </w:tr>
      <w:tr>
        <w:trPr>
          <w:trHeight w:val="229"/>
        </w:trPr>
        <w:tc>
          <w:tcPr>
            <w:tcW w:w="4760" w:type="dxa"/>
            <w:vAlign w:val="bottom"/>
            <w:gridSpan w:val="2"/>
          </w:tcPr>
          <w:p>
            <w:pPr>
              <w:ind w:left="20"/>
              <w:spacing w:after="0"/>
              <w:rPr>
                <w:sz w:val="20"/>
                <w:szCs w:val="20"/>
                <w:color w:val="auto"/>
              </w:rPr>
            </w:pPr>
            <w:r>
              <w:rPr>
                <w:rFonts w:ascii="Arial" w:cs="Arial" w:eastAsia="Arial" w:hAnsi="Arial"/>
                <w:sz w:val="18"/>
                <w:szCs w:val="18"/>
                <w:color w:val="auto"/>
              </w:rPr>
              <w:t>Occupancy related costs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19,363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26,042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30,851</w:t>
            </w:r>
          </w:p>
        </w:tc>
        <w:tc>
          <w:tcPr>
            <w:tcW w:w="0" w:type="dxa"/>
            <w:vAlign w:val="bottom"/>
          </w:tcPr>
          <w:p>
            <w:pPr>
              <w:spacing w:after="0"/>
              <w:rPr>
                <w:sz w:val="1"/>
                <w:szCs w:val="1"/>
                <w:color w:val="auto"/>
              </w:rPr>
            </w:pPr>
          </w:p>
        </w:tc>
      </w:tr>
      <w:tr>
        <w:trPr>
          <w:trHeight w:val="230"/>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28,412</w:t>
            </w:r>
          </w:p>
        </w:tc>
        <w:tc>
          <w:tcPr>
            <w:tcW w:w="0" w:type="dxa"/>
            <w:vAlign w:val="bottom"/>
          </w:tcPr>
          <w:p>
            <w:pPr>
              <w:spacing w:after="0"/>
              <w:rPr>
                <w:sz w:val="1"/>
                <w:szCs w:val="1"/>
                <w:color w:val="auto"/>
              </w:rPr>
            </w:pPr>
          </w:p>
        </w:tc>
      </w:tr>
      <w:tr>
        <w:trPr>
          <w:trHeight w:val="229"/>
        </w:trPr>
        <w:tc>
          <w:tcPr>
            <w:tcW w:w="4760" w:type="dxa"/>
            <w:vAlign w:val="bottom"/>
            <w:gridSpan w:val="2"/>
          </w:tcPr>
          <w:p>
            <w:pPr>
              <w:ind w:left="20"/>
              <w:spacing w:after="0"/>
              <w:rPr>
                <w:sz w:val="20"/>
                <w:szCs w:val="20"/>
                <w:color w:val="auto"/>
              </w:rPr>
            </w:pPr>
            <w:r>
              <w:rPr>
                <w:rFonts w:ascii="Arial" w:cs="Arial" w:eastAsia="Arial" w:hAnsi="Arial"/>
                <w:sz w:val="18"/>
                <w:szCs w:val="18"/>
                <w:color w:val="auto"/>
              </w:rPr>
              <w:t>Professional services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11,444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14,975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16,950</w:t>
            </w:r>
          </w:p>
        </w:tc>
        <w:tc>
          <w:tcPr>
            <w:tcW w:w="0" w:type="dxa"/>
            <w:vAlign w:val="bottom"/>
          </w:tcPr>
          <w:p>
            <w:pPr>
              <w:spacing w:after="0"/>
              <w:rPr>
                <w:sz w:val="1"/>
                <w:szCs w:val="1"/>
                <w:color w:val="auto"/>
              </w:rPr>
            </w:pPr>
          </w:p>
        </w:tc>
      </w:tr>
      <w:tr>
        <w:trPr>
          <w:trHeight w:val="229"/>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Marketing costs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14,707</w:t>
            </w:r>
          </w:p>
        </w:tc>
        <w:tc>
          <w:tcPr>
            <w:tcW w:w="0" w:type="dxa"/>
            <w:vAlign w:val="bottom"/>
          </w:tcPr>
          <w:p>
            <w:pPr>
              <w:spacing w:after="0"/>
              <w:rPr>
                <w:sz w:val="1"/>
                <w:szCs w:val="1"/>
                <w:color w:val="auto"/>
              </w:rPr>
            </w:pPr>
          </w:p>
        </w:tc>
      </w:tr>
      <w:tr>
        <w:trPr>
          <w:trHeight w:val="230"/>
        </w:trPr>
        <w:tc>
          <w:tcPr>
            <w:tcW w:w="476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2,580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4,788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6,786</w:t>
            </w:r>
          </w:p>
        </w:tc>
        <w:tc>
          <w:tcPr>
            <w:tcW w:w="0" w:type="dxa"/>
            <w:vAlign w:val="bottom"/>
          </w:tcPr>
          <w:p>
            <w:pPr>
              <w:spacing w:after="0"/>
              <w:rPr>
                <w:sz w:val="1"/>
                <w:szCs w:val="1"/>
                <w:color w:val="auto"/>
              </w:rPr>
            </w:pPr>
          </w:p>
        </w:tc>
      </w:tr>
      <w:tr>
        <w:trPr>
          <w:trHeight w:val="229"/>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26,921</w:t>
            </w:r>
          </w:p>
        </w:tc>
        <w:tc>
          <w:tcPr>
            <w:tcW w:w="0" w:type="dxa"/>
            <w:vAlign w:val="bottom"/>
          </w:tcPr>
          <w:p>
            <w:pPr>
              <w:spacing w:after="0"/>
              <w:rPr>
                <w:sz w:val="1"/>
                <w:szCs w:val="1"/>
                <w:color w:val="auto"/>
              </w:rPr>
            </w:pPr>
          </w:p>
        </w:tc>
      </w:tr>
      <w:tr>
        <w:trPr>
          <w:trHeight w:val="196"/>
        </w:trPr>
        <w:tc>
          <w:tcPr>
            <w:tcW w:w="4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92,736</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141,076</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175,670</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SG&amp;A for the year ended December 31, 2020 of $92.7 million decreased by 34% compared to the year ended December 31, 2019. The decreases were primarily driven by lower compensation and benefits, occupancy related costs, marketing costs and Other expenses. Compensation and benefits decreased as we reduced headcount and temporarily reduced compensation as part of our COVID-19 pandemic cost savings measures and Project Catalyst cost reduction initiatives. The decrease in occupancy related costs primarily resulted from the July 1, 2019 sale of the Financial Services Business and facility consolidation initiatives. The decrease in marketing costs was primarily driven by the wind down of Owners.com in the fourth quarter of 2019. Other expenses decreased primarily due to lower travel and entertainment costs driven by lower headcount and COVID-19 pandemic travel restrictions, billings to TSI for transition services and higher net sales tax loss reimbursements, partially offset by higher bad debt expense. In addition, the decrease in amortization of intangible assets for the year ended December 31, 2020 was driven by the completion of the amortization period of certain intangible assets during 2019, the July 1, 2019 sale of the Financial Services Business and lower revenue generated from the Homeward Residential, Inc. (“Homeward”) and Residential Capital, LLC (“ResCap”) portfolios (revenue-based amortization) consistent with the reduction in the size of Ocwen’s portfolio, discussed in the revenue section above.</w:t>
      </w:r>
    </w:p>
    <w:p>
      <w:pPr>
        <w:spacing w:after="0" w:line="12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SG&amp;A for the year ended December 31, 2019 of $141.1 million decreased by 20% compared to the year ended December 31, 2018. The decrease was primarily driven by lower amortization of intangible assets and Other expenses. The decrease in amortization of intangible assets was driven by lower revenue generated by the Homeward and ResCap portfolios consistent with the reduction in the size of Ocwen’s portfolio, discussed in the revenue section above, and the July 1, 2019 sale of the Financial Services Business. Other expenses decreased primarily due to a $6.2 million contingent loss accrual for sales tax exposure in the United States recognized in 2018, lower travel and entertainment costs driven by lower headcount and lower bad debt expense.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Expenses (Income)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Other operating expenses (income) include the gain on sale of businesses and restructuring charges.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Other operating expenses (income) consist of the following for the years ended December 31:</w:t>
      </w:r>
    </w:p>
    <w:p>
      <w:pPr>
        <w:spacing w:after="0" w:line="186"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700" w:type="dxa"/>
            <w:vAlign w:val="bottom"/>
            <w:gridSpan w:val="2"/>
            <w:vMerge w:val="restart"/>
          </w:tcPr>
          <w:p>
            <w:pPr>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4"/>
                <w:szCs w:val="14"/>
                <w:color w:val="auto"/>
              </w:rPr>
            </w:pPr>
          </w:p>
        </w:tc>
        <w:tc>
          <w:tcPr>
            <w:tcW w:w="92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4"/>
                <w:szCs w:val="14"/>
                <w:color w:val="auto"/>
              </w:rPr>
            </w:pPr>
          </w:p>
        </w:tc>
        <w:tc>
          <w:tcPr>
            <w:tcW w:w="90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4"/>
                <w:szCs w:val="14"/>
                <w:color w:val="auto"/>
              </w:rPr>
            </w:pPr>
          </w:p>
        </w:tc>
        <w:tc>
          <w:tcPr>
            <w:tcW w:w="92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8"/>
        </w:trPr>
        <w:tc>
          <w:tcPr>
            <w:tcW w:w="47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sale of businesses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(17,814)</w:t>
            </w:r>
          </w:p>
        </w:tc>
        <w:tc>
          <w:tcPr>
            <w:tcW w:w="1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(13,688)</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Restructuring charges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11,972</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14,080</w:t>
            </w:r>
          </w:p>
        </w:tc>
        <w:tc>
          <w:tcPr>
            <w:tcW w:w="1320" w:type="dxa"/>
            <w:vAlign w:val="bottom"/>
            <w:tcBorders>
              <w:bottom w:val="single" w:sz="8" w:color="CCEEFF"/>
            </w:tcBorders>
            <w:gridSpan w:val="2"/>
          </w:tcPr>
          <w:p>
            <w:pPr>
              <w:jc w:val="right"/>
              <w:ind w:right="8"/>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11,560</w:t>
            </w:r>
          </w:p>
        </w:tc>
        <w:tc>
          <w:tcPr>
            <w:tcW w:w="0" w:type="dxa"/>
            <w:vAlign w:val="bottom"/>
          </w:tcPr>
          <w:p>
            <w:pPr>
              <w:spacing w:after="0"/>
              <w:rPr>
                <w:sz w:val="1"/>
                <w:szCs w:val="1"/>
                <w:color w:val="auto"/>
              </w:rPr>
            </w:pPr>
          </w:p>
        </w:tc>
      </w:tr>
      <w:tr>
        <w:trPr>
          <w:trHeight w:val="196"/>
        </w:trPr>
        <w:tc>
          <w:tcPr>
            <w:tcW w:w="4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700" w:type="dxa"/>
            <w:vAlign w:val="bottom"/>
            <w:gridSpan w:val="2"/>
          </w:tcPr>
          <w:p>
            <w:pPr>
              <w:spacing w:after="0"/>
              <w:rPr>
                <w:sz w:val="20"/>
                <w:szCs w:val="20"/>
                <w:color w:val="auto"/>
              </w:rPr>
            </w:pPr>
            <w:r>
              <w:rPr>
                <w:rFonts w:ascii="Arial" w:cs="Arial" w:eastAsia="Arial" w:hAnsi="Arial"/>
                <w:sz w:val="18"/>
                <w:szCs w:val="18"/>
                <w:color w:val="auto"/>
              </w:rPr>
              <w:t>Other operating expenses (income), net</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11,972</w:t>
            </w:r>
          </w:p>
        </w:tc>
        <w:tc>
          <w:tcPr>
            <w:tcW w:w="1300" w:type="dxa"/>
            <w:vAlign w:val="bottom"/>
            <w:gridSpan w:val="2"/>
          </w:tcPr>
          <w:p>
            <w:pPr>
              <w:jc w:val="right"/>
              <w:ind w:right="8"/>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(3,734)</w:t>
            </w:r>
          </w:p>
        </w:tc>
        <w:tc>
          <w:tcPr>
            <w:tcW w:w="1320" w:type="dxa"/>
            <w:vAlign w:val="bottom"/>
            <w:gridSpan w:val="2"/>
          </w:tcPr>
          <w:p>
            <w:pPr>
              <w:jc w:val="right"/>
              <w:ind w:right="8"/>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(2,128)</w:t>
            </w:r>
          </w:p>
        </w:tc>
        <w:tc>
          <w:tcPr>
            <w:tcW w:w="0" w:type="dxa"/>
            <w:vAlign w:val="bottom"/>
          </w:tcPr>
          <w:p>
            <w:pPr>
              <w:spacing w:after="0"/>
              <w:rPr>
                <w:sz w:val="1"/>
                <w:szCs w:val="1"/>
                <w:color w:val="auto"/>
              </w:rPr>
            </w:pPr>
          </w:p>
        </w:tc>
      </w:tr>
      <w:tr>
        <w:trPr>
          <w:trHeight w:val="21"/>
        </w:trPr>
        <w:tc>
          <w:tcPr>
            <w:tcW w:w="4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July 1, 2019, we sold the Financial Services Business to TSI for $44.0 million consisting of an up-front payment of $40.0 million, subject to a working capital adjustment (finalized in 2019) and transaction costs upon closing of the sale, and an additional $4.0 million payment on the one year anniversary of the sale closing. On July 1, 2020, the Company received net proceeds of $3.3 million representing TSI’s final installment payment less certain amounts owed to TSI. In connection with the sale, we recognized a $17.8 million pretax gain on sale for the year ended December 31, 2019.</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2018, we sold our rental property management business to RESI for total transaction proceeds of $18.0 million, $15.0 million of which was received on the closing date of August 8, 2018 and $3.0 million of which is to be received on the earlier of a RESI change of control or August 8, 2023. In connection with the sale, we recognized a $13.7 million pretax gain on sale for the year ended December 31, 2018. On October 19, 2020, RESI announced that it had entered into a definitive merger agreement to sell RESI. The merger closed on January 11, 2021 and the Company subsequently received the $3.0 million payment.</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2018, Altisource initiated Project Catalyst, a project intended to optimize its operations and reduce costs to better align its cost structure with its anticipated revenues and improve its operating margins (finalized in 2020). During the years ended December 31, 2020, 2019 and 2018, we incurred $12.0 million, $14.1 million and $11.6 million, respectively, of severance costs, professional services fees, facility consolidation costs, technology costs and business wind down costs related to the reorganization plan.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from Operations</w:t>
      </w:r>
    </w:p>
    <w:p>
      <w:pPr>
        <w:spacing w:after="0" w:line="17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Income from operations decreased to a loss of $(44.4) million, representing (13)% of service revenue, for the year ended December 31, 2020 compared to $18.1 million, representing 3% of service revenue, for the year ended December 31, 2019. Income from operations as a percentage of service revenue decreased for the year ended December 31, 2020 compared to the year ended December 31, 2019, primarily as a result of lower gross profit and a higher gain on the sale of business during the year ended December 31, 2019, partially offset by lower SG&amp;A expenses, as discussed above.</w:t>
      </w:r>
    </w:p>
    <w:p>
      <w:pPr>
        <w:spacing w:after="0" w:line="10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Income from operations decreased to $18.1 million, representing 3% of service revenue, for the year ended December 31, 2019 compared to $42.5 million, representing 5% of service revenue, for the year ended December 31, 2018. Income from operations as a percentage of service revenue decreased primarily as a result of lower gross margins and higher restructuring costs, partially offset by lower SG&amp;A expenses, as discussed above. The effect of the higher gain on sale of businesses was largely offset by higher restructuring charges for the year ended December 31, 2019, as discussed above.</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Because Ocwen is our largest customer, declines in service revenue from Ocwen and the changes in mix of revenue from Ocwen have had a negative impact on our operating income.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income (expense), net principally includes interest expense, unrealized gain (loss) on our investment in RESI common shares and other non-operating gains and losses.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income (expense), net was $(13.4) million for the year ended December 31, 2020 compared to $(5.6) million for the year ended December 31, 2019. The increase in other expense for the year ended December 31, 2020 was primarily driven by a $4.0 million unrealized gain on our investment in RESI common shares in 2020 compared to $14.4 million in 2019. The increase in other expense was partially offset by lower interest expense during the year ended December 31, 2020. Interest expense decreased primarily due to lower average outstanding balances of the senior secured term loan as a result of repayments during</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auto"/>
        </w:rPr>
        <w:t>2020 and 2019 and lower interest rates. For the year ended December 31, 2020, the interest rate of the senior secured term loan was 5.3% compared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6.4% for the year ended December 31, 2019.</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Other income (expense), net for the year ended December 31, 2019 of $(5.6) million decreased by 86% compared to the year ended December 31, 2018. The decrease in other expense for the year ended December 31, 2019 was primarily driven by a $14.4 million unrealized gain on our investment in RESI in 2019 compared to a $(13.0) million unrealized loss on our investment in RESI in 2018. In addition, on April 3, 2018, Altisource and its wholly-owned subsidiary, Altisource S.à r.l. entered into the Credit Agreement, pursuant to which, among other things, Altisource borrowed $412.0 million in the form of Term B Loans. Proceeds from the Term B Loans were used to repay the Company’s prior senior secured term loan. In connection with the refinancing, we recognized a loss of $(4.4) million from the write-off of unamortized debt issuance costs and debt discount for the year ended December 31, 2018. Interest expense was lower for the year ended December 31, 2019 primarily due to lower average outstanding balances of the senior secured term loan as a result of repayments.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 Benefit</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recognized an income tax provision of $8.6 million, $318.3 million and $4.1 million for the years ended December 31, 2020, 2019 and 2018, respectively.</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recognized an income tax provision of $8.6 million for the year ended December 31, 2020. The income tax provision on losses before income taxes and non-controlling interests for the year ended December 31, 2020 was primarily driven by income in our US and other foreign operations from transfer pricing on services provided to our Luxembourg operating company, no tax benefit on the pretax losses from our Luxembourg operating company for the year ended December 31, 2020 and tax expense on unrepatriated earnings in India, partially offset by lower transfer pricing rates due to the COVID-19 pandemic.</w:t>
      </w:r>
    </w:p>
    <w:p>
      <w:pPr>
        <w:spacing w:after="0" w:line="1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recognized an income tax provision of $318.3 million for the year ended December 31, 2019, which included an increase in the valuation allowance in connection with the Luxembourg NOL carryforward of $291.5 million, the impact of a decrease in the Luxembourg statutory income tax rate on deferred taxes of $14.0 million and foreign income tax reserves of $5.6 million. The resulting effective tax rate differs from the Luxembourg statutory income tax rate of 24.9% principally as a result of the increase in valuation allowance, the impact of the decrease in the Luxembourg statutory income tax rate on deferred taxes and foreign income tax reserves discussed above and the jurisdictional mix of income before income taxes and non-controlling interests. Certain of the Company’s India subsidiaries generated taxable income based on cost plus transfer pricing to our Luxembourg subsidiary for their services and certain US and Luxembourg subsidiaries generated taxable losses that did not result in a tax benefit due to a valuation allowance applied to the tax benefit.</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effective income tax rate for the year ended December 31, 2018 was 292.9%, which differed from the Luxembourg statutory income tax rate of 26.0%. In 2018, the Company’s effective income tax rate was unusually high because certain of the Company’s India and United States subsidiaries generated taxable income based on cost plus transfer pricing to our Luxembourg subsidiary for their services and the Luxembourg subsidiary incurred a taxable loss. As these jurisdictions have different effective income tax rates (i.e., India has a higher effective income tax rate than Luxembourg), and because of a $1.6 million foreign income tax reserve (and related interest), the Company recognized consolidated income tax expense that was greater than income before income taxes and non-controlling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7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primary source of liquidity has historically been cash flow from operations, cash proceeds from sales of businesses and cash on hand. However, due to the COVID-19 pandemic and an MSR investor’s instructions to Ocwen to transition field services, valuation and title services to the investor's captive service providers, revenue has declined significantly. The lower revenue, partially offset by cost savings initiatives, resulted in negative operating cash flow from operations for the year ended December 31, 2020. To address our current operating environment, we plan to continue our cost reduction initiatives to reduce cash burn. We anticipate that referral volumes from delinquent mortgages will increase following the expiration of the foreclosure moratoriums. We seek to deploy cash generated in a disciplined manner. Principally, we intend to use cash to develop and grow complementary services and businesses that we believe will generate attractive margins in line with our core capabilities and strategy. We use cash for repayments of our long-term debt and capital investments. We anticipate that we may use cash from time to time to repurchase shares of our common stock. In addition, we consider and evaluate business acquisitions, dispositions, closures or other similar actions from time to time that are aligned with our strategy.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April 3, 2018, Altisource entered into the Credit Agreement pursuant to which Altisource borrowed $412.0 million in the form of Term B Loans and obtained a $15.0 million revolving credit facility. The Term B Loans mature in April 2024 and the revolving credit facility matures in April 2023. As of December 31, 2020, $247.2 million of the Term B Loans were outstanding. Borrowings under the revolving credit facility are not permitted if our leverage ratio exceeds to 3.50 to 1.00. Our leverage ratio exceeded 3.50 to 1.00 during the year ended December 31, 2020. There were no borrowings outstanding under the revolving credit facility as of December 31, 2020.</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There are no mandatory repayments of the Term B Loans due until maturity in April 2024. All amounts outstanding under the Term B Loans will become due on the earlier of (i) April 3, 2024, and (ii) the date on which the loans are declared to be due and owing by the administrative agent at the request (or with the consent) of the Required Lenders (as defined in the Credit Agreement; other capitalized terms, unless defined herein, are defined in the Credit Agreement) or as otherwise provided in the Credit Agreement upon the occurrence of any event of default.</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addition to the scheduled principal payments, subject to certain exceptions, the Term B Loans are subject to mandatory prepayment upon issuances of debt, certain casualty and condemnation events and sales of assets, as well as from a percentage of Consolidated Excess Cash Flow if our leverage ratio as of each year-end computation date is greater than 3.00 to 1.00, as calculated in accordance with the provisions of the Credit Agreement (the percentage increases if our leverage ratio exceeds 3.50 to 1.00). Our leverage ratio exceeded 3.50 to 1.00 during the year ended December 31, 2020. However, because the Company did not generate any Consolidated Excess Cash Flow in 2020, no amounts are due under this provision.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interest rate on the Term B Loans as of December 31, 2020 was 5.00%.</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Altisource may incur incremental indebtedness under the Credit Agreement from one or more incremental lenders, which may include existing lenders, in an aggregate incremental principal amount not to exceed $125.0 million, subject to certain conditions set forth in the Credit Agreement, including a sublimit of $80.0 million with respect to incremental revolving credit commitments and, after giving effect to the incremental borrowing, the Company’s leverage ratio does not exceed 3.00 to 1.00. Our leverage ratio exceeded 3.00 to 1.00 during the year ended December 31, 2020. The lenders have no obligation to provide any incremental indebtedness.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Credit Agreement includes covenants that restrict or limit, among other things, our ability, subject to certain exceptions and baskets, to incur additional debt, pay dividends and repurchase shares of our common stock. In the event we require additional liquidity, our ability to obtain it may be limited by the Credit Agreement.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cash flows for the years ended December 31: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4"/>
                <w:szCs w:val="14"/>
                <w:color w:val="auto"/>
              </w:rPr>
            </w:pPr>
          </w:p>
        </w:tc>
        <w:tc>
          <w:tcPr>
            <w:tcW w:w="84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240" w:type="dxa"/>
            <w:vAlign w:val="bottom"/>
          </w:tcPr>
          <w:p>
            <w:pPr>
              <w:spacing w:after="0"/>
              <w:rPr>
                <w:sz w:val="14"/>
                <w:szCs w:val="14"/>
                <w:color w:val="auto"/>
              </w:rPr>
            </w:pPr>
          </w:p>
        </w:tc>
        <w:tc>
          <w:tcPr>
            <w:tcW w:w="84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 Increase</w:t>
            </w:r>
          </w:p>
        </w:tc>
        <w:tc>
          <w:tcPr>
            <w:tcW w:w="240" w:type="dxa"/>
            <w:vAlign w:val="bottom"/>
          </w:tcPr>
          <w:p>
            <w:pPr>
              <w:spacing w:after="0"/>
              <w:rPr>
                <w:sz w:val="14"/>
                <w:szCs w:val="14"/>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8"/>
        </w:trPr>
        <w:tc>
          <w:tcPr>
            <w:tcW w:w="54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(decrease)</w:t>
            </w: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(loss) income adjusted for non-cash items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39,182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72,510</w:t>
            </w:r>
          </w:p>
        </w:tc>
        <w:tc>
          <w:tcPr>
            <w:tcW w:w="0" w:type="dxa"/>
            <w:vAlign w:val="bottom"/>
          </w:tcPr>
          <w:p>
            <w:pPr>
              <w:spacing w:after="0"/>
              <w:rPr>
                <w:sz w:val="1"/>
                <w:szCs w:val="1"/>
                <w:color w:val="auto"/>
              </w:rPr>
            </w:pPr>
          </w:p>
        </w:tc>
      </w:tr>
      <w:tr>
        <w:trPr>
          <w:trHeight w:val="229"/>
        </w:trPr>
        <w:tc>
          <w:tcPr>
            <w:tcW w:w="54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(8,860)</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7,506</w:t>
            </w:r>
          </w:p>
        </w:tc>
        <w:tc>
          <w:tcPr>
            <w:tcW w:w="11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(4,108)</w:t>
            </w:r>
          </w:p>
        </w:tc>
        <w:tc>
          <w:tcPr>
            <w:tcW w:w="0" w:type="dxa"/>
            <w:vAlign w:val="bottom"/>
          </w:tcPr>
          <w:p>
            <w:pPr>
              <w:spacing w:after="0"/>
              <w:rPr>
                <w:sz w:val="1"/>
                <w:szCs w:val="1"/>
                <w:color w:val="auto"/>
              </w:rPr>
            </w:pPr>
          </w:p>
        </w:tc>
      </w:tr>
      <w:tr>
        <w:trPr>
          <w:trHeight w:val="223"/>
        </w:trPr>
        <w:tc>
          <w:tcPr>
            <w:tcW w:w="5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Cash flows (used in) provided by operating activities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46,688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68,402</w:t>
            </w:r>
          </w:p>
        </w:tc>
        <w:tc>
          <w:tcPr>
            <w:tcW w:w="0" w:type="dxa"/>
            <w:vAlign w:val="bottom"/>
          </w:tcPr>
          <w:p>
            <w:pPr>
              <w:spacing w:after="0"/>
              <w:rPr>
                <w:sz w:val="1"/>
                <w:szCs w:val="1"/>
                <w:color w:val="auto"/>
              </w:rPr>
            </w:pPr>
          </w:p>
        </w:tc>
      </w:tr>
      <w:tr>
        <w:trPr>
          <w:trHeight w:val="229"/>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Cash flows provided by investing activities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47,224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44,887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11,084</w:t>
            </w:r>
          </w:p>
        </w:tc>
        <w:tc>
          <w:tcPr>
            <w:tcW w:w="0" w:type="dxa"/>
            <w:vAlign w:val="bottom"/>
          </w:tcPr>
          <w:p>
            <w:pPr>
              <w:spacing w:after="0"/>
              <w:rPr>
                <w:sz w:val="1"/>
                <w:szCs w:val="1"/>
                <w:color w:val="auto"/>
              </w:rPr>
            </w:pPr>
          </w:p>
        </w:tc>
      </w:tr>
      <w:tr>
        <w:trPr>
          <w:trHeight w:val="229"/>
        </w:trPr>
        <w:tc>
          <w:tcPr>
            <w:tcW w:w="5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Cash flows used in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(49,310)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(69,038)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(124,283)</w:t>
            </w:r>
          </w:p>
        </w:tc>
        <w:tc>
          <w:tcPr>
            <w:tcW w:w="0" w:type="dxa"/>
            <w:vAlign w:val="bottom"/>
          </w:tcPr>
          <w:p>
            <w:pPr>
              <w:spacing w:after="0"/>
              <w:rPr>
                <w:sz w:val="1"/>
                <w:szCs w:val="1"/>
                <w:color w:val="auto"/>
              </w:rPr>
            </w:pPr>
          </w:p>
        </w:tc>
      </w:tr>
      <w:tr>
        <w:trPr>
          <w:trHeight w:val="223"/>
        </w:trPr>
        <w:tc>
          <w:tcPr>
            <w:tcW w:w="5460" w:type="dxa"/>
            <w:vAlign w:val="bottom"/>
            <w:gridSpan w:val="2"/>
          </w:tcPr>
          <w:p>
            <w:pPr>
              <w:ind w:left="40"/>
              <w:spacing w:after="0"/>
              <w:rPr>
                <w:sz w:val="20"/>
                <w:szCs w:val="20"/>
                <w:color w:val="auto"/>
              </w:rPr>
            </w:pPr>
            <w:r>
              <w:rPr>
                <w:rFonts w:ascii="Arial" w:cs="Arial" w:eastAsia="Arial" w:hAnsi="Arial"/>
                <w:sz w:val="18"/>
                <w:szCs w:val="18"/>
                <w:color w:val="auto"/>
                <w:w w:val="97"/>
              </w:rPr>
              <w:t>Net (decrease) increase in cash, cash equivalents and restricted cash</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(24,487)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22,537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(44,797)</w:t>
            </w:r>
          </w:p>
        </w:tc>
        <w:tc>
          <w:tcPr>
            <w:tcW w:w="0" w:type="dxa"/>
            <w:vAlign w:val="bottom"/>
          </w:tcPr>
          <w:p>
            <w:pPr>
              <w:spacing w:after="0"/>
              <w:rPr>
                <w:sz w:val="1"/>
                <w:szCs w:val="1"/>
                <w:color w:val="auto"/>
              </w:rPr>
            </w:pPr>
          </w:p>
        </w:tc>
      </w:tr>
      <w:tr>
        <w:trPr>
          <w:trHeight w:val="229"/>
        </w:trPr>
        <w:tc>
          <w:tcPr>
            <w:tcW w:w="5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2"/>
              </w:rPr>
              <w:t>Cash, cash equivalents and restricted cash at the beginning of the period</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86,583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64,046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108,843</w:t>
            </w:r>
          </w:p>
        </w:tc>
        <w:tc>
          <w:tcPr>
            <w:tcW w:w="0" w:type="dxa"/>
            <w:vAlign w:val="bottom"/>
          </w:tcPr>
          <w:p>
            <w:pPr>
              <w:spacing w:after="0"/>
              <w:rPr>
                <w:sz w:val="1"/>
                <w:szCs w:val="1"/>
                <w:color w:val="auto"/>
              </w:rPr>
            </w:pPr>
          </w:p>
        </w:tc>
      </w:tr>
      <w:tr>
        <w:trPr>
          <w:trHeight w:val="196"/>
        </w:trPr>
        <w:tc>
          <w:tcPr>
            <w:tcW w:w="5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the end of the period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62,096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86,583</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64,046</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7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Cash flows from operating activities generally consist of the cash effects of transactions and events that enter into the determination of net income. For the year ended December 31, 2020, cash flows used in operating activities were $(22.4) million, or approximately $(0.06) for every dollar of service revenue, compared to cash flows provided by operating activities of $46.7 million, or approximately $0.08 for every dollar of service revenue, for the year ended December 31, 2019 and $68.4 million of cash flows from operating activities, or approximately $0.08 for every dollar of service revenue, for the year ended December 31, 2018. During the year ended December 31, 2020, the decrease in cash provided by operating activities was driven by a $52.7 million increase in net loss, adjusted for non-cash items, and lower cash provided by changes in operating assets and liabilities of $16.4 million. The increase in net loss, adjusted for non-cash items, was primarily due to lower gross profit during the year ended December 31, 2020 from lower service revenue driven by the COVID-19 pandemic, reduced customer volumes and the July 1, 2019 sale of the Financial Services Business, partially offset by decreases in expenses as a result of COVID-19 pandemic cash cost savings measures, the Project Catalyst cost reduction initiatives and lower SG&amp;A expenses. The decrease in cash provided by changes in operating assets and liabilities was primarily driven by a decrease in short-term investments in real estate of $39.9 million during the year ended December 31, 2019 related to the sale of the majority of the remaining BRS Inventory. The decrease in cash provided by changes in operating assets and liabilities was largely offset by a decrease in accounts receivable of $15.0 million for the year ended December 31, 2020 compared to an increase in accounts receivable of $12.2 million during the year ended December 31, 2019, largely driven by the timing of collections, a decrease in cash used for changes in operating assets and liabilities driven by $6.9 million of payments of sales tax accruals during the first quarter of 2019 and lower cash payments for annual incentive compensation bonuses in the first quarter of 2020 by $7.3 million. During 2019, accounts receivable increased in part as a result of delays in receiving payments from Ocwen in connection with Ocwen’s transition to another mortgage servicing software platform.</w:t>
      </w:r>
    </w:p>
    <w:p>
      <w:pPr>
        <w:spacing w:after="0" w:line="12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decrease in cash provided by operating activities for the year ended December 31, 2019 was driven by a decline in net income, adjusted for non-cash items of $33.3 million. The decrease in net income, adjusted for non-cash items, was partially driven by lower gross profit during the year ended December 31, 2019 from lower service revenue and the Project Catalyst restructuring charges, partially offset by lower SG&amp;A costs and decreases in expenses as a result of the Project Catalyst cost reduction initiatives. The decrease in cash provided by operating activities was partially offset by cash provided by operating activities related to changes in operating assets and liabilities of $11.6 million. The changes in operating assets and liabilities were driven by the decrease in short-term investments in real estate of $39.9 million in 2019 related to the sale of the remaining BRS Inventory, compared to an increase in short-term investments in real estate of $10.5 million in 2018. This increase in cash from operating activities was partially offset by an increase of $12.2 million in accounts receivable in 2019, compared to a decrease in accounts receivable of $14.6 million in 2018, largely driven by the timing of collections. During 2019, accounts receivable increased in part as a result of delays in receiving payments from Ocwen in connection with Ocwen’s transition to another mortgage servicing software platform. In addition, the decrease in accounts payable and accrued liabilities of $16.3 million in 2019 decreased cash from operating activities, largely driven by the timing of payments, and a $6.9 million payment of sales tax accruals in 2019.</w:t>
      </w:r>
    </w:p>
    <w:p>
      <w:pPr>
        <w:spacing w:after="0" w:line="1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cash flows can be negatively impacted because of the nature of some of our services and the mix of services provided. Certain services are performed immediately following or shortly after the referral, but the collection of the receivable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does not occur until a specific event occurs (e.g., the foreclosure is complete, the REO asset is sold, etc.). Furthermore, lower margin services generate lower income and cash flows from operations. Consequently, our cash flows from operations may be negatively impacted when comparing one period to another.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Cash flows from investing activities generally include additions to premises and equipment, acquisitions and sales of businesses, and sales of equity securities. Cash flows provided by investing activities were $47.2 million, $44.9 million and $11.1 million for the years ended December 31, 2020, 2019 and 2018, respectively. Cash flows from investing activities included $3.3 million and $38.6 million in proceeds from the sale of the Financial Services Business for 2020 and 2019, respectively, and, in 2018, $15.0 million in proceeds from the sale of the rental property management business to RESI. In addition, we sold 3.5 million and 0.7 million shares of RESI stock for net proceeds of $46.6 million and $8.0 million for 2020 and 2019, respectively. We used $2.7 million, $2.2 million and $3.9 million for the years ended December 31, 2020, 2019 and 2018, respectively, for additions to premises and equipment primarily related to investments in the development of certain software applications, IT infrastructure and facility improvements.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Cash flows from financing activities primarily include activities associated with long-term debt issuances, debt repayments, debt issuance costs, proceeds from stock option exercises, the purchase of treasury shares, distributions to non-controlling interests and payments of tax withholdings on issuance of restricted share units and restricted shares. Cash flows used in financing activities were $(49.3) million, $(69.0) million and $(124.3) million for the years ended December 31, 2020, 2019 and 2018, respectively. We used $(46.6) million and $(45.0) million in 2020 and 2019, respectively, for repayments of long-term debt, largely from proceeds from the sale of RESI common shares and the sale of the Financial Services Business, $(84.0) million in 2018 to refinance and reduce our debt, including debt issuance costs and repayments. We received proceeds from stock option exercises of $0.4 million and $3.6 million for the years ended December 31, 2019 and 2018, respectively (no comparative amount for the year ended December 31, 2020). We also used $(20.0) million and $(40.4) million to repurchase shares of our common stock for the years ended December 31, 2019 and 2018, respectively (no comparative amount for the year ended December 31, 2020). We distributed $(1.1) million to non-controlling interests for the years ended December 31, 2020 and $(2.8) million in each of the years ended December 31, 2019 and 2018. In addition, we made payments of $(1.6) million, $(1.7) million and $(0.8) million for the years ended December 31, 2020, 2019 and 2018, respectively, to satisfy employee tax withholding obligations on the issuance of restricted shares. These payments were made to tax authorities, at the employees’ direction, to satisfy the employees’ tax obligations rather than issuing a portion of vested restricted shares to employees.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Requirements after December 31, 2020</w:t>
      </w:r>
    </w:p>
    <w:p>
      <w:pPr>
        <w:spacing w:after="0" w:line="17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significant future liquidity obligations primarily pertain to long-term debt repayments and interest expense under the Credit Agreement (see Liquidity section above), lease payments and distributions to Lenders One members. During the next 12 months, we expect to pay $12.4 million of interest expense (assuming no further principal repayments and the December 31, 2020 interest rate) under the Credit Agreement and make lease payments of $8.3 million.</w:t>
      </w:r>
    </w:p>
    <w:p>
      <w:pPr>
        <w:spacing w:after="0" w:line="9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believe that our existing cash and cash equivalents balances, our anticipated cash flows from operations and availability under our revolving credit facility will be sufficient to meet our liquidity needs, including to fund operating expenses, required interest and lease payments, for the next 12 months.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ESTIMATES AND RECENT ACCOUNTING PRONOUNCEMENTS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prepare our consolidated financial statements in accordance with GAAP. In applying many of these accounting principles, we need to make assumptions, estimates and judgments that affect the reported amounts of assets, liabilities, revenue and expenses in our consolidated financial statements. We base our estimates and judgments on historical experience and other assumptions that we believe are reasonable under the circumstances. These assumptions, estimates and judgments, however, are often subjective. Actual results may be negatively affected based on changing circumstances. If actual amounts are ultimately different from our estimates, the revisions are included in our results of operations for the period in which the actual amounts become known.</w:t>
      </w:r>
    </w:p>
    <w:p>
      <w:pPr>
        <w:spacing w:after="0" w:line="1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identified the critical accounting policies and estimates addressed below. We also have other key accounting policies, which involve the use of assumptions, estimates and judgments that are significant to understanding our results. For additional information, see Note 2 to the consolidated financial statements. Although we believe that our assumptions, estimates and judgments are reasonable, they are based upon information presently available. Actual results may differ significantly from these estimates under different assumptions, judgments or conditions.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recognize revenue when we satisfy a performance obligation by transferring control of a product or service to a customer in an amount that reflects the consideration that we expect to receive. This revenue can be recognized at a point in time or over time. We invoice customers based on our contractual arrangements with each customer, which may not be consistent with the period that revenues are recognized. When there is a timing difference between when we invoice customers and when revenues are recognized, we record either a contract asset (unbilled accounts receivable) or a contract liability (deferred revenue or other current liabilities), as appropriate.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Descriptions of our principal revenue generating activities are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Core Businesses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Field Services</w:t>
      </w:r>
    </w:p>
    <w:p>
      <w:pPr>
        <w:spacing w:after="0" w:line="63" w:lineRule="exact"/>
        <w:rPr>
          <w:sz w:val="20"/>
          <w:szCs w:val="20"/>
          <w:color w:val="auto"/>
        </w:rPr>
      </w:pPr>
    </w:p>
    <w:p>
      <w:pPr>
        <w:ind w:left="660" w:right="20" w:hanging="328"/>
        <w:spacing w:after="0" w:line="258"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 property preservation and inspection services and payment management technologies, we recognize transactional revenue when the service is provided.</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 vendor management transactions and our vendor management oversight SaaS platform, we recognize revenue over the period during which we perform the services.</w:t>
      </w:r>
    </w:p>
    <w:p>
      <w:pPr>
        <w:jc w:val="both"/>
        <w:ind w:left="660" w:hanging="328"/>
        <w:spacing w:after="0" w:line="255"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Reimbursable expenses revenue related to our property preservation and inspection services is included in revenue with an equal amount recognized in cost of revenue. These amounts are recognized on a gross basis, principally because generally we have control over selection of vendors and the vendor relationships are with us, rather than with our customers.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Marketplace</w:t>
      </w:r>
    </w:p>
    <w:p>
      <w:pPr>
        <w:spacing w:after="0" w:line="63" w:lineRule="exact"/>
        <w:rPr>
          <w:sz w:val="20"/>
          <w:szCs w:val="20"/>
          <w:color w:val="auto"/>
        </w:rPr>
      </w:pPr>
    </w:p>
    <w:p>
      <w:pPr>
        <w:jc w:val="both"/>
        <w:ind w:left="660" w:right="20" w:hanging="328"/>
        <w:spacing w:after="0" w:line="255"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the real estate auction platform, real estate auction and real estate brokerage services, we recognize revenue on a net basis (i.e., the commission on the sale) as we perform services as an agent without assuming the risks and rewards of ownership of the asset and the commission earned on the sale is a fixed percentage or amount.</w:t>
      </w:r>
    </w:p>
    <w:p>
      <w:pPr>
        <w:spacing w:after="0" w:line="2"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For SaaS based technology to manage REO, short sales, foreclosure, bankruptcy and eviction processes, we recognize revenue over the estimated average number of months the REO are on the platform. We generally recognize revenue for professional services over the contract period.</w:t>
      </w:r>
    </w:p>
    <w:p>
      <w:pPr>
        <w:spacing w:after="0" w:line="1" w:lineRule="exact"/>
        <w:rPr>
          <w:rFonts w:ascii="Arial" w:cs="Arial" w:eastAsia="Arial" w:hAnsi="Arial"/>
          <w:sz w:val="16"/>
          <w:szCs w:val="16"/>
          <w:color w:val="auto"/>
        </w:rPr>
      </w:pPr>
    </w:p>
    <w:p>
      <w:pPr>
        <w:jc w:val="both"/>
        <w:ind w:left="660" w:hanging="328"/>
        <w:spacing w:after="0" w:line="255"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Reimbursable expenses revenue related to our real estate sales is included in revenue with an equal amount recognized in cost of revenue. These amounts are recognized on a gross basis, principally because generally we have control over selection of vendors and the vendor relationships are with us, rather than with our customers.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Mortgage and Real Estate Solutions</w:t>
      </w:r>
    </w:p>
    <w:p>
      <w:pPr>
        <w:spacing w:after="0" w:line="63"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the majority of the services we provide, we recognize transactional revenue when the service is provided.</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loan disbursement processing services, we recognize revenue over the period during which we perform the processing services with full recognition upon completion of the disbursements. For foreclosure trustee services, we recognize revenue over the period during which we perform the related services, with full recognition upon completion and/or recording the related foreclosure deed. We use judgment to determine the period over which we recognize revenue for certain of these services.</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Reimbursable expenses revenue related to our title and foreclosure trustee services businesses is included in revenue with an equal amount recognized in cost of revenue. These amounts are recognized on a gross basis, principally because generally we have control over selection of vendors and the vendor relationships are with us, rather than with our customers.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Businesses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Earlier Stage Business</w:t>
      </w:r>
    </w:p>
    <w:p>
      <w:pPr>
        <w:spacing w:after="0" w:line="63" w:lineRule="exact"/>
        <w:rPr>
          <w:sz w:val="20"/>
          <w:szCs w:val="20"/>
          <w:color w:val="auto"/>
        </w:rPr>
      </w:pPr>
    </w:p>
    <w:p>
      <w:pPr>
        <w:ind w:left="66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 our customer journey analytics platform, we recognize revenue primarily based on subscription fees. We recognize revenue associated with implementation services and maintenance services ratably over the contract term.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w:t>
      </w:r>
    </w:p>
    <w:p>
      <w:pPr>
        <w:spacing w:after="0" w:line="63" w:lineRule="exact"/>
        <w:rPr>
          <w:sz w:val="20"/>
          <w:szCs w:val="20"/>
          <w:color w:val="auto"/>
        </w:rPr>
      </w:pPr>
    </w:p>
    <w:p>
      <w:pPr>
        <w:jc w:val="both"/>
        <w:ind w:left="660" w:hanging="328"/>
        <w:spacing w:after="0" w:line="275" w:lineRule="auto"/>
        <w:tabs>
          <w:tab w:leader="none" w:pos="655" w:val="left"/>
        </w:tabs>
        <w:numPr>
          <w:ilvl w:val="0"/>
          <w:numId w:val="31"/>
        </w:numPr>
        <w:rPr>
          <w:rFonts w:ascii="Arial" w:cs="Arial" w:eastAsia="Arial" w:hAnsi="Arial"/>
          <w:sz w:val="17"/>
          <w:szCs w:val="17"/>
          <w:color w:val="auto"/>
        </w:rPr>
      </w:pPr>
      <w:r>
        <w:rPr>
          <w:rFonts w:ascii="Arial" w:cs="Arial" w:eastAsia="Arial" w:hAnsi="Arial"/>
          <w:sz w:val="17"/>
          <w:szCs w:val="17"/>
          <w:color w:val="auto"/>
        </w:rPr>
        <w:t>For our Financial Services business (sold on July 1, 2019), we generally earned fees for our post-charge-off consumer debt collection services as a percentage of the amount we collected on delinquent consumer receivables and recognized revenue following collection from the borrowers. For mortgage charge-off collections performed on behalf of our clients, we recognized revenue as a percentage of amounts collected following collection from the borrowers. We provided customer relationship management services for which we typically earned and recognized revenue on a per-person, per-call or per-minute basis as the related services were performed.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hanging="328"/>
        <w:spacing w:after="0" w:line="258"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 loan servicing technologies, we recognized revenue based on the number of loans on the system. We generally recognized revenue from professional services over the contract period.</w:t>
      </w:r>
    </w:p>
    <w:p>
      <w:pPr>
        <w:spacing w:after="0" w:line="1"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32"/>
        </w:numPr>
        <w:rPr>
          <w:rFonts w:ascii="Arial" w:cs="Arial" w:eastAsia="Arial" w:hAnsi="Arial"/>
          <w:sz w:val="16"/>
          <w:szCs w:val="16"/>
          <w:color w:val="auto"/>
        </w:rPr>
      </w:pPr>
      <w:r>
        <w:rPr>
          <w:rFonts w:ascii="Arial" w:cs="Arial" w:eastAsia="Arial" w:hAnsi="Arial"/>
          <w:sz w:val="16"/>
          <w:szCs w:val="16"/>
          <w:color w:val="auto"/>
        </w:rPr>
        <w:t>For short-term investments in real estate (wind down completed in 2019), we recognized revenue associated with our sales of short-term investments in real estate on a gross basis (i.e., the selling price of the property) as we assumed the risks and rewards of ownership of the asset.</w:t>
      </w:r>
    </w:p>
    <w:p>
      <w:pPr>
        <w:spacing w:after="0" w:line="1" w:lineRule="exact"/>
        <w:rPr>
          <w:rFonts w:ascii="Arial" w:cs="Arial" w:eastAsia="Arial" w:hAnsi="Arial"/>
          <w:sz w:val="16"/>
          <w:szCs w:val="16"/>
          <w:color w:val="auto"/>
        </w:rPr>
      </w:pPr>
    </w:p>
    <w:p>
      <w:pPr>
        <w:jc w:val="both"/>
        <w:ind w:left="660" w:hanging="328"/>
        <w:spacing w:after="0" w:line="255"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 our consumer real estate brokerage (discontinued in the fourth quarter of 2019), we recognized revenue on a net basis (i.e., the commission on the sale) as we performed services as an agent without assuming the risks and rewards of ownership of the asset and the commission earned on the sale was a fixed percentage or amount.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Identifiable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evaluate goodwill for impairment annually during the fourth quarter or more frequently when an event occurs or circumstances change in a manner that indicates the carrying value may not be recoverable. We first assess qualitative factors to determine whether it is more likely than not that the fair value of a reporting unit is less than its carrying value as a basis for determining whether we need to perform the quantitative goodwill impairment test. Only if we determine, based on qualitative assessment, that it is more likely than not that a reporting unit’s fair value is less than its carrying value will we calculate the fair value of the reporting unit. We estimate the fair value of the reporting units using discounted cash flows and market comparisons. The discounted cash flow method is based on the present value of projected cash flows. Forecasts of future cash flows are based on our estimate of future sales and operating expenses, based primarily on estimated pricing, sales volumes, market segment share, cost trends and general economic conditions. The estimated cash flows are discounted using a rate that represents our weighted average cost of capital. The market comparisons include an analysis of revenue and earnings multiples of guideline public companies compared to the Company.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Identifiable Intangible Assets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Identified intangible assets consist primarily of customer related intangible assets, operating agreements, trademarks and trade names and other intangible assets. We determine the useful lives of our identifiable intangible assets after considering the specific facts and circumstances related to each intangible asset. Factors we consider when determining useful lives include the contractual term of any arrangements, the history of the asset, our long-term strategy for use of the asset and other economic factors. We amortize intangible assets that we deem to have definite lives in proportion to actual and expected customer revenues or on a straight-line basis over their useful lives, generally ranging from 4 to 20 years.</w:t>
      </w:r>
    </w:p>
    <w:p>
      <w:pPr>
        <w:spacing w:after="0" w:line="12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perform tests for impairment if conditions exist that indicate the carrying value may not be recoverable. When facts and circumstances indicate that the carrying value of intangible assets determined to have definite lives may not be recoverable, management assesses the recoverability of the carrying value by preparing estimates of cash flows of discrete intangible assets generally consistent with models utilized for internal planning purposes. If the sum of the undiscounted expected future cash flows is less than the carrying value, we recognize an impairment to the extent the carrying amount exceeds fair value.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We record income taxes in accordance with Financial Accounting Standards Board Accounting Standards Codification Topic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Topic 740”). We account for certain income and expense items differently for financial reporting purposes and income tax purposes. We recognize deferred income tax assets and liabilities for these differences between the financial reporting basis and the tax basis of our assets and liabilities as well as expected benefits of utilizing net operating loss and credit carryforwards. The most significant temporary differences relate to accrued compensation, amortization, loss carryforwards and valuation allowances. We measure deferred income tax assets and liabilities using enacted tax rates expected to apply to taxable income in the years in which we anticipate recovery or settlement of those temporary differences. The effect on deferred tax assets and liabilities of a change in tax rates is recognized in income in the period when the change is enacted. Deferred tax assets are reduced by a valuation allowance when it is more likely than not that some portion or all of the deferred tax assets will not be realized.</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Tax laws are complex and subject to different interpretations by the taxpayer and respective governmental taxing authorities. Significant judgment is required in determining tax expense and in evaluating tax positions including evaluating uncertainties under ASC Topic 740. We recognize tax benefits from uncertain tax positions only if it is more likely than not that the tax position will be sustained on examination by the taxing authorities based on the technical merits of the position. The tax benefits recognized in the financial statements from such positions are then measured based on the largest benefit that has a greater than 50% likelihood of being realized upon ultimate settlement. Resolution of these uncertainties in a manner inconsistent with management’s expectations could have a material impact on our results of operations.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and Future Adoption of New Accounting Pronouncements</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Note 2 to the consolidated financial statements for a discussion of the recent adoption of a new accounting pronouncements and the future adoption of new accounting pronouncements.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off-balance sheet arrangements consist of escrow arrangements.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hold customers’ assets in escrow accounts at various financial institutions pending completion of certain real estate activities. These amounts are held in escrow accounts for limited periods of time and are not included in the consolidated balance sheets. Amounts held in escrow accounts were $20.0 million and $12.3 million as of December 31, 2020 and 2019,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long-term contractual obligations generally include our long-term debt and operating lease payments on certain of our premises and equipment. The following table sets forth information relating to our contractual obligations as of December 31, 2020:</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tcPr>
          <w:p>
            <w:pPr>
              <w:jc w:val="center"/>
              <w:ind w:right="70"/>
              <w:spacing w:after="0"/>
              <w:rPr>
                <w:sz w:val="20"/>
                <w:szCs w:val="20"/>
                <w:color w:val="auto"/>
              </w:rPr>
            </w:pPr>
            <w:r>
              <w:rPr>
                <w:rFonts w:ascii="Arial" w:cs="Arial" w:eastAsia="Arial" w:hAnsi="Arial"/>
                <w:sz w:val="14"/>
                <w:szCs w:val="14"/>
                <w:b w:val="1"/>
                <w:bCs w:val="1"/>
                <w:color w:val="auto"/>
                <w:w w:val="91"/>
              </w:rPr>
              <w:t>Payments due by period</w:t>
            </w: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78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7"/>
                <w:szCs w:val="17"/>
                <w:color w:val="auto"/>
              </w:rPr>
            </w:pPr>
          </w:p>
        </w:tc>
        <w:tc>
          <w:tcPr>
            <w:tcW w:w="104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Less than 1 year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1-3 years</w:t>
            </w:r>
          </w:p>
        </w:tc>
        <w:tc>
          <w:tcPr>
            <w:tcW w:w="22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3-5 years</w:t>
            </w: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More than 5 years</w:t>
            </w:r>
          </w:p>
        </w:tc>
        <w:tc>
          <w:tcPr>
            <w:tcW w:w="0" w:type="dxa"/>
            <w:vAlign w:val="bottom"/>
          </w:tcPr>
          <w:p>
            <w:pPr>
              <w:spacing w:after="0"/>
              <w:rPr>
                <w:sz w:val="1"/>
                <w:szCs w:val="1"/>
                <w:color w:val="auto"/>
              </w:rPr>
            </w:pPr>
          </w:p>
        </w:tc>
      </w:tr>
      <w:tr>
        <w:trPr>
          <w:trHeight w:val="185"/>
        </w:trPr>
        <w:tc>
          <w:tcPr>
            <w:tcW w:w="46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secured term loan</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247,204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Non-cancelable operating lease obligations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22,204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8,268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Contractual interest payments</w:t>
            </w:r>
            <w:r>
              <w:rPr>
                <w:rFonts w:ascii="Arial" w:cs="Arial" w:eastAsia="Arial" w:hAnsi="Arial"/>
                <w:sz w:val="23"/>
                <w:szCs w:val="23"/>
                <w:color w:val="auto"/>
                <w:vertAlign w:val="superscript"/>
              </w:rPr>
              <w:t>(1)</w:t>
            </w:r>
          </w:p>
        </w:tc>
        <w:tc>
          <w:tcPr>
            <w:tcW w:w="2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40,239</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12,360</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24,720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3,159</w:t>
            </w:r>
          </w:p>
        </w:tc>
        <w:tc>
          <w:tcPr>
            <w:tcW w:w="1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309,647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20,628</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35,156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253,863</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______________________________________</w:t>
            </w: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66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6" w:lineRule="exact"/>
        <w:rPr>
          <w:sz w:val="20"/>
          <w:szCs w:val="20"/>
          <w:color w:val="auto"/>
        </w:rPr>
      </w:pPr>
    </w:p>
    <w:p>
      <w:pPr>
        <w:ind w:left="260" w:hanging="252"/>
        <w:spacing w:after="0"/>
        <w:tabs>
          <w:tab w:leader="none" w:pos="260"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Represents estimated future interest payments on our Credit Agreement based on the interest rate as of December 31, 2020.</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see Note 14 and Note 25 to the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Concentration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Ocwen</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 from Ocwen primarily consists of revenue earned from the loan portfolios serviced and subserviced by Ocwen when Ocwen engages us as the service provider, and revenue earned directly from Ocwen, pursuant to the Ocwen Services Agreements. For the years ended December 31, 2020, 2019 and 2018, we recognized revenue from Ocwen of $197.8 million, $362.7 million and $437.4 million, respectively. Revenue from Ocwen as a percentage of consolidated revenue was 54%, 56% and 52% for the years ended December 31, 2020, 2019 and 2018, respectively.</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earn additional revenue related to the portfolios serviced and subserviced by Ocwen when a party other than Ocwen or the MSR owner selects Altisource as the service provider. For the years ended December 31, 2020, 2019 and 2018, we recognized revenue of $23.8 million, $37.5 million and $47.1 million, respectively, related to the portfolios serviced by Ocwen when a party other than Ocwen or the MSR owner selected Altisource as the service provider. These amounts are not included in deriving revenue from Ocwen and revenue from Ocwen as a percentage of revenue discussed above.</w:t>
      </w:r>
    </w:p>
    <w:p>
      <w:pPr>
        <w:spacing w:after="0" w:line="10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February 2019, Altisource and Ocwen entered into agreements that, among other things, facilitated Ocwen’s transition from REALServicing and related technologies to another mortgage servicing software platform, establish a process for Ocwen to review and approve the assignment of one or more of our agreements to potential buyers of Altisource’s business lines, requiring Ocwen to use Altisource as service provider for certain service referrals totaling an amount equal to 100% of the applicable service referrals on certain portfolios plus an amount equal to not less than 90% of applicable service referrals from certain other portfolios (determined on a service by service basis), subject to certain additional restrictions and limitations, and affirm Altisource’s role as a strategic service provider to Ocwen through August 2025. In connection with these agreements, Altisource expressly preserved and did not waive any of its existing contractual rights relating to service referrals, other than with respect to Ocwen transitioning from the REALServicing and related technologies. If Altisource fails certain performance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standards for specified periods of time, then Ocwen may terminate Altisource as a provider for the applicable service(s), subject to certain limitations and Altisource’s right to cure. Ocwen’s transition to another mortgage servicing platform was completed during 2019.</w:t>
      </w:r>
    </w:p>
    <w:p>
      <w:pPr>
        <w:spacing w:after="0" w:line="11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During the second quarter of 2020, Ocwen informed us that an MSR investor instructed Ocwen to use a field services provider other than Altisource on properties associated with certain MSRs. Based upon the impacted portfolios to date and the designated service provider, Altisource believes that Ocwen received these directions from NRZ. We believe Ocwen commenced using another field services provider for these properties in July 2020 and continued to transition services during the third quarter of 2020. We believe that the transition to the replacement field service provider was largely completed as of September 30, 2020. We estimate that $70.1 million, $150.2 million and $171.0 million of service revenue from Ocwen for the years ended December 31, 2020, 2019 and 2018, respectively, was derived from Field Services referrals from the NRZ portfolios. Ocwen also communicated to Altisource in the fourth quarter of 2020 that the same investor instructed Ocwen to use a provider for default valuations and certain default title services other than Altisource on properties associated with such certain MSRs and commenced moving these referrals to other service providers in the fourth quarter of 2020. We anticipate that the transition of such default valuations and title services will continue during the course of 2021. We estimate that $18.2 million, $33.2 million and $40.1 million of service revenue from Ocwen for the years ended December 31, 2020, 2019 and 2018, respectively, was derived from default valuations and title services referrals from the NRZ portfolios. Altisource believes that any action taken by Ocwen to redirect these service referrals breaches Altisource's agreement with Ocwen. We are currently in discussions with Ocwen to address this matter, and have reserved all of our rights with respect to this matter.</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To address the reduction in revenue, Altisource is undertaking several measures to further reduce its cost structure and strengthen its operations.</w:t>
      </w:r>
    </w:p>
    <w:p>
      <w:pPr>
        <w:spacing w:after="0" w:line="1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2020, accounts receivable from Ocwen totaled $5.9 million, $5.1 million of which was billed and $0.8 million of which was unbilled. As of December 31, 2019, accounts receivable from Ocwen totaled $19.1 million, $15.7 million of which was billed and $3.4 million of which was unbilled.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NRZ</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Ocwen has disclosed that NRZ is its largest client. As of December 31, 2020, NRZ MSRs or rights to MSRs relating to approximately 36% of loans serviced and subserviced by Ocwen (measured in UPB). In July 2017 and January 2018, Ocwen and NRZ entered into a series of agreements pursuant to which the parties agreed, among other things, to undertake certain actions to facilitate the transfer from Ocwen to NRZ of Ocwen’s legal title to the Subject MSRs and under which Ocwen will subservice mortgage loans underlying the MSRs for an initial term of five years, subject to early termination rights.</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28, 2017, Altisource, through its licensed subsidiaries, entered into a Cooperative Brokerage Agreement with NRZ which extends through August 2025. Under this agreement and related amendments, Altisource remains the exclusive provider of brokerage services for REO associated with the Subject MSRs, irrespective of the subservicer, subject to certain limitations. NRZ’s brokerage subsidiary receives a cooperative brokerage commission on the sale of REO properties from these portfolios subject to certain exceptions.</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Brokerage Agreement may be terminated by NRZ upon the occurrence of certain specified events. Termination events include, but are not limited to, a breach of the terms of the Brokerage Agreement (including, without limitation, the failure to meet performance standards and non-compliance with law in a material respect), the failure to maintain licenses which failure materially prevents performance of the contract, regulatory allegations of non-compliance resulting in an adversarial proceeding against NRZ, voluntary or involuntary bankruptcy, appointment of a receiver, disclosure in a Form 10-K or Form 10-Q that there is significant uncertainty about Altisource’s ability to continue as a going concern, failure to maintain a specified level of cash and an unapproved change of control.</w:t>
      </w:r>
    </w:p>
    <w:p>
      <w:pPr>
        <w:spacing w:after="0" w:line="13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For the years ended December 31, 2020, 2019 and 2018, we recognized revenue from NRZ of $8.6 million, $12.5 million and $28.7 million, respectively, under the Brokerage Agreement. For the years ended December 31, 2020, 2019 and 2018, we recognized additional revenue of $35.1 million, $60.0 million and $83.6 million, respectively, relating to the Subject MSRs when a party other than NRZ selects Altisource as the service provider.</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financial market risk consists primarily of interest rate and foreign currency exchange rate risk.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2020, the interest rate charged on the Term B Loan was 5.00%. The interest rate is calculated based on the Adjusted Eurodollar Rate (as defined in the senior secured term loan agreement) with a minimum floor of 1.00% plus 4.00%.</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on the principal amount outstanding and the Adjusted Eurodollar Rate as of December 31, 2020, a one percentage point increase in the Eurodollar rate would increase our annual interest expense by approximately $2.5 million. There would be no decrease in our annual interest expense if there was a one percentage point decrease in the Eurodollar Rate, as a result of the 1.00% minimum floor.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Exchange Risk</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exposed to currency risk from potential changes in currency values of our non-United States dollar denominated expenses, assets, liabilities and cash flows. Our most significant currency exposure relates to the Indian rupee. Based on expenses incurred in Indian rupees for the year ended December 31, 2020, a one percentage point increase or decrease in value of the Indian rupee in relation to the United States dollar would increase or decrease our annual expenses by approximately $0.4 million.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71"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024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378"/>
        </w:trPr>
        <w:tc>
          <w:tcPr>
            <w:tcW w:w="10240" w:type="dxa"/>
            <w:vAlign w:val="bottom"/>
          </w:tcPr>
          <w:p>
            <w:pPr>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Reports of Independent Registered Public Accounting Firm</w:t>
              </w:r>
            </w:hyperlink>
          </w:p>
        </w:tc>
        <w:tc>
          <w:tcPr>
            <w:tcW w:w="980" w:type="dxa"/>
            <w:vAlign w:val="bottom"/>
          </w:tcPr>
          <w:p>
            <w:pPr>
              <w:jc w:val="center"/>
              <w:spacing w:after="0"/>
              <w:rPr>
                <w:rFonts w:ascii="Arial" w:cs="Arial" w:eastAsia="Arial" w:hAnsi="Arial"/>
                <w:sz w:val="18"/>
                <w:szCs w:val="18"/>
                <w:u w:val="single" w:color="auto"/>
                <w:color w:val="0000FF"/>
                <w:w w:val="89"/>
              </w:rPr>
            </w:pPr>
            <w:hyperlink w:anchor="page54">
              <w:r>
                <w:rPr>
                  <w:rFonts w:ascii="Arial" w:cs="Arial" w:eastAsia="Arial" w:hAnsi="Arial"/>
                  <w:sz w:val="18"/>
                  <w:szCs w:val="18"/>
                  <w:u w:val="single" w:color="auto"/>
                  <w:color w:val="0000FF"/>
                  <w:w w:val="89"/>
                </w:rPr>
                <w:t>55</w:t>
              </w:r>
            </w:hyperlink>
          </w:p>
        </w:tc>
        <w:tc>
          <w:tcPr>
            <w:tcW w:w="0" w:type="dxa"/>
            <w:vAlign w:val="bottom"/>
          </w:tcPr>
          <w:p>
            <w:pPr>
              <w:spacing w:after="0"/>
              <w:rPr>
                <w:sz w:val="1"/>
                <w:szCs w:val="1"/>
                <w:color w:val="auto"/>
              </w:rPr>
            </w:pPr>
          </w:p>
        </w:tc>
      </w:tr>
      <w:tr>
        <w:trPr>
          <w:trHeight w:val="392"/>
        </w:trPr>
        <w:tc>
          <w:tcPr>
            <w:tcW w:w="10240" w:type="dxa"/>
            <w:vAlign w:val="bottom"/>
          </w:tcPr>
          <w:p>
            <w:pPr>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Consolidated Balance Sheets as of December 31, 2020 and 2019</w:t>
              </w:r>
            </w:hyperlink>
          </w:p>
        </w:tc>
        <w:tc>
          <w:tcPr>
            <w:tcW w:w="980" w:type="dxa"/>
            <w:vAlign w:val="bottom"/>
          </w:tcPr>
          <w:p>
            <w:pPr>
              <w:jc w:val="center"/>
              <w:spacing w:after="0"/>
              <w:rPr>
                <w:rFonts w:ascii="Arial" w:cs="Arial" w:eastAsia="Arial" w:hAnsi="Arial"/>
                <w:sz w:val="18"/>
                <w:szCs w:val="18"/>
                <w:u w:val="single" w:color="auto"/>
                <w:color w:val="0000FF"/>
                <w:w w:val="89"/>
              </w:rPr>
            </w:pPr>
            <w:hyperlink w:anchor="page58">
              <w:r>
                <w:rPr>
                  <w:rFonts w:ascii="Arial" w:cs="Arial" w:eastAsia="Arial" w:hAnsi="Arial"/>
                  <w:sz w:val="18"/>
                  <w:szCs w:val="18"/>
                  <w:u w:val="single" w:color="auto"/>
                  <w:color w:val="0000FF"/>
                  <w:w w:val="89"/>
                </w:rPr>
                <w:t>59</w:t>
              </w:r>
            </w:hyperlink>
          </w:p>
        </w:tc>
        <w:tc>
          <w:tcPr>
            <w:tcW w:w="0" w:type="dxa"/>
            <w:vAlign w:val="bottom"/>
          </w:tcPr>
          <w:p>
            <w:pPr>
              <w:spacing w:after="0"/>
              <w:rPr>
                <w:sz w:val="1"/>
                <w:szCs w:val="1"/>
                <w:color w:val="auto"/>
              </w:rPr>
            </w:pPr>
          </w:p>
        </w:tc>
      </w:tr>
      <w:tr>
        <w:trPr>
          <w:trHeight w:val="338"/>
        </w:trPr>
        <w:tc>
          <w:tcPr>
            <w:tcW w:w="10240" w:type="dxa"/>
            <w:vAlign w:val="bottom"/>
          </w:tcPr>
          <w:p>
            <w:pPr>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Consolidated Statements of Operations and Comprehensive Loss for the years ended</w:t>
              </w:r>
            </w:hyperlink>
          </w:p>
        </w:tc>
        <w:tc>
          <w:tcPr>
            <w:tcW w:w="980" w:type="dxa"/>
            <w:vAlign w:val="bottom"/>
            <w:vMerge w:val="restart"/>
          </w:tcPr>
          <w:p>
            <w:pPr>
              <w:jc w:val="center"/>
              <w:spacing w:after="0"/>
              <w:rPr>
                <w:rFonts w:ascii="Arial" w:cs="Arial" w:eastAsia="Arial" w:hAnsi="Arial"/>
                <w:sz w:val="18"/>
                <w:szCs w:val="18"/>
                <w:u w:val="single" w:color="auto"/>
                <w:color w:val="0000FF"/>
                <w:w w:val="89"/>
              </w:rPr>
            </w:pPr>
            <w:hyperlink w:anchor="page59">
              <w:r>
                <w:rPr>
                  <w:rFonts w:ascii="Arial" w:cs="Arial" w:eastAsia="Arial" w:hAnsi="Arial"/>
                  <w:sz w:val="18"/>
                  <w:szCs w:val="18"/>
                  <w:u w:val="single" w:color="auto"/>
                  <w:color w:val="0000FF"/>
                  <w:w w:val="89"/>
                </w:rPr>
                <w:t>60</w:t>
              </w:r>
            </w:hyperlink>
          </w:p>
        </w:tc>
        <w:tc>
          <w:tcPr>
            <w:tcW w:w="0" w:type="dxa"/>
            <w:vAlign w:val="bottom"/>
          </w:tcPr>
          <w:p>
            <w:pPr>
              <w:spacing w:after="0"/>
              <w:rPr>
                <w:sz w:val="1"/>
                <w:szCs w:val="1"/>
                <w:color w:val="auto"/>
              </w:rPr>
            </w:pPr>
          </w:p>
        </w:tc>
      </w:tr>
      <w:tr>
        <w:trPr>
          <w:trHeight w:val="230"/>
        </w:trPr>
        <w:tc>
          <w:tcPr>
            <w:tcW w:w="10240" w:type="dxa"/>
            <w:vAlign w:val="bottom"/>
          </w:tcPr>
          <w:p>
            <w:pPr>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December 31, 2020, 2019 and 2018</w:t>
              </w:r>
            </w:hyperlink>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0240" w:type="dxa"/>
            <w:vAlign w:val="bottom"/>
          </w:tcPr>
          <w:p>
            <w:pPr>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Consolidated Statements of Equity for the years ended December 31, 2020, 2019 and 2018</w:t>
              </w:r>
            </w:hyperlink>
          </w:p>
        </w:tc>
        <w:tc>
          <w:tcPr>
            <w:tcW w:w="980" w:type="dxa"/>
            <w:vAlign w:val="bottom"/>
          </w:tcPr>
          <w:p>
            <w:pPr>
              <w:jc w:val="center"/>
              <w:spacing w:after="0"/>
              <w:rPr>
                <w:rFonts w:ascii="Arial" w:cs="Arial" w:eastAsia="Arial" w:hAnsi="Arial"/>
                <w:sz w:val="18"/>
                <w:szCs w:val="18"/>
                <w:u w:val="single" w:color="auto"/>
                <w:color w:val="0000FF"/>
                <w:w w:val="89"/>
              </w:rPr>
            </w:pPr>
            <w:hyperlink w:anchor="page60">
              <w:r>
                <w:rPr>
                  <w:rFonts w:ascii="Arial" w:cs="Arial" w:eastAsia="Arial" w:hAnsi="Arial"/>
                  <w:sz w:val="18"/>
                  <w:szCs w:val="18"/>
                  <w:u w:val="single" w:color="auto"/>
                  <w:color w:val="0000FF"/>
                  <w:w w:val="89"/>
                </w:rPr>
                <w:t>61</w:t>
              </w:r>
            </w:hyperlink>
          </w:p>
        </w:tc>
        <w:tc>
          <w:tcPr>
            <w:tcW w:w="0" w:type="dxa"/>
            <w:vAlign w:val="bottom"/>
          </w:tcPr>
          <w:p>
            <w:pPr>
              <w:spacing w:after="0"/>
              <w:rPr>
                <w:sz w:val="1"/>
                <w:szCs w:val="1"/>
                <w:color w:val="auto"/>
              </w:rPr>
            </w:pPr>
          </w:p>
        </w:tc>
      </w:tr>
      <w:tr>
        <w:trPr>
          <w:trHeight w:val="392"/>
        </w:trPr>
        <w:tc>
          <w:tcPr>
            <w:tcW w:w="10240" w:type="dxa"/>
            <w:vAlign w:val="bottom"/>
          </w:tcPr>
          <w:p>
            <w:pPr>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Consolidated Statements of Cash Flows for the years ended December 31, 2020, 2019 and 2018</w:t>
              </w:r>
            </w:hyperlink>
          </w:p>
        </w:tc>
        <w:tc>
          <w:tcPr>
            <w:tcW w:w="980" w:type="dxa"/>
            <w:vAlign w:val="bottom"/>
          </w:tcPr>
          <w:p>
            <w:pPr>
              <w:jc w:val="center"/>
              <w:spacing w:after="0"/>
              <w:rPr>
                <w:rFonts w:ascii="Arial" w:cs="Arial" w:eastAsia="Arial" w:hAnsi="Arial"/>
                <w:sz w:val="18"/>
                <w:szCs w:val="18"/>
                <w:u w:val="single" w:color="auto"/>
                <w:color w:val="0000FF"/>
                <w:w w:val="89"/>
              </w:rPr>
            </w:pPr>
            <w:hyperlink w:anchor="page61">
              <w:r>
                <w:rPr>
                  <w:rFonts w:ascii="Arial" w:cs="Arial" w:eastAsia="Arial" w:hAnsi="Arial"/>
                  <w:sz w:val="18"/>
                  <w:szCs w:val="18"/>
                  <w:u w:val="single" w:color="auto"/>
                  <w:color w:val="0000FF"/>
                  <w:w w:val="89"/>
                </w:rPr>
                <w:t>62</w:t>
              </w:r>
            </w:hyperlink>
          </w:p>
        </w:tc>
        <w:tc>
          <w:tcPr>
            <w:tcW w:w="0" w:type="dxa"/>
            <w:vAlign w:val="bottom"/>
          </w:tcPr>
          <w:p>
            <w:pPr>
              <w:spacing w:after="0"/>
              <w:rPr>
                <w:sz w:val="1"/>
                <w:szCs w:val="1"/>
                <w:color w:val="auto"/>
              </w:rPr>
            </w:pPr>
          </w:p>
        </w:tc>
      </w:tr>
      <w:tr>
        <w:trPr>
          <w:trHeight w:val="392"/>
        </w:trPr>
        <w:tc>
          <w:tcPr>
            <w:tcW w:w="10240" w:type="dxa"/>
            <w:vAlign w:val="bottom"/>
          </w:tcPr>
          <w:p>
            <w:pPr>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Notes to Consolidated Financial Statements</w:t>
              </w:r>
            </w:hyperlink>
          </w:p>
        </w:tc>
        <w:tc>
          <w:tcPr>
            <w:tcW w:w="980" w:type="dxa"/>
            <w:vAlign w:val="bottom"/>
          </w:tcPr>
          <w:p>
            <w:pPr>
              <w:jc w:val="center"/>
              <w:spacing w:after="0"/>
              <w:rPr>
                <w:rFonts w:ascii="Arial" w:cs="Arial" w:eastAsia="Arial" w:hAnsi="Arial"/>
                <w:sz w:val="18"/>
                <w:szCs w:val="18"/>
                <w:u w:val="single" w:color="auto"/>
                <w:color w:val="0000FF"/>
                <w:w w:val="89"/>
              </w:rPr>
            </w:pPr>
            <w:hyperlink w:anchor="page62">
              <w:r>
                <w:rPr>
                  <w:rFonts w:ascii="Arial" w:cs="Arial" w:eastAsia="Arial" w:hAnsi="Arial"/>
                  <w:sz w:val="18"/>
                  <w:szCs w:val="18"/>
                  <w:u w:val="single" w:color="auto"/>
                  <w:color w:val="0000FF"/>
                  <w:w w:val="89"/>
                </w:rPr>
                <w:t>63</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Shareholders of Altisource Portfolio Solutions S.A.:</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75"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audited the accompanying consolidated balance sheets of Altisource Portfolio Solutions S.A. and subsidiaries (the “Company”) as of December 31, 2020 and 2019, and the related consolidated statements of operations and comprehensive income (loss), equity, and cash flows for the three years in the period ended December 31, 2020,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the three years in the period ended December 31, 2020, in conformity with accounting principles generally accepted in the United States of America.</w:t>
      </w:r>
    </w:p>
    <w:p>
      <w:pPr>
        <w:spacing w:after="0" w:line="21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(“PCAOB”), the Company’s internal control over financial reporting as of December 31, 2020, based on criteria established in </w:t>
      </w:r>
      <w:r>
        <w:rPr>
          <w:rFonts w:ascii="Arial" w:cs="Arial" w:eastAsia="Arial" w:hAnsi="Arial"/>
          <w:sz w:val="16"/>
          <w:szCs w:val="16"/>
          <w:i w:val="1"/>
          <w:iCs w:val="1"/>
          <w:color w:val="auto"/>
        </w:rPr>
        <w:t>2013 Internal Control - Integrated Framework</w:t>
      </w:r>
      <w:r>
        <w:rPr>
          <w:rFonts w:ascii="Arial" w:cs="Arial" w:eastAsia="Arial" w:hAnsi="Arial"/>
          <w:sz w:val="16"/>
          <w:szCs w:val="16"/>
          <w:color w:val="auto"/>
        </w:rPr>
        <w:t xml:space="preserve"> issued by the Committee of Sponsoring Organizations of the Treadway Commission and our report dated March 11, 2021 expressed an unqualified opinion.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Standards</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As discussed in Note 25 to the financial statements, the Company changed its method of accounting for leases as a result of the adoption of Accounting Standards Codification (“ASC”) Topic 842, </w:t>
      </w:r>
      <w:r>
        <w:rPr>
          <w:rFonts w:ascii="Arial" w:cs="Arial" w:eastAsia="Arial" w:hAnsi="Arial"/>
          <w:sz w:val="17"/>
          <w:szCs w:val="17"/>
          <w:i w:val="1"/>
          <w:iCs w:val="1"/>
          <w:color w:val="auto"/>
        </w:rPr>
        <w:t>Leases</w:t>
      </w:r>
      <w:r>
        <w:rPr>
          <w:rFonts w:ascii="Arial" w:cs="Arial" w:eastAsia="Arial" w:hAnsi="Arial"/>
          <w:sz w:val="17"/>
          <w:szCs w:val="17"/>
          <w:color w:val="auto"/>
        </w:rPr>
        <w:t>, effective January 1, 2019, under the modified retrospective transition approach.</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Emphasis of Concentration of Revenue and Uncertainties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discussed in Note 3 to the financial statements, Ocwen Financial Corporation (“Ocwen”) is the Company’s largest customer. Ocwen purchases certain mortgage services from the Company under the terms of services agreements with terms extending through August 2025. Ocwen has disclosed that New Residential Investment Corp. (“NRZ”) is its largest client. In July 2017 and January 2018, Ocwen and NRZ entered into a series of agreements pursuant to which the parties agreed, among other things, to undertake certain actions to facilitate the transfer from Ocwen to NRZ of Ocwen’s legal title to certain mortgage servicing rights (“MSRs”) and under which Ocwen will subservice mortgage loans underlying these MSRs for an initial term of five years. As discussed in Note 25 to the financial statements, NRZ can terminate its sub-servicing agreement with Ocwen in exchange for the payment of a termination fee. During the second quarter of 2020, Ocwen informed the Company that an MSR investor instructed Ocwen to use a field services provider other than the Company on properties associated with certain MSRs. Ocwen also communicated to the Company in the fourth quarter of 2020 that the same investor instructed Ocwen to use a provider for default valuations and certain title services other than the Company on properties associated with certain MSRs and commenced moving these referrals to other providers in the fourth quarter of 2020. Ocwen has disclosed that it is subject to a number of regulatory matters and may become subject to future adverse regulatory or other actions. The existence or outcome of Ocwen regulatory matters or the termination of the NRZ sub-servicing agreement with Ocwen may have significant adverse effects on Ocwen’s business and/or the Company’s continuing relationship with Ocwen. Note 25 also discusses potential events that could further significantly reduce the Company’s revenue.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Supplemental Information</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Schedule II - Valuation and Qualifying Accounts schedule listed in the index at Item 15 of the Form 10-K (the “valuation and qualifying accounts schedule”) has been subjected to audit procedures performed in conjunction with the audit of the Company’s financial statements. The valuation and qualifying accounts schedule is the responsibility of the Company’s management. Our audit procedures included determining whether the valuation and qualifying accounts schedule reconciles to the financial statements or the underlying accounting and other records, as applicable, and performing procedures to test the completeness and accuracy of the information presented in the valuation and qualifying accounts schedule. In forming our opinion on the valuation and qualifying accounts schedule, we evaluated whether the valuation and qualifying accounts schedule, including its form and content, is presented in conformity with accounting principles generally accepted in the United States of America. In our opinion, the valuation and qualifying accounts schedule is fairly stated, in all material respects, in relation to the financial statements as a whole.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(i) relates to accounts or disclosures that are material to the financial statements and (ii)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As described further in Note 2 and Note 22 to the financial statements, the Company is subject to income taxes in Luxembourg, as well as in the United States and a number of other foreign jurisdictions. The application of tax laws to the Company’s operations can be complex and subject to different interpretations by the taxpayer and respective governmental taxing authorities. Significant judgment is required in the application of tax laws to each of the different jurisdictions to determine the consolidated income tax expense. The application of different tax laws also requires judgment in evaluating tax positions including evaluating uncertainties under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and complexities in determining the recoverability of deferred tax assets in both domestic and foreign jurisdictions, based on the weight of positive and negative evidence, which includes anticipated future reversals of deferred tax liabilities, projections of future taxable income, and tax planning strategies. We identified the evaluation of the accounting for income taxes as a critical audit matter.</w:t>
      </w:r>
    </w:p>
    <w:p>
      <w:pPr>
        <w:spacing w:after="0" w:line="1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principal considerations for our determination that auditing income taxes is a critical audit matter included: (i) the specialized expertise and experience necessary in evaluating the completeness and valuation of the foreign tax provisions primarily due to the Company’s multinational presence in numerous foreign jurisdictions with varying complexity in tax laws and regulations; (ii) the subjective auditor judgment involved in evaluating the transfer pricing methodology and existence of the uncertain tax positions; (iii) the complex auditor judgment involved in evaluating the valuation of the Company’s identified uncertain tax positions; and (iv) the complex auditor judgment involved in evaluating the various forms of available positive and negative evidence regarding the recoverability of deferred tax assets, specifically due to the Company’s multinational presence.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primary procedures we performed to address this critical audit matter included:</w:t>
      </w:r>
    </w:p>
    <w:p>
      <w:pPr>
        <w:spacing w:after="0" w:line="171" w:lineRule="exact"/>
        <w:rPr>
          <w:sz w:val="20"/>
          <w:szCs w:val="20"/>
          <w:color w:val="auto"/>
        </w:rPr>
      </w:pPr>
    </w:p>
    <w:p>
      <w:pPr>
        <w:jc w:val="both"/>
        <w:ind w:left="660" w:hanging="328"/>
        <w:spacing w:after="0" w:line="286" w:lineRule="auto"/>
        <w:tabs>
          <w:tab w:leader="none" w:pos="655" w:val="left"/>
        </w:tabs>
        <w:numPr>
          <w:ilvl w:val="0"/>
          <w:numId w:val="34"/>
        </w:numPr>
        <w:rPr>
          <w:rFonts w:ascii="Arial" w:cs="Arial" w:eastAsia="Arial" w:hAnsi="Arial"/>
          <w:sz w:val="17"/>
          <w:szCs w:val="17"/>
          <w:color w:val="auto"/>
        </w:rPr>
      </w:pPr>
      <w:r>
        <w:rPr>
          <w:rFonts w:ascii="Arial" w:cs="Arial" w:eastAsia="Arial" w:hAnsi="Arial"/>
          <w:sz w:val="17"/>
          <w:szCs w:val="17"/>
          <w:color w:val="auto"/>
        </w:rPr>
        <w:t>Testing the design and operating effectiveness of certain internal controls over the Company’s income tax reporting process, including controls related to the identification and application of tax laws in different jurisdictions, the recoverability of deferred tax assets, and the identification and evaluation of significant assumptions used in determining the assessment of uncertain tax positions;</w:t>
      </w:r>
    </w:p>
    <w:p>
      <w:pPr>
        <w:spacing w:after="0" w:line="111" w:lineRule="exact"/>
        <w:rPr>
          <w:rFonts w:ascii="Arial" w:cs="Arial" w:eastAsia="Arial" w:hAnsi="Arial"/>
          <w:sz w:val="17"/>
          <w:szCs w:val="17"/>
          <w:color w:val="auto"/>
        </w:rPr>
      </w:pPr>
    </w:p>
    <w:p>
      <w:pPr>
        <w:ind w:left="660" w:right="2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Obtaining an understanding of the Company’s overall legal entity structure by reading and evaluating the Company’s organizational charts and associated documentation, including legal documents;</w:t>
      </w:r>
    </w:p>
    <w:p>
      <w:pPr>
        <w:spacing w:after="0" w:line="116" w:lineRule="exact"/>
        <w:rPr>
          <w:rFonts w:ascii="Arial" w:cs="Arial" w:eastAsia="Arial" w:hAnsi="Arial"/>
          <w:sz w:val="18"/>
          <w:szCs w:val="18"/>
          <w:color w:val="auto"/>
        </w:rPr>
      </w:pPr>
    </w:p>
    <w:p>
      <w:pPr>
        <w:jc w:val="both"/>
        <w:ind w:left="660" w:hanging="328"/>
        <w:spacing w:after="0" w:line="301" w:lineRule="auto"/>
        <w:tabs>
          <w:tab w:leader="none" w:pos="655" w:val="left"/>
        </w:tabs>
        <w:numPr>
          <w:ilvl w:val="0"/>
          <w:numId w:val="34"/>
        </w:numPr>
        <w:rPr>
          <w:rFonts w:ascii="Arial" w:cs="Arial" w:eastAsia="Arial" w:hAnsi="Arial"/>
          <w:sz w:val="16"/>
          <w:szCs w:val="16"/>
          <w:color w:val="auto"/>
        </w:rPr>
      </w:pPr>
      <w:r>
        <w:rPr>
          <w:rFonts w:ascii="Arial" w:cs="Arial" w:eastAsia="Arial" w:hAnsi="Arial"/>
          <w:sz w:val="16"/>
          <w:szCs w:val="16"/>
          <w:color w:val="auto"/>
        </w:rPr>
        <w:t>Testing the income tax provision in each significant taxable jurisdiction, including performing procedures designed to test the completeness and accuracy of the permanent and temporary differences by obtaining an understanding of the tax laws applicable in the respective jurisdiction and evaluating communications with tax advisors and governmental taxing authorities, accounting records, tax returns, and other evidential documentation, including assessing the completeness and accuracy of the underlying data used by the Company in its calculations;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660" w:hanging="328"/>
        <w:spacing w:after="0" w:line="279" w:lineRule="auto"/>
        <w:tabs>
          <w:tab w:leader="none" w:pos="655" w:val="left"/>
        </w:tabs>
        <w:numPr>
          <w:ilvl w:val="0"/>
          <w:numId w:val="35"/>
        </w:numPr>
        <w:rPr>
          <w:rFonts w:ascii="Arial" w:cs="Arial" w:eastAsia="Arial" w:hAnsi="Arial"/>
          <w:sz w:val="17"/>
          <w:szCs w:val="17"/>
          <w:color w:val="auto"/>
        </w:rPr>
      </w:pPr>
      <w:r>
        <w:rPr>
          <w:rFonts w:ascii="Arial" w:cs="Arial" w:eastAsia="Arial" w:hAnsi="Arial"/>
          <w:sz w:val="17"/>
          <w:szCs w:val="17"/>
          <w:color w:val="auto"/>
        </w:rPr>
        <w:t>Evaluating and testing the appropriateness of the methods and assumptions used in developing the Company’s estimate of the recoverability of its deferred tax assets and the identification and assessment of the valuation of uncertain tax positions in each of its taxable jurisdictions, including the determination of whether the methods were consistent with the requirements of U.S. GAAP, whether the data was appropriately used, and whether the significant assumptions were reasonable and appropriately applied within the methods.</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addition, we involved domestic and international tax professionals with specialized skills and knowledge who assisted in (1) obtaining an understanding of the tax laws in each respective jurisdiction; (2) assessing tax positions and transfer pricing studies; and (3) evaluating the Company’s interpretation of tax law and its assessment and measurement of certain tax uncertainties and expected outcomes by interpreting tax laws and evaluating and reading advice obtained from the Company’s external specialists as well as correspondence with governmental taxing authorities.</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xml:space="preserve">/s/ </w:t>
      </w:r>
      <w:r>
        <w:rPr>
          <w:rFonts w:ascii="Arial" w:cs="Arial" w:eastAsia="Arial" w:hAnsi="Arial"/>
          <w:sz w:val="18"/>
          <w:szCs w:val="18"/>
          <w:i w:val="1"/>
          <w:iCs w:val="1"/>
          <w:u w:val="single" w:color="auto"/>
          <w:color w:val="auto"/>
        </w:rPr>
        <w:t>Mayer Hoffman McCann P.C.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March 11,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Clearwater, Florida</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Shareholders of Altisource Portfolio Solutions S.A.:</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audited Altisource Portfolio Solutions S.A. and subsidiaries’ (the “Company”) internal control over financial reporting as of December 31, 2020, based on criteria established in 2013 Internal Control - Integrated Framework issued by the Committee of Sponsoring Organizations of the Treadway Commission (“COSO”). In our opinion, the Company maintained, in all material respects, effective internal control over financial reporting as of December 31, 2020, based on criteria established in 2013 Internal Control - Integrated Framework issued by the COSO.</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(“PCAOB”), the consolidated balance sheets and related consolidated statements of operations and comprehensive income (loss), consolidated statement of equity, cash flows and financial statement schedule as of December 31, 2020 and 2019 and for the three years in the period ended December 31, 2020 of the Company, and our report dated March 11, 2021, expressed an unqualified opinion on those financial statements and included an explanatory paragraph related to the change in the method of accounting for leases as a result of Accounting Standards Codification Topic 842, </w:t>
      </w:r>
      <w:r>
        <w:rPr>
          <w:rFonts w:ascii="Arial" w:cs="Arial" w:eastAsia="Arial" w:hAnsi="Arial"/>
          <w:sz w:val="16"/>
          <w:szCs w:val="16"/>
          <w:i w:val="1"/>
          <w:iCs w:val="1"/>
          <w:color w:val="auto"/>
        </w:rPr>
        <w:t>Leases</w:t>
      </w:r>
      <w:r>
        <w:rPr>
          <w:rFonts w:ascii="Arial" w:cs="Arial" w:eastAsia="Arial" w:hAnsi="Arial"/>
          <w:sz w:val="16"/>
          <w:szCs w:val="16"/>
          <w:color w:val="auto"/>
        </w:rPr>
        <w:t>, effective January 1, 2019, and an emphasis of matter paragraph regarding concentration of revenue and uncertainties with Ocwen Financial Corporation (“Ocwen”) and uncertainties faced by Ocwen.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xml:space="preserve">/s/ </w:t>
      </w:r>
      <w:r>
        <w:rPr>
          <w:rFonts w:ascii="Arial" w:cs="Arial" w:eastAsia="Arial" w:hAnsi="Arial"/>
          <w:sz w:val="18"/>
          <w:szCs w:val="18"/>
          <w:i w:val="1"/>
          <w:iCs w:val="1"/>
          <w:u w:val="single" w:color="auto"/>
          <w:color w:val="auto"/>
        </w:rPr>
        <w:t>Mayer Hoffman McCann P.C.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March 11,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Clearwater, Florida</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7"/>
        </w:trPr>
        <w:tc>
          <w:tcPr>
            <w:tcW w:w="8260" w:type="dxa"/>
            <w:vAlign w:val="bottom"/>
            <w:shd w:val="clear" w:color="auto" w:fill="CCEEFF"/>
          </w:tcPr>
          <w:p>
            <w:pPr>
              <w:ind w:left="5340"/>
              <w:spacing w:after="0"/>
              <w:rPr>
                <w:sz w:val="20"/>
                <w:szCs w:val="20"/>
                <w:color w:val="auto"/>
              </w:rPr>
            </w:pPr>
            <w:r>
              <w:rPr>
                <w:rFonts w:ascii="Arial" w:cs="Arial" w:eastAsia="Arial" w:hAnsi="Arial"/>
                <w:sz w:val="16"/>
                <w:szCs w:val="16"/>
                <w:color w:val="auto"/>
              </w:rPr>
              <w:t>ASSETS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58,263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82,741</w:t>
            </w:r>
          </w:p>
        </w:tc>
        <w:tc>
          <w:tcPr>
            <w:tcW w:w="0" w:type="dxa"/>
            <w:vAlign w:val="bottom"/>
          </w:tcPr>
          <w:p>
            <w:pPr>
              <w:spacing w:after="0"/>
              <w:rPr>
                <w:sz w:val="1"/>
                <w:szCs w:val="1"/>
                <w:color w:val="auto"/>
              </w:rPr>
            </w:pP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Accounts receivable,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22,413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43,615</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15,214</w:t>
            </w:r>
          </w:p>
        </w:tc>
        <w:tc>
          <w:tcPr>
            <w:tcW w:w="0" w:type="dxa"/>
            <w:vAlign w:val="bottom"/>
          </w:tcPr>
          <w:p>
            <w:pPr>
              <w:spacing w:after="0"/>
              <w:rPr>
                <w:sz w:val="1"/>
                <w:szCs w:val="1"/>
                <w:color w:val="auto"/>
              </w:rPr>
            </w:pP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Investment in equity securities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42,618</w:t>
            </w:r>
          </w:p>
        </w:tc>
        <w:tc>
          <w:tcPr>
            <w:tcW w:w="0" w:type="dxa"/>
            <w:vAlign w:val="bottom"/>
          </w:tcPr>
          <w:p>
            <w:pPr>
              <w:spacing w:after="0"/>
              <w:rPr>
                <w:sz w:val="1"/>
                <w:szCs w:val="1"/>
                <w:color w:val="auto"/>
              </w:rPr>
            </w:pPr>
          </w:p>
        </w:tc>
      </w:tr>
      <w:tr>
        <w:trPr>
          <w:trHeight w:val="223"/>
        </w:trPr>
        <w:tc>
          <w:tcPr>
            <w:tcW w:w="826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100,155</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184,188</w:t>
            </w:r>
          </w:p>
        </w:tc>
        <w:tc>
          <w:tcPr>
            <w:tcW w:w="0" w:type="dxa"/>
            <w:vAlign w:val="bottom"/>
          </w:tcPr>
          <w:p>
            <w:pPr>
              <w:spacing w:after="0"/>
              <w:rPr>
                <w:sz w:val="1"/>
                <w:szCs w:val="1"/>
                <w:color w:val="auto"/>
              </w:rPr>
            </w:pPr>
          </w:p>
        </w:tc>
      </w:tr>
      <w:tr>
        <w:trPr>
          <w:trHeight w:val="216"/>
        </w:trPr>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Premises and equipment,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24,526</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Right-of-use assets under operating leases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18,213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29,074</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73,849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73,849</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46,326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61,046</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10,763</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10,810</w:t>
            </w:r>
          </w:p>
        </w:tc>
        <w:tc>
          <w:tcPr>
            <w:tcW w:w="0" w:type="dxa"/>
            <w:vAlign w:val="bottom"/>
          </w:tcPr>
          <w:p>
            <w:pPr>
              <w:spacing w:after="0"/>
              <w:rPr>
                <w:sz w:val="1"/>
                <w:szCs w:val="1"/>
                <w:color w:val="auto"/>
              </w:rPr>
            </w:pPr>
          </w:p>
        </w:tc>
      </w:tr>
      <w:tr>
        <w:trPr>
          <w:trHeight w:val="196"/>
        </w:trPr>
        <w:tc>
          <w:tcPr>
            <w:tcW w:w="8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265,685</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394,256</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260" w:type="dxa"/>
            <w:vAlign w:val="bottom"/>
          </w:tcPr>
          <w:p>
            <w:pPr>
              <w:ind w:left="4640"/>
              <w:spacing w:after="0"/>
              <w:rPr>
                <w:sz w:val="20"/>
                <w:szCs w:val="20"/>
                <w:color w:val="auto"/>
              </w:rPr>
            </w:pPr>
            <w:r>
              <w:rPr>
                <w:rFonts w:ascii="Arial" w:cs="Arial" w:eastAsia="Arial" w:hAnsi="Arial"/>
                <w:sz w:val="16"/>
                <w:szCs w:val="16"/>
                <w:color w:val="auto"/>
              </w:rPr>
              <w:t>LIABILITIES AND EQUITY</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56,779</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67,671</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revenue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5,183</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14,724</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71,545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87,578</w:t>
            </w:r>
          </w:p>
        </w:tc>
        <w:tc>
          <w:tcPr>
            <w:tcW w:w="0" w:type="dxa"/>
            <w:vAlign w:val="bottom"/>
          </w:tcPr>
          <w:p>
            <w:pPr>
              <w:spacing w:after="0"/>
              <w:rPr>
                <w:sz w:val="1"/>
                <w:szCs w:val="1"/>
                <w:color w:val="auto"/>
              </w:rPr>
            </w:pPr>
          </w:p>
        </w:tc>
      </w:tr>
      <w:tr>
        <w:trPr>
          <w:trHeight w:val="216"/>
        </w:trPr>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242,656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287,882</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Deferred tax liabilities,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8,801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9,137</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31,016</w:t>
            </w:r>
          </w:p>
        </w:tc>
        <w:tc>
          <w:tcPr>
            <w:tcW w:w="0" w:type="dxa"/>
            <w:vAlign w:val="bottom"/>
          </w:tcPr>
          <w:p>
            <w:pPr>
              <w:spacing w:after="0"/>
              <w:rPr>
                <w:sz w:val="1"/>
                <w:szCs w:val="1"/>
                <w:color w:val="auto"/>
              </w:rPr>
            </w:pPr>
          </w:p>
        </w:tc>
      </w:tr>
      <w:tr>
        <w:trPr>
          <w:trHeight w:val="216"/>
        </w:trPr>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contingencies and regulatory matters (Note 25)</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(deficit):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60" w:type="dxa"/>
            <w:vAlign w:val="bottom"/>
          </w:tcPr>
          <w:p>
            <w:pPr>
              <w:ind w:left="140"/>
              <w:spacing w:after="0" w:line="176" w:lineRule="exact"/>
              <w:rPr>
                <w:sz w:val="20"/>
                <w:szCs w:val="20"/>
                <w:color w:val="auto"/>
              </w:rPr>
            </w:pPr>
            <w:r>
              <w:rPr>
                <w:rFonts w:ascii="Arial" w:cs="Arial" w:eastAsia="Arial" w:hAnsi="Arial"/>
                <w:sz w:val="18"/>
                <w:szCs w:val="18"/>
                <w:color w:val="auto"/>
                <w:w w:val="96"/>
              </w:rPr>
              <w:t>Common stock ($1.00 par value; 100,000 shares authorized, 25,413 issued and 15,664 outstanding as of</w:t>
            </w: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25,413</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25,413</w:t>
            </w:r>
          </w:p>
        </w:tc>
        <w:tc>
          <w:tcPr>
            <w:tcW w:w="0" w:type="dxa"/>
            <w:vAlign w:val="bottom"/>
          </w:tcPr>
          <w:p>
            <w:pPr>
              <w:spacing w:after="0"/>
              <w:rPr>
                <w:sz w:val="1"/>
                <w:szCs w:val="1"/>
                <w:color w:val="auto"/>
              </w:rPr>
            </w:pPr>
          </w:p>
        </w:tc>
      </w:tr>
      <w:tr>
        <w:trPr>
          <w:trHeight w:val="230"/>
        </w:trPr>
        <w:tc>
          <w:tcPr>
            <w:tcW w:w="8260" w:type="dxa"/>
            <w:vAlign w:val="bottom"/>
          </w:tcPr>
          <w:p>
            <w:pPr>
              <w:ind w:left="300"/>
              <w:spacing w:after="0"/>
              <w:rPr>
                <w:sz w:val="20"/>
                <w:szCs w:val="20"/>
                <w:color w:val="auto"/>
              </w:rPr>
            </w:pPr>
            <w:r>
              <w:rPr>
                <w:rFonts w:ascii="Arial" w:cs="Arial" w:eastAsia="Arial" w:hAnsi="Arial"/>
                <w:sz w:val="18"/>
                <w:szCs w:val="18"/>
                <w:color w:val="auto"/>
              </w:rPr>
              <w:t>December 31, 2020; 15,454 outstanding as of December 31, 2019)</w:t>
            </w:r>
          </w:p>
        </w:tc>
        <w:tc>
          <w:tcPr>
            <w:tcW w:w="3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141,473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133,669</w:t>
            </w:r>
          </w:p>
        </w:tc>
        <w:tc>
          <w:tcPr>
            <w:tcW w:w="0" w:type="dxa"/>
            <w:vAlign w:val="bottom"/>
          </w:tcPr>
          <w:p>
            <w:pPr>
              <w:spacing w:after="0"/>
              <w:rPr>
                <w:sz w:val="1"/>
                <w:szCs w:val="1"/>
                <w:color w:val="auto"/>
              </w:rPr>
            </w:pP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190,383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272,026</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4"/>
              </w:rPr>
              <w:t>Treasury stock, at cost (9,749 shares as of December 31, 2020 and 9,959 shares as of December 31, 2019)</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(441,034)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(453,934)</w:t>
            </w:r>
          </w:p>
        </w:tc>
        <w:tc>
          <w:tcPr>
            <w:tcW w:w="0" w:type="dxa"/>
            <w:vAlign w:val="bottom"/>
          </w:tcPr>
          <w:p>
            <w:pPr>
              <w:spacing w:after="0"/>
              <w:rPr>
                <w:sz w:val="1"/>
                <w:szCs w:val="1"/>
                <w:color w:val="auto"/>
              </w:rPr>
            </w:pPr>
          </w:p>
        </w:tc>
      </w:tr>
      <w:tr>
        <w:trPr>
          <w:trHeight w:val="223"/>
        </w:trPr>
        <w:tc>
          <w:tcPr>
            <w:tcW w:w="8260" w:type="dxa"/>
            <w:vAlign w:val="bottom"/>
          </w:tcPr>
          <w:p>
            <w:pPr>
              <w:ind w:left="480"/>
              <w:spacing w:after="0"/>
              <w:rPr>
                <w:sz w:val="20"/>
                <w:szCs w:val="20"/>
                <w:color w:val="auto"/>
              </w:rPr>
            </w:pPr>
            <w:r>
              <w:rPr>
                <w:rFonts w:ascii="Arial" w:cs="Arial" w:eastAsia="Arial" w:hAnsi="Arial"/>
                <w:sz w:val="18"/>
                <w:szCs w:val="18"/>
                <w:color w:val="auto"/>
              </w:rPr>
              <w:t>Altisource deficit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(83,765)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(22,826)</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Non-controlling interests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1,469</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deficit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(82,556)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(21,357)</w:t>
            </w:r>
          </w:p>
        </w:tc>
        <w:tc>
          <w:tcPr>
            <w:tcW w:w="0" w:type="dxa"/>
            <w:vAlign w:val="bottom"/>
          </w:tcPr>
          <w:p>
            <w:pPr>
              <w:spacing w:after="0"/>
              <w:rPr>
                <w:sz w:val="1"/>
                <w:szCs w:val="1"/>
                <w:color w:val="auto"/>
              </w:rPr>
            </w:pPr>
          </w:p>
        </w:tc>
      </w:tr>
      <w:tr>
        <w:trPr>
          <w:trHeight w:val="196"/>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deficit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265,685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394,256</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For the years ended December 31,</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7"/>
        </w:trPr>
        <w:tc>
          <w:tcPr>
            <w:tcW w:w="7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365,547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648,651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838,202</w:t>
            </w:r>
          </w:p>
        </w:tc>
        <w:tc>
          <w:tcPr>
            <w:tcW w:w="0" w:type="dxa"/>
            <w:vAlign w:val="bottom"/>
          </w:tcPr>
          <w:p>
            <w:pPr>
              <w:spacing w:after="0"/>
              <w:rPr>
                <w:sz w:val="1"/>
                <w:szCs w:val="1"/>
                <w:color w:val="auto"/>
              </w:rPr>
            </w:pPr>
          </w:p>
        </w:tc>
      </w:tr>
      <w:tr>
        <w:trPr>
          <w:trHeight w:val="230"/>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305,194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493,256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622,165</w:t>
            </w:r>
          </w:p>
        </w:tc>
        <w:tc>
          <w:tcPr>
            <w:tcW w:w="0" w:type="dxa"/>
            <w:vAlign w:val="bottom"/>
          </w:tcPr>
          <w:p>
            <w:pPr>
              <w:spacing w:after="0"/>
              <w:rPr>
                <w:sz w:val="1"/>
                <w:szCs w:val="1"/>
                <w:color w:val="auto"/>
              </w:rPr>
            </w:pPr>
          </w:p>
        </w:tc>
      </w:tr>
      <w:tr>
        <w:trPr>
          <w:trHeight w:val="196"/>
        </w:trPr>
        <w:tc>
          <w:tcPr>
            <w:tcW w:w="7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60,353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155,395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216,037</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(income):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tcPr>
          <w:p>
            <w:pPr>
              <w:ind w:left="14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92,736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141,076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175,670</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sale of businesses</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(13,688)</w:t>
            </w:r>
          </w:p>
        </w:tc>
        <w:tc>
          <w:tcPr>
            <w:tcW w:w="0" w:type="dxa"/>
            <w:vAlign w:val="bottom"/>
          </w:tcPr>
          <w:p>
            <w:pPr>
              <w:spacing w:after="0"/>
              <w:rPr>
                <w:sz w:val="1"/>
                <w:szCs w:val="1"/>
                <w:color w:val="auto"/>
              </w:rPr>
            </w:pPr>
          </w:p>
        </w:tc>
      </w:tr>
      <w:tr>
        <w:trPr>
          <w:trHeight w:val="230"/>
        </w:trPr>
        <w:tc>
          <w:tcPr>
            <w:tcW w:w="7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Restructuring charges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11,560</w:t>
            </w:r>
          </w:p>
        </w:tc>
        <w:tc>
          <w:tcPr>
            <w:tcW w:w="0" w:type="dxa"/>
            <w:vAlign w:val="bottom"/>
          </w:tcPr>
          <w:p>
            <w:pPr>
              <w:spacing w:after="0"/>
              <w:rPr>
                <w:sz w:val="1"/>
                <w:szCs w:val="1"/>
                <w:color w:val="auto"/>
              </w:rPr>
            </w:pPr>
          </w:p>
        </w:tc>
      </w:tr>
      <w:tr>
        <w:trPr>
          <w:trHeight w:val="196"/>
        </w:trPr>
        <w:tc>
          <w:tcPr>
            <w:tcW w:w="7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(Loss) income from operations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(44,355)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18,053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42,495</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(17,730)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(21,393)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(26,254)</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gain (loss) on investment in equity securities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(12,972)</w:t>
            </w:r>
          </w:p>
        </w:tc>
        <w:tc>
          <w:tcPr>
            <w:tcW w:w="0" w:type="dxa"/>
            <w:vAlign w:val="bottom"/>
          </w:tcPr>
          <w:p>
            <w:pPr>
              <w:spacing w:after="0"/>
              <w:rPr>
                <w:sz w:val="1"/>
                <w:szCs w:val="1"/>
                <w:color w:val="auto"/>
              </w:rPr>
            </w:pPr>
          </w:p>
        </w:tc>
      </w:tr>
      <w:tr>
        <w:trPr>
          <w:trHeight w:val="229"/>
        </w:trPr>
        <w:tc>
          <w:tcPr>
            <w:tcW w:w="7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(1,870)</w:t>
            </w:r>
          </w:p>
        </w:tc>
        <w:tc>
          <w:tcPr>
            <w:tcW w:w="0" w:type="dxa"/>
            <w:vAlign w:val="bottom"/>
          </w:tcPr>
          <w:p>
            <w:pPr>
              <w:spacing w:after="0"/>
              <w:rPr>
                <w:sz w:val="1"/>
                <w:szCs w:val="1"/>
                <w:color w:val="auto"/>
              </w:rPr>
            </w:pPr>
          </w:p>
        </w:tc>
      </w:tr>
      <w:tr>
        <w:trPr>
          <w:trHeight w:val="223"/>
        </w:trPr>
        <w:tc>
          <w:tcPr>
            <w:tcW w:w="70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other income (expense),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(41,096)</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before income taxes and non-controlling interests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29"/>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provision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(318,296)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(4,098)</w:t>
            </w:r>
          </w:p>
        </w:tc>
        <w:tc>
          <w:tcPr>
            <w:tcW w:w="0" w:type="dxa"/>
            <w:vAlign w:val="bottom"/>
          </w:tcPr>
          <w:p>
            <w:pPr>
              <w:spacing w:after="0"/>
              <w:rPr>
                <w:sz w:val="1"/>
                <w:szCs w:val="1"/>
                <w:color w:val="auto"/>
              </w:rPr>
            </w:pPr>
          </w:p>
        </w:tc>
      </w:tr>
      <w:tr>
        <w:trPr>
          <w:trHeight w:val="196"/>
        </w:trPr>
        <w:tc>
          <w:tcPr>
            <w:tcW w:w="7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(66,315)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(305,857)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(2,699)</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(2,683)</w:t>
            </w:r>
          </w:p>
        </w:tc>
        <w:tc>
          <w:tcPr>
            <w:tcW w:w="0" w:type="dxa"/>
            <w:vAlign w:val="bottom"/>
          </w:tcPr>
          <w:p>
            <w:pPr>
              <w:spacing w:after="0"/>
              <w:rPr>
                <w:sz w:val="1"/>
                <w:szCs w:val="1"/>
                <w:color w:val="auto"/>
              </w:rPr>
            </w:pPr>
          </w:p>
        </w:tc>
      </w:tr>
      <w:tr>
        <w:trPr>
          <w:trHeight w:val="196"/>
        </w:trPr>
        <w:tc>
          <w:tcPr>
            <w:tcW w:w="7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Altisource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(307,969)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(5,382)</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per share: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14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(19.26)</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14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15,598</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15,991</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17,073</w:t>
            </w:r>
          </w:p>
        </w:tc>
        <w:tc>
          <w:tcPr>
            <w:tcW w:w="0" w:type="dxa"/>
            <w:vAlign w:val="bottom"/>
          </w:tcPr>
          <w:p>
            <w:pPr>
              <w:spacing w:after="0"/>
              <w:rPr>
                <w:sz w:val="1"/>
                <w:szCs w:val="1"/>
                <w:color w:val="auto"/>
              </w:rPr>
            </w:pP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17,073</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14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(66,315)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(305,857)</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(2,699)</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loss, net of tax:</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060" w:type="dxa"/>
            <w:vAlign w:val="bottom"/>
          </w:tcPr>
          <w:p>
            <w:pPr>
              <w:ind w:left="220"/>
              <w:spacing w:after="0" w:line="176" w:lineRule="exact"/>
              <w:rPr>
                <w:sz w:val="20"/>
                <w:szCs w:val="20"/>
                <w:color w:val="auto"/>
              </w:rPr>
            </w:pPr>
            <w:r>
              <w:rPr>
                <w:rFonts w:ascii="Arial" w:cs="Arial" w:eastAsia="Arial" w:hAnsi="Arial"/>
                <w:sz w:val="18"/>
                <w:szCs w:val="18"/>
                <w:color w:val="auto"/>
                <w:w w:val="98"/>
              </w:rPr>
              <w:t>Reclassification of unrealized gain on investment in equity securities, net of income tax</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060" w:type="dxa"/>
            <w:vAlign w:val="bottom"/>
          </w:tcPr>
          <w:p>
            <w:pPr>
              <w:ind w:left="400"/>
              <w:spacing w:after="0" w:line="176" w:lineRule="exact"/>
              <w:rPr>
                <w:sz w:val="20"/>
                <w:szCs w:val="20"/>
                <w:color w:val="auto"/>
              </w:rPr>
            </w:pPr>
            <w:r>
              <w:rPr>
                <w:rFonts w:ascii="Arial" w:cs="Arial" w:eastAsia="Arial" w:hAnsi="Arial"/>
                <w:sz w:val="18"/>
                <w:szCs w:val="18"/>
                <w:color w:val="auto"/>
              </w:rPr>
              <w:t>provision of $200, to retained earnings from the cumulative effect of an accounting</w:t>
            </w:r>
          </w:p>
        </w:tc>
        <w:tc>
          <w:tcPr>
            <w:tcW w:w="300" w:type="dxa"/>
            <w:vAlign w:val="bottom"/>
          </w:tcPr>
          <w:p>
            <w:pPr>
              <w:spacing w:after="0"/>
              <w:rPr>
                <w:sz w:val="15"/>
                <w:szCs w:val="15"/>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29"/>
        </w:trPr>
        <w:tc>
          <w:tcPr>
            <w:tcW w:w="7060" w:type="dxa"/>
            <w:vAlign w:val="bottom"/>
          </w:tcPr>
          <w:p>
            <w:pPr>
              <w:ind w:left="400"/>
              <w:spacing w:after="0"/>
              <w:rPr>
                <w:sz w:val="20"/>
                <w:szCs w:val="20"/>
                <w:color w:val="auto"/>
              </w:rPr>
            </w:pPr>
            <w:r>
              <w:rPr>
                <w:rFonts w:ascii="Arial" w:cs="Arial" w:eastAsia="Arial" w:hAnsi="Arial"/>
                <w:sz w:val="18"/>
                <w:szCs w:val="18"/>
                <w:color w:val="auto"/>
              </w:rPr>
              <w:t>change</w:t>
            </w:r>
          </w:p>
        </w:tc>
        <w:tc>
          <w:tcPr>
            <w:tcW w:w="30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0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Comprehensive loss, net of tax</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(66,315)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(305,857)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(3,432)</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(2,683)</w:t>
            </w:r>
          </w:p>
        </w:tc>
        <w:tc>
          <w:tcPr>
            <w:tcW w:w="0" w:type="dxa"/>
            <w:vAlign w:val="bottom"/>
          </w:tcPr>
          <w:p>
            <w:pPr>
              <w:spacing w:after="0"/>
              <w:rPr>
                <w:sz w:val="1"/>
                <w:szCs w:val="1"/>
                <w:color w:val="auto"/>
              </w:rPr>
            </w:pPr>
          </w:p>
        </w:tc>
      </w:tr>
      <w:tr>
        <w:trPr>
          <w:trHeight w:val="196"/>
        </w:trPr>
        <w:tc>
          <w:tcPr>
            <w:tcW w:w="7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 attributable to Altisource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(307,969)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(6,115)</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121" w:lineRule="exact"/>
        <w:rPr>
          <w:sz w:val="20"/>
          <w:szCs w:val="20"/>
          <w:color w:val="auto"/>
        </w:rPr>
      </w:pPr>
    </w:p>
    <w:tbl>
      <w:tblPr>
        <w:tblLayout w:type="fixed"/>
        <w:tblInd w:w="2660" w:type="dxa"/>
        <w:tblCellMar>
          <w:top w:w="0" w:type="dxa"/>
          <w:left w:w="0" w:type="dxa"/>
          <w:bottom w:w="0" w:type="dxa"/>
          <w:right w:w="0" w:type="dxa"/>
        </w:tblCellMar>
      </w:tblPr>
      <w:tr>
        <w:trPr>
          <w:trHeight w:val="192"/>
        </w:trPr>
        <w:tc>
          <w:tcPr>
            <w:tcW w:w="16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2"/>
          </w:tcPr>
          <w:p>
            <w:pPr>
              <w:ind w:left="760"/>
              <w:spacing w:after="0"/>
              <w:rPr>
                <w:sz w:val="20"/>
                <w:szCs w:val="20"/>
                <w:color w:val="auto"/>
              </w:rPr>
            </w:pPr>
            <w:r>
              <w:rPr>
                <w:rFonts w:ascii="Arial" w:cs="Arial" w:eastAsia="Arial" w:hAnsi="Arial"/>
                <w:sz w:val="14"/>
                <w:szCs w:val="14"/>
                <w:b w:val="1"/>
                <w:bCs w:val="1"/>
                <w:color w:val="auto"/>
                <w:w w:val="94"/>
              </w:rPr>
              <w:t>Altisource Equity (Deficit)</w:t>
            </w:r>
          </w:p>
        </w:tc>
        <w:tc>
          <w:tcPr>
            <w:tcW w:w="1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660" w:type="dxa"/>
            <w:vAlign w:val="bottom"/>
          </w:tcPr>
          <w:p>
            <w:pPr>
              <w:spacing w:after="0"/>
              <w:rPr>
                <w:sz w:val="11"/>
                <w:szCs w:val="11"/>
                <w:color w:val="auto"/>
              </w:rPr>
            </w:pPr>
          </w:p>
        </w:tc>
        <w:tc>
          <w:tcPr>
            <w:tcW w:w="136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w w:val="96"/>
              </w:rPr>
              <w:t>Additional</w:t>
            </w:r>
          </w:p>
        </w:tc>
        <w:tc>
          <w:tcPr>
            <w:tcW w:w="10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Retained</w:t>
            </w:r>
          </w:p>
        </w:tc>
        <w:tc>
          <w:tcPr>
            <w:tcW w:w="1300" w:type="dxa"/>
            <w:vAlign w:val="bottom"/>
          </w:tcPr>
          <w:p>
            <w:pPr>
              <w:jc w:val="center"/>
              <w:ind w:right="8"/>
              <w:spacing w:after="0" w:line="135" w:lineRule="exact"/>
              <w:rPr>
                <w:sz w:val="20"/>
                <w:szCs w:val="20"/>
                <w:color w:val="auto"/>
              </w:rPr>
            </w:pPr>
            <w:r>
              <w:rPr>
                <w:rFonts w:ascii="Arial" w:cs="Arial" w:eastAsia="Arial" w:hAnsi="Arial"/>
                <w:sz w:val="14"/>
                <w:szCs w:val="14"/>
                <w:b w:val="1"/>
                <w:bCs w:val="1"/>
                <w:color w:val="auto"/>
                <w:w w:val="93"/>
              </w:rPr>
              <w:t>Accumulated other</w:t>
            </w: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Treasury stock,</w:t>
            </w:r>
          </w:p>
        </w:tc>
        <w:tc>
          <w:tcPr>
            <w:tcW w:w="12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Non-</w:t>
            </w: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Common stock</w:t>
            </w:r>
          </w:p>
        </w:tc>
        <w:tc>
          <w:tcPr>
            <w:tcW w:w="13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3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1100" w:type="dxa"/>
            <w:vAlign w:val="bottom"/>
            <w:vMerge w:val="continue"/>
          </w:tcPr>
          <w:p>
            <w:pPr>
              <w:spacing w:after="0"/>
              <w:rPr>
                <w:sz w:val="11"/>
                <w:szCs w:val="11"/>
                <w:color w:val="auto"/>
              </w:rPr>
            </w:pPr>
          </w:p>
        </w:tc>
        <w:tc>
          <w:tcPr>
            <w:tcW w:w="12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controlling</w:t>
            </w:r>
          </w:p>
        </w:tc>
        <w:tc>
          <w:tcPr>
            <w:tcW w:w="600" w:type="dxa"/>
            <w:vAlign w:val="bottom"/>
            <w:vMerge w:val="restart"/>
          </w:tcPr>
          <w:p>
            <w:pPr>
              <w:ind w:left="2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86"/>
        </w:trPr>
        <w:tc>
          <w:tcPr>
            <w:tcW w:w="1660" w:type="dxa"/>
            <w:vAlign w:val="bottom"/>
            <w:vMerge w:val="continue"/>
          </w:tcPr>
          <w:p>
            <w:pPr>
              <w:spacing w:after="0"/>
              <w:rPr>
                <w:sz w:val="16"/>
                <w:szCs w:val="16"/>
                <w:color w:val="auto"/>
              </w:rPr>
            </w:pPr>
          </w:p>
        </w:tc>
        <w:tc>
          <w:tcPr>
            <w:tcW w:w="1360" w:type="dxa"/>
            <w:vAlign w:val="bottom"/>
          </w:tcPr>
          <w:p>
            <w:pPr>
              <w:jc w:val="center"/>
              <w:ind w:left="48"/>
              <w:spacing w:after="0"/>
              <w:rPr>
                <w:sz w:val="20"/>
                <w:szCs w:val="20"/>
                <w:color w:val="auto"/>
              </w:rPr>
            </w:pPr>
            <w:r>
              <w:rPr>
                <w:rFonts w:ascii="Arial" w:cs="Arial" w:eastAsia="Arial" w:hAnsi="Arial"/>
                <w:sz w:val="14"/>
                <w:szCs w:val="14"/>
                <w:b w:val="1"/>
                <w:bCs w:val="1"/>
                <w:color w:val="auto"/>
                <w:w w:val="93"/>
              </w:rPr>
              <w:t>paid-in capital</w:t>
            </w:r>
          </w:p>
        </w:tc>
        <w:tc>
          <w:tcPr>
            <w:tcW w:w="1040" w:type="dxa"/>
            <w:vAlign w:val="bottom"/>
          </w:tcPr>
          <w:p>
            <w:pPr>
              <w:ind w:left="180"/>
              <w:spacing w:after="0"/>
              <w:rPr>
                <w:sz w:val="20"/>
                <w:szCs w:val="20"/>
                <w:color w:val="auto"/>
              </w:rPr>
            </w:pPr>
            <w:r>
              <w:rPr>
                <w:rFonts w:ascii="Arial" w:cs="Arial" w:eastAsia="Arial" w:hAnsi="Arial"/>
                <w:sz w:val="14"/>
                <w:szCs w:val="14"/>
                <w:b w:val="1"/>
                <w:bCs w:val="1"/>
                <w:color w:val="auto"/>
              </w:rPr>
              <w:t>earnings</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8"/>
              </w:rPr>
              <w:t>income (loss)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8"/>
              </w:rPr>
              <w:t>at cost</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9"/>
              </w:rPr>
              <w:t>interests</w:t>
            </w: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1905</wp:posOffset>
            </wp:positionV>
            <wp:extent cx="54432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443220" cy="8255"/>
                    </a:xfrm>
                    <a:prstGeom prst="rect">
                      <a:avLst/>
                    </a:prstGeom>
                    <a:noFill/>
                  </pic:spPr>
                </pic:pic>
              </a:graphicData>
            </a:graphic>
          </wp:anchor>
        </w:drawing>
      </w:r>
    </w:p>
    <w:p>
      <w:pPr>
        <w:ind w:left="2860"/>
        <w:spacing w:after="0"/>
        <w:rPr>
          <w:sz w:val="20"/>
          <w:szCs w:val="20"/>
          <w:color w:val="auto"/>
        </w:rPr>
      </w:pPr>
      <w:r>
        <w:rPr>
          <w:rFonts w:ascii="Arial" w:cs="Arial" w:eastAsia="Arial" w:hAnsi="Arial"/>
          <w:sz w:val="14"/>
          <w:szCs w:val="14"/>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289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1693545</wp:posOffset>
            </wp:positionH>
            <wp:positionV relativeFrom="paragraph">
              <wp:posOffset>23495</wp:posOffset>
            </wp:positionV>
            <wp:extent cx="5054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0546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2640" w:type="dxa"/>
            <w:vAlign w:val="bottom"/>
          </w:tcPr>
          <w:p>
            <w:pPr>
              <w:spacing w:after="0"/>
              <w:rPr>
                <w:sz w:val="20"/>
                <w:szCs w:val="20"/>
                <w:color w:val="auto"/>
              </w:rPr>
            </w:pPr>
            <w:r>
              <w:rPr>
                <w:rFonts w:ascii="Arial" w:cs="Arial" w:eastAsia="Arial" w:hAnsi="Arial"/>
                <w:sz w:val="15"/>
                <w:szCs w:val="15"/>
                <w:color w:val="auto"/>
              </w:rPr>
              <w:t>Balance, January 1, 2018</w:t>
            </w:r>
          </w:p>
        </w:tc>
        <w:tc>
          <w:tcPr>
            <w:tcW w:w="800" w:type="dxa"/>
            <w:vAlign w:val="bottom"/>
          </w:tcPr>
          <w:p>
            <w:pPr>
              <w:jc w:val="right"/>
              <w:spacing w:after="0"/>
              <w:rPr>
                <w:sz w:val="20"/>
                <w:szCs w:val="20"/>
                <w:color w:val="auto"/>
              </w:rPr>
            </w:pPr>
            <w:r>
              <w:rPr>
                <w:rFonts w:ascii="Arial" w:cs="Arial" w:eastAsia="Arial" w:hAnsi="Arial"/>
                <w:sz w:val="15"/>
                <w:szCs w:val="15"/>
                <w:color w:val="auto"/>
              </w:rPr>
              <w:t>25,413</w:t>
            </w:r>
          </w:p>
        </w:tc>
        <w:tc>
          <w:tcPr>
            <w:tcW w:w="120" w:type="dxa"/>
            <w:vAlign w:val="bottom"/>
          </w:tcPr>
          <w:p>
            <w:pPr>
              <w:spacing w:after="0"/>
              <w:rPr>
                <w:sz w:val="16"/>
                <w:szCs w:val="16"/>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25,413</w:t>
            </w:r>
          </w:p>
        </w:tc>
        <w:tc>
          <w:tcPr>
            <w:tcW w:w="120" w:type="dxa"/>
            <w:vAlign w:val="bottom"/>
          </w:tcPr>
          <w:p>
            <w:pPr>
              <w:spacing w:after="0"/>
              <w:rPr>
                <w:sz w:val="16"/>
                <w:szCs w:val="16"/>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112,475</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64"/>
        </w:trPr>
        <w:tc>
          <w:tcPr>
            <w:tcW w:w="2640" w:type="dxa"/>
            <w:vAlign w:val="bottom"/>
          </w:tcPr>
          <w:p>
            <w:pPr>
              <w:spacing w:after="0"/>
              <w:rPr>
                <w:sz w:val="20"/>
                <w:szCs w:val="20"/>
                <w:color w:val="auto"/>
              </w:rPr>
            </w:pPr>
            <w:r>
              <w:rPr>
                <w:rFonts w:ascii="Arial" w:cs="Arial" w:eastAsia="Arial" w:hAnsi="Arial"/>
                <w:sz w:val="15"/>
                <w:szCs w:val="15"/>
                <w:color w:val="auto"/>
              </w:rPr>
              <w:t>Net loss</w:t>
            </w:r>
          </w:p>
        </w:tc>
        <w:tc>
          <w:tcPr>
            <w:tcW w:w="9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640" w:type="dxa"/>
            <w:vAlign w:val="bottom"/>
          </w:tcPr>
          <w:p>
            <w:pPr>
              <w:spacing w:after="0" w:line="157" w:lineRule="exact"/>
              <w:rPr>
                <w:sz w:val="20"/>
                <w:szCs w:val="20"/>
                <w:color w:val="auto"/>
              </w:rPr>
            </w:pPr>
            <w:r>
              <w:rPr>
                <w:rFonts w:ascii="Arial" w:cs="Arial" w:eastAsia="Arial" w:hAnsi="Arial"/>
                <w:sz w:val="15"/>
                <w:szCs w:val="15"/>
                <w:color w:val="auto"/>
              </w:rPr>
              <w:t>Distributions to non-controlling interest</w:t>
            </w: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640" w:type="dxa"/>
            <w:vAlign w:val="bottom"/>
          </w:tcPr>
          <w:p>
            <w:pPr>
              <w:ind w:left="160"/>
              <w:spacing w:after="0"/>
              <w:rPr>
                <w:sz w:val="20"/>
                <w:szCs w:val="20"/>
                <w:color w:val="auto"/>
              </w:rPr>
            </w:pPr>
            <w:r>
              <w:rPr>
                <w:rFonts w:ascii="Arial" w:cs="Arial" w:eastAsia="Arial" w:hAnsi="Arial"/>
                <w:sz w:val="15"/>
                <w:szCs w:val="15"/>
                <w:color w:val="auto"/>
              </w:rPr>
              <w:t>holders</w:t>
            </w:r>
          </w:p>
        </w:tc>
        <w:tc>
          <w:tcPr>
            <w:tcW w:w="9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640" w:type="dxa"/>
            <w:vAlign w:val="bottom"/>
          </w:tcPr>
          <w:p>
            <w:pPr>
              <w:spacing w:after="0"/>
              <w:rPr>
                <w:sz w:val="20"/>
                <w:szCs w:val="20"/>
                <w:color w:val="auto"/>
              </w:rPr>
            </w:pPr>
            <w:r>
              <w:rPr>
                <w:rFonts w:ascii="Arial" w:cs="Arial" w:eastAsia="Arial" w:hAnsi="Arial"/>
                <w:sz w:val="15"/>
                <w:szCs w:val="15"/>
                <w:color w:val="auto"/>
              </w:rPr>
              <w:t>Share-based compensation expense</w:t>
            </w:r>
          </w:p>
        </w:tc>
        <w:tc>
          <w:tcPr>
            <w:tcW w:w="9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10,192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640" w:type="dxa"/>
            <w:vAlign w:val="bottom"/>
          </w:tcPr>
          <w:p>
            <w:pPr>
              <w:spacing w:after="0" w:line="157" w:lineRule="exact"/>
              <w:rPr>
                <w:sz w:val="20"/>
                <w:szCs w:val="20"/>
                <w:color w:val="auto"/>
              </w:rPr>
            </w:pPr>
            <w:r>
              <w:rPr>
                <w:rFonts w:ascii="Arial" w:cs="Arial" w:eastAsia="Arial" w:hAnsi="Arial"/>
                <w:sz w:val="15"/>
                <w:szCs w:val="15"/>
                <w:color w:val="auto"/>
              </w:rPr>
              <w:t>Cumulative effect of an accounting</w:t>
            </w: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640" w:type="dxa"/>
            <w:vAlign w:val="bottom"/>
          </w:tcPr>
          <w:p>
            <w:pPr>
              <w:ind w:left="160"/>
              <w:spacing w:after="0"/>
              <w:rPr>
                <w:sz w:val="20"/>
                <w:szCs w:val="20"/>
                <w:color w:val="auto"/>
              </w:rPr>
            </w:pPr>
            <w:r>
              <w:rPr>
                <w:rFonts w:ascii="Arial" w:cs="Arial" w:eastAsia="Arial" w:hAnsi="Arial"/>
                <w:sz w:val="15"/>
                <w:szCs w:val="15"/>
                <w:color w:val="auto"/>
              </w:rPr>
              <w:t>change (Note 5 and 18)</w:t>
            </w:r>
          </w:p>
        </w:tc>
        <w:tc>
          <w:tcPr>
            <w:tcW w:w="9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640" w:type="dxa"/>
            <w:vAlign w:val="bottom"/>
          </w:tcPr>
          <w:p>
            <w:pPr>
              <w:spacing w:after="0" w:line="157" w:lineRule="exact"/>
              <w:rPr>
                <w:sz w:val="20"/>
                <w:szCs w:val="20"/>
                <w:color w:val="auto"/>
              </w:rPr>
            </w:pPr>
            <w:r>
              <w:rPr>
                <w:rFonts w:ascii="Arial" w:cs="Arial" w:eastAsia="Arial" w:hAnsi="Arial"/>
                <w:sz w:val="15"/>
                <w:szCs w:val="15"/>
                <w:color w:val="auto"/>
                <w:w w:val="95"/>
              </w:rPr>
              <w:t>Exercise of stock options and issuance of</w:t>
            </w: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640" w:type="dxa"/>
            <w:vAlign w:val="bottom"/>
          </w:tcPr>
          <w:p>
            <w:pPr>
              <w:ind w:left="160"/>
              <w:spacing w:after="0"/>
              <w:rPr>
                <w:sz w:val="20"/>
                <w:szCs w:val="20"/>
                <w:color w:val="auto"/>
              </w:rPr>
            </w:pPr>
            <w:r>
              <w:rPr>
                <w:rFonts w:ascii="Arial" w:cs="Arial" w:eastAsia="Arial" w:hAnsi="Arial"/>
                <w:sz w:val="15"/>
                <w:szCs w:val="15"/>
                <w:color w:val="auto"/>
              </w:rPr>
              <w:t>restricted shares</w:t>
            </w:r>
          </w:p>
        </w:tc>
        <w:tc>
          <w:tcPr>
            <w:tcW w:w="9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640" w:type="dxa"/>
            <w:vAlign w:val="bottom"/>
          </w:tcPr>
          <w:p>
            <w:pPr>
              <w:spacing w:after="0" w:line="157" w:lineRule="exact"/>
              <w:rPr>
                <w:sz w:val="20"/>
                <w:szCs w:val="20"/>
                <w:color w:val="auto"/>
              </w:rPr>
            </w:pPr>
            <w:r>
              <w:rPr>
                <w:rFonts w:ascii="Arial" w:cs="Arial" w:eastAsia="Arial" w:hAnsi="Arial"/>
                <w:sz w:val="15"/>
                <w:szCs w:val="15"/>
                <w:color w:val="auto"/>
                <w:w w:val="94"/>
              </w:rPr>
              <w:t>Treasury shares withheld for the payment</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40" w:type="dxa"/>
            <w:vAlign w:val="bottom"/>
          </w:tcPr>
          <w:p>
            <w:pPr>
              <w:ind w:left="160"/>
              <w:spacing w:after="0" w:line="149" w:lineRule="exact"/>
              <w:rPr>
                <w:sz w:val="20"/>
                <w:szCs w:val="20"/>
                <w:color w:val="auto"/>
              </w:rPr>
            </w:pPr>
            <w:r>
              <w:rPr>
                <w:rFonts w:ascii="Arial" w:cs="Arial" w:eastAsia="Arial" w:hAnsi="Arial"/>
                <w:sz w:val="15"/>
                <w:szCs w:val="15"/>
                <w:color w:val="auto"/>
                <w:w w:val="92"/>
              </w:rPr>
              <w:t>of tax on restricted share issuances and</w:t>
            </w: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2"/>
                <w:szCs w:val="12"/>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640" w:type="dxa"/>
            <w:vAlign w:val="bottom"/>
          </w:tcPr>
          <w:p>
            <w:pPr>
              <w:ind w:left="160"/>
              <w:spacing w:after="0"/>
              <w:rPr>
                <w:sz w:val="20"/>
                <w:szCs w:val="20"/>
                <w:color w:val="auto"/>
              </w:rPr>
            </w:pPr>
            <w:r>
              <w:rPr>
                <w:rFonts w:ascii="Arial" w:cs="Arial" w:eastAsia="Arial" w:hAnsi="Arial"/>
                <w:sz w:val="15"/>
                <w:szCs w:val="15"/>
                <w:color w:val="auto"/>
              </w:rPr>
              <w:t>stock option exercises</w:t>
            </w:r>
          </w:p>
        </w:tc>
        <w:tc>
          <w:tcPr>
            <w:tcW w:w="9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640" w:type="dxa"/>
            <w:vAlign w:val="bottom"/>
          </w:tcPr>
          <w:p>
            <w:pPr>
              <w:spacing w:after="0"/>
              <w:rPr>
                <w:sz w:val="20"/>
                <w:szCs w:val="20"/>
                <w:color w:val="auto"/>
              </w:rPr>
            </w:pPr>
            <w:r>
              <w:rPr>
                <w:rFonts w:ascii="Arial" w:cs="Arial" w:eastAsia="Arial" w:hAnsi="Arial"/>
                <w:sz w:val="15"/>
                <w:szCs w:val="15"/>
                <w:color w:val="auto"/>
              </w:rPr>
              <w:t>Repurchase of shares</w:t>
            </w:r>
          </w:p>
        </w:tc>
        <w:tc>
          <w:tcPr>
            <w:tcW w:w="9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1"/>
        </w:trPr>
        <w:tc>
          <w:tcPr>
            <w:tcW w:w="2640" w:type="dxa"/>
            <w:vAlign w:val="bottom"/>
          </w:tcPr>
          <w:p>
            <w:pPr>
              <w:spacing w:after="0"/>
              <w:rPr>
                <w:sz w:val="20"/>
                <w:szCs w:val="20"/>
                <w:color w:val="auto"/>
              </w:rPr>
            </w:pPr>
            <w:r>
              <w:rPr>
                <w:rFonts w:ascii="Arial" w:cs="Arial" w:eastAsia="Arial" w:hAnsi="Arial"/>
                <w:sz w:val="15"/>
                <w:szCs w:val="15"/>
                <w:color w:val="auto"/>
              </w:rPr>
              <w:t>Balance, December 31, 2018</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25,413</w:t>
            </w: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25,413</w:t>
            </w: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122,667</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640" w:type="dxa"/>
            <w:vAlign w:val="bottom"/>
          </w:tcPr>
          <w:p>
            <w:pPr>
              <w:spacing w:after="0"/>
              <w:rPr>
                <w:sz w:val="20"/>
                <w:szCs w:val="20"/>
                <w:color w:val="auto"/>
              </w:rPr>
            </w:pPr>
            <w:r>
              <w:rPr>
                <w:rFonts w:ascii="Arial" w:cs="Arial" w:eastAsia="Arial" w:hAnsi="Arial"/>
                <w:sz w:val="15"/>
                <w:szCs w:val="15"/>
                <w:color w:val="auto"/>
              </w:rPr>
              <w:t>Net loss</w:t>
            </w:r>
          </w:p>
        </w:tc>
        <w:tc>
          <w:tcPr>
            <w:tcW w:w="9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640" w:type="dxa"/>
            <w:vAlign w:val="bottom"/>
          </w:tcPr>
          <w:p>
            <w:pPr>
              <w:spacing w:after="0" w:line="157" w:lineRule="exact"/>
              <w:rPr>
                <w:sz w:val="20"/>
                <w:szCs w:val="20"/>
                <w:color w:val="auto"/>
              </w:rPr>
            </w:pPr>
            <w:r>
              <w:rPr>
                <w:rFonts w:ascii="Arial" w:cs="Arial" w:eastAsia="Arial" w:hAnsi="Arial"/>
                <w:sz w:val="15"/>
                <w:szCs w:val="15"/>
                <w:color w:val="auto"/>
              </w:rPr>
              <w:t>Distributions to non-controlling interest</w:t>
            </w: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640" w:type="dxa"/>
            <w:vAlign w:val="bottom"/>
          </w:tcPr>
          <w:p>
            <w:pPr>
              <w:ind w:left="160"/>
              <w:spacing w:after="0"/>
              <w:rPr>
                <w:sz w:val="20"/>
                <w:szCs w:val="20"/>
                <w:color w:val="auto"/>
              </w:rPr>
            </w:pPr>
            <w:r>
              <w:rPr>
                <w:rFonts w:ascii="Arial" w:cs="Arial" w:eastAsia="Arial" w:hAnsi="Arial"/>
                <w:sz w:val="15"/>
                <w:szCs w:val="15"/>
                <w:color w:val="auto"/>
              </w:rPr>
              <w:t>holders</w:t>
            </w:r>
          </w:p>
        </w:tc>
        <w:tc>
          <w:tcPr>
            <w:tcW w:w="9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40" w:type="dxa"/>
            <w:vAlign w:val="bottom"/>
          </w:tcPr>
          <w:p>
            <w:pPr>
              <w:spacing w:after="0"/>
              <w:rPr>
                <w:sz w:val="20"/>
                <w:szCs w:val="20"/>
                <w:color w:val="auto"/>
              </w:rPr>
            </w:pPr>
            <w:r>
              <w:rPr>
                <w:rFonts w:ascii="Arial" w:cs="Arial" w:eastAsia="Arial" w:hAnsi="Arial"/>
                <w:sz w:val="15"/>
                <w:szCs w:val="15"/>
                <w:color w:val="auto"/>
              </w:rPr>
              <w:t>Share-based compensation expense</w:t>
            </w:r>
          </w:p>
        </w:tc>
        <w:tc>
          <w:tcPr>
            <w:tcW w:w="9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11,002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640" w:type="dxa"/>
            <w:vAlign w:val="bottom"/>
          </w:tcPr>
          <w:p>
            <w:pPr>
              <w:spacing w:after="0" w:line="157" w:lineRule="exact"/>
              <w:rPr>
                <w:sz w:val="20"/>
                <w:szCs w:val="20"/>
                <w:color w:val="auto"/>
              </w:rPr>
            </w:pPr>
            <w:r>
              <w:rPr>
                <w:rFonts w:ascii="Arial" w:cs="Arial" w:eastAsia="Arial" w:hAnsi="Arial"/>
                <w:sz w:val="15"/>
                <w:szCs w:val="15"/>
                <w:color w:val="auto"/>
                <w:w w:val="95"/>
              </w:rPr>
              <w:t>Exercise of stock options and issuance of</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40" w:type="dxa"/>
            <w:vAlign w:val="bottom"/>
          </w:tcPr>
          <w:p>
            <w:pPr>
              <w:ind w:left="160"/>
              <w:spacing w:after="0" w:line="149" w:lineRule="exact"/>
              <w:rPr>
                <w:sz w:val="20"/>
                <w:szCs w:val="20"/>
                <w:color w:val="auto"/>
              </w:rPr>
            </w:pPr>
            <w:r>
              <w:rPr>
                <w:rFonts w:ascii="Arial" w:cs="Arial" w:eastAsia="Arial" w:hAnsi="Arial"/>
                <w:sz w:val="15"/>
                <w:szCs w:val="15"/>
                <w:color w:val="auto"/>
              </w:rPr>
              <w:t>restricted share units and restricted</w:t>
            </w: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2"/>
                <w:szCs w:val="12"/>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640" w:type="dxa"/>
            <w:vAlign w:val="bottom"/>
          </w:tcPr>
          <w:p>
            <w:pPr>
              <w:ind w:left="160"/>
              <w:spacing w:after="0"/>
              <w:rPr>
                <w:sz w:val="20"/>
                <w:szCs w:val="20"/>
                <w:color w:val="auto"/>
              </w:rPr>
            </w:pPr>
            <w:r>
              <w:rPr>
                <w:rFonts w:ascii="Arial" w:cs="Arial" w:eastAsia="Arial" w:hAnsi="Arial"/>
                <w:sz w:val="15"/>
                <w:szCs w:val="15"/>
                <w:color w:val="auto"/>
              </w:rPr>
              <w:t>shares</w:t>
            </w:r>
          </w:p>
        </w:tc>
        <w:tc>
          <w:tcPr>
            <w:tcW w:w="9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640" w:type="dxa"/>
            <w:vAlign w:val="bottom"/>
          </w:tcPr>
          <w:p>
            <w:pPr>
              <w:spacing w:after="0" w:line="157" w:lineRule="exact"/>
              <w:rPr>
                <w:sz w:val="20"/>
                <w:szCs w:val="20"/>
                <w:color w:val="auto"/>
              </w:rPr>
            </w:pPr>
            <w:r>
              <w:rPr>
                <w:rFonts w:ascii="Arial" w:cs="Arial" w:eastAsia="Arial" w:hAnsi="Arial"/>
                <w:sz w:val="15"/>
                <w:szCs w:val="15"/>
                <w:color w:val="auto"/>
                <w:w w:val="94"/>
              </w:rPr>
              <w:t>Treasury shares withheld for the payment</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640" w:type="dxa"/>
            <w:vAlign w:val="bottom"/>
          </w:tcPr>
          <w:p>
            <w:pPr>
              <w:ind w:left="160"/>
              <w:spacing w:after="0" w:line="149" w:lineRule="exact"/>
              <w:rPr>
                <w:sz w:val="20"/>
                <w:szCs w:val="20"/>
                <w:color w:val="auto"/>
              </w:rPr>
            </w:pPr>
            <w:r>
              <w:rPr>
                <w:rFonts w:ascii="Arial" w:cs="Arial" w:eastAsia="Arial" w:hAnsi="Arial"/>
                <w:sz w:val="15"/>
                <w:szCs w:val="15"/>
                <w:color w:val="auto"/>
                <w:w w:val="92"/>
              </w:rPr>
              <w:t>of tax on restricted share issuances and</w:t>
            </w: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2"/>
                <w:szCs w:val="12"/>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640" w:type="dxa"/>
            <w:vAlign w:val="bottom"/>
          </w:tcPr>
          <w:p>
            <w:pPr>
              <w:ind w:left="160"/>
              <w:spacing w:after="0"/>
              <w:rPr>
                <w:sz w:val="20"/>
                <w:szCs w:val="20"/>
                <w:color w:val="auto"/>
              </w:rPr>
            </w:pPr>
            <w:r>
              <w:rPr>
                <w:rFonts w:ascii="Arial" w:cs="Arial" w:eastAsia="Arial" w:hAnsi="Arial"/>
                <w:sz w:val="15"/>
                <w:szCs w:val="15"/>
                <w:color w:val="auto"/>
              </w:rPr>
              <w:t>stock option exercises</w:t>
            </w:r>
          </w:p>
        </w:tc>
        <w:tc>
          <w:tcPr>
            <w:tcW w:w="9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640" w:type="dxa"/>
            <w:vAlign w:val="bottom"/>
          </w:tcPr>
          <w:p>
            <w:pPr>
              <w:spacing w:after="0"/>
              <w:rPr>
                <w:sz w:val="20"/>
                <w:szCs w:val="20"/>
                <w:color w:val="auto"/>
              </w:rPr>
            </w:pPr>
            <w:r>
              <w:rPr>
                <w:rFonts w:ascii="Arial" w:cs="Arial" w:eastAsia="Arial" w:hAnsi="Arial"/>
                <w:sz w:val="15"/>
                <w:szCs w:val="15"/>
                <w:color w:val="auto"/>
              </w:rPr>
              <w:t>Repurchase of shares</w:t>
            </w:r>
          </w:p>
        </w:tc>
        <w:tc>
          <w:tcPr>
            <w:tcW w:w="9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0"/>
        </w:trPr>
        <w:tc>
          <w:tcPr>
            <w:tcW w:w="2640" w:type="dxa"/>
            <w:vAlign w:val="bottom"/>
          </w:tcPr>
          <w:p>
            <w:pPr>
              <w:spacing w:after="0"/>
              <w:rPr>
                <w:sz w:val="20"/>
                <w:szCs w:val="20"/>
                <w:color w:val="auto"/>
              </w:rPr>
            </w:pPr>
            <w:r>
              <w:rPr>
                <w:rFonts w:ascii="Arial" w:cs="Arial" w:eastAsia="Arial" w:hAnsi="Arial"/>
                <w:sz w:val="15"/>
                <w:szCs w:val="15"/>
                <w:color w:val="auto"/>
              </w:rPr>
              <w:t>Balance, December 31, 2019</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25,413</w:t>
            </w: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25,413</w:t>
            </w: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133,669</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640" w:type="dxa"/>
            <w:vAlign w:val="bottom"/>
          </w:tcPr>
          <w:p>
            <w:pPr>
              <w:spacing w:after="0"/>
              <w:rPr>
                <w:sz w:val="20"/>
                <w:szCs w:val="20"/>
                <w:color w:val="auto"/>
              </w:rPr>
            </w:pPr>
            <w:r>
              <w:rPr>
                <w:rFonts w:ascii="Arial" w:cs="Arial" w:eastAsia="Arial" w:hAnsi="Arial"/>
                <w:sz w:val="15"/>
                <w:szCs w:val="15"/>
                <w:color w:val="auto"/>
              </w:rPr>
              <w:t>Net loss</w:t>
            </w:r>
          </w:p>
        </w:tc>
        <w:tc>
          <w:tcPr>
            <w:tcW w:w="9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640" w:type="dxa"/>
            <w:vAlign w:val="bottom"/>
          </w:tcPr>
          <w:p>
            <w:pPr>
              <w:spacing w:after="0" w:line="157" w:lineRule="exact"/>
              <w:rPr>
                <w:sz w:val="20"/>
                <w:szCs w:val="20"/>
                <w:color w:val="auto"/>
              </w:rPr>
            </w:pPr>
            <w:r>
              <w:rPr>
                <w:rFonts w:ascii="Arial" w:cs="Arial" w:eastAsia="Arial" w:hAnsi="Arial"/>
                <w:sz w:val="15"/>
                <w:szCs w:val="15"/>
                <w:color w:val="auto"/>
              </w:rPr>
              <w:t>Distributions to non-controlling interest</w:t>
            </w: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640" w:type="dxa"/>
            <w:vAlign w:val="bottom"/>
          </w:tcPr>
          <w:p>
            <w:pPr>
              <w:ind w:left="160"/>
              <w:spacing w:after="0"/>
              <w:rPr>
                <w:sz w:val="20"/>
                <w:szCs w:val="20"/>
                <w:color w:val="auto"/>
              </w:rPr>
            </w:pPr>
            <w:r>
              <w:rPr>
                <w:rFonts w:ascii="Arial" w:cs="Arial" w:eastAsia="Arial" w:hAnsi="Arial"/>
                <w:sz w:val="15"/>
                <w:szCs w:val="15"/>
                <w:color w:val="auto"/>
              </w:rPr>
              <w:t>holders</w:t>
            </w:r>
          </w:p>
        </w:tc>
        <w:tc>
          <w:tcPr>
            <w:tcW w:w="9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40" w:type="dxa"/>
            <w:vAlign w:val="bottom"/>
          </w:tcPr>
          <w:p>
            <w:pPr>
              <w:spacing w:after="0"/>
              <w:rPr>
                <w:sz w:val="20"/>
                <w:szCs w:val="20"/>
                <w:color w:val="auto"/>
              </w:rPr>
            </w:pPr>
            <w:r>
              <w:rPr>
                <w:rFonts w:ascii="Arial" w:cs="Arial" w:eastAsia="Arial" w:hAnsi="Arial"/>
                <w:sz w:val="15"/>
                <w:szCs w:val="15"/>
                <w:color w:val="auto"/>
              </w:rPr>
              <w:t>Share-based compensation expense</w:t>
            </w:r>
          </w:p>
        </w:tc>
        <w:tc>
          <w:tcPr>
            <w:tcW w:w="9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7,804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640" w:type="dxa"/>
            <w:vAlign w:val="bottom"/>
          </w:tcPr>
          <w:p>
            <w:pPr>
              <w:spacing w:after="0" w:line="157" w:lineRule="exact"/>
              <w:rPr>
                <w:sz w:val="20"/>
                <w:szCs w:val="20"/>
                <w:color w:val="auto"/>
              </w:rPr>
            </w:pPr>
            <w:r>
              <w:rPr>
                <w:rFonts w:ascii="Arial" w:cs="Arial" w:eastAsia="Arial" w:hAnsi="Arial"/>
                <w:sz w:val="15"/>
                <w:szCs w:val="15"/>
                <w:color w:val="auto"/>
                <w:w w:val="95"/>
              </w:rPr>
              <w:t>Exercise of stock options and issuance of</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40" w:type="dxa"/>
            <w:vAlign w:val="bottom"/>
          </w:tcPr>
          <w:p>
            <w:pPr>
              <w:ind w:left="160"/>
              <w:spacing w:after="0" w:line="149" w:lineRule="exact"/>
              <w:rPr>
                <w:sz w:val="20"/>
                <w:szCs w:val="20"/>
                <w:color w:val="auto"/>
              </w:rPr>
            </w:pPr>
            <w:r>
              <w:rPr>
                <w:rFonts w:ascii="Arial" w:cs="Arial" w:eastAsia="Arial" w:hAnsi="Arial"/>
                <w:sz w:val="15"/>
                <w:szCs w:val="15"/>
                <w:color w:val="auto"/>
              </w:rPr>
              <w:t>restricted share units and restricted</w:t>
            </w: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2"/>
                <w:szCs w:val="12"/>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640" w:type="dxa"/>
            <w:vAlign w:val="bottom"/>
          </w:tcPr>
          <w:p>
            <w:pPr>
              <w:ind w:left="160"/>
              <w:spacing w:after="0"/>
              <w:rPr>
                <w:sz w:val="20"/>
                <w:szCs w:val="20"/>
                <w:color w:val="auto"/>
              </w:rPr>
            </w:pPr>
            <w:r>
              <w:rPr>
                <w:rFonts w:ascii="Arial" w:cs="Arial" w:eastAsia="Arial" w:hAnsi="Arial"/>
                <w:sz w:val="15"/>
                <w:szCs w:val="15"/>
                <w:color w:val="auto"/>
              </w:rPr>
              <w:t>shares</w:t>
            </w:r>
          </w:p>
        </w:tc>
        <w:tc>
          <w:tcPr>
            <w:tcW w:w="9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640" w:type="dxa"/>
            <w:vAlign w:val="bottom"/>
          </w:tcPr>
          <w:p>
            <w:pPr>
              <w:spacing w:after="0" w:line="157" w:lineRule="exact"/>
              <w:rPr>
                <w:sz w:val="20"/>
                <w:szCs w:val="20"/>
                <w:color w:val="auto"/>
              </w:rPr>
            </w:pPr>
            <w:r>
              <w:rPr>
                <w:rFonts w:ascii="Arial" w:cs="Arial" w:eastAsia="Arial" w:hAnsi="Arial"/>
                <w:sz w:val="15"/>
                <w:szCs w:val="15"/>
                <w:color w:val="auto"/>
                <w:w w:val="94"/>
              </w:rPr>
              <w:t>Treasury shares withheld for the payment</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640" w:type="dxa"/>
            <w:vAlign w:val="bottom"/>
          </w:tcPr>
          <w:p>
            <w:pPr>
              <w:ind w:left="160"/>
              <w:spacing w:after="0" w:line="149" w:lineRule="exact"/>
              <w:rPr>
                <w:sz w:val="20"/>
                <w:szCs w:val="20"/>
                <w:color w:val="auto"/>
              </w:rPr>
            </w:pPr>
            <w:r>
              <w:rPr>
                <w:rFonts w:ascii="Arial" w:cs="Arial" w:eastAsia="Arial" w:hAnsi="Arial"/>
                <w:sz w:val="15"/>
                <w:szCs w:val="15"/>
                <w:color w:val="auto"/>
              </w:rPr>
              <w:t>of tax on restricted share unit and</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40" w:type="dxa"/>
            <w:vAlign w:val="bottom"/>
          </w:tcPr>
          <w:p>
            <w:pPr>
              <w:ind w:left="160"/>
              <w:spacing w:after="0" w:line="149" w:lineRule="exact"/>
              <w:rPr>
                <w:sz w:val="20"/>
                <w:szCs w:val="20"/>
                <w:color w:val="auto"/>
              </w:rPr>
            </w:pPr>
            <w:r>
              <w:rPr>
                <w:rFonts w:ascii="Arial" w:cs="Arial" w:eastAsia="Arial" w:hAnsi="Arial"/>
                <w:sz w:val="15"/>
                <w:szCs w:val="15"/>
                <w:color w:val="auto"/>
              </w:rPr>
              <w:t>restricted share issuances and stock</w:t>
            </w: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2"/>
                <w:szCs w:val="12"/>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640" w:type="dxa"/>
            <w:vAlign w:val="bottom"/>
          </w:tcPr>
          <w:p>
            <w:pPr>
              <w:ind w:left="160"/>
              <w:spacing w:after="0"/>
              <w:rPr>
                <w:sz w:val="20"/>
                <w:szCs w:val="20"/>
                <w:color w:val="auto"/>
              </w:rPr>
            </w:pPr>
            <w:r>
              <w:rPr>
                <w:rFonts w:ascii="Arial" w:cs="Arial" w:eastAsia="Arial" w:hAnsi="Arial"/>
                <w:sz w:val="15"/>
                <w:szCs w:val="15"/>
                <w:color w:val="auto"/>
              </w:rPr>
              <w:t>option exercises</w:t>
            </w:r>
          </w:p>
        </w:tc>
        <w:tc>
          <w:tcPr>
            <w:tcW w:w="9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640" w:type="dxa"/>
            <w:vAlign w:val="bottom"/>
          </w:tcPr>
          <w:p>
            <w:pPr>
              <w:ind w:left="160"/>
              <w:spacing w:after="0"/>
              <w:rPr>
                <w:sz w:val="20"/>
                <w:szCs w:val="20"/>
                <w:color w:val="auto"/>
              </w:rPr>
            </w:pPr>
            <w:r>
              <w:rPr>
                <w:rFonts w:ascii="Arial" w:cs="Arial" w:eastAsia="Arial" w:hAnsi="Arial"/>
                <w:sz w:val="15"/>
                <w:szCs w:val="15"/>
                <w:color w:val="auto"/>
              </w:rPr>
              <w:t>Balance, December 31, 2020</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25,413</w:t>
            </w:r>
          </w:p>
        </w:tc>
        <w:tc>
          <w:tcPr>
            <w:tcW w:w="120" w:type="dxa"/>
            <w:vAlign w:val="bottom"/>
          </w:tcPr>
          <w:p>
            <w:pPr>
              <w:spacing w:after="0"/>
              <w:rPr>
                <w:sz w:val="24"/>
                <w:szCs w:val="24"/>
                <w:color w:val="auto"/>
              </w:rPr>
            </w:pP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25,413</w:t>
            </w:r>
          </w:p>
        </w:tc>
        <w:tc>
          <w:tcPr>
            <w:tcW w:w="120" w:type="dxa"/>
            <w:vAlign w:val="bottom"/>
          </w:tcPr>
          <w:p>
            <w:pPr>
              <w:spacing w:after="0"/>
              <w:rPr>
                <w:sz w:val="24"/>
                <w:szCs w:val="24"/>
                <w:color w:val="auto"/>
              </w:rPr>
            </w:pP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141,473</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
        </w:trPr>
        <w:tc>
          <w:tcPr>
            <w:tcW w:w="26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-4756785</wp:posOffset>
            </wp:positionV>
            <wp:extent cx="7132320" cy="1289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-4405630</wp:posOffset>
            </wp:positionV>
            <wp:extent cx="7132320" cy="1289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-4053840</wp:posOffset>
            </wp:positionV>
            <wp:extent cx="7132320" cy="2228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-3514090</wp:posOffset>
            </wp:positionV>
            <wp:extent cx="7132320" cy="1289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-3282315</wp:posOffset>
            </wp:positionV>
            <wp:extent cx="7132320" cy="1289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-3051175</wp:posOffset>
            </wp:positionV>
            <wp:extent cx="7132320" cy="1289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-2699385</wp:posOffset>
            </wp:positionV>
            <wp:extent cx="7132320" cy="1289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-2253615</wp:posOffset>
            </wp:positionV>
            <wp:extent cx="7132320" cy="3175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3175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-1576705</wp:posOffset>
            </wp:positionV>
            <wp:extent cx="7132320" cy="1028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-1344930</wp:posOffset>
            </wp:positionV>
            <wp:extent cx="7132320" cy="2228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-993775</wp:posOffset>
            </wp:positionV>
            <wp:extent cx="7132320" cy="3175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3175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028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-1807845</wp:posOffset>
            </wp:positionV>
            <wp:extent cx="7132320" cy="1028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740" w:type="dxa"/>
            <w:vAlign w:val="bottom"/>
          </w:tcPr>
          <w:p>
            <w:pPr>
              <w:jc w:val="right"/>
              <w:ind w:right="104"/>
              <w:spacing w:after="0"/>
              <w:rPr>
                <w:sz w:val="20"/>
                <w:szCs w:val="20"/>
                <w:color w:val="auto"/>
              </w:rPr>
            </w:pPr>
            <w:r>
              <w:rPr>
                <w:rFonts w:ascii="Arial" w:cs="Arial" w:eastAsia="Arial" w:hAnsi="Arial"/>
                <w:sz w:val="15"/>
                <w:szCs w:val="15"/>
                <w:color w:val="auto"/>
                <w:w w:val="99"/>
              </w:rPr>
              <w:t>626,600</w:t>
            </w:r>
          </w:p>
        </w:tc>
        <w:tc>
          <w:tcPr>
            <w:tcW w:w="480" w:type="dxa"/>
            <w:vAlign w:val="bottom"/>
          </w:tcPr>
          <w:p>
            <w:pPr>
              <w:jc w:val="right"/>
              <w:ind w:right="304"/>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733</w:t>
            </w:r>
          </w:p>
        </w:tc>
        <w:tc>
          <w:tcPr>
            <w:tcW w:w="100" w:type="dxa"/>
            <w:vAlign w:val="bottom"/>
          </w:tcPr>
          <w:p>
            <w:pPr>
              <w:spacing w:after="0"/>
              <w:rPr>
                <w:sz w:val="16"/>
                <w:szCs w:val="16"/>
                <w:color w:val="auto"/>
              </w:rPr>
            </w:pPr>
          </w:p>
        </w:tc>
        <w:tc>
          <w:tcPr>
            <w:tcW w:w="260" w:type="dxa"/>
            <w:vAlign w:val="bottom"/>
          </w:tcPr>
          <w:p>
            <w:pPr>
              <w:jc w:val="right"/>
              <w:ind w:right="84"/>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(426,609)</w:t>
            </w:r>
          </w:p>
        </w:tc>
        <w:tc>
          <w:tcPr>
            <w:tcW w:w="100" w:type="dxa"/>
            <w:vAlign w:val="bottom"/>
          </w:tcPr>
          <w:p>
            <w:pPr>
              <w:spacing w:after="0"/>
              <w:rPr>
                <w:sz w:val="16"/>
                <w:szCs w:val="16"/>
                <w:color w:val="auto"/>
              </w:rPr>
            </w:pP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1,373</w:t>
            </w:r>
          </w:p>
        </w:tc>
        <w:tc>
          <w:tcPr>
            <w:tcW w:w="100" w:type="dxa"/>
            <w:vAlign w:val="bottom"/>
          </w:tcPr>
          <w:p>
            <w:pPr>
              <w:spacing w:after="0"/>
              <w:rPr>
                <w:sz w:val="16"/>
                <w:szCs w:val="16"/>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339,985</w:t>
            </w:r>
          </w:p>
        </w:tc>
      </w:tr>
      <w:tr>
        <w:trPr>
          <w:trHeight w:val="364"/>
        </w:trPr>
        <w:tc>
          <w:tcPr>
            <w:tcW w:w="740" w:type="dxa"/>
            <w:vAlign w:val="bottom"/>
          </w:tcPr>
          <w:p>
            <w:pPr>
              <w:jc w:val="right"/>
              <w:ind w:right="64"/>
              <w:spacing w:after="0"/>
              <w:rPr>
                <w:sz w:val="20"/>
                <w:szCs w:val="20"/>
                <w:color w:val="auto"/>
              </w:rPr>
            </w:pPr>
            <w:r>
              <w:rPr>
                <w:rFonts w:ascii="Arial" w:cs="Arial" w:eastAsia="Arial" w:hAnsi="Arial"/>
                <w:sz w:val="15"/>
                <w:szCs w:val="15"/>
                <w:color w:val="auto"/>
              </w:rPr>
              <w:t>(5,382)</w:t>
            </w:r>
          </w:p>
        </w:tc>
        <w:tc>
          <w:tcPr>
            <w:tcW w:w="48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2,683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(2,699)</w:t>
            </w:r>
          </w:p>
        </w:tc>
      </w:tr>
      <w:tr>
        <w:trPr>
          <w:trHeight w:val="351"/>
        </w:trPr>
        <w:tc>
          <w:tcPr>
            <w:tcW w:w="74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(2,819)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(2,819)</w:t>
            </w:r>
          </w:p>
        </w:tc>
      </w:tr>
      <w:tr>
        <w:trPr>
          <w:trHeight w:val="202"/>
        </w:trPr>
        <w:tc>
          <w:tcPr>
            <w:tcW w:w="74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10,192</w:t>
            </w:r>
          </w:p>
        </w:tc>
      </w:tr>
      <w:tr>
        <w:trPr>
          <w:trHeight w:val="351"/>
        </w:trPr>
        <w:tc>
          <w:tcPr>
            <w:tcW w:w="740" w:type="dxa"/>
            <w:vAlign w:val="bottom"/>
          </w:tcPr>
          <w:p>
            <w:pPr>
              <w:jc w:val="right"/>
              <w:ind w:right="64"/>
              <w:spacing w:after="0"/>
              <w:rPr>
                <w:sz w:val="20"/>
                <w:szCs w:val="20"/>
                <w:color w:val="auto"/>
              </w:rPr>
            </w:pPr>
            <w:r>
              <w:rPr>
                <w:rFonts w:ascii="Arial" w:cs="Arial" w:eastAsia="Arial" w:hAnsi="Arial"/>
                <w:sz w:val="15"/>
                <w:szCs w:val="15"/>
                <w:color w:val="auto"/>
              </w:rPr>
              <w:t>(9,715)</w:t>
            </w:r>
          </w:p>
        </w:tc>
        <w:tc>
          <w:tcPr>
            <w:tcW w:w="4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(733)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(10,448)</w:t>
            </w:r>
          </w:p>
        </w:tc>
      </w:tr>
      <w:tr>
        <w:trPr>
          <w:trHeight w:val="351"/>
        </w:trPr>
        <w:tc>
          <w:tcPr>
            <w:tcW w:w="740" w:type="dxa"/>
            <w:vAlign w:val="bottom"/>
          </w:tcPr>
          <w:p>
            <w:pPr>
              <w:jc w:val="right"/>
              <w:ind w:right="64"/>
              <w:spacing w:after="0"/>
              <w:rPr>
                <w:sz w:val="20"/>
                <w:szCs w:val="20"/>
                <w:color w:val="auto"/>
              </w:rPr>
            </w:pPr>
            <w:r>
              <w:rPr>
                <w:rFonts w:ascii="Arial" w:cs="Arial" w:eastAsia="Arial" w:hAnsi="Arial"/>
                <w:sz w:val="15"/>
                <w:szCs w:val="15"/>
                <w:color w:val="auto"/>
              </w:rPr>
              <w:t>(19,245)</w:t>
            </w:r>
          </w:p>
        </w:tc>
        <w:tc>
          <w:tcPr>
            <w:tcW w:w="48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22,889</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3,644</w:t>
            </w:r>
          </w:p>
        </w:tc>
      </w:tr>
      <w:tr>
        <w:trPr>
          <w:trHeight w:val="499"/>
        </w:trPr>
        <w:tc>
          <w:tcPr>
            <w:tcW w:w="740" w:type="dxa"/>
            <w:vAlign w:val="bottom"/>
          </w:tcPr>
          <w:p>
            <w:pPr>
              <w:jc w:val="right"/>
              <w:ind w:right="64"/>
              <w:spacing w:after="0"/>
              <w:rPr>
                <w:sz w:val="20"/>
                <w:szCs w:val="20"/>
                <w:color w:val="auto"/>
              </w:rPr>
            </w:pPr>
            <w:r>
              <w:rPr>
                <w:rFonts w:ascii="Arial" w:cs="Arial" w:eastAsia="Arial" w:hAnsi="Arial"/>
                <w:sz w:val="15"/>
                <w:szCs w:val="15"/>
                <w:color w:val="auto"/>
              </w:rPr>
              <w:t>(1,603)</w:t>
            </w:r>
          </w:p>
        </w:tc>
        <w:tc>
          <w:tcPr>
            <w:tcW w:w="48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778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(825)</w:t>
            </w:r>
          </w:p>
        </w:tc>
      </w:tr>
      <w:tr>
        <w:trPr>
          <w:trHeight w:val="207"/>
        </w:trPr>
        <w:tc>
          <w:tcPr>
            <w:tcW w:w="74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(40,362)</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(40,362)</w:t>
            </w:r>
          </w:p>
        </w:tc>
      </w:tr>
      <w:tr>
        <w:trPr>
          <w:trHeight w:val="341"/>
        </w:trPr>
        <w:tc>
          <w:tcPr>
            <w:tcW w:w="740" w:type="dxa"/>
            <w:vAlign w:val="bottom"/>
          </w:tcPr>
          <w:p>
            <w:pPr>
              <w:jc w:val="right"/>
              <w:ind w:right="104"/>
              <w:spacing w:after="0"/>
              <w:rPr>
                <w:sz w:val="20"/>
                <w:szCs w:val="20"/>
                <w:color w:val="auto"/>
              </w:rPr>
            </w:pPr>
            <w:r>
              <w:rPr>
                <w:rFonts w:ascii="Arial" w:cs="Arial" w:eastAsia="Arial" w:hAnsi="Arial"/>
                <w:sz w:val="15"/>
                <w:szCs w:val="15"/>
                <w:color w:val="auto"/>
                <w:w w:val="99"/>
              </w:rPr>
              <w:t>590,655</w:t>
            </w:r>
          </w:p>
        </w:tc>
        <w:tc>
          <w:tcPr>
            <w:tcW w:w="48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(443,304)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1,237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296,668</w:t>
            </w:r>
          </w:p>
        </w:tc>
      </w:tr>
      <w:tr>
        <w:trPr>
          <w:trHeight w:val="364"/>
        </w:trPr>
        <w:tc>
          <w:tcPr>
            <w:tcW w:w="740" w:type="dxa"/>
            <w:vAlign w:val="bottom"/>
          </w:tcPr>
          <w:p>
            <w:pPr>
              <w:jc w:val="right"/>
              <w:ind w:right="64"/>
              <w:spacing w:after="0"/>
              <w:rPr>
                <w:sz w:val="20"/>
                <w:szCs w:val="20"/>
                <w:color w:val="auto"/>
              </w:rPr>
            </w:pPr>
            <w:r>
              <w:rPr>
                <w:rFonts w:ascii="Arial" w:cs="Arial" w:eastAsia="Arial" w:hAnsi="Arial"/>
                <w:sz w:val="15"/>
                <w:szCs w:val="15"/>
                <w:color w:val="auto"/>
                <w:w w:val="90"/>
              </w:rPr>
              <w:t>(307,969)</w:t>
            </w:r>
          </w:p>
        </w:tc>
        <w:tc>
          <w:tcPr>
            <w:tcW w:w="48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2,112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(305,857)</w:t>
            </w:r>
          </w:p>
        </w:tc>
      </w:tr>
      <w:tr>
        <w:trPr>
          <w:trHeight w:val="351"/>
        </w:trPr>
        <w:tc>
          <w:tcPr>
            <w:tcW w:w="74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(2,752)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(2,752)</w:t>
            </w:r>
          </w:p>
        </w:tc>
      </w:tr>
      <w:tr>
        <w:trPr>
          <w:trHeight w:val="203"/>
        </w:trPr>
        <w:tc>
          <w:tcPr>
            <w:tcW w:w="74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872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11,874</w:t>
            </w:r>
          </w:p>
        </w:tc>
      </w:tr>
      <w:tr>
        <w:trPr>
          <w:trHeight w:val="500"/>
        </w:trPr>
        <w:tc>
          <w:tcPr>
            <w:tcW w:w="740" w:type="dxa"/>
            <w:vAlign w:val="bottom"/>
          </w:tcPr>
          <w:p>
            <w:pPr>
              <w:jc w:val="right"/>
              <w:ind w:right="64"/>
              <w:spacing w:after="0"/>
              <w:rPr>
                <w:sz w:val="20"/>
                <w:szCs w:val="20"/>
                <w:color w:val="auto"/>
              </w:rPr>
            </w:pPr>
            <w:r>
              <w:rPr>
                <w:rFonts w:ascii="Arial" w:cs="Arial" w:eastAsia="Arial" w:hAnsi="Arial"/>
                <w:sz w:val="15"/>
                <w:szCs w:val="15"/>
                <w:color w:val="auto"/>
              </w:rPr>
              <w:t>(7,222)</w:t>
            </w:r>
          </w:p>
        </w:tc>
        <w:tc>
          <w:tcPr>
            <w:tcW w:w="48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7,622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400</w:t>
            </w:r>
          </w:p>
        </w:tc>
      </w:tr>
      <w:tr>
        <w:trPr>
          <w:trHeight w:val="500"/>
        </w:trPr>
        <w:tc>
          <w:tcPr>
            <w:tcW w:w="740" w:type="dxa"/>
            <w:vAlign w:val="bottom"/>
          </w:tcPr>
          <w:p>
            <w:pPr>
              <w:jc w:val="right"/>
              <w:ind w:right="64"/>
              <w:spacing w:after="0"/>
              <w:rPr>
                <w:sz w:val="20"/>
                <w:szCs w:val="20"/>
                <w:color w:val="auto"/>
              </w:rPr>
            </w:pPr>
            <w:r>
              <w:rPr>
                <w:rFonts w:ascii="Arial" w:cs="Arial" w:eastAsia="Arial" w:hAnsi="Arial"/>
                <w:sz w:val="15"/>
                <w:szCs w:val="15"/>
                <w:color w:val="auto"/>
              </w:rPr>
              <w:t>(3,438)</w:t>
            </w:r>
          </w:p>
        </w:tc>
        <w:tc>
          <w:tcPr>
            <w:tcW w:w="48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1,743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(1,695)</w:t>
            </w:r>
          </w:p>
        </w:tc>
      </w:tr>
      <w:tr>
        <w:trPr>
          <w:trHeight w:val="206"/>
        </w:trPr>
        <w:tc>
          <w:tcPr>
            <w:tcW w:w="74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(19,995)</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(19,995)</w:t>
            </w:r>
          </w:p>
        </w:tc>
      </w:tr>
      <w:tr>
        <w:trPr>
          <w:trHeight w:val="340"/>
        </w:trPr>
        <w:tc>
          <w:tcPr>
            <w:tcW w:w="740" w:type="dxa"/>
            <w:vAlign w:val="bottom"/>
          </w:tcPr>
          <w:p>
            <w:pPr>
              <w:jc w:val="right"/>
              <w:ind w:right="104"/>
              <w:spacing w:after="0"/>
              <w:rPr>
                <w:sz w:val="20"/>
                <w:szCs w:val="20"/>
                <w:color w:val="auto"/>
              </w:rPr>
            </w:pPr>
            <w:r>
              <w:rPr>
                <w:rFonts w:ascii="Arial" w:cs="Arial" w:eastAsia="Arial" w:hAnsi="Arial"/>
                <w:sz w:val="15"/>
                <w:szCs w:val="15"/>
                <w:color w:val="auto"/>
                <w:w w:val="99"/>
              </w:rPr>
              <w:t>272,026</w:t>
            </w:r>
          </w:p>
        </w:tc>
        <w:tc>
          <w:tcPr>
            <w:tcW w:w="48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(453,934)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1,469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(21,357)</w:t>
            </w:r>
          </w:p>
        </w:tc>
      </w:tr>
      <w:tr>
        <w:trPr>
          <w:trHeight w:val="365"/>
        </w:trPr>
        <w:tc>
          <w:tcPr>
            <w:tcW w:w="740" w:type="dxa"/>
            <w:vAlign w:val="bottom"/>
          </w:tcPr>
          <w:p>
            <w:pPr>
              <w:jc w:val="right"/>
              <w:ind w:right="64"/>
              <w:spacing w:after="0"/>
              <w:rPr>
                <w:sz w:val="20"/>
                <w:szCs w:val="20"/>
                <w:color w:val="auto"/>
              </w:rPr>
            </w:pPr>
            <w:r>
              <w:rPr>
                <w:rFonts w:ascii="Arial" w:cs="Arial" w:eastAsia="Arial" w:hAnsi="Arial"/>
                <w:sz w:val="15"/>
                <w:szCs w:val="15"/>
                <w:color w:val="auto"/>
              </w:rPr>
              <w:t>(67,156)</w:t>
            </w:r>
          </w:p>
        </w:tc>
        <w:tc>
          <w:tcPr>
            <w:tcW w:w="48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841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(66,315)</w:t>
            </w:r>
          </w:p>
        </w:tc>
      </w:tr>
      <w:tr>
        <w:trPr>
          <w:trHeight w:val="351"/>
        </w:trPr>
        <w:tc>
          <w:tcPr>
            <w:tcW w:w="74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(1,101)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(1,101)</w:t>
            </w:r>
          </w:p>
        </w:tc>
      </w:tr>
      <w:tr>
        <w:trPr>
          <w:trHeight w:val="203"/>
        </w:trPr>
        <w:tc>
          <w:tcPr>
            <w:tcW w:w="74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7,804</w:t>
            </w:r>
          </w:p>
        </w:tc>
      </w:tr>
      <w:tr>
        <w:trPr>
          <w:trHeight w:val="500"/>
        </w:trPr>
        <w:tc>
          <w:tcPr>
            <w:tcW w:w="740" w:type="dxa"/>
            <w:vAlign w:val="bottom"/>
          </w:tcPr>
          <w:p>
            <w:pPr>
              <w:jc w:val="right"/>
              <w:ind w:right="64"/>
              <w:spacing w:after="0"/>
              <w:rPr>
                <w:sz w:val="20"/>
                <w:szCs w:val="20"/>
                <w:color w:val="auto"/>
              </w:rPr>
            </w:pPr>
            <w:r>
              <w:rPr>
                <w:rFonts w:ascii="Arial" w:cs="Arial" w:eastAsia="Arial" w:hAnsi="Arial"/>
                <w:sz w:val="15"/>
                <w:szCs w:val="15"/>
                <w:color w:val="auto"/>
              </w:rPr>
              <w:t>(9,548)</w:t>
            </w:r>
          </w:p>
        </w:tc>
        <w:tc>
          <w:tcPr>
            <w:tcW w:w="48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9,548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652"/>
        </w:trPr>
        <w:tc>
          <w:tcPr>
            <w:tcW w:w="740" w:type="dxa"/>
            <w:vAlign w:val="bottom"/>
          </w:tcPr>
          <w:p>
            <w:pPr>
              <w:jc w:val="right"/>
              <w:ind w:right="64"/>
              <w:spacing w:after="0"/>
              <w:rPr>
                <w:sz w:val="20"/>
                <w:szCs w:val="20"/>
                <w:color w:val="auto"/>
              </w:rPr>
            </w:pPr>
            <w:r>
              <w:rPr>
                <w:rFonts w:ascii="Arial" w:cs="Arial" w:eastAsia="Arial" w:hAnsi="Arial"/>
                <w:sz w:val="15"/>
                <w:szCs w:val="15"/>
                <w:color w:val="auto"/>
              </w:rPr>
              <w:t>(4,939)</w:t>
            </w:r>
          </w:p>
        </w:tc>
        <w:tc>
          <w:tcPr>
            <w:tcW w:w="4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3,352</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(1,587)</w:t>
            </w:r>
          </w:p>
        </w:tc>
      </w:tr>
      <w:tr>
        <w:trPr>
          <w:trHeight w:val="345"/>
        </w:trPr>
        <w:tc>
          <w:tcPr>
            <w:tcW w:w="740" w:type="dxa"/>
            <w:vAlign w:val="bottom"/>
          </w:tcPr>
          <w:p>
            <w:pPr>
              <w:jc w:val="right"/>
              <w:ind w:right="104"/>
              <w:spacing w:after="0"/>
              <w:rPr>
                <w:sz w:val="20"/>
                <w:szCs w:val="20"/>
                <w:color w:val="auto"/>
              </w:rPr>
            </w:pPr>
            <w:r>
              <w:rPr>
                <w:rFonts w:ascii="Arial" w:cs="Arial" w:eastAsia="Arial" w:hAnsi="Arial"/>
                <w:sz w:val="15"/>
                <w:szCs w:val="15"/>
                <w:color w:val="auto"/>
                <w:w w:val="99"/>
              </w:rPr>
              <w:t>190,383</w:t>
            </w:r>
          </w:p>
        </w:tc>
        <w:tc>
          <w:tcPr>
            <w:tcW w:w="480" w:type="dxa"/>
            <w:vAlign w:val="bottom"/>
          </w:tcPr>
          <w:p>
            <w:pPr>
              <w:jc w:val="right"/>
              <w:ind w:right="304"/>
              <w:spacing w:after="0"/>
              <w:rPr>
                <w:sz w:val="20"/>
                <w:szCs w:val="20"/>
                <w:color w:val="auto"/>
              </w:rPr>
            </w:pPr>
            <w:r>
              <w:rPr>
                <w:rFonts w:ascii="Arial" w:cs="Arial" w:eastAsia="Arial" w:hAnsi="Arial"/>
                <w:sz w:val="15"/>
                <w:szCs w:val="15"/>
                <w:color w:val="auto"/>
                <w:w w:val="95"/>
              </w:rPr>
              <w:t>$</w:t>
            </w: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jc w:val="right"/>
              <w:ind w:right="84"/>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(441,034)</w:t>
            </w:r>
          </w:p>
        </w:tc>
        <w:tc>
          <w:tcPr>
            <w:tcW w:w="100" w:type="dxa"/>
            <w:vAlign w:val="bottom"/>
          </w:tcPr>
          <w:p>
            <w:pPr>
              <w:spacing w:after="0"/>
              <w:rPr>
                <w:sz w:val="24"/>
                <w:szCs w:val="24"/>
                <w:color w:val="auto"/>
              </w:rPr>
            </w:pP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1,209</w:t>
            </w:r>
          </w:p>
        </w:tc>
        <w:tc>
          <w:tcPr>
            <w:tcW w:w="100" w:type="dxa"/>
            <w:vAlign w:val="bottom"/>
          </w:tcPr>
          <w:p>
            <w:pPr>
              <w:spacing w:after="0"/>
              <w:rPr>
                <w:sz w:val="24"/>
                <w:szCs w:val="24"/>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(82,556)</w:t>
            </w:r>
          </w:p>
        </w:tc>
      </w:tr>
      <w:tr>
        <w:trPr>
          <w:trHeight w:val="25"/>
        </w:trPr>
        <w:tc>
          <w:tcPr>
            <w:tcW w:w="740" w:type="dxa"/>
            <w:vAlign w:val="bottom"/>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-33655</wp:posOffset>
            </wp:positionV>
            <wp:extent cx="60896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8965" cy="8890"/>
                    </a:xfrm>
                    <a:prstGeom prst="rect">
                      <a:avLst/>
                    </a:prstGeom>
                    <a:noFill/>
                  </pic:spPr>
                </pic:pic>
              </a:graphicData>
            </a:graphic>
          </wp:anchor>
        </w:drawing>
        <w:drawing>
          <wp:anchor simplePos="0" relativeHeight="251657728" behindDoc="1" locked="0" layoutInCell="0" allowOverlap="1">
            <wp:simplePos x="0" y="0"/>
            <wp:positionH relativeFrom="column">
              <wp:posOffset>-208280</wp:posOffset>
            </wp:positionH>
            <wp:positionV relativeFrom="paragraph">
              <wp:posOffset>-7620</wp:posOffset>
            </wp:positionV>
            <wp:extent cx="60896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8965" cy="8255"/>
                    </a:xfrm>
                    <a:prstGeom prst="rect">
                      <a:avLst/>
                    </a:prstGeom>
                    <a:noFill/>
                  </pic:spPr>
                </pic:pic>
              </a:graphicData>
            </a:graphic>
          </wp:anchor>
        </w:drawing>
        <w:drawing>
          <wp:anchor simplePos="0" relativeHeight="251657728" behindDoc="1" locked="0" layoutInCell="0" allowOverlap="1">
            <wp:simplePos x="0" y="0"/>
            <wp:positionH relativeFrom="column">
              <wp:posOffset>-208280</wp:posOffset>
            </wp:positionH>
            <wp:positionV relativeFrom="paragraph">
              <wp:posOffset>-3385185</wp:posOffset>
            </wp:positionV>
            <wp:extent cx="60896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896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40" w:space="240"/>
            <w:col w:w="5260"/>
          </w:cols>
          <w:pgMar w:left="320" w:top="125" w:right="339" w:bottom="1440" w:gutter="0" w:footer="0" w:header="0"/>
          <w:type w:val="continuous"/>
        </w:sectPr>
      </w:pP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See accompanying notes to consolidated financial statements</w:t>
      </w:r>
      <w:r>
        <w:rPr>
          <w:rFonts w:ascii="Arial" w:cs="Arial" w:eastAsia="Arial" w:hAnsi="Arial"/>
          <w:sz w:val="16"/>
          <w:szCs w:val="16"/>
          <w:color w:val="auto"/>
        </w:rPr>
        <w:t>.</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 thousands)</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6"/>
          </w:tcPr>
          <w:p>
            <w:pPr>
              <w:jc w:val="right"/>
              <w:ind w:right="4"/>
              <w:spacing w:after="0"/>
              <w:rPr>
                <w:sz w:val="20"/>
                <w:szCs w:val="20"/>
                <w:color w:val="auto"/>
              </w:rPr>
            </w:pPr>
            <w:r>
              <w:rPr>
                <w:rFonts w:ascii="Arial" w:cs="Arial" w:eastAsia="Arial" w:hAnsi="Arial"/>
                <w:sz w:val="14"/>
                <w:szCs w:val="14"/>
                <w:b w:val="1"/>
                <w:bCs w:val="1"/>
                <w:color w:val="auto"/>
              </w:rPr>
              <w:t>For the years ended December 31,</w:t>
            </w:r>
          </w:p>
        </w:tc>
        <w:tc>
          <w:tcPr>
            <w:tcW w:w="880" w:type="dxa"/>
            <w:vAlign w:val="bottom"/>
            <w:tcBorders>
              <w:bottom w:val="single" w:sz="8" w:color="auto"/>
            </w:tcBorders>
          </w:tcPr>
          <w:p>
            <w:pPr>
              <w:spacing w:after="0"/>
              <w:rPr>
                <w:sz w:val="16"/>
                <w:szCs w:val="16"/>
                <w:color w:val="auto"/>
              </w:rPr>
            </w:pPr>
          </w:p>
        </w:tc>
      </w:tr>
      <w:tr>
        <w:trPr>
          <w:trHeight w:val="187"/>
        </w:trPr>
        <w:tc>
          <w:tcPr>
            <w:tcW w:w="7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2018</w:t>
            </w:r>
          </w:p>
        </w:tc>
      </w:tr>
      <w:tr>
        <w:trPr>
          <w:trHeight w:val="143"/>
        </w:trPr>
        <w:tc>
          <w:tcPr>
            <w:tcW w:w="7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3"/>
        </w:trPr>
        <w:tc>
          <w:tcPr>
            <w:tcW w:w="7160" w:type="dxa"/>
            <w:vAlign w:val="bottom"/>
          </w:tcPr>
          <w:p>
            <w:pPr>
              <w:spacing w:after="0"/>
              <w:rPr>
                <w:sz w:val="20"/>
                <w:szCs w:val="20"/>
                <w:color w:val="auto"/>
              </w:rPr>
            </w:pPr>
            <w:r>
              <w:rPr>
                <w:rFonts w:ascii="Arial" w:cs="Arial" w:eastAsia="Arial" w:hAnsi="Arial"/>
                <w:sz w:val="16"/>
                <w:szCs w:val="16"/>
                <w:color w:val="auto"/>
              </w:rPr>
              <w:t>Net loss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(66,315)</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(305,857)</w:t>
            </w:r>
          </w:p>
        </w:tc>
        <w:tc>
          <w:tcPr>
            <w:tcW w:w="120" w:type="dxa"/>
            <w:vAlign w:val="bottom"/>
          </w:tcPr>
          <w:p>
            <w:pPr>
              <w:spacing w:after="0"/>
              <w:rPr>
                <w:sz w:val="18"/>
                <w:szCs w:val="18"/>
                <w:color w:val="auto"/>
              </w:rPr>
            </w:pP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(2,699)</w:t>
            </w:r>
          </w:p>
        </w:tc>
      </w:tr>
      <w:tr>
        <w:trPr>
          <w:trHeight w:val="219"/>
        </w:trPr>
        <w:tc>
          <w:tcPr>
            <w:tcW w:w="716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loss to net cash (used in) provided by operating activities: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3"/>
        </w:trPr>
        <w:tc>
          <w:tcPr>
            <w:tcW w:w="716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14,890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18,509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30,799</w:t>
            </w:r>
          </w:p>
        </w:tc>
      </w:tr>
      <w:tr>
        <w:trPr>
          <w:trHeight w:val="219"/>
        </w:trPr>
        <w:tc>
          <w:tcPr>
            <w:tcW w:w="7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Amortization of right-of-use assets under operating leases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11,769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160" w:type="dxa"/>
            <w:vAlign w:val="bottom"/>
          </w:tcPr>
          <w:p>
            <w:pPr>
              <w:ind w:left="12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14,720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19,021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28,412</w:t>
            </w:r>
          </w:p>
        </w:tc>
      </w:tr>
      <w:tr>
        <w:trPr>
          <w:trHeight w:val="219"/>
        </w:trPr>
        <w:tc>
          <w:tcPr>
            <w:tcW w:w="7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Unrealized (gain) loss on investment in equity securities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(14,431)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12,972</w:t>
            </w:r>
          </w:p>
        </w:tc>
      </w:tr>
      <w:tr>
        <w:trPr>
          <w:trHeight w:val="213"/>
        </w:trPr>
        <w:tc>
          <w:tcPr>
            <w:tcW w:w="7160" w:type="dxa"/>
            <w:vAlign w:val="bottom"/>
          </w:tcPr>
          <w:p>
            <w:pPr>
              <w:ind w:left="120"/>
              <w:spacing w:after="0"/>
              <w:rPr>
                <w:sz w:val="20"/>
                <w:szCs w:val="20"/>
                <w:color w:val="auto"/>
              </w:rPr>
            </w:pPr>
            <w:r>
              <w:rPr>
                <w:rFonts w:ascii="Arial" w:cs="Arial" w:eastAsia="Arial" w:hAnsi="Arial"/>
                <w:sz w:val="16"/>
                <w:szCs w:val="16"/>
                <w:color w:val="auto"/>
              </w:rPr>
              <w:t>Goodwill and intangible assets write-off from business exits</w:t>
            </w:r>
          </w:p>
        </w:tc>
        <w:tc>
          <w:tcPr>
            <w:tcW w:w="3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5,900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2,640</w:t>
            </w:r>
          </w:p>
        </w:tc>
      </w:tr>
      <w:tr>
        <w:trPr>
          <w:trHeight w:val="219"/>
        </w:trPr>
        <w:tc>
          <w:tcPr>
            <w:tcW w:w="7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Share-based compensation expense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11,874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10,192</w:t>
            </w:r>
          </w:p>
        </w:tc>
      </w:tr>
      <w:tr>
        <w:trPr>
          <w:trHeight w:val="213"/>
        </w:trPr>
        <w:tc>
          <w:tcPr>
            <w:tcW w:w="7160" w:type="dxa"/>
            <w:vAlign w:val="bottom"/>
          </w:tcPr>
          <w:p>
            <w:pPr>
              <w:ind w:left="120"/>
              <w:spacing w:after="0"/>
              <w:rPr>
                <w:sz w:val="20"/>
                <w:szCs w:val="20"/>
                <w:color w:val="auto"/>
              </w:rPr>
            </w:pPr>
            <w:r>
              <w:rPr>
                <w:rFonts w:ascii="Arial" w:cs="Arial" w:eastAsia="Arial" w:hAnsi="Arial"/>
                <w:sz w:val="16"/>
                <w:szCs w:val="16"/>
                <w:color w:val="auto"/>
              </w:rPr>
              <w:t>Bad debt expense</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2,229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720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2,830</w:t>
            </w:r>
          </w:p>
        </w:tc>
      </w:tr>
      <w:tr>
        <w:trPr>
          <w:trHeight w:val="219"/>
        </w:trPr>
        <w:tc>
          <w:tcPr>
            <w:tcW w:w="7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Amortization of debt discount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w:t>
            </w:r>
          </w:p>
        </w:tc>
      </w:tr>
      <w:tr>
        <w:trPr>
          <w:trHeight w:val="213"/>
        </w:trPr>
        <w:tc>
          <w:tcPr>
            <w:tcW w:w="7160" w:type="dxa"/>
            <w:vAlign w:val="bottom"/>
          </w:tcPr>
          <w:p>
            <w:pPr>
              <w:ind w:left="120"/>
              <w:spacing w:after="0"/>
              <w:rPr>
                <w:sz w:val="20"/>
                <w:szCs w:val="20"/>
                <w:color w:val="auto"/>
              </w:rPr>
            </w:pPr>
            <w:r>
              <w:rPr>
                <w:rFonts w:ascii="Arial" w:cs="Arial" w:eastAsia="Arial" w:hAnsi="Arial"/>
                <w:sz w:val="16"/>
                <w:szCs w:val="16"/>
                <w:color w:val="auto"/>
              </w:rPr>
              <w:t>Amortization of debt issuance costs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730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736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965</w:t>
            </w:r>
          </w:p>
        </w:tc>
      </w:tr>
      <w:tr>
        <w:trPr>
          <w:trHeight w:val="219"/>
        </w:trPr>
        <w:tc>
          <w:tcPr>
            <w:tcW w:w="7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income taxes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307,339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(5,791)</w:t>
            </w:r>
          </w:p>
        </w:tc>
      </w:tr>
      <w:tr>
        <w:trPr>
          <w:trHeight w:val="213"/>
        </w:trPr>
        <w:tc>
          <w:tcPr>
            <w:tcW w:w="7160" w:type="dxa"/>
            <w:vAlign w:val="bottom"/>
          </w:tcPr>
          <w:p>
            <w:pPr>
              <w:ind w:left="120"/>
              <w:spacing w:after="0"/>
              <w:rPr>
                <w:sz w:val="20"/>
                <w:szCs w:val="20"/>
                <w:color w:val="auto"/>
              </w:rPr>
            </w:pPr>
            <w:r>
              <w:rPr>
                <w:rFonts w:ascii="Arial" w:cs="Arial" w:eastAsia="Arial" w:hAnsi="Arial"/>
                <w:sz w:val="16"/>
                <w:szCs w:val="16"/>
                <w:color w:val="auto"/>
              </w:rPr>
              <w:t>Loss on disposal of fixed assets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750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727</w:t>
            </w:r>
          </w:p>
        </w:tc>
      </w:tr>
      <w:tr>
        <w:trPr>
          <w:trHeight w:val="219"/>
        </w:trPr>
        <w:tc>
          <w:tcPr>
            <w:tcW w:w="7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Gain on sale of businesses</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(17,814)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(13,688)</w:t>
            </w:r>
          </w:p>
        </w:tc>
      </w:tr>
      <w:tr>
        <w:trPr>
          <w:trHeight w:val="213"/>
        </w:trPr>
        <w:tc>
          <w:tcPr>
            <w:tcW w:w="7160" w:type="dxa"/>
            <w:vAlign w:val="bottom"/>
          </w:tcPr>
          <w:p>
            <w:pPr>
              <w:ind w:left="120"/>
              <w:spacing w:after="0"/>
              <w:rPr>
                <w:sz w:val="20"/>
                <w:szCs w:val="20"/>
                <w:color w:val="auto"/>
              </w:rPr>
            </w:pPr>
            <w:r>
              <w:rPr>
                <w:rFonts w:ascii="Arial" w:cs="Arial" w:eastAsia="Arial" w:hAnsi="Arial"/>
                <w:sz w:val="16"/>
                <w:szCs w:val="16"/>
                <w:color w:val="auto"/>
              </w:rPr>
              <w:t>Loss on debt refinancing</w:t>
            </w:r>
          </w:p>
        </w:tc>
        <w:tc>
          <w:tcPr>
            <w:tcW w:w="3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4.434</w:t>
            </w:r>
          </w:p>
        </w:tc>
      </w:tr>
      <w:tr>
        <w:trPr>
          <w:trHeight w:val="219"/>
        </w:trPr>
        <w:tc>
          <w:tcPr>
            <w:tcW w:w="7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Changes in operating assets and liabilities (excludes effect of sale of businesses):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3"/>
        </w:trPr>
        <w:tc>
          <w:tcPr>
            <w:tcW w:w="7160" w:type="dxa"/>
            <w:vAlign w:val="bottom"/>
          </w:tcPr>
          <w:p>
            <w:pPr>
              <w:ind w:left="340"/>
              <w:spacing w:after="0"/>
              <w:rPr>
                <w:sz w:val="20"/>
                <w:szCs w:val="20"/>
                <w:color w:val="auto"/>
              </w:rPr>
            </w:pPr>
            <w:r>
              <w:rPr>
                <w:rFonts w:ascii="Arial" w:cs="Arial" w:eastAsia="Arial" w:hAnsi="Arial"/>
                <w:sz w:val="16"/>
                <w:szCs w:val="16"/>
                <w:color w:val="auto"/>
              </w:rPr>
              <w:t>Accounts receivable</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14,973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(12,207)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14,556</w:t>
            </w:r>
          </w:p>
        </w:tc>
      </w:tr>
      <w:tr>
        <w:trPr>
          <w:trHeight w:val="219"/>
        </w:trPr>
        <w:tc>
          <w:tcPr>
            <w:tcW w:w="7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Short-term investments in real estate</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39,873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(10,468)</w:t>
            </w:r>
          </w:p>
        </w:tc>
      </w:tr>
      <w:tr>
        <w:trPr>
          <w:trHeight w:val="213"/>
        </w:trPr>
        <w:tc>
          <w:tcPr>
            <w:tcW w:w="7160" w:type="dxa"/>
            <w:vAlign w:val="bottom"/>
          </w:tcPr>
          <w:p>
            <w:pPr>
              <w:ind w:left="34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(4,140)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13,628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4,617</w:t>
            </w:r>
          </w:p>
        </w:tc>
      </w:tr>
      <w:tr>
        <w:trPr>
          <w:trHeight w:val="219"/>
        </w:trPr>
        <w:tc>
          <w:tcPr>
            <w:tcW w:w="7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assets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2,278</w:t>
            </w:r>
          </w:p>
        </w:tc>
      </w:tr>
      <w:tr>
        <w:trPr>
          <w:trHeight w:val="213"/>
        </w:trPr>
        <w:tc>
          <w:tcPr>
            <w:tcW w:w="7160" w:type="dxa"/>
            <w:vAlign w:val="bottom"/>
          </w:tcPr>
          <w:p>
            <w:pPr>
              <w:ind w:left="340"/>
              <w:spacing w:after="0"/>
              <w:rPr>
                <w:sz w:val="20"/>
                <w:szCs w:val="20"/>
                <w:color w:val="auto"/>
              </w:rPr>
            </w:pPr>
            <w:r>
              <w:rPr>
                <w:rFonts w:ascii="Arial" w:cs="Arial" w:eastAsia="Arial" w:hAnsi="Arial"/>
                <w:sz w:val="16"/>
                <w:szCs w:val="16"/>
                <w:color w:val="auto"/>
              </w:rPr>
              <w:t>Accounts payable and accrued expenses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(10,338)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(16,257)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1,651</w:t>
            </w:r>
          </w:p>
        </w:tc>
      </w:tr>
      <w:tr>
        <w:trPr>
          <w:trHeight w:val="219"/>
        </w:trPr>
        <w:tc>
          <w:tcPr>
            <w:tcW w:w="7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Current and non-current operating lease liabilities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(12,738)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1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 current and non-current liabilities</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(16,742)</w:t>
            </w:r>
          </w:p>
        </w:tc>
      </w:tr>
      <w:tr>
        <w:trPr>
          <w:trHeight w:val="209"/>
        </w:trPr>
        <w:tc>
          <w:tcPr>
            <w:tcW w:w="716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provided by operating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(22,401)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46,688</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68,402</w:t>
            </w:r>
          </w:p>
        </w:tc>
      </w:tr>
      <w:tr>
        <w:trPr>
          <w:trHeight w:val="78"/>
        </w:trPr>
        <w:tc>
          <w:tcPr>
            <w:tcW w:w="7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880" w:type="dxa"/>
            <w:vAlign w:val="bottom"/>
          </w:tcPr>
          <w:p>
            <w:pPr>
              <w:spacing w:after="0"/>
              <w:rPr>
                <w:sz w:val="6"/>
                <w:szCs w:val="6"/>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3"/>
        </w:trPr>
        <w:tc>
          <w:tcPr>
            <w:tcW w:w="7160" w:type="dxa"/>
            <w:vAlign w:val="bottom"/>
          </w:tcPr>
          <w:p>
            <w:pPr>
              <w:ind w:left="120"/>
              <w:spacing w:after="0"/>
              <w:rPr>
                <w:sz w:val="20"/>
                <w:szCs w:val="20"/>
                <w:color w:val="auto"/>
              </w:rPr>
            </w:pPr>
            <w:r>
              <w:rPr>
                <w:rFonts w:ascii="Arial" w:cs="Arial" w:eastAsia="Arial" w:hAnsi="Arial"/>
                <w:sz w:val="16"/>
                <w:szCs w:val="16"/>
                <w:color w:val="auto"/>
              </w:rPr>
              <w:t>Additions to premises and equipment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(2,705)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(2,161)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(3,916)</w:t>
            </w:r>
          </w:p>
        </w:tc>
      </w:tr>
      <w:tr>
        <w:trPr>
          <w:trHeight w:val="219"/>
        </w:trPr>
        <w:tc>
          <w:tcPr>
            <w:tcW w:w="7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received from sale of equity securities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160" w:type="dxa"/>
            <w:vAlign w:val="bottom"/>
          </w:tcPr>
          <w:p>
            <w:pPr>
              <w:ind w:left="120"/>
              <w:spacing w:after="0"/>
              <w:rPr>
                <w:sz w:val="20"/>
                <w:szCs w:val="20"/>
                <w:color w:val="auto"/>
              </w:rPr>
            </w:pPr>
            <w:r>
              <w:rPr>
                <w:rFonts w:ascii="Arial" w:cs="Arial" w:eastAsia="Arial" w:hAnsi="Arial"/>
                <w:sz w:val="16"/>
                <w:szCs w:val="16"/>
                <w:color w:val="auto"/>
              </w:rPr>
              <w:t>Proceeds from the sale of businesses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3,307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38,632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15,000</w:t>
            </w:r>
          </w:p>
        </w:tc>
      </w:tr>
      <w:tr>
        <w:trPr>
          <w:trHeight w:val="219"/>
        </w:trPr>
        <w:tc>
          <w:tcPr>
            <w:tcW w:w="7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investing activities</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71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cash provided by investing activities</w:t>
            </w: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47,224</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44,887</w:t>
            </w:r>
          </w:p>
        </w:tc>
        <w:tc>
          <w:tcPr>
            <w:tcW w:w="12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11,084</w:t>
            </w:r>
          </w:p>
        </w:tc>
      </w:tr>
      <w:tr>
        <w:trPr>
          <w:trHeight w:val="78"/>
        </w:trPr>
        <w:tc>
          <w:tcPr>
            <w:tcW w:w="71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r>
      <w:tr>
        <w:trPr>
          <w:trHeight w:val="213"/>
        </w:trPr>
        <w:tc>
          <w:tcPr>
            <w:tcW w:w="716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7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issuance of long-term debt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407,880</w:t>
            </w:r>
          </w:p>
        </w:tc>
      </w:tr>
      <w:tr>
        <w:trPr>
          <w:trHeight w:val="213"/>
        </w:trPr>
        <w:tc>
          <w:tcPr>
            <w:tcW w:w="7160" w:type="dxa"/>
            <w:vAlign w:val="bottom"/>
          </w:tcPr>
          <w:p>
            <w:pPr>
              <w:ind w:left="120"/>
              <w:spacing w:after="0"/>
              <w:rPr>
                <w:sz w:val="20"/>
                <w:szCs w:val="20"/>
                <w:color w:val="auto"/>
              </w:rPr>
            </w:pPr>
            <w:r>
              <w:rPr>
                <w:rFonts w:ascii="Arial" w:cs="Arial" w:eastAsia="Arial" w:hAnsi="Arial"/>
                <w:sz w:val="16"/>
                <w:szCs w:val="16"/>
                <w:color w:val="auto"/>
              </w:rPr>
              <w:t>Repayments and repurchases of long-term debt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(46,622)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(44,996)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(486,759)</w:t>
            </w:r>
          </w:p>
        </w:tc>
      </w:tr>
      <w:tr>
        <w:trPr>
          <w:trHeight w:val="219"/>
        </w:trPr>
        <w:tc>
          <w:tcPr>
            <w:tcW w:w="7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Debt issuance costs</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(5,042)</w:t>
            </w:r>
          </w:p>
        </w:tc>
      </w:tr>
      <w:tr>
        <w:trPr>
          <w:trHeight w:val="213"/>
        </w:trPr>
        <w:tc>
          <w:tcPr>
            <w:tcW w:w="7160" w:type="dxa"/>
            <w:vAlign w:val="bottom"/>
          </w:tcPr>
          <w:p>
            <w:pPr>
              <w:ind w:left="120"/>
              <w:spacing w:after="0"/>
              <w:rPr>
                <w:sz w:val="20"/>
                <w:szCs w:val="20"/>
                <w:color w:val="auto"/>
              </w:rPr>
            </w:pPr>
            <w:r>
              <w:rPr>
                <w:rFonts w:ascii="Arial" w:cs="Arial" w:eastAsia="Arial" w:hAnsi="Arial"/>
                <w:sz w:val="16"/>
                <w:szCs w:val="16"/>
                <w:color w:val="auto"/>
              </w:rPr>
              <w:t>Proceeds from stock option exercises</w:t>
            </w:r>
          </w:p>
        </w:tc>
        <w:tc>
          <w:tcPr>
            <w:tcW w:w="3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3,644</w:t>
            </w:r>
          </w:p>
        </w:tc>
      </w:tr>
      <w:tr>
        <w:trPr>
          <w:trHeight w:val="219"/>
        </w:trPr>
        <w:tc>
          <w:tcPr>
            <w:tcW w:w="7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Purchase of treasury shares</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(19,995)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(40,362)</w:t>
            </w:r>
          </w:p>
        </w:tc>
      </w:tr>
      <w:tr>
        <w:trPr>
          <w:trHeight w:val="213"/>
        </w:trPr>
        <w:tc>
          <w:tcPr>
            <w:tcW w:w="7160" w:type="dxa"/>
            <w:vAlign w:val="bottom"/>
          </w:tcPr>
          <w:p>
            <w:pPr>
              <w:ind w:left="120"/>
              <w:spacing w:after="0"/>
              <w:rPr>
                <w:sz w:val="20"/>
                <w:szCs w:val="20"/>
                <w:color w:val="auto"/>
              </w:rPr>
            </w:pPr>
            <w:r>
              <w:rPr>
                <w:rFonts w:ascii="Arial" w:cs="Arial" w:eastAsia="Arial" w:hAnsi="Arial"/>
                <w:sz w:val="16"/>
                <w:szCs w:val="16"/>
                <w:color w:val="auto"/>
              </w:rPr>
              <w:t>Distributions to non-controlling interests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(2,752)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(2,819)</w:t>
            </w:r>
          </w:p>
        </w:tc>
      </w:tr>
      <w:tr>
        <w:trPr>
          <w:trHeight w:val="219"/>
        </w:trPr>
        <w:tc>
          <w:tcPr>
            <w:tcW w:w="7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Payments of tax withholding on issuance of restricted share units and restricted shares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(825)</w:t>
            </w:r>
          </w:p>
        </w:tc>
      </w:tr>
      <w:tr>
        <w:trPr>
          <w:trHeight w:val="206"/>
        </w:trPr>
        <w:tc>
          <w:tcPr>
            <w:tcW w:w="71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cash used in financing activities</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(49,310)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(69,038)</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(124,283)</w:t>
            </w:r>
          </w:p>
        </w:tc>
      </w:tr>
      <w:tr>
        <w:trPr>
          <w:trHeight w:val="78"/>
        </w:trPr>
        <w:tc>
          <w:tcPr>
            <w:tcW w:w="71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r>
      <w:tr>
        <w:trPr>
          <w:trHeight w:val="213"/>
        </w:trPr>
        <w:tc>
          <w:tcPr>
            <w:tcW w:w="7160" w:type="dxa"/>
            <w:vAlign w:val="bottom"/>
          </w:tcPr>
          <w:p>
            <w:pPr>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(24,487)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22,537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(44,797)</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6"/>
                <w:szCs w:val="16"/>
                <w:color w:val="auto"/>
              </w:rPr>
              <w:t>Cash, cash equivalents and restricted cash at the beginning of the period</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86,583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64,046</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108,843</w:t>
            </w:r>
          </w:p>
        </w:tc>
      </w:tr>
      <w:tr>
        <w:trPr>
          <w:trHeight w:val="78"/>
        </w:trPr>
        <w:tc>
          <w:tcPr>
            <w:tcW w:w="7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880" w:type="dxa"/>
            <w:vAlign w:val="bottom"/>
          </w:tcPr>
          <w:p>
            <w:pPr>
              <w:spacing w:after="0"/>
              <w:rPr>
                <w:sz w:val="6"/>
                <w:szCs w:val="6"/>
                <w:color w:val="auto"/>
              </w:rPr>
            </w:pPr>
          </w:p>
        </w:tc>
      </w:tr>
      <w:tr>
        <w:trPr>
          <w:trHeight w:val="241"/>
        </w:trPr>
        <w:tc>
          <w:tcPr>
            <w:tcW w:w="7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cash equivalents and restricted cash at the end of the period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62,096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86,583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64,046</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41"/>
        </w:trPr>
        <w:tc>
          <w:tcPr>
            <w:tcW w:w="7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6"/>
                <w:szCs w:val="16"/>
                <w:color w:val="auto"/>
              </w:rPr>
              <w:t>Supplemental cash flow information:</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3"/>
        </w:trPr>
        <w:tc>
          <w:tcPr>
            <w:tcW w:w="7160" w:type="dxa"/>
            <w:vAlign w:val="bottom"/>
          </w:tcPr>
          <w:p>
            <w:pPr>
              <w:ind w:left="120"/>
              <w:spacing w:after="0"/>
              <w:rPr>
                <w:sz w:val="20"/>
                <w:szCs w:val="20"/>
                <w:color w:val="auto"/>
              </w:rPr>
            </w:pPr>
            <w:r>
              <w:rPr>
                <w:rFonts w:ascii="Arial" w:cs="Arial" w:eastAsia="Arial" w:hAnsi="Arial"/>
                <w:sz w:val="16"/>
                <w:szCs w:val="16"/>
                <w:color w:val="auto"/>
              </w:rPr>
              <w:t>Interest paid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15,697</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20,856</w:t>
            </w:r>
          </w:p>
        </w:tc>
        <w:tc>
          <w:tcPr>
            <w:tcW w:w="120" w:type="dxa"/>
            <w:vAlign w:val="bottom"/>
          </w:tcPr>
          <w:p>
            <w:pPr>
              <w:spacing w:after="0"/>
              <w:rPr>
                <w:sz w:val="18"/>
                <w:szCs w:val="18"/>
                <w:color w:val="auto"/>
              </w:rPr>
            </w:pP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24,123</w:t>
            </w:r>
          </w:p>
        </w:tc>
      </w:tr>
      <w:tr>
        <w:trPr>
          <w:trHeight w:val="219"/>
        </w:trPr>
        <w:tc>
          <w:tcPr>
            <w:tcW w:w="7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taxes paid, net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7,136</w:t>
            </w:r>
          </w:p>
        </w:tc>
      </w:tr>
      <w:tr>
        <w:trPr>
          <w:trHeight w:val="213"/>
        </w:trPr>
        <w:tc>
          <w:tcPr>
            <w:tcW w:w="7160" w:type="dxa"/>
            <w:vAlign w:val="bottom"/>
          </w:tcPr>
          <w:p>
            <w:pPr>
              <w:ind w:left="120"/>
              <w:spacing w:after="0"/>
              <w:rPr>
                <w:sz w:val="20"/>
                <w:szCs w:val="20"/>
                <w:color w:val="auto"/>
              </w:rPr>
            </w:pPr>
            <w:r>
              <w:rPr>
                <w:rFonts w:ascii="Arial" w:cs="Arial" w:eastAsia="Arial" w:hAnsi="Arial"/>
                <w:sz w:val="16"/>
                <w:szCs w:val="16"/>
                <w:color w:val="auto"/>
              </w:rPr>
              <w:t>Acquisition of right-of-use assets with operating lease liabilities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13,775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Reduction of right-of-use assets from operating lease modifications or reassessments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95"/>
        </w:trPr>
        <w:tc>
          <w:tcPr>
            <w:tcW w:w="7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6"/>
                <w:szCs w:val="16"/>
                <w:color w:val="auto"/>
              </w:rPr>
              <w:t>Non-cash investing and financing activities: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0"/>
        </w:trPr>
        <w:tc>
          <w:tcPr>
            <w:tcW w:w="7160" w:type="dxa"/>
            <w:vAlign w:val="bottom"/>
          </w:tcPr>
          <w:p>
            <w:pPr>
              <w:ind w:left="120"/>
              <w:spacing w:after="0"/>
              <w:rPr>
                <w:sz w:val="20"/>
                <w:szCs w:val="20"/>
                <w:color w:val="auto"/>
              </w:rPr>
            </w:pPr>
            <w:r>
              <w:rPr>
                <w:rFonts w:ascii="Arial" w:cs="Arial" w:eastAsia="Arial" w:hAnsi="Arial"/>
                <w:sz w:val="16"/>
                <w:szCs w:val="16"/>
                <w:color w:val="auto"/>
              </w:rPr>
              <w:t>Net increase (decrease) in payables for purchases of premises and equipment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8"/>
                <w:szCs w:val="18"/>
                <w:color w:val="auto"/>
              </w:rPr>
            </w:pP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(32)</w:t>
            </w:r>
          </w:p>
        </w:tc>
      </w:tr>
    </w:tbl>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7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Altisource Portfolio Solutions S.A., together with its subsidiaries (which may be referred to as “Altisource,” the “Company,” “we,” “us” or “our”), is an integrated service provider and marketplace for the real estate and mortgage industries. Combining operational excellence with a suite of innovative services and technologies, Altisource helps solve the demands of the ever-changing markets we serve.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Company operates with one reportable segment (total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Accounting and Presentation</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consolidated financial statements are prepared in accordance with accounting principles generally accepted in the United States of America (“GAAP”).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Intercompany transactions and accounts have been eliminated in consolidation.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financial statements include the accounts of the Company, its wholly-owned subsidiaries and those entities in which we have a variable interest and are the primary beneficiary.</w:t>
      </w:r>
    </w:p>
    <w:p>
      <w:pPr>
        <w:spacing w:after="0" w:line="11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Altisource consolidates Best Partners Mortgage Cooperative, Inc., which is managed by The Mortgage Partnership of America, L.L.C. (“MPA”), a wholly-owned subsidiary of Altisource. Best Partners Mortgage Cooperative, Inc. is a mortgage cooperative doing business as Lenders One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(“Lenders One”). MPA provides services to Lenders One under a management agreement that ends on December 31, 2025 (with renewals for three successive five-year periods at MPA’s option).</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management agreement between MPA and Lenders One, pursuant to which MPA is the management company, represents a variable interest in a variable interest entity. MPA is the primary beneficiary of Lenders One as it has the power to direct the activities that most significantly impact the cooperative’s economic performance and the right to receive benefits from the cooperative. As a result, Lenders One is presented in the accompanying consolidated financial statements on a consolidated basis and the interests of the members are reflected as non-controlling interests. As of December 31, 2020, Lenders One had total assets of $2.3 million and total liabilities of $0.1 million. As of December 31, 2019, Lenders One had total assets of $1.6 million and total liabilities of $0.3 million.</w:t>
      </w:r>
    </w:p>
    <w:p>
      <w:pPr>
        <w:spacing w:after="0" w:line="13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2019, Altisource created Pointillist, Inc. (“Pointillist”) and contributed the Pointillist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customer journey analytics business and $8.5 million to it. Pointillist is owned by Altisource and management of Pointillist. Management of Pointillist owns a non-controlling interest representing 12.1% of the outstanding equity of Pointillist. Additional equity shares of Pointillist are available for issuance to management and board members of Pointillist. Altisource has no ongoing obligation to provide future funding to Pointillist. Pointillist is presented in the accompanying consolidated financial statements on a consolidated basis and the portion of Pointillist owned by Pointillist management is reported as non-controlling interests.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preparation of financial statements in conformity with GAAP requires estimates and assumptions that affect the reported amounts of assets and liabilities, revenue and expenses and related disclosures of contingent liabilities in the consolidated financial statements and accompanying notes. Estimates are used for, but not limited to, determining share-based compensation, income taxes, collectability of receivables, valuation of acquired intangibles and goodwill, depreciable lives and valuation of fixed assets and contingencies. Actual results could differ materially from those estimates.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classify all highly liquid instruments with an original maturity of three months or less at the time of purchase as cash equivalents.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Net</w:t>
      </w:r>
    </w:p>
    <w:p>
      <w:pPr>
        <w:spacing w:after="0" w:line="17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Accounts receivable are presented net of an allowance for expected credit losses. We monitor and estimate the allowance for credit losses based on our historical write-offs, historical collections, our analysis of past due accounts based on the contractual terms of the receivables, relevant market and industry reports and our assessment of the economic status of our customers, if known. The carrying value of accounts receivable, net, approximates fair value.</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Premises and Equipment, Net</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report premises and equipment, net at cost or estimated fair value at acquisition for premises and equipment recorded in connection with a business combination and depreciate these assets over their estimated useful lives using the straight-line method as follows:</w:t>
      </w:r>
    </w:p>
    <w:p>
      <w:pPr>
        <w:spacing w:after="0" w:line="90" w:lineRule="exact"/>
        <w:rPr>
          <w:sz w:val="20"/>
          <w:szCs w:val="20"/>
          <w:color w:val="auto"/>
        </w:rPr>
      </w:pPr>
    </w:p>
    <w:tbl>
      <w:tblPr>
        <w:tblLayout w:type="fixed"/>
        <w:tblInd w:w="1400" w:type="dxa"/>
        <w:tblCellMar>
          <w:top w:w="0" w:type="dxa"/>
          <w:left w:w="0" w:type="dxa"/>
          <w:bottom w:w="0" w:type="dxa"/>
          <w:right w:w="0" w:type="dxa"/>
        </w:tblCellMar>
      </w:tblPr>
      <w:tr>
        <w:trPr>
          <w:trHeight w:val="229"/>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61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5 years</w:t>
            </w:r>
          </w:p>
        </w:tc>
      </w:tr>
      <w:tr>
        <w:trPr>
          <w:trHeight w:val="230"/>
        </w:trPr>
        <w:tc>
          <w:tcPr>
            <w:tcW w:w="2340" w:type="dxa"/>
            <w:vAlign w:val="bottom"/>
          </w:tcPr>
          <w:p>
            <w:pPr>
              <w:spacing w:after="0"/>
              <w:rPr>
                <w:sz w:val="20"/>
                <w:szCs w:val="20"/>
                <w:color w:val="auto"/>
              </w:rPr>
            </w:pPr>
            <w:r>
              <w:rPr>
                <w:rFonts w:ascii="Arial" w:cs="Arial" w:eastAsia="Arial" w:hAnsi="Arial"/>
                <w:sz w:val="18"/>
                <w:szCs w:val="18"/>
                <w:color w:val="auto"/>
              </w:rPr>
              <w:t>Office equipment</w:t>
            </w:r>
          </w:p>
        </w:tc>
        <w:tc>
          <w:tcPr>
            <w:tcW w:w="6120" w:type="dxa"/>
            <w:vAlign w:val="bottom"/>
          </w:tcPr>
          <w:p>
            <w:pPr>
              <w:ind w:left="500"/>
              <w:spacing w:after="0"/>
              <w:rPr>
                <w:sz w:val="20"/>
                <w:szCs w:val="20"/>
                <w:color w:val="auto"/>
              </w:rPr>
            </w:pPr>
            <w:r>
              <w:rPr>
                <w:rFonts w:ascii="Arial" w:cs="Arial" w:eastAsia="Arial" w:hAnsi="Arial"/>
                <w:sz w:val="18"/>
                <w:szCs w:val="18"/>
                <w:color w:val="auto"/>
              </w:rPr>
              <w:t>5 years</w:t>
            </w:r>
          </w:p>
        </w:tc>
      </w:tr>
      <w:tr>
        <w:trPr>
          <w:trHeight w:val="229"/>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w:t>
            </w:r>
          </w:p>
        </w:tc>
        <w:tc>
          <w:tcPr>
            <w:tcW w:w="61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3-5 years</w:t>
            </w:r>
          </w:p>
        </w:tc>
      </w:tr>
      <w:tr>
        <w:trPr>
          <w:trHeight w:val="229"/>
        </w:trPr>
        <w:tc>
          <w:tcPr>
            <w:tcW w:w="2340" w:type="dxa"/>
            <w:vAlign w:val="bottom"/>
          </w:tcPr>
          <w:p>
            <w:pPr>
              <w:spacing w:after="0"/>
              <w:rPr>
                <w:sz w:val="20"/>
                <w:szCs w:val="20"/>
                <w:color w:val="auto"/>
              </w:rPr>
            </w:pPr>
            <w:r>
              <w:rPr>
                <w:rFonts w:ascii="Arial" w:cs="Arial" w:eastAsia="Arial" w:hAnsi="Arial"/>
                <w:sz w:val="18"/>
                <w:szCs w:val="18"/>
                <w:color w:val="auto"/>
              </w:rPr>
              <w:t>Computer software</w:t>
            </w:r>
          </w:p>
        </w:tc>
        <w:tc>
          <w:tcPr>
            <w:tcW w:w="6120" w:type="dxa"/>
            <w:vAlign w:val="bottom"/>
          </w:tcPr>
          <w:p>
            <w:pPr>
              <w:ind w:left="500"/>
              <w:spacing w:after="0"/>
              <w:rPr>
                <w:sz w:val="20"/>
                <w:szCs w:val="20"/>
                <w:color w:val="auto"/>
              </w:rPr>
            </w:pPr>
            <w:r>
              <w:rPr>
                <w:rFonts w:ascii="Arial" w:cs="Arial" w:eastAsia="Arial" w:hAnsi="Arial"/>
                <w:sz w:val="18"/>
                <w:szCs w:val="18"/>
                <w:color w:val="auto"/>
              </w:rPr>
              <w:t>3-7 years</w:t>
            </w:r>
          </w:p>
        </w:tc>
      </w:tr>
      <w:tr>
        <w:trPr>
          <w:trHeight w:val="230"/>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61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Shorter of useful life, 10 years or the term of the lease</w:t>
            </w: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Maintenance and repair costs are expensed as incurred. We capitalize expenditures for significant improvements and new equipment and depreciate the assets over the shorter of the capitalized asset’s life or the life of the lease.</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review premises and equipment for impairment following events or changes in circumstances that indicate the carrying amount of an asset or asset group may not be recoverable. We measure recoverability of assets to be held and used by comparing the carrying amount of an asset or asset group to estimated undiscounted future cash flows expected to be generated by the asset or asset group. If the carrying amount of an asset or asset group exceeds its estimated future cash flows, we recognize an impairment charge for the amount that the carrying value of the asset or asset group exceeds the fair value of the asset or asset group.</w:t>
      </w:r>
    </w:p>
    <w:p>
      <w:pPr>
        <w:spacing w:after="0" w:line="13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Computer software includes the fair value of software acquired in business combinations, capitalized software development costs and purchased software. Capitalized software development and purchased software are recorded at cost and amortized using the straight-line method over their estimated useful lives. Software acquired in business combinations is recorded at fair value and amortized using the straight-line method over its estimated useful life.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We account for acquisitions using the purchase method of accounting in accordance with Financial Accounting Standards Board (“FASB”) Accounting Standards Codification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purchase price of an acquisition is allocated to the assets acquired and liabilities assumed using their fair value as of the acquisition date.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7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Goodwill represents the excess cost of an acquired business over the fair value of the identifiable tangible and intangible assets acquired and liabilities assumed in a business combination. We evaluate goodwill for impairment annually during the fourth quarter or more frequently when an event occurs or circumstances change in a manner that indicates the carrying value may not be recoverable. We first assess qualitative factors to determine whether it is more likely than not that the fair value of a reporting unit is less than its carrying value as a basis for determining whether we need to perform the quantitative goodwill impairment test. Only if we determine, based on qualitative assessment, that it is more likely than not that a reporting unit’s fair value is less than its carrying value will we calculate the fair value of the reporting unit. We would then test goodwill for impairment by comparing the fair value of the reporting unit with its carrying amount. If the fair value is determined to be less than its carrying amount, we recognize an impairment charge for the amount by which the carrying amount exceeds the reporting unit’s fair value; however, the loss recognized should not exceed the total amount of goodwill allocated to that reporting unit. We estimate the fair value of the reporting unit using discounted cash flows and market comparisons. The discounted cash flow method is based on the present value of projected cash flows. Forecasts of future cash flows are based on our estimate of future sales and operating expenses, based primarily on estimated pricing, sales volumes, market segment share, cost trends and general economic conditions. The estimated cash flows are discounted using a rate that represents our weighted average cost of capital. The market comparisons include an analysis of revenue and earnings multiples of guideline public companies compared to the Company.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Identified intangible assets consist primarily of customer related intangible assets, operating agreements, trademarks and trade names and other intangible assets. Identifiable intangible assets acquired in business combinations are recorded based on their fair values at the date of acquisition. We determine the useful lives of our identifiable intangible assets after considering the specific facts and circumstances related to each intangible asset. Factors we consider when determining useful lives include the contractual term of any arrangements, the history of the asset, our long-term strategy for use of the asset and other economic factors. We amortize intangible assets that we deem to have definite lives in proportion to actual and expected customer revenues or on a straight-line basis over their useful lives, generally ranging from 4 to 20 years.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31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perform tests for impairment if conditions exist that indicate the carrying value may not be recoverable. When facts and circumstances indicate that the carrying value of intangible assets determined to have definite lives may not be recoverable, management assesses the recoverability of the carrying value by preparing estimates of cash flows of discrete intangible assets generally consistent with models utilized for internal planning purposes. If the sum of the undiscounted expected future cash flows is less than the carrying value, we recognize an impairment to the extent the carrying amount exceeds fair value.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Long-term debt is reported net of applicable discount or premium and net of debt issuance costs. The debt discount or premium and debt issuance costs are amortized to interest expense through maturity of the related debt using the effective interest method.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Fair value is defined as an exit price, representing the amount that would be received for an asset or paid to transfer a liability in an orderly transaction between market participants at the measurement date. The three-tier hierarchy for inputs used in measuring fair value, which prioritizes the inputs used in the methodologies of measuring fair value for assets and liabilities, is as follows: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1 </w:t>
      </w:r>
      <w:r>
        <w:rPr>
          <w:rFonts w:ascii="Arial" w:cs="Arial" w:eastAsia="Arial" w:hAnsi="Arial"/>
          <w:sz w:val="18"/>
          <w:szCs w:val="18"/>
          <w:b w:val="1"/>
          <w:bCs w:val="1"/>
          <w:color w:val="auto"/>
        </w:rPr>
        <w:t>—</w:t>
      </w:r>
      <w:r>
        <w:rPr>
          <w:rFonts w:ascii="Arial" w:cs="Arial" w:eastAsia="Arial" w:hAnsi="Arial"/>
          <w:sz w:val="18"/>
          <w:szCs w:val="18"/>
          <w:color w:val="auto"/>
        </w:rPr>
        <w:t xml:space="preserve"> Quoted prices in active markets for identical assets and liabilities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2 </w:t>
      </w:r>
      <w:r>
        <w:rPr>
          <w:rFonts w:ascii="Arial" w:cs="Arial" w:eastAsia="Arial" w:hAnsi="Arial"/>
          <w:sz w:val="18"/>
          <w:szCs w:val="18"/>
          <w:b w:val="1"/>
          <w:bCs w:val="1"/>
          <w:color w:val="auto"/>
        </w:rPr>
        <w:t>—</w:t>
      </w:r>
      <w:r>
        <w:rPr>
          <w:rFonts w:ascii="Arial" w:cs="Arial" w:eastAsia="Arial" w:hAnsi="Arial"/>
          <w:sz w:val="18"/>
          <w:szCs w:val="18"/>
          <w:color w:val="auto"/>
        </w:rPr>
        <w:t xml:space="preserve"> Observable inputs other than quoted prices included in Level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3 </w:t>
      </w:r>
      <w:r>
        <w:rPr>
          <w:rFonts w:ascii="Arial" w:cs="Arial" w:eastAsia="Arial" w:hAnsi="Arial"/>
          <w:sz w:val="18"/>
          <w:szCs w:val="18"/>
          <w:b w:val="1"/>
          <w:bCs w:val="1"/>
          <w:color w:val="auto"/>
        </w:rPr>
        <w:t>—</w:t>
      </w:r>
      <w:r>
        <w:rPr>
          <w:rFonts w:ascii="Arial" w:cs="Arial" w:eastAsia="Arial" w:hAnsi="Arial"/>
          <w:sz w:val="18"/>
          <w:szCs w:val="18"/>
          <w:color w:val="auto"/>
        </w:rPr>
        <w:t xml:space="preserve"> Unobservable inputs that are supported by little or no market activity and that are significant to the fair value of assets or liabilities.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Financial assets and financial liabilities are classified based on the lowest level of input that is significant to the fair value measurements. Our assessment of the significance of a particular input to the fair value measurements requires judgment and may affect the valuation of the assets and liabilities being measured and their placement within the fair value hierarchy.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Functional Currency</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currency of the primary economic environment in which our operations are conducted is the United States dollar. Therefore, the United States dollar has been determined to be our functional and reporting currency. Non-United States dollar transactions and balances have been measured in United States dollars in accordance with ASC Topic 830, </w:t>
      </w:r>
      <w:r>
        <w:rPr>
          <w:rFonts w:ascii="Arial" w:cs="Arial" w:eastAsia="Arial" w:hAnsi="Arial"/>
          <w:sz w:val="18"/>
          <w:szCs w:val="18"/>
          <w:i w:val="1"/>
          <w:iCs w:val="1"/>
          <w:color w:val="auto"/>
        </w:rPr>
        <w:t>Foreign Currency Matters</w:t>
      </w:r>
      <w:r>
        <w:rPr>
          <w:rFonts w:ascii="Arial" w:cs="Arial" w:eastAsia="Arial" w:hAnsi="Arial"/>
          <w:sz w:val="18"/>
          <w:szCs w:val="18"/>
          <w:color w:val="auto"/>
        </w:rPr>
        <w:t>. All transaction gains and losses from the measurement of monetary balance sheet items denominated in non-United States dollar currencies are reflected in the consolidated statements of operations and comprehensive loss as income or expenses, as appropriate.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401(k) Plan</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Some of our employees currently participate in a defined contribution 401(k) plan under which we may make matching contributions equal to a discretionary percentage determined by us. We recorded expenses of $0.6 million, $0.9 million and $1.2 million for the years ended December 31, 2020, 2019 and 2018, respectively, related to our discretionary contributions.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7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recognize revenue when we satisfy a performance obligation by transferring control of a product or service to a customer in an amount that reflects the consideration that we expect to receive. This revenue can be recognized at a point in time or over time. We invoice customers based on our contractual arrangements with each customer, which may not be consistent with the period that revenues are recognized. When there is a timing difference between when we invoice customers and when revenues are recognized, we record either a contract asset (unbilled accounts receivable) or a contract liability (deferred revenue or other current liabilities), as appropriate. Descriptions of our principal revenue generating activities are as follows: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Core Businesses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Field Services</w:t>
      </w:r>
    </w:p>
    <w:p>
      <w:pPr>
        <w:spacing w:after="0" w:line="63" w:lineRule="exact"/>
        <w:rPr>
          <w:sz w:val="20"/>
          <w:szCs w:val="20"/>
          <w:color w:val="auto"/>
        </w:rPr>
      </w:pPr>
    </w:p>
    <w:p>
      <w:pPr>
        <w:ind w:left="660" w:right="2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 property preservation and inspection services and payment management technologies, we recognize transactional revenue when the service is provided.</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 vendor management transactions and our vendor management oversight software-as-a-service (“SaaS”) platform, we recognize revenue over the period during which we perform the services.</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Reimbursable expenses revenue related to our property preservation and inspection services is included in revenue with an equal amount recognized in cost of revenue. These amounts are recognized on a gross basis, principally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319" w:lineRule="exact"/>
        <w:rPr>
          <w:sz w:val="20"/>
          <w:szCs w:val="20"/>
          <w:color w:val="auto"/>
        </w:rPr>
      </w:pPr>
    </w:p>
    <w:p>
      <w:pPr>
        <w:ind w:right="1000" w:firstLine="648"/>
        <w:spacing w:after="0" w:line="375" w:lineRule="auto"/>
        <w:rPr>
          <w:sz w:val="20"/>
          <w:szCs w:val="20"/>
          <w:color w:val="auto"/>
        </w:rPr>
      </w:pPr>
      <w:r>
        <w:rPr>
          <w:rFonts w:ascii="Arial" w:cs="Arial" w:eastAsia="Arial" w:hAnsi="Arial"/>
          <w:sz w:val="18"/>
          <w:szCs w:val="18"/>
          <w:color w:val="auto"/>
        </w:rPr>
        <w:t xml:space="preserve">because generally we have control over selection of vendors and the vendor relationships are with us, rather than with our customers. </w:t>
      </w:r>
      <w:r>
        <w:rPr>
          <w:rFonts w:ascii="Arial" w:cs="Arial" w:eastAsia="Arial" w:hAnsi="Arial"/>
          <w:sz w:val="18"/>
          <w:szCs w:val="18"/>
          <w:u w:val="single" w:color="auto"/>
          <w:color w:val="auto"/>
        </w:rPr>
        <w:t>Marketplace</w:t>
      </w:r>
    </w:p>
    <w:p>
      <w:pPr>
        <w:spacing w:after="0" w:line="1" w:lineRule="exact"/>
        <w:rPr>
          <w:sz w:val="20"/>
          <w:szCs w:val="20"/>
          <w:color w:val="auto"/>
        </w:rPr>
      </w:pPr>
    </w:p>
    <w:p>
      <w:pPr>
        <w:jc w:val="both"/>
        <w:ind w:left="660" w:right="20" w:hanging="328"/>
        <w:spacing w:after="0" w:line="263"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 the real estate auction platform, real estate auction and real estate brokerage services, we recognize revenue on a net basis (i.e., the commission on the sale) as we perform services as an agent without assuming the risks and rewards of ownership of the asset and the commission earned on the sale is a fixed percentage or amount.</w:t>
      </w:r>
    </w:p>
    <w:p>
      <w:pPr>
        <w:spacing w:after="0" w:line="2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 SaaS based technology to manage real estate owned (“REO”), short sales, foreclosure, bankruptcy and eviction processes, we recognize revenue over the estimated average number of months the REO are on the platform. We generally recognize revenue for professional services over the contract period.</w:t>
      </w:r>
    </w:p>
    <w:p>
      <w:pPr>
        <w:spacing w:after="0" w:line="2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Reimbursable expenses revenue related to our real estate sales is included in revenue with an equal amount recognized in cost of revenue. These amounts are recognized on a gross basis, principally because generally we have control over selection of vendors and the vendor relationships are with us, rather than with our customers.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Mortgage and Real Estate Solutions</w:t>
      </w:r>
    </w:p>
    <w:p>
      <w:pPr>
        <w:spacing w:after="0" w:line="63"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 the majority of the services we provide, we recognize transactional revenue when the service is provided.</w:t>
      </w:r>
    </w:p>
    <w:p>
      <w:pPr>
        <w:spacing w:after="0" w:line="63"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 loan disbursement processing services, we recognize revenue over the period during which we perform the processing services with full recognition upon completion of the disbursements. For foreclosure trustee services, we recognize revenue over the period during which we perform the related services, with full recognition upon completion and/or recording the related foreclosure deed. We use judgment to determine the period over which we recognize revenue for certain of these services.</w:t>
      </w:r>
    </w:p>
    <w:p>
      <w:pPr>
        <w:spacing w:after="0" w:line="24"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Reimbursable expenses revenue related to our title and foreclosure trustee services businesses is included in revenue with an equal amount recognized in cost of revenue. These amounts are recognized on a gross basis, principally because generally we have control over selection of vendors and the vendor relationships are with us, rather than with our customers.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Businesses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Earlier Stage Business</w:t>
      </w:r>
    </w:p>
    <w:p>
      <w:pPr>
        <w:spacing w:after="0" w:line="63" w:lineRule="exact"/>
        <w:rPr>
          <w:sz w:val="20"/>
          <w:szCs w:val="20"/>
          <w:color w:val="auto"/>
        </w:rPr>
      </w:pPr>
    </w:p>
    <w:p>
      <w:pPr>
        <w:ind w:left="660" w:hanging="328"/>
        <w:spacing w:after="0" w:line="27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 our customer journey analytics platform, we recognize revenue primarily based on subscription fees. We recognize revenue associated with implementation services and maintenance services ratably over the contract term.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w:t>
      </w:r>
    </w:p>
    <w:p>
      <w:pPr>
        <w:spacing w:after="0" w:line="63" w:lineRule="exact"/>
        <w:rPr>
          <w:sz w:val="20"/>
          <w:szCs w:val="20"/>
          <w:color w:val="auto"/>
        </w:rPr>
      </w:pPr>
    </w:p>
    <w:p>
      <w:pPr>
        <w:jc w:val="both"/>
        <w:ind w:left="660" w:hanging="328"/>
        <w:spacing w:after="0" w:line="275" w:lineRule="auto"/>
        <w:tabs>
          <w:tab w:leader="none" w:pos="655" w:val="left"/>
        </w:tabs>
        <w:numPr>
          <w:ilvl w:val="0"/>
          <w:numId w:val="40"/>
        </w:numPr>
        <w:rPr>
          <w:rFonts w:ascii="Arial" w:cs="Arial" w:eastAsia="Arial" w:hAnsi="Arial"/>
          <w:sz w:val="17"/>
          <w:szCs w:val="17"/>
          <w:color w:val="auto"/>
        </w:rPr>
      </w:pPr>
      <w:r>
        <w:rPr>
          <w:rFonts w:ascii="Arial" w:cs="Arial" w:eastAsia="Arial" w:hAnsi="Arial"/>
          <w:sz w:val="17"/>
          <w:szCs w:val="17"/>
          <w:color w:val="auto"/>
        </w:rPr>
        <w:t>For our Financial Services business (sold on July 1, 2019, see Note 4), we generally earned fees for our post-charge-off consumer debt collection services as a percentage of the amount we collected on delinquent consumer receivables and recognized revenue following collection from the borrowers. For mortgage charge-off collections performed on behalf of our clients, we recognized revenue as a percentage of amounts collected following collection from the borrowers. We provided customer relationship management services for which we typically earned and recognized revenue on a per-person, per-call or per-minute basis as the related services were performed.</w:t>
      </w:r>
    </w:p>
    <w:p>
      <w:pPr>
        <w:spacing w:after="0" w:line="14"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For loan servicing technologies, we recognized revenue based on the number of loans on the system. We generally recognized revenue from professional services over the contract period.</w:t>
      </w:r>
    </w:p>
    <w:p>
      <w:pPr>
        <w:spacing w:after="0" w:line="8"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For short-term investments in real estate (wind down completed in 2019, see Note 8), we recognized revenue associated with our sales of short-term investments in real estate on a gross basis (i.e., the selling price of the property) as we assumed the risks and rewards of ownership of the asset.</w:t>
      </w:r>
    </w:p>
    <w:p>
      <w:pPr>
        <w:spacing w:after="0" w:line="2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For our consumer real estate brokerage (discontinued in the fourth quarter of 2019, see Note 8), we recognized revenue on a net basis (i.e., the commission on the sale) as we performed services as an agent without assuming the risks and rewards of ownership of the asset and the commission earned on the sale was a fixed percentage or amount.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7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Share-based compensation is accounted for under the provisions of ASC Topic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(“ASC Topic 718”). Under ASC Topic 718, the cost of services received in exchange for an award of equity instruments is generally measured based on the grant date fair value of the award. Share-based awards that do not require future service are expensed immediately. Share-based awards that require future service are recognized over the relevant service period. The Company has made an accounting policy election to account for forfeitures in compensation expense as they occur.</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record income taxes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Topic 740”). We account for certain income and expense items differently for financial reporting purposes and income tax purposes. We recognize deferred income tax assets and liabilities for these differences between the financial reporting basis and the tax basis of our assets and liabilities as well as expected benefits of utilizing net operating loss and credit carryforwards. The most significant temporary differences relate to accrued compensation, amortization, loss carryforwards and valuation allowances. We measure deferred income tax assets and liabilities using enacted tax rates expected to apply to taxable income in the years in which we anticipate recovery or settlement of those temporary differences. The effect on deferred tax assets and liabilities of a change in tax rates is recognized in income in the period when the change is enacted. Deferred tax assets are reduced by a valuation allowance when it is more likely than not that some portion or all of the deferred tax assets will not be realized.</w:t>
      </w:r>
    </w:p>
    <w:p>
      <w:pPr>
        <w:spacing w:after="0" w:line="1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Tax laws are complex and subject to different interpretations by the taxpayer and respective governmental taxing authorities. Significant judgment is required in determining tax expense and in evaluating tax positions including evaluating uncertainties under ASC Topic 740. We recognize tax benefits from uncertain tax positions only if it is more likely than not that the tax position will be sustained on examination by the taxing authorities based on the technical merits of the position. The tax benefits recognized in the financial statements from such positions are then measured based on the largest benefit that has a greater than 50% likelihood of being realized upon ultimate settlement. Resolution of these uncertainties in a manner inconsistent with management’s expectations could have a material impact on our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We compute earnings per share in accordance with ASC Topic 260, </w:t>
      </w:r>
      <w:r>
        <w:rPr>
          <w:rFonts w:ascii="Arial" w:cs="Arial" w:eastAsia="Arial" w:hAnsi="Arial"/>
          <w:sz w:val="18"/>
          <w:szCs w:val="18"/>
          <w:i w:val="1"/>
          <w:iCs w:val="1"/>
          <w:color w:val="auto"/>
        </w:rPr>
        <w:t>Earnings Per Share</w:t>
      </w:r>
      <w:r>
        <w:rPr>
          <w:rFonts w:ascii="Arial" w:cs="Arial" w:eastAsia="Arial" w:hAnsi="Arial"/>
          <w:sz w:val="18"/>
          <w:szCs w:val="18"/>
          <w:color w:val="auto"/>
        </w:rPr>
        <w:t>. Basic net income per share is computed by dividing net income attributable to Altisource by the weighted average number of shares of common stock outstanding for the period. Diluted net income per share reflects the assumed conversion of all dilutive securities using the treasury stock method.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January 2017, the FASB issued Accounting Standards Update (“ASU”) No. 2017-04, </w:t>
      </w:r>
      <w:r>
        <w:rPr>
          <w:rFonts w:ascii="Arial" w:cs="Arial" w:eastAsia="Arial" w:hAnsi="Arial"/>
          <w:sz w:val="17"/>
          <w:szCs w:val="17"/>
          <w:i w:val="1"/>
          <w:iCs w:val="1"/>
          <w:color w:val="auto"/>
        </w:rPr>
        <w:t>Intangibles-Goodwill and Other (Topic 350): Simplifying the Test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for Goodwill Impairment. </w:t>
      </w:r>
      <w:r>
        <w:rPr>
          <w:rFonts w:ascii="Arial" w:cs="Arial" w:eastAsia="Arial" w:hAnsi="Arial"/>
          <w:sz w:val="17"/>
          <w:szCs w:val="17"/>
          <w:color w:val="auto"/>
        </w:rPr>
        <w:t>This standard simplified the subsequent measurement of goodwill by eliminating Step 2 from the goodwill impairment test. Prior</w:t>
      </w:r>
      <w:r>
        <w:rPr>
          <w:rFonts w:ascii="Arial" w:cs="Arial" w:eastAsia="Arial" w:hAnsi="Arial"/>
          <w:sz w:val="17"/>
          <w:szCs w:val="17"/>
          <w:i w:val="1"/>
          <w:iCs w:val="1"/>
          <w:color w:val="auto"/>
        </w:rPr>
        <w:t xml:space="preserve"> </w:t>
      </w:r>
      <w:r>
        <w:rPr>
          <w:rFonts w:ascii="Arial" w:cs="Arial" w:eastAsia="Arial" w:hAnsi="Arial"/>
          <w:sz w:val="17"/>
          <w:szCs w:val="17"/>
          <w:color w:val="auto"/>
        </w:rPr>
        <w:t>guidance required that companies compute the implied fair value of goodwill under Step 2 by performing procedures to determine the fair value at the impairment testing date of its assets and liabilities (including unrecognized assets and liabilities) following the procedure that would be required in determining the fair value of assets acquired and liabilities assumed in a business combination. This updated standard requires companies to perform annual or interim goodwill impairment tests by comparing the fair value of a reporting unit with its carrying amount. An entity should recognize an impairment charge for the amount by which the carrying amount exceeds the reporting unit’s fair value; however, the loss recognized should not exceed the total amount of goodwill allocated to that reporting unit. The Company adopted this standard effective January 1, 2020 and has applied it prospectively. Adoption of this new standard did not have any impact on the Company’s consolidated financial statements.</w:t>
      </w:r>
    </w:p>
    <w:p>
      <w:pPr>
        <w:spacing w:after="0" w:line="12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In August 2018, the FASB issued ASU No. 2018-13, </w:t>
      </w:r>
      <w:r>
        <w:rPr>
          <w:rFonts w:ascii="Arial" w:cs="Arial" w:eastAsia="Arial" w:hAnsi="Arial"/>
          <w:sz w:val="17"/>
          <w:szCs w:val="17"/>
          <w:i w:val="1"/>
          <w:iCs w:val="1"/>
          <w:color w:val="auto"/>
        </w:rPr>
        <w:t>Fair Value Measurement (Topic 820): Disclosure Framework—Changes to the Disclosure</w:t>
      </w:r>
      <w:r>
        <w:rPr>
          <w:rFonts w:ascii="Arial" w:cs="Arial" w:eastAsia="Arial" w:hAnsi="Arial"/>
          <w:sz w:val="17"/>
          <w:szCs w:val="17"/>
          <w:color w:val="auto"/>
        </w:rPr>
        <w:t xml:space="preserve"> </w:t>
      </w:r>
      <w:r>
        <w:rPr>
          <w:rFonts w:ascii="Arial" w:cs="Arial" w:eastAsia="Arial" w:hAnsi="Arial"/>
          <w:sz w:val="17"/>
          <w:szCs w:val="17"/>
          <w:i w:val="1"/>
          <w:iCs w:val="1"/>
          <w:color w:val="auto"/>
        </w:rPr>
        <w:t>Requirements for Fair Value Measurement</w:t>
      </w:r>
      <w:r>
        <w:rPr>
          <w:rFonts w:ascii="Arial" w:cs="Arial" w:eastAsia="Arial" w:hAnsi="Arial"/>
          <w:sz w:val="17"/>
          <w:szCs w:val="17"/>
          <w:color w:val="auto"/>
        </w:rPr>
        <w:t>. This standard modified certain disclosure requirements such as the valuation processes for Level 3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measurements. This standard also requires new disclosures such as the disclosure of certain assumptions used to develop significant unobservable inputs for Level 3 fair value measurements. The Company adopted this standard effective January 1, 2020 and has applied it prospectively. Adoption of this new standard did not have any impact on the Company’s consolidated financial statements.</w:t>
      </w:r>
    </w:p>
    <w:p>
      <w:pPr>
        <w:spacing w:after="0" w:line="1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Intangibles—Goodwill and Other—Internal-Use Software (Subtopic 350-40): Customer’s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for Implementation Costs Incurred in a Cloud Computing Arrangement That Is a Service Contract (a consensus of the FASB Emerging Issues Task Force)</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This standard aligns the requirements for capitalizing implementation costs in a hosting arrangement service contract with the existing guidance for capitalizing implementation costs incurred for an internal-use software license. This standard also requires capitalizing or expensing implementation costs based on the nature of the costs and the project stage during which they are incurred and establishes additional disclosure requirements. The Company adopted this standard effective January 1, 2020 and has applied it prospectively. Adoption of this new standard did not have any impact on the Company’s consolidated financial statements.</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xml:space="preserve"> (</w:t>
      </w:r>
      <w:r>
        <w:rPr>
          <w:rFonts w:ascii="Arial" w:cs="Arial" w:eastAsia="Arial" w:hAnsi="Arial"/>
          <w:sz w:val="18"/>
          <w:szCs w:val="18"/>
          <w:i w:val="1"/>
          <w:iCs w:val="1"/>
          <w:color w:val="auto"/>
        </w:rPr>
        <w:t>Topic 326</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This ASU and its related amendments (collectively, the "Credit Loss Standard") introduced the current expected credit losses (“CECL”)</w:t>
      </w:r>
      <w:r>
        <w:rPr>
          <w:rFonts w:ascii="Arial" w:cs="Arial" w:eastAsia="Arial" w:hAnsi="Arial"/>
          <w:sz w:val="18"/>
          <w:szCs w:val="18"/>
          <w:i w:val="1"/>
          <w:iCs w:val="1"/>
          <w:color w:val="auto"/>
        </w:rPr>
        <w:t xml:space="preserve"> </w:t>
      </w:r>
      <w:r>
        <w:rPr>
          <w:rFonts w:ascii="Arial" w:cs="Arial" w:eastAsia="Arial" w:hAnsi="Arial"/>
          <w:sz w:val="18"/>
          <w:szCs w:val="18"/>
          <w:color w:val="auto"/>
        </w:rPr>
        <w:t>methodology for the measurement of credit losses on financial assets measured at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31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amortized cost basis, replacing the previous incurred loss methodology. The CECL model applies to financial assets measured at amortized cost, including trade and other receivables, net, investments in leases, loans receivable held-to-maturity securities and off-balance sheet exposures. The Credit Loss Standard requires consideration of a broader range of information to estimate expected credit losses, including historical information and current conditions through a reasonable forecast period. The Credit Loss Standard requires that the income statement reflect the measurement of credit losses for newly recognized financial assets as well as the expected increase or decrease of expected credit losses that have taken place during the period, which may result in earlier recognition of certain losses. The Company adopted this standard effective January 1, 2020 utilizing a modified retrospective approach, which did not have any impact on the Company’s consolidated financial statements (See Note 6).</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Adoption of New Accounting Pronouncements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This standard is part of the FASB’s initiative to reduce complexity in accounting standards by instituting several simplifying provisions and removing several exceptions pertaining to income tax accounting. This standard will be effective for annual periods beginning after December 15, 2020, including interim periods within that reporting period. Early adoption of this standard is permitted. The Company is currently evaluating the impact this guidance may have on its consolidated financial statements.</w:t>
      </w:r>
    </w:p>
    <w:p>
      <w:pPr>
        <w:spacing w:after="0" w:line="13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March 2020, the FASB issued ASU No. 2020-04, </w:t>
      </w:r>
      <w:r>
        <w:rPr>
          <w:rFonts w:ascii="Arial" w:cs="Arial" w:eastAsia="Arial" w:hAnsi="Arial"/>
          <w:sz w:val="17"/>
          <w:szCs w:val="17"/>
          <w:i w:val="1"/>
          <w:iCs w:val="1"/>
          <w:color w:val="auto"/>
        </w:rPr>
        <w:t>Reference Rate Reform (Topic 848): Facilitation of the Effects of Reference Rate Reform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Reporting </w:t>
      </w:r>
      <w:r>
        <w:rPr>
          <w:rFonts w:ascii="Arial" w:cs="Arial" w:eastAsia="Arial" w:hAnsi="Arial"/>
          <w:sz w:val="17"/>
          <w:szCs w:val="17"/>
          <w:color w:val="auto"/>
        </w:rPr>
        <w:t>and in January 2021, the FASB issued ASU No. 2021-01,</w:t>
      </w:r>
      <w:r>
        <w:rPr>
          <w:rFonts w:ascii="Arial" w:cs="Arial" w:eastAsia="Arial" w:hAnsi="Arial"/>
          <w:sz w:val="17"/>
          <w:szCs w:val="17"/>
          <w:i w:val="1"/>
          <w:iCs w:val="1"/>
          <w:color w:val="auto"/>
        </w:rPr>
        <w:t xml:space="preserve"> Reference Rate Reform (Topic 848): Scope</w:t>
      </w:r>
      <w:r>
        <w:rPr>
          <w:rFonts w:ascii="Arial" w:cs="Arial" w:eastAsia="Arial" w:hAnsi="Arial"/>
          <w:sz w:val="17"/>
          <w:szCs w:val="17"/>
          <w:color w:val="auto"/>
        </w:rPr>
        <w:t>. This standard applies only to contracts,</w:t>
      </w:r>
      <w:r>
        <w:rPr>
          <w:rFonts w:ascii="Arial" w:cs="Arial" w:eastAsia="Arial" w:hAnsi="Arial"/>
          <w:sz w:val="17"/>
          <w:szCs w:val="17"/>
          <w:i w:val="1"/>
          <w:iCs w:val="1"/>
          <w:color w:val="auto"/>
        </w:rPr>
        <w:t xml:space="preserve"> </w:t>
      </w:r>
      <w:r>
        <w:rPr>
          <w:rFonts w:ascii="Arial" w:cs="Arial" w:eastAsia="Arial" w:hAnsi="Arial"/>
          <w:sz w:val="17"/>
          <w:szCs w:val="17"/>
          <w:color w:val="auto"/>
        </w:rPr>
        <w:t>hedging relationships, and other transactions that reference the London Interbank Offered Rate (“LIBOR”) or another reference rate expected to be discontinued because of reference rate reform. This standard provides optional guidance for a limited period of time to ease the potential burden in accounting for (or recognizing the effects of) reference rate reform on financial reporting, in response to concerns about structural risks of interbank offered rates, and, particularly, the risk of cessation of LIBOR. This standard is effective from the period from March 12, 2020 through December 31, 2022. An entity may elect to apply the amendments for contract modifications as of any date from the beginning of an interim period that includes or is subsequent to March 12, 2020, or prospectively from a date within an interim period that includes or is subsequent to March 12, 2020, up to the date that the financial statements are available to be issued. Once elected for a topic or an industry subtopic, the standard must be applied prospectively for all eligible contract modifications for that topic or industry subtopic. The Company is currently evaluating the impact this guidance may have on its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CUSTOMER CONCENTRATION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Ocwen Financial Corporation (together with its subsidiaries, “Ocwen”) is a residential mortgage loan servicer of mortgage servicing rights (“MSRs”) it owns, including those MSRs in which others have an economic interest, and a subservicer of MSRs owned by others.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2020, Ocwen was our largest customer, accounting for 54% of our total revenue. Ocwen purchases certain mortgage services from us under the terms of services agreements and amendments thereto (collectively, the “Ocwen Services Agreements”) with terms extending through August 2025. Certain of the Ocwen Services Agreements contain a “most favored nation” provision and also grant the parties the right to renegotiate pricing, among other things.</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 from Ocwen primarily consists of revenue earned from the loan portfolios serviced and subserviced by Ocwen when Ocwen engages us as the service provider, and revenue earned directly from Ocwen, pursuant to the Ocwen Services Agreements. For the years ended December 31, 2020, 2019 and 2018, we recognized revenue from Ocwen of $197.8 million, $362.7 million and $437.4 million, respectively. Revenue from Ocwen as a percentage of consolidated revenue was 54%, 56% and 52% for the years ended December 31, 2020, 2019 and 2018, respectively.</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earn additional revenue related to the portfolios serviced and subserviced by Ocwen when a party other than Ocwen or the MSR owner selects Altisource as the service provider. For the years ended December 31, 2020, 2019 and 2018, we recognized revenue of $23.8 million, $37.5 million and $47.1 million, respectively, related to the portfolios serviced by Ocwen when a party other than Ocwen or the MSR owner selected Altisource as the service provider. These amounts are not included in deriving revenue from Ocwen and revenue from Ocwen as a percentage of revenue discussed above.</w:t>
      </w:r>
    </w:p>
    <w:p>
      <w:pPr>
        <w:spacing w:after="0" w:line="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February 2019, Altisource and Ocwen entered into agreements that, among other things, facilitated Ocwen’s transition from REALServicing</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related technologies to another mortgage servicing software platform, establish a process for Ocwen to review and approve the assignment of one or more of our agreements to potential buyers of Altisource’s business lines, requiring Ocwen to use Altisource as service provider for certain service referrals totaling an amount equal to 100% of the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applicable service referrals on certain portfolios plus an amount equal to not less than 90% of applicable service referrals from certain other portfolios (determined on a service by service basis), subject to certain additional restrictions and limitations, and affirm Altisource’s role as a strategic service provider to Ocwen through August 2025. In connection with these agreements, Altisource expressly preserved and did not waive any of its existing contractual rights relating to service referrals, other than with respect to Ocwen transitioning from the REALServicing and related technologies. If Altisource fails certain performance standards for specified periods of time, then Ocwen may terminate Altisource as a provider for the applicable service(s), subject to certain limitations and Altisource’s right to cure. Ocwen’s transition to another mortgage servicing platform was completed during 2019.</w:t>
      </w:r>
    </w:p>
    <w:p>
      <w:pPr>
        <w:spacing w:after="0" w:line="14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During the second quarter of 2020, Ocwen informed us that an MSR investor instructed Ocwen to use a field services provider other than Altisource on properties associated with certain MSRs. Based upon the impacted portfolios to date and the designated service provider, Altisource believes that Ocwen received these directions from New Residential Investment Corp. (individually, together with one or more of its subsidiaries or one or more of its subsidiaries individually, “NRZ”). We believe Ocwen commenced using another field services provider for these properties in July 2020 and continued to transition services during the third quarter of 2020. We believe that the transition to the replacement field service provider was largely completed as of September 30, 2020. We estimate that $70.1 million, $150.2 million and $171.0 million of service revenue from Ocwen for the years ended December 31, 2020, 2019 and 2018, respectively, was derived from Field Services referrals from the NRZ portfolios. Ocwen also communicated to Altisource in the fourth quarter of 2020 that the same investor instructed Ocwen to use a provider for default valuations and certain default title services other than Altisource on properties associated with such certain MSRs and commenced moving these referrals to other service providers in the fourth quarter of 2020. We anticipate that the transition of such default valuations and title services will continue during the course of 2021. We estimate that $18.2 million, $33.2 million and $40.1 million of service revenue from Ocwen for the years ended December 31, 2020, 2019 and 2018, respectively, was derived from default valuations and title services referrals from the NRZ portfolios. Altisource believes that any action taken by Ocwen to redirect these service referrals breaches Altisource's agreement with Ocwen. We are currently in discussions with Ocwen to address this matter, and have reserved all of our rights with respect to this matter.</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To address the reduction in revenue, Altisource is undertaking several measures to further reduce its cost structure and strengthen its operations.</w:t>
      </w:r>
    </w:p>
    <w:p>
      <w:pPr>
        <w:spacing w:after="0" w:line="1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2020, accounts receivable from Ocwen totaled $5.9 million, $5.1 million of which was billed and $0.8 million of which was unbilled. As of December 31, 2019, accounts receivable from Ocwen totaled $19.1 million, $15.7 million of which was billed and $3.4 million of which was unbilled.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NRZ</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NRZ is a real estate investment trust that invests in and manages investments primarily related to residential real estate, including MSRs and excess MSRs.</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Ocwen has disclosed that NRZ is its largest client. As of December 31, 2020, NRZ MSRs or rights to MSRs relating to approximately 36% of loans serviced and subserviced by Ocwen (measured in unpaid principal balance (“UPB”)). In July 2017 and January 2018, Ocwen and NRZ entered into a series of agreements pursuant to which the parties agreed, among other things, to undertake certain actions to facilitate the transfer from Ocwen to NRZ of Ocwen’s legal title to certain of its MSRs (the “Subject MSRs”) and under which Ocwen will subservice mortgage loans underlying the MSRs for an initial term of five years, subject to early termination rights.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28, 2017, Altisource, through its licensed subsidiaries, entered into a Cooperative Brokerage Agreement, as amended, and related letter agreement (collectively, the “Brokerage Agreement”) with NRZ which extends through August 2025. Under this agreement and related amendments, Altisource remains the exclusive provider of brokerage services for REO associated with the Subject MSRs, irrespective of the subservicer, subject to certain limitations. NRZ’s brokerage subsidiary receives a cooperative brokerage commission on the sale of REO properties from these portfolios subject to certain exceptions.</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Brokerage Agreement may be terminated by NRZ upon the occurrence of certain specified events. Termination events include, but are not limited to, a breach of the terms of the Brokerage Agreement (including, without limitation, the failure to meet performance standards and non-compliance with law in a material respect), the failure to maintain licenses which failure materially prevents performance of the contract, regulatory allegations of non-compliance resulting in an adversarial proceeding against NRZ, voluntary or involuntary bankruptcy, appointment of a receiver, disclosure in a Form 10-K or Form 10-Q that there is significant uncertainty about Altisource’s ability to continue as a going concern, failure to maintain a specified level of cash and an unapproved change of control.</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31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For the years ended December 31, 2020, 2019 and 2018, we recognized revenue from NRZ of $8.6 million, $12.5 million and $28.7 million, respectively, under the Brokerage Agreement. For the years ended December 31, 2020, 2019 and 2018, we recognized additional revenue of $35.1 million, $60.0 million and $83.6 million, respectively, relating to the Subject MSRs when a party other than NRZ selects Altisource as the service provider.</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SALE OF BUSINESSES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Services Business</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July 1, 2019, Altisource sold its Financial Services business, consisting of its post-charge-off consumer debt and mortgage charge-off collection services and customer relationship management services (the “Financial Services Business”) to Transworld Systems Inc. (“TSI”) for $44.0 million consisting of an up-front payment of $40.0 million, subject to a working capital adjustment (finalized during 2019) and transaction costs upon closing of the sale, and an additional $4.0 million payment on the one year anniversary of the sale closing. In connection with the sale, we recognized a $17.8 million pretax gain on sale for the year ended December 31, 2019. On July 1, 2020, the Company received net proceeds of $3.3 million representing TSI’s final installment payment less certain amounts owed to TSI. The parties also entered into a transition services agreement to provide for the management and orderly transition of certain services and technologies to TSI for periods ranging from 2 months to 13 months, subject to additional 3 month extensions. These services included support for information technology systems and infrastructure, facilities management, finance, compliance and human resources functions and were charged to TSI on a fixed fee or hourly basis. As of December 31, 2020, all of the transition services and technologies have been fully transitioned to TSI.</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Property Management Business</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August 2018, Altisource entered into an amendment to its agreements with Front Yard Residential Corporation (“RESI”) to sell Altisource’s rental property management business to RESI and permit RESI to internalize certain services that had been provided by Altisource. The proceeds from the transaction totaled $18.0 million, payable in two installments. The first installment of $15.0 million was received on the closing date of August 8, 2018. The second installment of $3.0 million is to be received on the earlier of a RESI change of control or on August 8, 2023. On October 19, 2020, RESI announced that it had entered into a definitive merger agreement to sell RESI. The merger closed on January 11, 2021 and the Company subsequently received the $3.0 million payment. The present value of the second installment is included in other assets in the accompanying consolidated balance sheets at a discounted value of $2.5 million and $2.4 million as of December 31, 2020 and 2019, respectively.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INVESTMENT IN EQUITY SECURITIES</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2016, we purchased 4.1 million shares of RESI common stock. This investment is reflected in the accompanying consolidated balance sheets at fair value and changes in fair value are included in other income (expense), net in the accompanying consolidated statements of operations and comprehensive loss. As of December 31, 2019, we held 3.5 million shares of RESI common stock (no comparative amount as of December 31, 2020). As of December 31, 2019 and 2018, the fair value of our investment was $42.6 million and $36.2 million, respectively (no comparative amount as of December 31, 2020). During the years ended December 31, 2020, 2019 and 2018, we recognized an unrealized gain (loss) from the change in fair value of $4.0 million, $14.4 million and $(13.0) million, respectively, in the consolidated statements of operations and comprehensive loss.</w:t>
      </w:r>
    </w:p>
    <w:p>
      <w:pPr>
        <w:spacing w:after="0" w:line="12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In January 2016, the FASB issued ASU No. 2016-01, </w:t>
      </w:r>
      <w:r>
        <w:rPr>
          <w:rFonts w:ascii="Arial" w:cs="Arial" w:eastAsia="Arial" w:hAnsi="Arial"/>
          <w:sz w:val="17"/>
          <w:szCs w:val="17"/>
          <w:i w:val="1"/>
          <w:iCs w:val="1"/>
          <w:color w:val="auto"/>
        </w:rPr>
        <w:t>Financial Instruments - Overall (Subtopic 825-10): Recognition and Measurement of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Assets and Financial Liabilities</w:t>
      </w:r>
      <w:r>
        <w:rPr>
          <w:rFonts w:ascii="Arial" w:cs="Arial" w:eastAsia="Arial" w:hAnsi="Arial"/>
          <w:sz w:val="17"/>
          <w:szCs w:val="17"/>
          <w:color w:val="auto"/>
        </w:rPr>
        <w:t>, that required equity investments (except those accounted for under the equity method of accounting or those that result in</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consolidation of the investee) to be measured at fair value with changes in fair value recognized in net income. This standard was effective for the Company on January 1, 2018. The adoption of this standard resulted in a cumulative effect adjustment to increase retained earnings and decrease accumulated other comprehensive income by $0.7 million, net of income tax provision, on January 1, 2018.</w:t>
      </w:r>
    </w:p>
    <w:p>
      <w:pPr>
        <w:spacing w:after="0" w:line="12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unrealized gain for years ended December 31, 2020 and 2019 included $4.1 million and $2.0 million of net gains recognized on RESI shares sold during the period, respectively (no comparative amount for the year ended December 31, 2018). During the years ended December 31, 2020, 2019 and 2018, we earned dividends of $0.5 million, $1.7 million and $2.5 million, respectively, related to this investment.</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 ended December 31, 2020, the Company sold all of its remaining 3.5 million shares for net proceeds of $46.6 million. During the year ended December 31, 2019, the Company sold 0.7 million shares for net proceeds of $8.0 million. As required by our senior secured term loan agreement, the Company used the net proceeds to repay a portion of its senior secured term loan.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ACCOUNTS RECEIVABLE, NET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consists of the following as of December 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ind w:left="240"/>
              <w:spacing w:after="0"/>
              <w:rPr>
                <w:sz w:val="20"/>
                <w:szCs w:val="20"/>
                <w:color w:val="auto"/>
              </w:rPr>
            </w:pPr>
            <w:r>
              <w:rPr>
                <w:rFonts w:ascii="Arial" w:cs="Arial" w:eastAsia="Arial" w:hAnsi="Arial"/>
                <w:sz w:val="14"/>
                <w:szCs w:val="14"/>
                <w:b w:val="1"/>
                <w:bCs w:val="1"/>
                <w:color w:val="auto"/>
              </w:rPr>
              <w:t>2019</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Billed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8"/>
              </w:rPr>
              <w:t>35,921</w:t>
            </w:r>
          </w:p>
        </w:tc>
      </w:tr>
      <w:tr>
        <w:trPr>
          <w:trHeight w:val="229"/>
        </w:trPr>
        <w:tc>
          <w:tcPr>
            <w:tcW w:w="8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Unbilled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98"/>
              </w:rPr>
              <w:t>12,166</w:t>
            </w:r>
          </w:p>
        </w:tc>
      </w:tr>
      <w:tr>
        <w:trPr>
          <w:trHeight w:val="223"/>
        </w:trPr>
        <w:tc>
          <w:tcPr>
            <w:tcW w:w="8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8"/>
              </w:rPr>
              <w:t>48,087</w:t>
            </w:r>
          </w:p>
        </w:tc>
      </w:tr>
      <w:tr>
        <w:trPr>
          <w:trHeight w:val="229"/>
        </w:trPr>
        <w:tc>
          <w:tcPr>
            <w:tcW w:w="8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Allowance for credit losses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94"/>
              </w:rPr>
              <w:t>(4,472)</w:t>
            </w:r>
          </w:p>
        </w:tc>
      </w:tr>
      <w:tr>
        <w:trPr>
          <w:trHeight w:val="196"/>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22,413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98"/>
              </w:rPr>
              <w:t>43,615</w:t>
            </w:r>
          </w:p>
        </w:tc>
      </w:tr>
      <w:tr>
        <w:trPr>
          <w:trHeight w:val="20"/>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Unbilled accounts receivable consist primarily of certain real estate asset management, REO sales, title and closing services for which we generally recognize revenue when the service is provided but collect upon closing of the sale, and foreclosure trustee services, for which we generally recognize revenues over the service delivery period but bill following completion of the service. We also include amounts in unbilled accounts receivable that are earned during a month and billed in the following month.</w:t>
      </w:r>
    </w:p>
    <w:p>
      <w:pPr>
        <w:spacing w:after="0" w:line="13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 - 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 This ASU and its related amendments (collectively, the "Credit Loss Standard") introduced the current expected credit losses (“CECL”)</w:t>
      </w:r>
      <w:r>
        <w:rPr>
          <w:rFonts w:ascii="Arial" w:cs="Arial" w:eastAsia="Arial" w:hAnsi="Arial"/>
          <w:sz w:val="16"/>
          <w:szCs w:val="16"/>
          <w:i w:val="1"/>
          <w:iCs w:val="1"/>
          <w:color w:val="auto"/>
        </w:rPr>
        <w:t xml:space="preserve"> </w:t>
      </w:r>
      <w:r>
        <w:rPr>
          <w:rFonts w:ascii="Arial" w:cs="Arial" w:eastAsia="Arial" w:hAnsi="Arial"/>
          <w:sz w:val="16"/>
          <w:szCs w:val="16"/>
          <w:color w:val="auto"/>
        </w:rPr>
        <w:t>methodology for the measurement of credit losses on financial assets measured at amortized cost basis, replacing the previous incurred loss methodology. The CECL model applies to financial assets measured at amortized cost, including trade and other receivables, net, investments in leases, loans receivable held-to-maturity securities and off-balance sheet exposures. The Credit Loss Standard requires consideration of a broader range of information to estimate expected credit losses, including historical information and current conditions through a reasonable forecast period. The Credit Loss Standard requires that the income statement reflect the measurement of credit losses for newly recognized financial assets as well as the expected increase or decrease of expected credit losses that have taken place during the period, which may result in earlier recognition of certain losses. The Company adopted this standard effective January 1, 2020 utilizing a modified retrospective approach, which did not have any impact on the Company’s consolidated financial statements.</w:t>
      </w:r>
    </w:p>
    <w:p>
      <w:pPr>
        <w:spacing w:after="0" w:line="1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exposed to credit losses through our sales of products and services to our customers which are recorded as Accounts Receivable, net on the Company’s consolidated financial statements. We monitor and estimate the allowance for credit losses based on our historical write-offs, historical collections, our analysis of past due accounts based on the contractual terms of the receivables, relevant market and industry reports and our assessment of the economic status of our customers, if known. Estimated credit losses are written off in the period in which the financial asset is no longer collectible. There can be no assurance that actual results will not differ from estimates or that consideration of these factors in the future will not result in an increase or decrease to our allowance for credit losses.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Prior to January 1, 2020, our allowance for credit losses represents an amount that we estimate to be uncollectible.</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Bad debt expense amounted to $2.2 million, $0.7 million and $2.8 million for the years ended December 31, 2020, 2019 and 2018, respectively, and is included in selling, general and administrative expenses in the consolidated statements of operations and comprehensive loss.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PREPAID EXPENSES AND OTHER CURRENT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 as of December 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9"/>
        </w:trPr>
        <w:tc>
          <w:tcPr>
            <w:tcW w:w="426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Maintenance agreements, current portion</w:t>
            </w:r>
          </w:p>
        </w:tc>
        <w:tc>
          <w:tcPr>
            <w:tcW w:w="4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Income taxes receivable</w:t>
            </w:r>
          </w:p>
        </w:tc>
        <w:tc>
          <w:tcPr>
            <w:tcW w:w="3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5,098</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3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3,924</w:t>
            </w:r>
          </w:p>
        </w:tc>
        <w:tc>
          <w:tcPr>
            <w:tcW w:w="0" w:type="dxa"/>
            <w:vAlign w:val="bottom"/>
          </w:tcPr>
          <w:p>
            <w:pPr>
              <w:spacing w:after="0"/>
              <w:rPr>
                <w:sz w:val="1"/>
                <w:szCs w:val="1"/>
                <w:color w:val="auto"/>
              </w:rPr>
            </w:pPr>
          </w:p>
        </w:tc>
      </w:tr>
      <w:tr>
        <w:trPr>
          <w:trHeight w:val="229"/>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current assets</w:t>
            </w:r>
          </w:p>
        </w:tc>
        <w:tc>
          <w:tcPr>
            <w:tcW w:w="3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4,269</w:t>
            </w:r>
          </w:p>
        </w:tc>
        <w:tc>
          <w:tcPr>
            <w:tcW w:w="0" w:type="dxa"/>
            <w:vAlign w:val="bottom"/>
          </w:tcPr>
          <w:p>
            <w:pPr>
              <w:spacing w:after="0"/>
              <w:rPr>
                <w:sz w:val="1"/>
                <w:szCs w:val="1"/>
                <w:color w:val="auto"/>
              </w:rPr>
            </w:pPr>
          </w:p>
        </w:tc>
      </w:tr>
      <w:tr>
        <w:trPr>
          <w:trHeight w:val="196"/>
        </w:trPr>
        <w:tc>
          <w:tcPr>
            <w:tcW w:w="4260" w:type="dxa"/>
            <w:vAlign w:val="bottom"/>
            <w:shd w:val="clear" w:color="auto" w:fill="CCEEFF"/>
          </w:tcPr>
          <w:p>
            <w:pPr>
              <w:spacing w:after="0"/>
              <w:rPr>
                <w:sz w:val="17"/>
                <w:szCs w:val="17"/>
                <w:color w:val="auto"/>
              </w:rPr>
            </w:pPr>
          </w:p>
        </w:tc>
        <w:tc>
          <w:tcPr>
            <w:tcW w:w="3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Total</w:t>
            </w:r>
          </w:p>
        </w:tc>
        <w:tc>
          <w:tcPr>
            <w:tcW w:w="43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19,479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15,214</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3900" w:type="dxa"/>
            <w:vAlign w:val="bottom"/>
            <w:vMerge w:val="restart"/>
          </w:tcPr>
          <w:p>
            <w:pPr>
              <w:jc w:val="right"/>
              <w:ind w:right="235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26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60" w:type="dxa"/>
            <w:vAlign w:val="bottom"/>
            <w:tcBorders>
              <w:bottom w:val="single" w:sz="8" w:color="9A9A9A"/>
            </w:tcBorders>
          </w:tcPr>
          <w:p>
            <w:pPr>
              <w:spacing w:after="0"/>
              <w:rPr>
                <w:sz w:val="10"/>
                <w:szCs w:val="10"/>
                <w:color w:val="auto"/>
              </w:rPr>
            </w:pPr>
          </w:p>
        </w:tc>
        <w:tc>
          <w:tcPr>
            <w:tcW w:w="3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DISCONTINUATION OF LINES OF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Owners.com</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October 2019, the Company announced its plans to wind down and close the Owners.com business, which was completed by December 31, 2019. Owners.com was a technology-enabled real estate brokerage and provider of related mortgage brokerage and title services. Owners.com was not material in relation to the Company’s results of operations or financial position. In connection with the wind down of Owners.com, the Company wrote off $5.2 million of goodwill and $0.7 million of intangible assets (see Note 11). In addition, wind down expenses were included in the Project Catalyst restructuring charges (see Note 24).</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Buy-Renovate-Lease-Sell</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26, 2018, the Company announced its plans to sell its short-term investments in real estate (“BRS Inventory”) and discontinue the Company’s Buy-Renovate-Lease-Sell (“BRS”) business. Altisource’s BRS business focused on buying, renovating, leasing and selling single-family homes to real estate investors. The BRS business was not material in relation to the Company’s results of operations or financial position. The Company completed the sale of the BRS Inventory during the year ended December 31, 2019.</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PREMISES AND EQUIPMENT, NET</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Premises and equipment, net consists of the following as of December 31:</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92"/>
              <w:spacing w:after="0"/>
              <w:rPr>
                <w:sz w:val="20"/>
                <w:szCs w:val="20"/>
                <w:color w:val="auto"/>
              </w:rPr>
            </w:pPr>
            <w:r>
              <w:rPr>
                <w:rFonts w:ascii="Arial" w:cs="Arial" w:eastAsia="Arial" w:hAnsi="Arial"/>
                <w:sz w:val="14"/>
                <w:szCs w:val="14"/>
                <w:b w:val="1"/>
                <w:bCs w:val="1"/>
                <w:color w:val="auto"/>
              </w:rPr>
              <w:t>2019</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Computer hardware and software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144,608</w:t>
            </w: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Leasehold improvements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14,792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23,800</w:t>
            </w: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8,775</w:t>
            </w:r>
          </w:p>
        </w:tc>
      </w:tr>
      <w:tr>
        <w:trPr>
          <w:trHeight w:val="230"/>
        </w:trPr>
        <w:tc>
          <w:tcPr>
            <w:tcW w:w="8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Office equipment and 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4,004</w:t>
            </w:r>
          </w:p>
        </w:tc>
      </w:tr>
      <w:tr>
        <w:trPr>
          <w:trHeight w:val="223"/>
        </w:trPr>
        <w:tc>
          <w:tcPr>
            <w:tcW w:w="8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181,187</w:t>
            </w:r>
          </w:p>
        </w:tc>
      </w:tr>
      <w:tr>
        <w:trPr>
          <w:trHeight w:val="230"/>
        </w:trPr>
        <w:tc>
          <w:tcPr>
            <w:tcW w:w="8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(63,434)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(156,661)</w:t>
            </w:r>
          </w:p>
        </w:tc>
      </w:tr>
      <w:tr>
        <w:trPr>
          <w:trHeight w:val="196"/>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24,526</w:t>
            </w:r>
          </w:p>
        </w:tc>
      </w:tr>
      <w:tr>
        <w:trPr>
          <w:trHeight w:val="20"/>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Depreciation and amortization expense amounted to $14.9 million, $18.5 million and $30.8 million for the years ended December 31, 2020, 2019 and 2018, respectively, and is included in cost of revenue for operating assets and in selling, general and administrative expenses for non-operating assets in the consolidated statements of operations and comprehensive loss.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Premises and equipment, net consist of the following, by country, as of December 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0" w:type="dxa"/>
            <w:vAlign w:val="bottom"/>
          </w:tcPr>
          <w:p>
            <w:pPr>
              <w:spacing w:after="0"/>
              <w:rPr>
                <w:sz w:val="18"/>
                <w:szCs w:val="18"/>
                <w:color w:val="auto"/>
              </w:rPr>
            </w:pPr>
          </w:p>
        </w:tc>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4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5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240" w:type="dxa"/>
            <w:vAlign w:val="bottom"/>
          </w:tcPr>
          <w:p>
            <w:pPr>
              <w:ind w:left="20"/>
              <w:spacing w:after="0"/>
              <w:rPr>
                <w:sz w:val="20"/>
                <w:szCs w:val="20"/>
                <w:color w:val="auto"/>
              </w:rPr>
            </w:pPr>
            <w:r>
              <w:rPr>
                <w:rFonts w:ascii="Arial" w:cs="Arial" w:eastAsia="Arial" w:hAnsi="Arial"/>
                <w:sz w:val="18"/>
                <w:szCs w:val="18"/>
                <w:color w:val="auto"/>
              </w:rPr>
              <w:t>Luxembourg</w:t>
            </w:r>
          </w:p>
        </w:tc>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India</w:t>
            </w:r>
          </w:p>
        </w:tc>
        <w:tc>
          <w:tcPr>
            <w:tcW w:w="4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240" w:type="dxa"/>
            <w:vAlign w:val="bottom"/>
          </w:tcPr>
          <w:p>
            <w:pPr>
              <w:ind w:left="20"/>
              <w:spacing w:after="0"/>
              <w:rPr>
                <w:sz w:val="20"/>
                <w:szCs w:val="20"/>
                <w:color w:val="auto"/>
              </w:rPr>
            </w:pPr>
            <w:r>
              <w:rPr>
                <w:rFonts w:ascii="Arial" w:cs="Arial" w:eastAsia="Arial" w:hAnsi="Arial"/>
                <w:sz w:val="18"/>
                <w:szCs w:val="18"/>
                <w:color w:val="auto"/>
              </w:rPr>
              <w:t>Uruguay</w:t>
            </w:r>
          </w:p>
        </w:tc>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Philippines</w:t>
            </w:r>
          </w:p>
        </w:tc>
        <w:tc>
          <w:tcPr>
            <w:tcW w:w="4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4860" w:type="dxa"/>
            <w:vAlign w:val="bottom"/>
            <w:tcBorders>
              <w:top w:val="single" w:sz="8" w:color="CCEEFF"/>
              <w:bottom w:val="single" w:sz="8" w:color="CCEEFF"/>
            </w:tcBorders>
            <w:vMerge w:val="restart"/>
          </w:tcPr>
          <w:p>
            <w:pPr>
              <w:jc w:val="right"/>
              <w:ind w:right="2330"/>
              <w:spacing w:after="0"/>
              <w:rPr>
                <w:sz w:val="20"/>
                <w:szCs w:val="20"/>
                <w:color w:val="auto"/>
              </w:rPr>
            </w:pPr>
            <w:r>
              <w:rPr>
                <w:rFonts w:ascii="Arial" w:cs="Arial" w:eastAsia="Arial" w:hAnsi="Arial"/>
                <w:sz w:val="18"/>
                <w:szCs w:val="18"/>
                <w:color w:val="auto"/>
              </w:rPr>
              <w:t>72</w:t>
            </w: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3240" w:type="dxa"/>
            <w:vAlign w:val="bottom"/>
            <w:tcBorders>
              <w:bottom w:val="single" w:sz="8" w:color="9A9A9A"/>
            </w:tcBorders>
          </w:tcPr>
          <w:p>
            <w:pPr>
              <w:spacing w:after="0"/>
              <w:rPr>
                <w:sz w:val="10"/>
                <w:szCs w:val="10"/>
                <w:color w:val="auto"/>
              </w:rPr>
            </w:pPr>
          </w:p>
        </w:tc>
        <w:tc>
          <w:tcPr>
            <w:tcW w:w="4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315" w:lineRule="exact"/>
        <w:rPr>
          <w:sz w:val="20"/>
          <w:szCs w:val="20"/>
          <w:color w:val="auto"/>
        </w:rPr>
      </w:pPr>
    </w:p>
    <w:p>
      <w:pPr>
        <w:ind w:right="4620"/>
        <w:spacing w:after="0" w:line="394" w:lineRule="auto"/>
        <w:rPr>
          <w:sz w:val="20"/>
          <w:szCs w:val="20"/>
          <w:color w:val="auto"/>
        </w:rPr>
      </w:pPr>
      <w:r>
        <w:rPr>
          <w:rFonts w:ascii="Arial" w:cs="Arial" w:eastAsia="Arial" w:hAnsi="Arial"/>
          <w:sz w:val="17"/>
          <w:szCs w:val="17"/>
          <w:b w:val="1"/>
          <w:bCs w:val="1"/>
          <w:color w:val="auto"/>
        </w:rPr>
        <w:t xml:space="preserve">NOTE 10 — RIGHT-OF-USE ASSETS UNDER OPERATING LEASES, NET </w:t>
      </w:r>
      <w:r>
        <w:rPr>
          <w:rFonts w:ascii="Arial" w:cs="Arial" w:eastAsia="Arial" w:hAnsi="Arial"/>
          <w:sz w:val="17"/>
          <w:szCs w:val="17"/>
          <w:color w:val="auto"/>
        </w:rPr>
        <w:t>Right-of-use assets under operating leases, net consists of the following as of 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Right-of-use assets under operating leases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center"/>
              <w:ind w:left="375"/>
              <w:spacing w:after="0"/>
              <w:rPr>
                <w:sz w:val="20"/>
                <w:szCs w:val="20"/>
                <w:color w:val="auto"/>
              </w:rPr>
            </w:pPr>
            <w:r>
              <w:rPr>
                <w:rFonts w:ascii="Arial" w:cs="Arial" w:eastAsia="Arial" w:hAnsi="Arial"/>
                <w:sz w:val="18"/>
                <w:szCs w:val="18"/>
                <w:color w:val="auto"/>
                <w:w w:val="87"/>
              </w:rPr>
              <w:t>31,932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center"/>
              <w:ind w:left="375"/>
              <w:spacing w:after="0"/>
              <w:rPr>
                <w:sz w:val="20"/>
                <w:szCs w:val="20"/>
                <w:color w:val="auto"/>
              </w:rPr>
            </w:pPr>
            <w:r>
              <w:rPr>
                <w:rFonts w:ascii="Arial" w:cs="Arial" w:eastAsia="Arial" w:hAnsi="Arial"/>
                <w:sz w:val="18"/>
                <w:szCs w:val="18"/>
                <w:color w:val="auto"/>
                <w:w w:val="87"/>
              </w:rPr>
              <w:t>39,729</w:t>
            </w:r>
          </w:p>
        </w:tc>
      </w:tr>
      <w:tr>
        <w:trPr>
          <w:trHeight w:val="230"/>
        </w:trPr>
        <w:tc>
          <w:tcPr>
            <w:tcW w:w="82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Less: Accumulated amortization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355"/>
              <w:spacing w:after="0"/>
              <w:rPr>
                <w:sz w:val="20"/>
                <w:szCs w:val="20"/>
                <w:color w:val="auto"/>
              </w:rPr>
            </w:pPr>
            <w:r>
              <w:rPr>
                <w:rFonts w:ascii="Arial" w:cs="Arial" w:eastAsia="Arial" w:hAnsi="Arial"/>
                <w:sz w:val="18"/>
                <w:szCs w:val="18"/>
                <w:color w:val="auto"/>
                <w:w w:val="92"/>
              </w:rPr>
              <w:t>(13,719)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355"/>
              <w:spacing w:after="0"/>
              <w:rPr>
                <w:sz w:val="20"/>
                <w:szCs w:val="20"/>
                <w:color w:val="auto"/>
              </w:rPr>
            </w:pPr>
            <w:r>
              <w:rPr>
                <w:rFonts w:ascii="Arial" w:cs="Arial" w:eastAsia="Arial" w:hAnsi="Arial"/>
                <w:sz w:val="18"/>
                <w:szCs w:val="18"/>
                <w:color w:val="auto"/>
                <w:w w:val="92"/>
              </w:rPr>
              <w:t>(10,655)</w:t>
            </w:r>
          </w:p>
        </w:tc>
      </w:tr>
      <w:tr>
        <w:trPr>
          <w:trHeight w:val="237"/>
        </w:trPr>
        <w:tc>
          <w:tcPr>
            <w:tcW w:w="8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center"/>
              <w:ind w:left="375"/>
              <w:spacing w:after="0"/>
              <w:rPr>
                <w:sz w:val="20"/>
                <w:szCs w:val="20"/>
                <w:color w:val="auto"/>
              </w:rPr>
            </w:pPr>
            <w:r>
              <w:rPr>
                <w:rFonts w:ascii="Arial" w:cs="Arial" w:eastAsia="Arial" w:hAnsi="Arial"/>
                <w:sz w:val="18"/>
                <w:szCs w:val="18"/>
                <w:color w:val="auto"/>
                <w:w w:val="87"/>
              </w:rPr>
              <w:t>18,213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center"/>
              <w:ind w:left="375"/>
              <w:spacing w:after="0"/>
              <w:rPr>
                <w:sz w:val="20"/>
                <w:szCs w:val="20"/>
                <w:color w:val="auto"/>
              </w:rPr>
            </w:pPr>
            <w:r>
              <w:rPr>
                <w:rFonts w:ascii="Arial" w:cs="Arial" w:eastAsia="Arial" w:hAnsi="Arial"/>
                <w:sz w:val="18"/>
                <w:szCs w:val="18"/>
                <w:color w:val="auto"/>
                <w:w w:val="87"/>
              </w:rPr>
              <w:t>29,074</w:t>
            </w:r>
          </w:p>
        </w:tc>
      </w:tr>
      <w:tr>
        <w:trPr>
          <w:trHeight w:val="21"/>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Amortization of operating leases was $10.2 million and $11.8 million for the years ended December 31, 2020 and 2019, respectively (no comparative amount for the year ended December 31, 2018), and is included in cost of revenue for operating assets and in selling, general and administrative expenses for non-operating assets in the consolidated statements of operations and comprehensive loss.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GOODWILL AND INTANGIBLE ASSETS, NET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Changes in goodwill during the years ended December 31, 2020 and 2019 are summarized below:</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8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9"/>
        </w:trPr>
        <w:tc>
          <w:tcPr>
            <w:tcW w:w="9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 2019</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8"/>
              </w:rPr>
              <w:t>81,387</w:t>
            </w:r>
          </w:p>
        </w:tc>
        <w:tc>
          <w:tcPr>
            <w:tcW w:w="0" w:type="dxa"/>
            <w:vAlign w:val="bottom"/>
          </w:tcPr>
          <w:p>
            <w:pPr>
              <w:spacing w:after="0"/>
              <w:rPr>
                <w:sz w:val="1"/>
                <w:szCs w:val="1"/>
                <w:color w:val="auto"/>
              </w:rPr>
            </w:pPr>
          </w:p>
        </w:tc>
      </w:tr>
      <w:tr>
        <w:trPr>
          <w:trHeight w:val="229"/>
        </w:trPr>
        <w:tc>
          <w:tcPr>
            <w:tcW w:w="98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Disposition </w:t>
            </w:r>
            <w:r>
              <w:rPr>
                <w:rFonts w:ascii="Arial" w:cs="Arial" w:eastAsia="Arial" w:hAnsi="Arial"/>
                <w:sz w:val="23"/>
                <w:szCs w:val="23"/>
                <w:color w:val="auto"/>
                <w:vertAlign w:val="superscript"/>
              </w:rPr>
              <w:t>(1)</w:t>
            </w:r>
          </w:p>
        </w:tc>
        <w:tc>
          <w:tcPr>
            <w:tcW w:w="340" w:type="dxa"/>
            <w:vAlign w:val="bottom"/>
          </w:tcPr>
          <w:p>
            <w:pPr>
              <w:spacing w:after="0"/>
              <w:rPr>
                <w:sz w:val="19"/>
                <w:szCs w:val="19"/>
                <w:color w:val="auto"/>
              </w:rPr>
            </w:pPr>
          </w:p>
        </w:tc>
        <w:tc>
          <w:tcPr>
            <w:tcW w:w="1100" w:type="dxa"/>
            <w:vAlign w:val="bottom"/>
          </w:tcPr>
          <w:p>
            <w:pPr>
              <w:ind w:left="540"/>
              <w:spacing w:after="0"/>
              <w:rPr>
                <w:sz w:val="20"/>
                <w:szCs w:val="20"/>
                <w:color w:val="auto"/>
              </w:rPr>
            </w:pPr>
            <w:r>
              <w:rPr>
                <w:rFonts w:ascii="Arial" w:cs="Arial" w:eastAsia="Arial" w:hAnsi="Arial"/>
                <w:sz w:val="18"/>
                <w:szCs w:val="18"/>
                <w:color w:val="auto"/>
                <w:w w:val="94"/>
              </w:rPr>
              <w:t>(2,378)</w:t>
            </w:r>
          </w:p>
        </w:tc>
        <w:tc>
          <w:tcPr>
            <w:tcW w:w="0" w:type="dxa"/>
            <w:vAlign w:val="bottom"/>
          </w:tcPr>
          <w:p>
            <w:pPr>
              <w:spacing w:after="0"/>
              <w:rPr>
                <w:sz w:val="1"/>
                <w:szCs w:val="1"/>
                <w:color w:val="auto"/>
              </w:rPr>
            </w:pPr>
          </w:p>
        </w:tc>
      </w:tr>
      <w:tr>
        <w:trPr>
          <w:trHeight w:val="230"/>
        </w:trPr>
        <w:tc>
          <w:tcPr>
            <w:tcW w:w="98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Write-off </w:t>
            </w:r>
            <w:r>
              <w:rPr>
                <w:rFonts w:ascii="Arial" w:cs="Arial" w:eastAsia="Arial" w:hAnsi="Arial"/>
                <w:sz w:val="23"/>
                <w:szCs w:val="23"/>
                <w:color w:val="auto"/>
                <w:vertAlign w:val="superscript"/>
              </w:rPr>
              <w:t>(2)</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94"/>
              </w:rPr>
              <w:t>(5,160)</w:t>
            </w:r>
          </w:p>
        </w:tc>
        <w:tc>
          <w:tcPr>
            <w:tcW w:w="0" w:type="dxa"/>
            <w:vAlign w:val="bottom"/>
          </w:tcPr>
          <w:p>
            <w:pPr>
              <w:spacing w:after="0"/>
              <w:rPr>
                <w:sz w:val="1"/>
                <w:szCs w:val="1"/>
                <w:color w:val="auto"/>
              </w:rPr>
            </w:pPr>
          </w:p>
        </w:tc>
      </w:tr>
      <w:tr>
        <w:trPr>
          <w:trHeight w:val="250"/>
        </w:trPr>
        <w:tc>
          <w:tcPr>
            <w:tcW w:w="9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2020 and 2019</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98"/>
              </w:rPr>
              <w:t>73,849</w:t>
            </w:r>
          </w:p>
        </w:tc>
        <w:tc>
          <w:tcPr>
            <w:tcW w:w="0" w:type="dxa"/>
            <w:vAlign w:val="bottom"/>
          </w:tcPr>
          <w:p>
            <w:pPr>
              <w:spacing w:after="0"/>
              <w:rPr>
                <w:sz w:val="1"/>
                <w:szCs w:val="1"/>
                <w:color w:val="auto"/>
              </w:rPr>
            </w:pPr>
          </w:p>
        </w:tc>
      </w:tr>
      <w:tr>
        <w:trPr>
          <w:trHeight w:val="20"/>
        </w:trPr>
        <w:tc>
          <w:tcPr>
            <w:tcW w:w="98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______________________________________</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9800" w:type="dxa"/>
            <w:vAlign w:val="bottom"/>
            <w:vMerge w:val="continue"/>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260" w:hanging="252"/>
        <w:spacing w:after="0"/>
        <w:tabs>
          <w:tab w:leader="none" w:pos="260" w:val="left"/>
        </w:tabs>
        <w:numPr>
          <w:ilvl w:val="0"/>
          <w:numId w:val="41"/>
        </w:numPr>
        <w:rPr>
          <w:rFonts w:ascii="Arial" w:cs="Arial" w:eastAsia="Arial" w:hAnsi="Arial"/>
          <w:sz w:val="23"/>
          <w:szCs w:val="23"/>
          <w:color w:val="auto"/>
          <w:vertAlign w:val="superscript"/>
        </w:rPr>
      </w:pPr>
      <w:r>
        <w:rPr>
          <w:rFonts w:ascii="Arial" w:cs="Arial" w:eastAsia="Arial" w:hAnsi="Arial"/>
          <w:sz w:val="18"/>
          <w:szCs w:val="18"/>
          <w:color w:val="auto"/>
        </w:rPr>
        <w:t>During 2019, the Company sold the Financial Services Business (see Note 4) which had $2.4 million of goodwill attributed to it.</w:t>
      </w:r>
    </w:p>
    <w:p>
      <w:pPr>
        <w:spacing w:after="0" w:line="1" w:lineRule="exact"/>
        <w:rPr>
          <w:rFonts w:ascii="Arial" w:cs="Arial" w:eastAsia="Arial" w:hAnsi="Arial"/>
          <w:sz w:val="23"/>
          <w:szCs w:val="23"/>
          <w:color w:val="auto"/>
          <w:vertAlign w:val="superscript"/>
        </w:rPr>
      </w:pPr>
    </w:p>
    <w:p>
      <w:pPr>
        <w:ind w:left="260" w:hanging="252"/>
        <w:spacing w:after="0" w:line="219" w:lineRule="auto"/>
        <w:tabs>
          <w:tab w:leader="none" w:pos="297" w:val="left"/>
        </w:tabs>
        <w:numPr>
          <w:ilvl w:val="0"/>
          <w:numId w:val="41"/>
        </w:numPr>
        <w:rPr>
          <w:rFonts w:ascii="Arial" w:cs="Arial" w:eastAsia="Arial" w:hAnsi="Arial"/>
          <w:sz w:val="23"/>
          <w:szCs w:val="23"/>
          <w:color w:val="auto"/>
          <w:vertAlign w:val="superscript"/>
        </w:rPr>
      </w:pPr>
      <w:r>
        <w:rPr>
          <w:rFonts w:ascii="Arial" w:cs="Arial" w:eastAsia="Arial" w:hAnsi="Arial"/>
          <w:sz w:val="18"/>
          <w:szCs w:val="18"/>
          <w:color w:val="auto"/>
        </w:rPr>
        <w:t>During 2019, we recorded a $5.2 million write-off of goodwill attributable to the Owners.com business, as a result of our decision to wind down and close the business (see Note 8).</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consist of the following as of December 31: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8"/>
              </w:rPr>
              <w:t>estimated</w:t>
            </w:r>
          </w:p>
        </w:tc>
        <w:tc>
          <w:tcPr>
            <w:tcW w:w="280" w:type="dxa"/>
            <w:vAlign w:val="bottom"/>
          </w:tcPr>
          <w:p>
            <w:pPr>
              <w:spacing w:after="0"/>
              <w:rPr>
                <w:sz w:val="11"/>
                <w:szCs w:val="11"/>
                <w:color w:val="auto"/>
              </w:rPr>
            </w:pPr>
          </w:p>
        </w:tc>
        <w:tc>
          <w:tcPr>
            <w:tcW w:w="226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Gross carrying amount</w:t>
            </w:r>
          </w:p>
        </w:tc>
        <w:tc>
          <w:tcPr>
            <w:tcW w:w="240" w:type="dxa"/>
            <w:vAlign w:val="bottom"/>
          </w:tcPr>
          <w:p>
            <w:pPr>
              <w:spacing w:after="0"/>
              <w:rPr>
                <w:sz w:val="11"/>
                <w:szCs w:val="11"/>
                <w:color w:val="auto"/>
              </w:rPr>
            </w:pPr>
          </w:p>
        </w:tc>
        <w:tc>
          <w:tcPr>
            <w:tcW w:w="2280" w:type="dxa"/>
            <w:vAlign w:val="bottom"/>
            <w:gridSpan w:val="5"/>
            <w:vMerge w:val="restart"/>
          </w:tcPr>
          <w:p>
            <w:pPr>
              <w:ind w:left="140"/>
              <w:spacing w:after="0"/>
              <w:rPr>
                <w:sz w:val="20"/>
                <w:szCs w:val="20"/>
                <w:color w:val="auto"/>
              </w:rPr>
            </w:pPr>
            <w:r>
              <w:rPr>
                <w:rFonts w:ascii="Arial" w:cs="Arial" w:eastAsia="Arial" w:hAnsi="Arial"/>
                <w:sz w:val="14"/>
                <w:szCs w:val="14"/>
                <w:b w:val="1"/>
                <w:bCs w:val="1"/>
                <w:color w:val="auto"/>
              </w:rPr>
              <w:t>Accumulated amortization</w:t>
            </w:r>
          </w:p>
        </w:tc>
        <w:tc>
          <w:tcPr>
            <w:tcW w:w="280" w:type="dxa"/>
            <w:vAlign w:val="bottom"/>
          </w:tcPr>
          <w:p>
            <w:pPr>
              <w:spacing w:after="0"/>
              <w:rPr>
                <w:sz w:val="11"/>
                <w:szCs w:val="11"/>
                <w:color w:val="auto"/>
              </w:rPr>
            </w:pPr>
          </w:p>
        </w:tc>
        <w:tc>
          <w:tcPr>
            <w:tcW w:w="14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Net book value</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gridSpan w:val="2"/>
          </w:tcPr>
          <w:p>
            <w:pPr>
              <w:jc w:val="center"/>
              <w:ind w:right="120"/>
              <w:spacing w:after="0" w:line="102" w:lineRule="exact"/>
              <w:rPr>
                <w:sz w:val="20"/>
                <w:szCs w:val="20"/>
                <w:color w:val="auto"/>
              </w:rPr>
            </w:pPr>
            <w:r>
              <w:rPr>
                <w:rFonts w:ascii="Arial" w:cs="Arial" w:eastAsia="Arial" w:hAnsi="Arial"/>
                <w:sz w:val="11"/>
                <w:szCs w:val="11"/>
                <w:b w:val="1"/>
                <w:bCs w:val="1"/>
                <w:color w:val="auto"/>
              </w:rPr>
              <w:t xml:space="preserve">useful life </w:t>
            </w:r>
            <w:r>
              <w:rPr>
                <w:rFonts w:ascii="Arial" w:cs="Arial" w:eastAsia="Arial" w:hAnsi="Arial"/>
                <w:sz w:val="11"/>
                <w:szCs w:val="11"/>
                <w:b w:val="1"/>
                <w:bCs w:val="1"/>
                <w:i w:val="1"/>
                <w:iCs w:val="1"/>
                <w:color w:val="auto"/>
              </w:rPr>
              <w:t>(in</w:t>
            </w:r>
          </w:p>
        </w:tc>
        <w:tc>
          <w:tcPr>
            <w:tcW w:w="280" w:type="dxa"/>
            <w:vAlign w:val="bottom"/>
          </w:tcPr>
          <w:p>
            <w:pPr>
              <w:spacing w:after="0"/>
              <w:rPr>
                <w:sz w:val="8"/>
                <w:szCs w:val="8"/>
                <w:color w:val="auto"/>
              </w:rPr>
            </w:pPr>
          </w:p>
        </w:tc>
        <w:tc>
          <w:tcPr>
            <w:tcW w:w="2260" w:type="dxa"/>
            <w:vAlign w:val="bottom"/>
            <w:gridSpan w:val="5"/>
            <w:vMerge w:val="continue"/>
          </w:tcPr>
          <w:p>
            <w:pPr>
              <w:spacing w:after="0"/>
              <w:rPr>
                <w:sz w:val="8"/>
                <w:szCs w:val="8"/>
                <w:color w:val="auto"/>
              </w:rPr>
            </w:pPr>
          </w:p>
        </w:tc>
        <w:tc>
          <w:tcPr>
            <w:tcW w:w="240" w:type="dxa"/>
            <w:vAlign w:val="bottom"/>
          </w:tcPr>
          <w:p>
            <w:pPr>
              <w:spacing w:after="0"/>
              <w:rPr>
                <w:sz w:val="8"/>
                <w:szCs w:val="8"/>
                <w:color w:val="auto"/>
              </w:rPr>
            </w:pPr>
          </w:p>
        </w:tc>
        <w:tc>
          <w:tcPr>
            <w:tcW w:w="2280" w:type="dxa"/>
            <w:vAlign w:val="bottom"/>
            <w:gridSpan w:val="5"/>
            <w:vMerge w:val="continue"/>
          </w:tcPr>
          <w:p>
            <w:pPr>
              <w:spacing w:after="0"/>
              <w:rPr>
                <w:sz w:val="8"/>
                <w:szCs w:val="8"/>
                <w:color w:val="auto"/>
              </w:rPr>
            </w:pPr>
          </w:p>
        </w:tc>
        <w:tc>
          <w:tcPr>
            <w:tcW w:w="280" w:type="dxa"/>
            <w:vAlign w:val="bottom"/>
          </w:tcPr>
          <w:p>
            <w:pPr>
              <w:spacing w:after="0"/>
              <w:rPr>
                <w:sz w:val="8"/>
                <w:szCs w:val="8"/>
                <w:color w:val="auto"/>
              </w:rPr>
            </w:pPr>
          </w:p>
        </w:tc>
        <w:tc>
          <w:tcPr>
            <w:tcW w:w="1400" w:type="dxa"/>
            <w:vAlign w:val="bottom"/>
            <w:gridSpan w:val="3"/>
            <w:vMerge w:val="continue"/>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6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7"/>
                <w:szCs w:val="17"/>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i w:val="1"/>
                <w:iCs w:val="1"/>
                <w:color w:val="auto"/>
                <w:w w:val="87"/>
              </w:rPr>
              <w:t>years)</w:t>
            </w: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352"/>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Definite lived intangible assets: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tcPr>
          <w:p>
            <w:pPr>
              <w:ind w:left="140"/>
              <w:spacing w:after="0"/>
              <w:rPr>
                <w:sz w:val="20"/>
                <w:szCs w:val="20"/>
                <w:color w:val="auto"/>
              </w:rPr>
            </w:pPr>
            <w:r>
              <w:rPr>
                <w:rFonts w:ascii="Arial" w:cs="Arial" w:eastAsia="Arial" w:hAnsi="Arial"/>
                <w:sz w:val="18"/>
                <w:szCs w:val="18"/>
                <w:color w:val="auto"/>
                <w:w w:val="90"/>
              </w:rPr>
              <w:t>Customer related intangible assets</w:t>
            </w:r>
          </w:p>
        </w:tc>
        <w:tc>
          <w:tcPr>
            <w:tcW w:w="9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214,973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214,973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(187,923)</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(176,043)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27,050</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38,930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agreement</w:t>
            </w:r>
          </w:p>
        </w:tc>
        <w:tc>
          <w:tcPr>
            <w:tcW w:w="9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60" w:type="dxa"/>
            <w:vAlign w:val="bottom"/>
          </w:tcPr>
          <w:p>
            <w:pPr>
              <w:ind w:left="140"/>
              <w:spacing w:after="0"/>
              <w:rPr>
                <w:sz w:val="20"/>
                <w:szCs w:val="20"/>
                <w:color w:val="auto"/>
              </w:rPr>
            </w:pPr>
            <w:r>
              <w:rPr>
                <w:rFonts w:ascii="Arial" w:cs="Arial" w:eastAsia="Arial" w:hAnsi="Arial"/>
                <w:sz w:val="18"/>
                <w:szCs w:val="18"/>
                <w:color w:val="auto"/>
              </w:rPr>
              <w:t>Trademarks and trade names</w:t>
            </w:r>
          </w:p>
        </w:tc>
        <w:tc>
          <w:tcPr>
            <w:tcW w:w="98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9,709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3,402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Non-compete agreements</w:t>
            </w:r>
          </w:p>
        </w:tc>
        <w:tc>
          <w:tcPr>
            <w:tcW w:w="9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tcPr>
          <w:p>
            <w:pPr>
              <w:ind w:left="140"/>
              <w:spacing w:after="0"/>
              <w:rPr>
                <w:sz w:val="20"/>
                <w:szCs w:val="20"/>
                <w:color w:val="auto"/>
              </w:rPr>
            </w:pPr>
            <w:r>
              <w:rPr>
                <w:rFonts w:ascii="Arial" w:cs="Arial" w:eastAsia="Arial" w:hAnsi="Arial"/>
                <w:sz w:val="18"/>
                <w:szCs w:val="18"/>
                <w:color w:val="auto"/>
              </w:rPr>
              <w:t>Intellectual property</w:t>
            </w:r>
          </w:p>
        </w:tc>
        <w:tc>
          <w:tcPr>
            <w:tcW w:w="120" w:type="dxa"/>
            <w:vAlign w:val="bottom"/>
          </w:tcPr>
          <w:p>
            <w:pPr>
              <w:spacing w:after="0"/>
              <w:rPr>
                <w:sz w:val="19"/>
                <w:szCs w:val="19"/>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intangible assets</w:t>
            </w:r>
          </w:p>
        </w:tc>
        <w:tc>
          <w:tcPr>
            <w:tcW w:w="9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262,712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(216,386)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(203,911)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46,326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61,046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2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ind w:right="352"/>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3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Amortization expense for definite lived intangible assets was $14.7 million, $19.0 million and $28.4 million for the years ended December 31, 2020, 2019 and 2018, respectively</w:t>
      </w:r>
      <w:r>
        <w:rPr>
          <w:rFonts w:ascii="Arial" w:cs="Arial" w:eastAsia="Arial" w:hAnsi="Arial"/>
          <w:sz w:val="16"/>
          <w:szCs w:val="16"/>
          <w:color w:val="auto"/>
        </w:rPr>
        <w:t>.</w:t>
      </w:r>
      <w:r>
        <w:rPr>
          <w:rFonts w:ascii="Arial" w:cs="Arial" w:eastAsia="Arial" w:hAnsi="Arial"/>
          <w:sz w:val="18"/>
          <w:szCs w:val="18"/>
          <w:color w:val="auto"/>
        </w:rPr>
        <w:t xml:space="preserve"> Expected annual definite lived intangible asset amortization expense for 2021 through 2025 is $9.5 million, $5.1 million, $5.1 million, $5.1 million and $5.1 million,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OTHER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Other assets consist of the following as of December 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Security deposits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3,473</w:t>
            </w: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Restricted cash</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3,842</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3,495</w:t>
            </w:r>
          </w:p>
        </w:tc>
        <w:tc>
          <w:tcPr>
            <w:tcW w:w="0" w:type="dxa"/>
            <w:vAlign w:val="bottom"/>
          </w:tcPr>
          <w:p>
            <w:pPr>
              <w:spacing w:after="0"/>
              <w:rPr>
                <w:sz w:val="1"/>
                <w:szCs w:val="1"/>
                <w:color w:val="auto"/>
              </w:rPr>
            </w:pPr>
          </w:p>
        </w:tc>
      </w:tr>
      <w:tr>
        <w:trPr>
          <w:trHeight w:val="196"/>
        </w:trPr>
        <w:tc>
          <w:tcPr>
            <w:tcW w:w="8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10,810</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NOTE 13 — ACCOUNTS PAYABLE, ACCRUED EXPENSES AND OTHER CURRENT LIABILITIES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82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260" w:type="dxa"/>
            <w:vAlign w:val="bottom"/>
            <w:gridSpan w:val="2"/>
          </w:tcPr>
          <w:p>
            <w:pPr>
              <w:spacing w:after="0"/>
              <w:rPr>
                <w:sz w:val="20"/>
                <w:szCs w:val="20"/>
                <w:color w:val="auto"/>
              </w:rPr>
            </w:pPr>
            <w:r>
              <w:rPr>
                <w:rFonts w:ascii="Arial" w:cs="Arial" w:eastAsia="Arial" w:hAnsi="Arial"/>
                <w:sz w:val="18"/>
                <w:szCs w:val="18"/>
                <w:color w:val="auto"/>
              </w:rPr>
              <w:t>Accounts payable and accrued expenses consist of the following as of December 31:</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82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24"/>
                <w:szCs w:val="24"/>
                <w:color w:val="auto"/>
              </w:rPr>
            </w:pPr>
          </w:p>
        </w:tc>
        <w:tc>
          <w:tcPr>
            <w:tcW w:w="1100" w:type="dxa"/>
            <w:vAlign w:val="bottom"/>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22,431</w:t>
            </w: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Accrued expenses - general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24,422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24,558</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salaries and benefits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18,982</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Income taxes payable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196"/>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56,779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67,671</w:t>
            </w:r>
          </w:p>
        </w:tc>
        <w:tc>
          <w:tcPr>
            <w:tcW w:w="0" w:type="dxa"/>
            <w:vAlign w:val="bottom"/>
          </w:tcPr>
          <w:p>
            <w:pPr>
              <w:spacing w:after="0"/>
              <w:rPr>
                <w:sz w:val="1"/>
                <w:szCs w:val="1"/>
                <w:color w:val="auto"/>
              </w:rPr>
            </w:pPr>
          </w:p>
        </w:tc>
      </w:tr>
      <w:tr>
        <w:trPr>
          <w:trHeight w:val="20"/>
        </w:trPr>
        <w:tc>
          <w:tcPr>
            <w:tcW w:w="8260" w:type="dxa"/>
            <w:vAlign w:val="bottom"/>
            <w:gridSpan w:val="2"/>
            <w:vMerge w:val="restart"/>
          </w:tcPr>
          <w:p>
            <w:pPr>
              <w:spacing w:after="0"/>
              <w:rPr>
                <w:sz w:val="20"/>
                <w:szCs w:val="20"/>
                <w:color w:val="auto"/>
              </w:rPr>
            </w:pPr>
            <w:r>
              <w:rPr>
                <w:rFonts w:ascii="Arial" w:cs="Arial" w:eastAsia="Arial" w:hAnsi="Arial"/>
                <w:sz w:val="18"/>
                <w:szCs w:val="18"/>
                <w:color w:val="auto"/>
              </w:rPr>
              <w:t>Other current liabilities consist of the following as of December 31:</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82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82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24"/>
                <w:szCs w:val="24"/>
                <w:color w:val="auto"/>
              </w:rPr>
            </w:pPr>
          </w:p>
        </w:tc>
        <w:tc>
          <w:tcPr>
            <w:tcW w:w="1100" w:type="dxa"/>
            <w:vAlign w:val="bottom"/>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11,398</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3,326</w:t>
            </w:r>
          </w:p>
        </w:tc>
        <w:tc>
          <w:tcPr>
            <w:tcW w:w="0" w:type="dxa"/>
            <w:vAlign w:val="bottom"/>
          </w:tcPr>
          <w:p>
            <w:pPr>
              <w:spacing w:after="0"/>
              <w:rPr>
                <w:sz w:val="1"/>
                <w:szCs w:val="1"/>
                <w:color w:val="auto"/>
              </w:rPr>
            </w:pPr>
          </w:p>
        </w:tc>
      </w:tr>
      <w:tr>
        <w:trPr>
          <w:trHeight w:val="196"/>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14,724</w:t>
            </w:r>
          </w:p>
        </w:tc>
        <w:tc>
          <w:tcPr>
            <w:tcW w:w="0" w:type="dxa"/>
            <w:vAlign w:val="bottom"/>
          </w:tcPr>
          <w:p>
            <w:pPr>
              <w:spacing w:after="0"/>
              <w:rPr>
                <w:sz w:val="1"/>
                <w:szCs w:val="1"/>
                <w:color w:val="auto"/>
              </w:rPr>
            </w:pPr>
          </w:p>
        </w:tc>
      </w:tr>
      <w:tr>
        <w:trPr>
          <w:trHeight w:val="20"/>
        </w:trPr>
        <w:tc>
          <w:tcPr>
            <w:tcW w:w="8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14 — LONG-TERM DEBT</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82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260" w:type="dxa"/>
            <w:vAlign w:val="bottom"/>
            <w:gridSpan w:val="2"/>
          </w:tcPr>
          <w:p>
            <w:pPr>
              <w:spacing w:after="0"/>
              <w:rPr>
                <w:sz w:val="20"/>
                <w:szCs w:val="20"/>
                <w:color w:val="auto"/>
              </w:rPr>
            </w:pPr>
            <w:r>
              <w:rPr>
                <w:rFonts w:ascii="Arial" w:cs="Arial" w:eastAsia="Arial" w:hAnsi="Arial"/>
                <w:sz w:val="18"/>
                <w:szCs w:val="18"/>
                <w:color w:val="auto"/>
              </w:rPr>
              <w:t>Long-term debt consists of the following as of December 31:</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82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24"/>
                <w:szCs w:val="24"/>
                <w:color w:val="auto"/>
              </w:rPr>
            </w:pPr>
          </w:p>
        </w:tc>
        <w:tc>
          <w:tcPr>
            <w:tcW w:w="1100" w:type="dxa"/>
            <w:vAlign w:val="bottom"/>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secured term loans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293,826</w:t>
            </w: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Less: Debt issuance costs,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(3,119)</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Unamortized discount,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(2,825)</w:t>
            </w:r>
          </w:p>
        </w:tc>
        <w:tc>
          <w:tcPr>
            <w:tcW w:w="0" w:type="dxa"/>
            <w:vAlign w:val="bottom"/>
          </w:tcPr>
          <w:p>
            <w:pPr>
              <w:spacing w:after="0"/>
              <w:rPr>
                <w:sz w:val="1"/>
                <w:szCs w:val="1"/>
                <w:color w:val="auto"/>
              </w:rPr>
            </w:pPr>
          </w:p>
        </w:tc>
      </w:tr>
      <w:tr>
        <w:trPr>
          <w:trHeight w:val="196"/>
        </w:trPr>
        <w:tc>
          <w:tcPr>
            <w:tcW w:w="8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242,656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287,882</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Altisource Portfolio Solutions S.A. and its wholly-owned subsidiary, Altisource S.à r.l. entered into a credit agreement (the “Credit Agreement”) in April 2018 with Morgan Stanley Senior Funding, Inc., as administrative agent and collateral agent, and certain lenders. Under the Credit Agreement, Altisource borrowed $412.0 million in the form of Term B Loans and obtained a $15.0 million revolving credit facility. The Term B Loans mature in April 2024 and the revolving credit facility matures in April 2023. Altisource Portfolio Solutions S.A. and certain subsidiaries are guarantors of the term loan and the revolving credit facility (collectively, the “Guarantors”).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Proceeds from the Term B Loans were used to repay the Company’s prior senior secured term loan, which had an outstanding balance of $412.1 million as of April 3, 2018. In connection with the refinancing, we recognized a loss of $4.4 million from the write-off of unamortized debt issuance costs and debt discount in the second quarter of 2018. This loss was included in other income (expense), net in the consolidated statements of operations and comprehensive loss.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31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There are no mandatory repayments of the Term B Loans due until April 2024, when the balance is due at maturity. During 2020 and 2019, the Company sold 3.5 million and 0.7 million, respectively, RESI shares for net proceeds of $46.6 million and $8.0 million, respectively, and used the net proceeds to repay a portion of the senior secured term loan (see Note 5). Also during 2019, the Company used net proceeds of $37.0 million from the sale of the Financial Services Business (see Note 4) to repay a portion of the senior secured term loan. In addition, the Company repaid $49.9 million of the Term B Loans in the fourth quarter of 2018 from proceeds from the sale certain of the BRS Inventory received during December 2018 and in anticipation of receiving additional proceeds during the first half of 2019 (see Note 8). Also during 2018, the Company used the proceeds received from the sale of the rental property management business (see Note 4) to repay $15.0 million of the Term B Loans. These repayments were applied to contractual amortization payments in the direct order of maturity. All amounts outstanding under the Term B Loans will become due on the earlier of (i) April 3, 2024, and (ii) the date on which the loans are declared to be due and owing by the administrative agent at the request (or with the consent) of the Required Lenders (as defined in the Credit Agreement; other capitalized terms, unless defined herein, are defined in the Credit Agreement) or as otherwise provided in the Credit Agreement upon the occurrence of any event of default.</w:t>
      </w:r>
    </w:p>
    <w:p>
      <w:pPr>
        <w:spacing w:after="0" w:line="12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addition to the scheduled principal payments, subject to certain exceptions, the Term B Loans are subject to mandatory prepayment upon issuances of debt, certain casualty and condemnation events and sales of assets, as well as from a percentage of Consolidated Excess Cash Flow if our leverage ratio as of each year-end computation date is greater than 3.00 to 1.00, as calculated in accordance with the provisions of the Credit Agreement (the percentage increases if our leverage ratio exceeds 3.50 to 1.00). Our leverage ratio exceeded 3.50 to 1.00 during the year ended December 31, 2020. However, because the Company did not generate any Consolidated Excess Cash Flow in 2020, no amounts are due under this provision.</w:t>
      </w:r>
    </w:p>
    <w:p>
      <w:pPr>
        <w:spacing w:after="0" w:line="10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Altisource may incur incremental indebtedness under the Credit Agreement from one or more incremental lenders, which may include existing lenders, in an aggregate incremental principal amount not to exceed $125.0 million, subject to certain conditions set forth in the Credit Agreement, including a sublimit of $80.0 million with respect to incremental revolving credit commitments and, after giving effect to the incremental borrowing, the Company’s leverage ratio does not exceed 3.00 to 1.00. Our leverage ratio exceeded 3.00 to 1.00 during the year ended December 31, 2020. The lenders have no obligation to provide any incremental indebtedness.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 B Loans bear interest at rates based upon, at our option, the Adjusted Eurodollar Rate or the Base Rate. Adjusted Eurodollar Rate term loans bear interest at a rate per annum equal to the sum of (i) the greater of (x) the Adjusted Eurodollar Rate for a three month interest period and (y) 1.00% plus (ii) 4.00%. Base Rate term loans bear interest at a rate per annum equal to the sum of (i) the greater of (x) the Base Rate and (y) 2.00% plus (ii) 3.00%. The interest rate as of December 31, 2020 was 5.00%.</w:t>
      </w:r>
    </w:p>
    <w:p>
      <w:pPr>
        <w:spacing w:after="0" w:line="13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Loans under the revolving credit facility bear interest at rates based upon, at our option, the Adjusted Eurodollar Rate or the Base Rate. Adjusted Eurodollar Rate revolving loans bear interest at a rate per annum equal to the sum of (i) the Adjusted Eurodollar Rate for a three month interest period plus</w:t>
      </w:r>
    </w:p>
    <w:p>
      <w:pPr>
        <w:jc w:val="both"/>
        <w:ind w:firstLine="8"/>
        <w:spacing w:after="0" w:line="302" w:lineRule="auto"/>
        <w:tabs>
          <w:tab w:leader="none" w:pos="265" w:val="left"/>
        </w:tabs>
        <w:numPr>
          <w:ilvl w:val="0"/>
          <w:numId w:val="42"/>
        </w:numPr>
        <w:rPr>
          <w:rFonts w:ascii="Arial" w:cs="Arial" w:eastAsia="Arial" w:hAnsi="Arial"/>
          <w:sz w:val="16"/>
          <w:szCs w:val="16"/>
          <w:color w:val="auto"/>
        </w:rPr>
      </w:pPr>
      <w:r>
        <w:rPr>
          <w:rFonts w:ascii="Arial" w:cs="Arial" w:eastAsia="Arial" w:hAnsi="Arial"/>
          <w:sz w:val="16"/>
          <w:szCs w:val="16"/>
          <w:color w:val="auto"/>
        </w:rPr>
        <w:t>4.00%. Base Rate revolving loans bear interest at a rate per annum equal to the sum of (i) the Base Rate plus (ii) 3.00%. The unused commitment fee is 0.50%. Borrowings under the revolving credit facility are not permitted if our leverage ratio exceeds 3.50 to 1.00. Our leverage ratio exceeded 3.50 to 1.00 during the year ended December 31, 2020. There were no borrowings outstanding under the revolving credit facility as of December 31, 2020.</w:t>
      </w:r>
    </w:p>
    <w:p>
      <w:pPr>
        <w:spacing w:after="0" w:line="10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payment of all amounts owing by Altisource under the Credit Agreement is guaranteed by the Guarantors and is secured by a pledge of all equity interests of certain subsidiaries of Altisource, as well as a lien on substantially all of the assets of Altisource S.à r.l. and the Guarantors, subject to certain exceptions.</w:t>
      </w:r>
    </w:p>
    <w:p>
      <w:pPr>
        <w:spacing w:after="0" w:line="13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Credit Agreement includes covenants that restrict or limit, among other things, our ability, subject to certain exceptions and baskets, to incur indebtedness; incur liens on our assets; sell, transfer or dispose of assets; make Restricted Junior Payments including share repurchases, dividends and repayment of junior indebtedness; make investments; dispose of equity interests of any Material Subsidiaries; engage in a line of business substantially different than existing businesses and businesses reasonably related, complimentary or ancillary thereto; amend material debt agreements or other material contracts; engage in certain transactions with affiliates; enter into sale/leaseback transactions; grant negative pledges or agree to such other restrictions relating to subsidiary dividends and distributions; make changes to our fiscal year; and engage in mergers and consolidations; and to the extent any Revolving Credit Loans are outstanding on the last day of a fiscal quarter, permit the Total Leverage Ratio to be greater than 3.50:1.00 as of the last day of such fiscal quarter, subject to a customary cure provision (the “Revolving Financial Covenant”).</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Credit Agreement contains certain events of default including (i) failure to pay principal when due or interest or any other amount owing on any other obligation under the Credit Agreement within five days of becoming due, (ii) material incorrectness of representations and warranties when made, (iii) breach of certain other covenants, subject to cure periods described in the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31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Credit Agreement, (iv) a breach of the Revolving Financial Covenant, subject to a customary cure provision and not an Event of Default with respect to the Term Loans unless and until the Required Revolving Lenders accelerate the Revolving Credit Loans, (v) failure to pay principal or interest on any other debt that equals or exceeds $40.0 million when due, (vi) default on any other debt that equals or exceeds $40.0 million that causes, or gives the holder or holders of such debt the ability to cause, an acceleration of such debt, (vii) occurrence of a Change of Control, (viii) bankruptcy and insolvency events, (ix) entry by a court of one or more judgments against us in an amount in excess of $40.0 million that remain unbonded, undischarged or unstayed for a certain number of days after the entry thereof, (x) the occurrence of certain ERISA events and (xi) the failure of certain Loan Documents to be in full force and effect. If any event of default occurs and is not cured within applicable grace periods set forth in the Credit Agreement or waived, all loans and other obligations could become due and immediately payable and the facility could be terminated.</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2020, debt issuance costs were $2.4 million, net of $2.2 million of accumulated amortization. As of December 31, 2019, debt issuance costs were $3.1 million, net of $1.4 million of accumulated amortization.</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on the senior secured term loans, including amortization of debt issuance costs and the net debt discount, totaled $17.7 million, $21.4 million and $26.3 million for the years ended December 31, 2020, 2019 and 2018,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Maturities of our long-term debt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Maturities</w:t>
            </w:r>
          </w:p>
        </w:tc>
        <w:tc>
          <w:tcPr>
            <w:tcW w:w="0" w:type="dxa"/>
            <w:vAlign w:val="bottom"/>
          </w:tcPr>
          <w:p>
            <w:pPr>
              <w:spacing w:after="0"/>
              <w:rPr>
                <w:sz w:val="1"/>
                <w:szCs w:val="1"/>
                <w:color w:val="auto"/>
              </w:rPr>
            </w:pPr>
          </w:p>
        </w:tc>
      </w:tr>
      <w:tr>
        <w:trPr>
          <w:trHeight w:val="199"/>
        </w:trPr>
        <w:tc>
          <w:tcPr>
            <w:tcW w:w="8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160" w:type="dxa"/>
            <w:vAlign w:val="bottom"/>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247,204</w:t>
            </w:r>
          </w:p>
        </w:tc>
        <w:tc>
          <w:tcPr>
            <w:tcW w:w="0" w:type="dxa"/>
            <w:vAlign w:val="bottom"/>
          </w:tcPr>
          <w:p>
            <w:pPr>
              <w:spacing w:after="0"/>
              <w:rPr>
                <w:sz w:val="1"/>
                <w:szCs w:val="1"/>
                <w:color w:val="auto"/>
              </w:rPr>
            </w:pPr>
          </w:p>
        </w:tc>
      </w:tr>
      <w:tr>
        <w:trPr>
          <w:trHeight w:val="196"/>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247,204</w:t>
            </w:r>
          </w:p>
        </w:tc>
        <w:tc>
          <w:tcPr>
            <w:tcW w:w="0" w:type="dxa"/>
            <w:vAlign w:val="bottom"/>
          </w:tcPr>
          <w:p>
            <w:pPr>
              <w:spacing w:after="0"/>
              <w:rPr>
                <w:sz w:val="1"/>
                <w:szCs w:val="1"/>
                <w:color w:val="auto"/>
              </w:rPr>
            </w:pPr>
          </w:p>
        </w:tc>
      </w:tr>
      <w:tr>
        <w:trPr>
          <w:trHeight w:val="21"/>
        </w:trPr>
        <w:tc>
          <w:tcPr>
            <w:tcW w:w="8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15 — OTHER NON-CURRENT LIABILITIES</w:t>
            </w: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82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260" w:type="dxa"/>
            <w:vAlign w:val="bottom"/>
            <w:gridSpan w:val="2"/>
          </w:tcPr>
          <w:p>
            <w:pPr>
              <w:spacing w:after="0"/>
              <w:rPr>
                <w:sz w:val="20"/>
                <w:szCs w:val="20"/>
                <w:color w:val="auto"/>
              </w:rPr>
            </w:pPr>
            <w:r>
              <w:rPr>
                <w:rFonts w:ascii="Arial" w:cs="Arial" w:eastAsia="Arial" w:hAnsi="Arial"/>
                <w:sz w:val="18"/>
                <w:szCs w:val="18"/>
                <w:color w:val="auto"/>
              </w:rPr>
              <w:t>Other non-current liabilities consist of the following as of December 31:</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82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24"/>
                <w:szCs w:val="24"/>
                <w:color w:val="auto"/>
              </w:rPr>
            </w:pPr>
          </w:p>
        </w:tc>
        <w:tc>
          <w:tcPr>
            <w:tcW w:w="880" w:type="dxa"/>
            <w:vAlign w:val="bottom"/>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12,281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19,707</w:t>
            </w: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Income tax liabilities</w:t>
            </w:r>
          </w:p>
        </w:tc>
        <w:tc>
          <w:tcPr>
            <w:tcW w:w="340" w:type="dxa"/>
            <w:vAlign w:val="bottom"/>
          </w:tcPr>
          <w:p>
            <w:pPr>
              <w:spacing w:after="0"/>
              <w:rPr>
                <w:sz w:val="19"/>
                <w:szCs w:val="19"/>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12,414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10,935</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3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non-current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196"/>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25,239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31,016</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FAIR VALUE MEASUREMENTS AND FINANCIAL INSTRUMENTS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presents the carrying amount and estimated fair value of financial instruments and certain liabilities measured at fair value as of December 31, 2020 and 2019. The following fair values are estimated using market information and what the Company believes to be appropriate valuation methodologies under GAAP:</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6"/>
          </w:tcPr>
          <w:p>
            <w:pPr>
              <w:ind w:left="240"/>
              <w:spacing w:after="0"/>
              <w:rPr>
                <w:sz w:val="20"/>
                <w:szCs w:val="20"/>
                <w:color w:val="auto"/>
              </w:rPr>
            </w:pPr>
            <w:r>
              <w:rPr>
                <w:rFonts w:ascii="Arial" w:cs="Arial" w:eastAsia="Arial" w:hAnsi="Arial"/>
                <w:sz w:val="14"/>
                <w:szCs w:val="14"/>
                <w:b w:val="1"/>
                <w:bCs w:val="1"/>
                <w:color w:val="auto"/>
              </w:rPr>
              <w:t>December 31, 2020</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6"/>
          </w:tcPr>
          <w:p>
            <w:pPr>
              <w:ind w:left="240"/>
              <w:spacing w:after="0"/>
              <w:rPr>
                <w:sz w:val="20"/>
                <w:szCs w:val="20"/>
                <w:color w:val="auto"/>
              </w:rPr>
            </w:pPr>
            <w:r>
              <w:rPr>
                <w:rFonts w:ascii="Arial" w:cs="Arial" w:eastAsia="Arial" w:hAnsi="Arial"/>
                <w:sz w:val="14"/>
                <w:szCs w:val="14"/>
                <w:b w:val="1"/>
                <w:bCs w:val="1"/>
                <w:color w:val="auto"/>
              </w:rPr>
              <w:t>December 31, 2019</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62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4"/>
              </w:rPr>
              <w:t>Fair value</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97"/>
              </w:rPr>
              <w:t>Fair value</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6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5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1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3"/>
          </w:tcPr>
          <w:p>
            <w:pPr>
              <w:jc w:val="center"/>
              <w:ind w:right="420"/>
              <w:spacing w:after="0"/>
              <w:rPr>
                <w:sz w:val="20"/>
                <w:szCs w:val="20"/>
                <w:color w:val="auto"/>
              </w:rPr>
            </w:pPr>
            <w:r>
              <w:rPr>
                <w:rFonts w:ascii="Arial" w:cs="Arial" w:eastAsia="Arial" w:hAnsi="Arial"/>
                <w:sz w:val="14"/>
                <w:szCs w:val="14"/>
                <w:b w:val="1"/>
                <w:bCs w:val="1"/>
                <w:color w:val="auto"/>
                <w:w w:val="92"/>
              </w:rPr>
              <w:t>Level 2</w:t>
            </w:r>
          </w:p>
        </w:tc>
        <w:tc>
          <w:tcPr>
            <w:tcW w:w="760" w:type="dxa"/>
            <w:vAlign w:val="bottom"/>
            <w:tcBorders>
              <w:top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1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3"/>
          </w:tcPr>
          <w:p>
            <w:pPr>
              <w:jc w:val="center"/>
              <w:ind w:right="420"/>
              <w:spacing w:after="0"/>
              <w:rPr>
                <w:sz w:val="20"/>
                <w:szCs w:val="20"/>
                <w:color w:val="auto"/>
              </w:rPr>
            </w:pPr>
            <w:r>
              <w:rPr>
                <w:rFonts w:ascii="Arial" w:cs="Arial" w:eastAsia="Arial" w:hAnsi="Arial"/>
                <w:sz w:val="14"/>
                <w:szCs w:val="14"/>
                <w:b w:val="1"/>
                <w:bCs w:val="1"/>
                <w:color w:val="auto"/>
                <w:w w:val="92"/>
              </w:rPr>
              <w:t>Level 2</w:t>
            </w:r>
          </w:p>
        </w:tc>
        <w:tc>
          <w:tcPr>
            <w:tcW w:w="780" w:type="dxa"/>
            <w:vAlign w:val="bottom"/>
            <w:tcBorders>
              <w:top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12"/>
        </w:trPr>
        <w:tc>
          <w:tcPr>
            <w:tcW w:w="2620" w:type="dxa"/>
            <w:vAlign w:val="bottom"/>
            <w:gridSpan w:val="2"/>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10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  $</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620" w:type="dxa"/>
            <w:vAlign w:val="bottom"/>
            <w:gridSpan w:val="2"/>
          </w:tcPr>
          <w:p>
            <w:pPr>
              <w:ind w:left="30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3,842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5"/>
              </w:rPr>
              <w:t>Investment in equity securities</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620" w:type="dxa"/>
            <w:vAlign w:val="bottom"/>
            <w:gridSpan w:val="2"/>
          </w:tcPr>
          <w:p>
            <w:pPr>
              <w:ind w:left="300"/>
              <w:spacing w:after="0"/>
              <w:rPr>
                <w:sz w:val="20"/>
                <w:szCs w:val="20"/>
                <w:color w:val="auto"/>
              </w:rPr>
            </w:pPr>
            <w:r>
              <w:rPr>
                <w:rFonts w:ascii="Arial" w:cs="Arial" w:eastAsia="Arial" w:hAnsi="Arial"/>
                <w:sz w:val="18"/>
                <w:szCs w:val="18"/>
                <w:color w:val="auto"/>
              </w:rPr>
              <w:t>Long-term receivable</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2,371</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Senior secured term loan</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 on a Recurring Basis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and cash equivalents and restricted cash are carried at amounts that approximate their fair values due to the highly liquid nature of these instruments and were measured using Level 1 inputs.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Investment in equity securities is carried at fair value and consists of 3.5 million shares of RESI common stock as of December 31, 2019 (no comparative amount as of December 31, 2020). The investment in equity securities is measured using Level 1 inputs as these securities have quoted prices in active markets.</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 of our senior secured term loan is based on quoted market prices. Based on the frequency of trading, we do not believe that there is an active market for our debt. Therefore, the quoted prices are considered Level 2 inputs.</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the sale of the rental property management business in August 2018, Altisource is to receive $3.0 million on the earlier of a RESI change of control or on August 8, 2023. On October 19, 2020, RESI announced that it had entered into a definitive merger agreement to sell RESI. The merger closed on January 11, 2021 and the Company subsequently received the $3.0 million payment (See Note 4 for additional information). We measure long-term receivables without a stated interest rate based on the present value of the future payments.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different levels during the periods presented.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Financial instruments that subject us to concentrations of credit risk primarily consist of cash and cash equivalents and accounts receivable. Our policy is to deposit our cash and cash equivalents with larger, highly rated financial institutions. The Company derived 54% of its revenues from Ocwen for the year ended December 31, 2020 (see Note 3 for additional information on Ocwen revenues and accounts receivable balance). The Company strives to mitigate its concentrations of credit risk with respect to accounts receivable by actively monitoring past due accounts and the economic status of larger customers, if known.</w:t>
      </w:r>
    </w:p>
    <w:p>
      <w:pPr>
        <w:spacing w:after="0" w:line="130" w:lineRule="exact"/>
        <w:rPr>
          <w:sz w:val="20"/>
          <w:szCs w:val="20"/>
          <w:color w:val="auto"/>
        </w:rPr>
      </w:pPr>
    </w:p>
    <w:p>
      <w:pPr>
        <w:ind w:right="4640"/>
        <w:spacing w:after="0" w:line="440" w:lineRule="auto"/>
        <w:rPr>
          <w:sz w:val="20"/>
          <w:szCs w:val="20"/>
          <w:color w:val="auto"/>
        </w:rPr>
      </w:pPr>
      <w:r>
        <w:rPr>
          <w:rFonts w:ascii="Arial" w:cs="Arial" w:eastAsia="Arial" w:hAnsi="Arial"/>
          <w:sz w:val="18"/>
          <w:szCs w:val="18"/>
          <w:b w:val="1"/>
          <w:bCs w:val="1"/>
          <w:color w:val="auto"/>
        </w:rPr>
        <w:t>NOTE 17 — SHAREHOLDERS’ EQUITY AND SHARE-BASED COMPENSATION Common Stock</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2020, we had 100.0 million shares authorized, 25.4 million issued and 15.7 million shares of common stock outstanding. As of December 31, 2019, we had 100.0 million shares authorized, 25.4 million shares issued and 15.5 million shares of common stock outstanding. The holders of shares of Altisource common stock generally are entitled to one vote for each share on all matters voted on by shareholders, and the holders of such shares generally will possess all voting power.</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2009 Equity Incentive Plan (the “Plan”) provides for various types of equity awards, including stock options, stock appreciation rights, stock purchase rights, restricted shares, restricted share units and other awards, or a combination of any of the above. Under the Plan, we may grant up to 6.7 million Altisource share-based awards to officers, directors, employees and to employees of our affiliates. As of December 31, 2020, 1.0 million share-based awards were available for future grant under the Plan. Expired and forfeited awards are available for reissuance.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May 15, 2018, our shareholders approved the renewal and replacement of the share repurchase program previously approved by the shareholders on May 17, 2017. Under the program, we are authorized to purchase up to 4.3 million shares of our common stock, based on a limit of 25% of the outstanding shares of common stock on the date of approval, at a minimum price of $1.00 per share and a maximum price of $500.00 per share, for a period of five years from the date of approval. As of December 31, 2020, approximately 2.4 million shares of common stock remain available for repurchase under the program. There were no purchases of shares of common stock during the year ended December 31, 2020. We purchased 1.0 million shares at an average price of $20.33 per share during the year ended December 31, 2019 and 1.6 million shares at an average price of $25.53 per share during the year ended December 31, 2018. Luxembourg law limits share repurchases to the balance of Altisource Portfolio Solutions S.A. (unconsolidated parent company) retained earnings, less the value of shares repurchased. As of December 31, 2020, we can repurchase up to approximately $91 million of our common stock under Luxembourg law. Our Credit Agreement also limits the amount we can spend on share repurchases, which limit was approximately $430 million as of December 31, 2020, and may prevent repurchases in certain circumstances, including if our leverage ratio exceeds 3.50 to 1.00. Our leverage ratio exceeded 3.50 to 1.00 during the year ended December 31, 2020.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issue share-based awards in the form of stock options, restricted shares and restricted share units for certain employees, officers and directors. We recognized share-based compensation expense of $7.8 million, $11.9 million and $10.2 million for the years ended December 31, 2020, 2019 and 2018, respectively. As of December 31, 2020, estimated unrecognized compensation costs related to share-based awards amounted to $6.6 million, which we expect to recognize over a weighted average remaining requisite service period of approximately 1.48 years.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Stock option grants are composed of a combination of service-based, market-based and performance-based options.</w:t>
      </w:r>
    </w:p>
    <w:p>
      <w:pPr>
        <w:spacing w:after="0" w:line="171" w:lineRule="exact"/>
        <w:rPr>
          <w:sz w:val="20"/>
          <w:szCs w:val="20"/>
          <w:color w:val="auto"/>
        </w:rPr>
      </w:pPr>
    </w:p>
    <w:p>
      <w:pPr>
        <w:jc w:val="both"/>
        <w:ind w:left="340" w:right="20"/>
        <w:spacing w:after="0" w:line="342" w:lineRule="auto"/>
        <w:rPr>
          <w:sz w:val="20"/>
          <w:szCs w:val="20"/>
          <w:color w:val="auto"/>
        </w:rPr>
      </w:pPr>
      <w:r>
        <w:rPr>
          <w:rFonts w:ascii="Arial" w:cs="Arial" w:eastAsia="Arial" w:hAnsi="Arial"/>
          <w:sz w:val="16"/>
          <w:szCs w:val="16"/>
          <w:i w:val="1"/>
          <w:iCs w:val="1"/>
          <w:color w:val="auto"/>
        </w:rPr>
        <w:t xml:space="preserve">Service-Based Options. </w:t>
      </w:r>
      <w:r>
        <w:rPr>
          <w:rFonts w:ascii="Arial" w:cs="Arial" w:eastAsia="Arial" w:hAnsi="Arial"/>
          <w:sz w:val="16"/>
          <w:szCs w:val="16"/>
          <w:color w:val="auto"/>
        </w:rPr>
        <w:t>These options generally vest over three or four years with equal annual vesting and generally expire on the earlier of ten years</w:t>
      </w:r>
      <w:r>
        <w:rPr>
          <w:rFonts w:ascii="Arial" w:cs="Arial" w:eastAsia="Arial" w:hAnsi="Arial"/>
          <w:sz w:val="16"/>
          <w:szCs w:val="16"/>
          <w:i w:val="1"/>
          <w:iCs w:val="1"/>
          <w:color w:val="auto"/>
        </w:rPr>
        <w:t xml:space="preserve"> </w:t>
      </w:r>
      <w:r>
        <w:rPr>
          <w:rFonts w:ascii="Arial" w:cs="Arial" w:eastAsia="Arial" w:hAnsi="Arial"/>
          <w:sz w:val="16"/>
          <w:szCs w:val="16"/>
          <w:color w:val="auto"/>
        </w:rPr>
        <w:t>after the date of grant or following termination of service. A total of 253 thousand service-based options were outstanding as of December 31, 2020.</w:t>
      </w:r>
    </w:p>
    <w:p>
      <w:pPr>
        <w:spacing w:after="0" w:line="70" w:lineRule="exact"/>
        <w:rPr>
          <w:sz w:val="20"/>
          <w:szCs w:val="20"/>
          <w:color w:val="auto"/>
        </w:rPr>
      </w:pPr>
    </w:p>
    <w:p>
      <w:pPr>
        <w:jc w:val="both"/>
        <w:ind w:left="340"/>
        <w:spacing w:after="0" w:line="269" w:lineRule="auto"/>
        <w:rPr>
          <w:sz w:val="20"/>
          <w:szCs w:val="20"/>
          <w:color w:val="auto"/>
        </w:rPr>
      </w:pPr>
      <w:r>
        <w:rPr>
          <w:rFonts w:ascii="Arial" w:cs="Arial" w:eastAsia="Arial" w:hAnsi="Arial"/>
          <w:sz w:val="17"/>
          <w:szCs w:val="17"/>
          <w:i w:val="1"/>
          <w:iCs w:val="1"/>
          <w:color w:val="auto"/>
        </w:rPr>
        <w:t>Market-Based Options</w:t>
      </w:r>
      <w:r>
        <w:rPr>
          <w:rFonts w:ascii="Arial" w:cs="Arial" w:eastAsia="Arial" w:hAnsi="Arial"/>
          <w:sz w:val="17"/>
          <w:szCs w:val="17"/>
          <w:color w:val="auto"/>
        </w:rPr>
        <w:t>. These option grants generally have two components, each of which vests only upon the achievement of certain criteria. The</w:t>
      </w:r>
      <w:r>
        <w:rPr>
          <w:rFonts w:ascii="Arial" w:cs="Arial" w:eastAsia="Arial" w:hAnsi="Arial"/>
          <w:sz w:val="17"/>
          <w:szCs w:val="17"/>
          <w:i w:val="1"/>
          <w:iCs w:val="1"/>
          <w:color w:val="auto"/>
        </w:rPr>
        <w:t xml:space="preserve"> </w:t>
      </w:r>
      <w:r>
        <w:rPr>
          <w:rFonts w:ascii="Arial" w:cs="Arial" w:eastAsia="Arial" w:hAnsi="Arial"/>
          <w:sz w:val="17"/>
          <w:szCs w:val="17"/>
          <w:color w:val="auto"/>
        </w:rPr>
        <w:t>first component, which we refer to as “ordinary performance” grants, generally consists of two-thirds of the market-based grant and begins to vest if the stock price is at least double the exercise price, as long as the stock price realizes a compounded annual gain of at least 20% over the exercise price. The remaining third of the market-based options, which we refer to as “extraordinary performance” grants, generally begins to vest if the stock price is at least triple the exercise price, as long as the stock price realizes a compounded annual gain of at least 25% over the exercise price. Market-based options vest in three or four year installments with the first installment vesting upon the achievement of the criteria and the remaining installments vesting thereafter in equal annual installments. Market-based options generally expire on the earlier of ten years after the date of grant or following termination of service, unless the performance criteria is met prior to termination of service or in the final three years of the option term, in which case vesting will generally continue in accordance with the provisions of the award agreement. A total of 201 thousand market-based options were outstanding as of December 31, 2020.</w:t>
      </w:r>
    </w:p>
    <w:p>
      <w:pPr>
        <w:spacing w:after="0" w:line="131"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i w:val="1"/>
          <w:iCs w:val="1"/>
          <w:color w:val="auto"/>
        </w:rPr>
        <w:t xml:space="preserve">Performance-Based Options. </w:t>
      </w:r>
      <w:r>
        <w:rPr>
          <w:rFonts w:ascii="Arial" w:cs="Arial" w:eastAsia="Arial" w:hAnsi="Arial"/>
          <w:sz w:val="18"/>
          <w:szCs w:val="18"/>
          <w:color w:val="auto"/>
        </w:rPr>
        <w:t>These option grants generally will vest if certain specific financial measures are achieved; one-fourth vests on each</w:t>
      </w:r>
      <w:r>
        <w:rPr>
          <w:rFonts w:ascii="Arial" w:cs="Arial" w:eastAsia="Arial" w:hAnsi="Arial"/>
          <w:sz w:val="18"/>
          <w:szCs w:val="18"/>
          <w:i w:val="1"/>
          <w:iCs w:val="1"/>
          <w:color w:val="auto"/>
        </w:rPr>
        <w:t xml:space="preserve"> </w:t>
      </w:r>
      <w:r>
        <w:rPr>
          <w:rFonts w:ascii="Arial" w:cs="Arial" w:eastAsia="Arial" w:hAnsi="Arial"/>
          <w:sz w:val="18"/>
          <w:szCs w:val="18"/>
          <w:color w:val="auto"/>
        </w:rPr>
        <w:t>anniversary of the grant date. For certain other financial measures, options cliff-vest upon the achievement of the specific performance during the period from 2019 through 2021. The award of performance-based options is adjusted based on the level of achievement specified in the award agreements. If the performance criteria achieved is above threshold performance levels, participants have the opportunity to vest in 50% to 200% of the option grants, depending upon performance achieved. If the performance criteria achieved is below a certain threshold, the options are canceled. The options generally expire on the earlier of ten years after the date of grant or following termination of service. There were 446 thousand performance-based options outstanding as of December 31, 2020.</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31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There were no stock options granted during 2020 and 2019. Outstanding stock options increased by 228 thousand in February 2019 in connection with the determination of the level of achievement for certain performance-based options granted in 2018. The Company granted 277 thousand stock options (at a weighted average exercise price of $25.15 per share) during the year ended December 31, 2018.</w:t>
      </w:r>
    </w:p>
    <w:p>
      <w:pPr>
        <w:spacing w:after="0" w:line="13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fair values of the service-based options and performance-based options are determined using the Black-Scholes option pricing model and the fair values of the market-based options were determined using a lattice (binomial) model. The following assumptions were used to determine the fair values as of the grant date for the years ended December 31:</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17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2018</w:t>
            </w:r>
          </w:p>
        </w:tc>
        <w:tc>
          <w:tcPr>
            <w:tcW w:w="1200" w:type="dxa"/>
            <w:vAlign w:val="bottom"/>
            <w:tcBorders>
              <w:bottom w:val="single" w:sz="8" w:color="auto"/>
            </w:tcBorders>
          </w:tcPr>
          <w:p>
            <w:pPr>
              <w:spacing w:after="0"/>
              <w:rPr>
                <w:sz w:val="16"/>
                <w:szCs w:val="16"/>
                <w:color w:val="auto"/>
              </w:rPr>
            </w:pPr>
          </w:p>
        </w:tc>
      </w:tr>
      <w:tr>
        <w:trPr>
          <w:trHeight w:val="187"/>
        </w:trPr>
        <w:tc>
          <w:tcPr>
            <w:tcW w:w="8260" w:type="dxa"/>
            <w:vAlign w:val="bottom"/>
          </w:tcPr>
          <w:p>
            <w:pPr>
              <w:spacing w:after="0"/>
              <w:rPr>
                <w:sz w:val="16"/>
                <w:szCs w:val="16"/>
                <w:color w:val="auto"/>
              </w:rPr>
            </w:pPr>
          </w:p>
        </w:tc>
        <w:tc>
          <w:tcPr>
            <w:tcW w:w="178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Black-Scholes</w:t>
            </w:r>
          </w:p>
        </w:tc>
        <w:tc>
          <w:tcPr>
            <w:tcW w:w="1200" w:type="dxa"/>
            <w:vAlign w:val="bottom"/>
          </w:tcPr>
          <w:p>
            <w:pPr>
              <w:jc w:val="right"/>
              <w:ind w:right="361"/>
              <w:spacing w:after="0"/>
              <w:rPr>
                <w:sz w:val="20"/>
                <w:szCs w:val="20"/>
                <w:color w:val="auto"/>
              </w:rPr>
            </w:pPr>
            <w:r>
              <w:rPr>
                <w:rFonts w:ascii="Arial" w:cs="Arial" w:eastAsia="Arial" w:hAnsi="Arial"/>
                <w:sz w:val="14"/>
                <w:szCs w:val="14"/>
                <w:b w:val="1"/>
                <w:bCs w:val="1"/>
                <w:color w:val="auto"/>
              </w:rPr>
              <w:t>Binomial</w:t>
            </w:r>
          </w:p>
        </w:tc>
      </w:tr>
      <w:tr>
        <w:trPr>
          <w:trHeight w:val="197"/>
        </w:trPr>
        <w:tc>
          <w:tcPr>
            <w:tcW w:w="826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Risk-free interest rate (%)</w:t>
            </w:r>
          </w:p>
        </w:tc>
        <w:tc>
          <w:tcPr>
            <w:tcW w:w="178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b w:val="1"/>
                <w:bCs w:val="1"/>
                <w:color w:val="auto"/>
              </w:rPr>
              <w:t>2.66 – 3.10</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1.64 – 3.22</w:t>
            </w: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Expected stock price volatility (%)</w:t>
            </w:r>
          </w:p>
        </w:tc>
        <w:tc>
          <w:tcPr>
            <w:tcW w:w="1780" w:type="dxa"/>
            <w:vAlign w:val="bottom"/>
            <w:gridSpan w:val="3"/>
          </w:tcPr>
          <w:p>
            <w:pPr>
              <w:jc w:val="right"/>
              <w:ind w:right="360"/>
              <w:spacing w:after="0"/>
              <w:rPr>
                <w:sz w:val="20"/>
                <w:szCs w:val="20"/>
                <w:color w:val="auto"/>
              </w:rPr>
            </w:pPr>
            <w:r>
              <w:rPr>
                <w:rFonts w:ascii="Arial" w:cs="Arial" w:eastAsia="Arial" w:hAnsi="Arial"/>
                <w:sz w:val="16"/>
                <w:szCs w:val="16"/>
                <w:b w:val="1"/>
                <w:bCs w:val="1"/>
                <w:color w:val="auto"/>
              </w:rPr>
              <w:t>70.31 – 71.86</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71.36 – 71.86</w:t>
            </w: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dividend yield</w:t>
            </w:r>
          </w:p>
        </w:tc>
        <w:tc>
          <w:tcPr>
            <w:tcW w:w="178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Expected option life (in years)</w:t>
            </w:r>
          </w:p>
        </w:tc>
        <w:tc>
          <w:tcPr>
            <w:tcW w:w="1780" w:type="dxa"/>
            <w:vAlign w:val="bottom"/>
            <w:gridSpan w:val="3"/>
          </w:tcPr>
          <w:p>
            <w:pPr>
              <w:jc w:val="right"/>
              <w:ind w:right="360"/>
              <w:spacing w:after="0"/>
              <w:rPr>
                <w:sz w:val="20"/>
                <w:szCs w:val="20"/>
                <w:color w:val="auto"/>
              </w:rPr>
            </w:pPr>
            <w:r>
              <w:rPr>
                <w:rFonts w:ascii="Arial" w:cs="Arial" w:eastAsia="Arial" w:hAnsi="Arial"/>
                <w:sz w:val="16"/>
                <w:szCs w:val="16"/>
                <w:b w:val="1"/>
                <w:bCs w:val="1"/>
                <w:color w:val="auto"/>
              </w:rPr>
              <w:t>6.00 – 6.25</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2.56 – 4.33</w:t>
            </w: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w:t>
            </w:r>
          </w:p>
        </w:tc>
        <w:tc>
          <w:tcPr>
            <w:tcW w:w="178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b w:val="1"/>
                <w:bCs w:val="1"/>
                <w:color w:val="auto"/>
              </w:rPr>
              <w:t>$16.17 – $19.68</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$14.67 – $20.26</w:t>
            </w: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determined the expected option life of all service-based stock option grants using the simplified method, determined based on the graded vesting term plus the contractual term of the options, divided by two. We use the simplified method because we believe that our historical data does not provide a reasonable basis upon which to estimate expected option life.</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weighted average grant date fair value of stock options granted per share, the total intrinsic value of stock options exercised and the grant date fair value of stock options that vested during the years ended December 31:</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9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 except per share data)</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9"/>
              </w:rPr>
              <w:t>Weighted average grant date fair value of stock options granted per share</w:t>
            </w: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875"/>
              <w:spacing w:after="0"/>
              <w:rPr>
                <w:sz w:val="20"/>
                <w:szCs w:val="20"/>
                <w:color w:val="auto"/>
              </w:rPr>
            </w:pPr>
            <w:r>
              <w:rPr>
                <w:rFonts w:ascii="Arial" w:cs="Arial" w:eastAsia="Arial" w:hAnsi="Arial"/>
                <w:sz w:val="18"/>
                <w:szCs w:val="18"/>
                <w:color w:val="auto"/>
              </w:rPr>
              <w:t>$</w:t>
            </w:r>
          </w:p>
        </w:tc>
        <w:tc>
          <w:tcPr>
            <w:tcW w:w="2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gridSpan w:val="2"/>
          </w:tcPr>
          <w:p>
            <w:pPr>
              <w:ind w:left="20"/>
              <w:spacing w:after="0"/>
              <w:rPr>
                <w:sz w:val="20"/>
                <w:szCs w:val="20"/>
                <w:color w:val="auto"/>
              </w:rPr>
            </w:pPr>
            <w:r>
              <w:rPr>
                <w:rFonts w:ascii="Arial" w:cs="Arial" w:eastAsia="Arial" w:hAnsi="Arial"/>
                <w:sz w:val="18"/>
                <w:szCs w:val="18"/>
                <w:color w:val="auto"/>
              </w:rPr>
              <w:t>Intrinsic value of options exercised</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gridSpan w:val="3"/>
          </w:tcPr>
          <w:p>
            <w:pPr>
              <w:jc w:val="right"/>
              <w:ind w:right="8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Grant date fair value of stock options that vested</w:t>
            </w: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2,730</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3,053</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3"/>
        </w:trPr>
        <w:tc>
          <w:tcPr>
            <w:tcW w:w="5300" w:type="dxa"/>
            <w:vAlign w:val="bottom"/>
            <w:gridSpan w:val="2"/>
          </w:tcPr>
          <w:p>
            <w:pPr>
              <w:spacing w:after="0"/>
              <w:rPr>
                <w:sz w:val="20"/>
                <w:szCs w:val="20"/>
                <w:color w:val="auto"/>
              </w:rPr>
            </w:pPr>
            <w:r>
              <w:rPr>
                <w:rFonts w:ascii="Arial" w:cs="Arial" w:eastAsia="Arial" w:hAnsi="Arial"/>
                <w:sz w:val="18"/>
                <w:szCs w:val="18"/>
                <w:color w:val="auto"/>
                <w:w w:val="92"/>
              </w:rPr>
              <w:t>The following table summarizes the activity related to our stock options:</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w w:val="93"/>
              </w:rPr>
              <w:t>Weighted average</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Weighted average</w:t>
            </w:r>
          </w:p>
        </w:tc>
        <w:tc>
          <w:tcPr>
            <w:tcW w:w="240" w:type="dxa"/>
            <w:vAlign w:val="bottom"/>
          </w:tcPr>
          <w:p>
            <w:pPr>
              <w:spacing w:after="0"/>
              <w:rPr>
                <w:sz w:val="21"/>
                <w:szCs w:val="21"/>
                <w:color w:val="auto"/>
              </w:rPr>
            </w:pPr>
          </w:p>
        </w:tc>
        <w:tc>
          <w:tcPr>
            <w:tcW w:w="118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Aggregate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3"/>
              </w:rPr>
              <w:t>Number of options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3"/>
          </w:tcPr>
          <w:p>
            <w:pPr>
              <w:jc w:val="center"/>
              <w:ind w:right="200"/>
              <w:spacing w:after="0" w:line="135" w:lineRule="exact"/>
              <w:rPr>
                <w:sz w:val="20"/>
                <w:szCs w:val="20"/>
                <w:color w:val="auto"/>
              </w:rPr>
            </w:pPr>
            <w:r>
              <w:rPr>
                <w:rFonts w:ascii="Arial" w:cs="Arial" w:eastAsia="Arial" w:hAnsi="Arial"/>
                <w:sz w:val="14"/>
                <w:szCs w:val="14"/>
                <w:b w:val="1"/>
                <w:bCs w:val="1"/>
                <w:color w:val="auto"/>
                <w:w w:val="94"/>
              </w:rPr>
              <w:t>contractual term</w:t>
            </w:r>
          </w:p>
        </w:tc>
        <w:tc>
          <w:tcPr>
            <w:tcW w:w="240" w:type="dxa"/>
            <w:vAlign w:val="bottom"/>
          </w:tcPr>
          <w:p>
            <w:pPr>
              <w:spacing w:after="0"/>
              <w:rPr>
                <w:sz w:val="11"/>
                <w:szCs w:val="11"/>
                <w:color w:val="auto"/>
              </w:rPr>
            </w:pPr>
          </w:p>
        </w:tc>
        <w:tc>
          <w:tcPr>
            <w:tcW w:w="1180" w:type="dxa"/>
            <w:vAlign w:val="bottom"/>
          </w:tcPr>
          <w:p>
            <w:pPr>
              <w:jc w:val="center"/>
              <w:ind w:right="136"/>
              <w:spacing w:after="0" w:line="135" w:lineRule="exact"/>
              <w:rPr>
                <w:sz w:val="20"/>
                <w:szCs w:val="20"/>
                <w:color w:val="auto"/>
              </w:rPr>
            </w:pPr>
            <w:r>
              <w:rPr>
                <w:rFonts w:ascii="Arial" w:cs="Arial" w:eastAsia="Arial" w:hAnsi="Arial"/>
                <w:sz w:val="14"/>
                <w:szCs w:val="14"/>
                <w:b w:val="1"/>
                <w:bCs w:val="1"/>
                <w:color w:val="auto"/>
                <w:w w:val="93"/>
              </w:rPr>
              <w:t>intrinsic value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155"/>
              <w:spacing w:after="0"/>
              <w:rPr>
                <w:sz w:val="20"/>
                <w:szCs w:val="20"/>
                <w:color w:val="auto"/>
              </w:rPr>
            </w:pPr>
            <w:r>
              <w:rPr>
                <w:rFonts w:ascii="Arial" w:cs="Arial" w:eastAsia="Arial" w:hAnsi="Arial"/>
                <w:sz w:val="14"/>
                <w:szCs w:val="14"/>
                <w:b w:val="1"/>
                <w:bCs w:val="1"/>
                <w:color w:val="auto"/>
              </w:rPr>
              <w:t>exercise price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4"/>
                <w:szCs w:val="14"/>
                <w:b w:val="1"/>
                <w:bCs w:val="1"/>
                <w:i w:val="1"/>
                <w:iCs w:val="1"/>
                <w:color w:val="auto"/>
                <w:w w:val="89"/>
              </w:rPr>
              <w:t>(in years)</w:t>
            </w:r>
          </w:p>
        </w:tc>
        <w:tc>
          <w:tcPr>
            <w:tcW w:w="240" w:type="dxa"/>
            <w:vAlign w:val="bottom"/>
          </w:tcPr>
          <w:p>
            <w:pPr>
              <w:spacing w:after="0"/>
              <w:rPr>
                <w:sz w:val="16"/>
                <w:szCs w:val="16"/>
                <w:color w:val="auto"/>
              </w:rPr>
            </w:pPr>
          </w:p>
        </w:tc>
        <w:tc>
          <w:tcPr>
            <w:tcW w:w="1180" w:type="dxa"/>
            <w:vAlign w:val="bottom"/>
          </w:tcPr>
          <w:p>
            <w:pPr>
              <w:jc w:val="center"/>
              <w:ind w:right="116"/>
              <w:spacing w:after="0"/>
              <w:rPr>
                <w:sz w:val="20"/>
                <w:szCs w:val="20"/>
                <w:color w:val="auto"/>
              </w:rPr>
            </w:pPr>
            <w:r>
              <w:rPr>
                <w:rFonts w:ascii="Arial" w:cs="Arial" w:eastAsia="Arial" w:hAnsi="Arial"/>
                <w:sz w:val="14"/>
                <w:szCs w:val="14"/>
                <w:b w:val="1"/>
                <w:bCs w:val="1"/>
                <w:i w:val="1"/>
                <w:iCs w:val="1"/>
                <w:color w:val="auto"/>
                <w:w w:val="89"/>
              </w:rPr>
              <w:t>(in thousands)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2019</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1,468,046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gridSpan w:val="2"/>
          </w:tcPr>
          <w:p>
            <w:pPr>
              <w:ind w:left="20"/>
              <w:spacing w:after="0"/>
              <w:rPr>
                <w:sz w:val="20"/>
                <w:szCs w:val="20"/>
                <w:color w:val="auto"/>
              </w:rPr>
            </w:pPr>
            <w:r>
              <w:rPr>
                <w:rFonts w:ascii="Arial" w:cs="Arial" w:eastAsia="Arial" w:hAnsi="Arial"/>
                <w:sz w:val="18"/>
                <w:szCs w:val="18"/>
                <w:color w:val="auto"/>
              </w:rPr>
              <w:t>Forfeited</w:t>
            </w:r>
          </w:p>
        </w:tc>
        <w:tc>
          <w:tcPr>
            <w:tcW w:w="1320" w:type="dxa"/>
            <w:vAlign w:val="bottom"/>
          </w:tcPr>
          <w:p>
            <w:pPr>
              <w:jc w:val="right"/>
              <w:spacing w:after="0"/>
              <w:rPr>
                <w:sz w:val="20"/>
                <w:szCs w:val="20"/>
                <w:color w:val="auto"/>
              </w:rPr>
            </w:pPr>
            <w:r>
              <w:rPr>
                <w:rFonts w:ascii="Arial" w:cs="Arial" w:eastAsia="Arial" w:hAnsi="Arial"/>
                <w:sz w:val="18"/>
                <w:szCs w:val="18"/>
                <w:color w:val="auto"/>
              </w:rPr>
              <w:t>(568,132)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24.00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00" w:type="dxa"/>
            <w:vAlign w:val="bottom"/>
            <w:gridSpan w:val="2"/>
          </w:tcPr>
          <w:p>
            <w:pPr>
              <w:ind w:left="20"/>
              <w:spacing w:after="0"/>
              <w:rPr>
                <w:sz w:val="20"/>
                <w:szCs w:val="20"/>
                <w:color w:val="auto"/>
              </w:rPr>
            </w:pPr>
            <w:r>
              <w:rPr>
                <w:rFonts w:ascii="Arial" w:cs="Arial" w:eastAsia="Arial" w:hAnsi="Arial"/>
                <w:sz w:val="18"/>
                <w:szCs w:val="18"/>
                <w:color w:val="auto"/>
              </w:rPr>
              <w:t>Outstanding as of December 31, 2020</w:t>
            </w:r>
          </w:p>
        </w:tc>
        <w:tc>
          <w:tcPr>
            <w:tcW w:w="1320" w:type="dxa"/>
            <w:vAlign w:val="bottom"/>
          </w:tcPr>
          <w:p>
            <w:pPr>
              <w:jc w:val="right"/>
              <w:spacing w:after="0"/>
              <w:rPr>
                <w:sz w:val="20"/>
                <w:szCs w:val="20"/>
                <w:color w:val="auto"/>
              </w:rPr>
            </w:pPr>
            <w:r>
              <w:rPr>
                <w:rFonts w:ascii="Arial" w:cs="Arial" w:eastAsia="Arial" w:hAnsi="Arial"/>
                <w:sz w:val="18"/>
                <w:szCs w:val="18"/>
                <w:color w:val="auto"/>
              </w:rPr>
              <w:t>899,914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32.47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300" w:type="dxa"/>
            <w:vAlign w:val="bottom"/>
            <w:gridSpan w:val="2"/>
          </w:tcPr>
          <w:p>
            <w:pPr>
              <w:ind w:left="20"/>
              <w:spacing w:after="0"/>
              <w:rPr>
                <w:sz w:val="20"/>
                <w:szCs w:val="20"/>
                <w:color w:val="auto"/>
              </w:rPr>
            </w:pPr>
            <w:r>
              <w:rPr>
                <w:rFonts w:ascii="Arial" w:cs="Arial" w:eastAsia="Arial" w:hAnsi="Arial"/>
                <w:sz w:val="18"/>
                <w:szCs w:val="18"/>
                <w:color w:val="auto"/>
              </w:rPr>
              <w:t>Exercisable as of December 31, 2020</w:t>
            </w:r>
          </w:p>
        </w:tc>
        <w:tc>
          <w:tcPr>
            <w:tcW w:w="1320" w:type="dxa"/>
            <w:vAlign w:val="bottom"/>
          </w:tcPr>
          <w:p>
            <w:pPr>
              <w:jc w:val="right"/>
              <w:spacing w:after="0"/>
              <w:rPr>
                <w:sz w:val="20"/>
                <w:szCs w:val="20"/>
                <w:color w:val="auto"/>
              </w:rPr>
            </w:pPr>
            <w:r>
              <w:rPr>
                <w:rFonts w:ascii="Arial" w:cs="Arial" w:eastAsia="Arial" w:hAnsi="Arial"/>
                <w:sz w:val="18"/>
                <w:szCs w:val="18"/>
                <w:color w:val="auto"/>
              </w:rPr>
              <w:t>557,620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28.69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2018, the Company modified the performance thresholds that are required to be met in order for vesting to occur for 263 thousand stock options granted to 16 employees during the year ended December 31, 2018. The award modification did not change the inputs into the valuation model or the Company’s assessment of the probability of vesting as of the effective date of the modifications. Consequently, no incremental compensation expense was required as a result of this modification.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as of December 31, 2020:</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92"/>
              </w:rPr>
              <w:t>Options outstanding</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0"/>
              </w:rPr>
              <w:t>Options exercisable</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Weighted average</w:t>
            </w: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Weighted average</w:t>
            </w: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remaining</w:t>
            </w:r>
          </w:p>
        </w:tc>
        <w:tc>
          <w:tcPr>
            <w:tcW w:w="14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Weighted average</w:t>
            </w: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remaining</w:t>
            </w:r>
          </w:p>
        </w:tc>
        <w:tc>
          <w:tcPr>
            <w:tcW w:w="1300" w:type="dxa"/>
            <w:vAlign w:val="bottom"/>
            <w:gridSpan w:val="2"/>
            <w:vMerge w:val="restart"/>
          </w:tcPr>
          <w:p>
            <w:pPr>
              <w:jc w:val="right"/>
              <w:ind w:right="13"/>
              <w:spacing w:after="0"/>
              <w:rPr>
                <w:sz w:val="20"/>
                <w:szCs w:val="20"/>
                <w:color w:val="auto"/>
              </w:rPr>
            </w:pPr>
            <w:r>
              <w:rPr>
                <w:rFonts w:ascii="Arial" w:cs="Arial" w:eastAsia="Arial" w:hAnsi="Arial"/>
                <w:sz w:val="14"/>
                <w:szCs w:val="14"/>
                <w:b w:val="1"/>
                <w:bCs w:val="1"/>
                <w:color w:val="auto"/>
                <w:w w:val="98"/>
              </w:rPr>
              <w:t>Weighted average</w:t>
            </w:r>
          </w:p>
        </w:tc>
        <w:tc>
          <w:tcPr>
            <w:tcW w:w="0" w:type="dxa"/>
            <w:vAlign w:val="bottom"/>
          </w:tcPr>
          <w:p>
            <w:pPr>
              <w:spacing w:after="0"/>
              <w:rPr>
                <w:sz w:val="1"/>
                <w:szCs w:val="1"/>
                <w:color w:val="auto"/>
              </w:rPr>
            </w:pPr>
          </w:p>
        </w:tc>
      </w:tr>
      <w:tr>
        <w:trPr>
          <w:trHeight w:val="135"/>
        </w:trPr>
        <w:tc>
          <w:tcPr>
            <w:tcW w:w="2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Exercise price range </w:t>
            </w:r>
            <w:r>
              <w:rPr>
                <w:rFonts w:ascii="Arial" w:cs="Arial" w:eastAsia="Arial" w:hAnsi="Arial"/>
                <w:sz w:val="18"/>
                <w:szCs w:val="18"/>
                <w:b w:val="1"/>
                <w:bCs w:val="1"/>
                <w:color w:val="auto"/>
                <w:vertAlign w:val="superscript"/>
              </w:rPr>
              <w:t>(1)</w:t>
            </w:r>
          </w:p>
        </w:tc>
        <w:tc>
          <w:tcPr>
            <w:tcW w:w="130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1"/>
                <w:szCs w:val="11"/>
                <w:color w:val="auto"/>
              </w:rPr>
            </w:pPr>
          </w:p>
        </w:tc>
        <w:tc>
          <w:tcPr>
            <w:tcW w:w="14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 xml:space="preserve">contractual life </w:t>
            </w:r>
            <w:r>
              <w:rPr>
                <w:rFonts w:ascii="Arial" w:cs="Arial" w:eastAsia="Arial" w:hAnsi="Arial"/>
                <w:sz w:val="14"/>
                <w:szCs w:val="14"/>
                <w:b w:val="1"/>
                <w:bCs w:val="1"/>
                <w:i w:val="1"/>
                <w:iCs w:val="1"/>
                <w:color w:val="auto"/>
                <w:w w:val="94"/>
              </w:rPr>
              <w:t>(in</w:t>
            </w:r>
          </w:p>
        </w:tc>
        <w:tc>
          <w:tcPr>
            <w:tcW w:w="1420" w:type="dxa"/>
            <w:vAlign w:val="bottom"/>
            <w:gridSpan w:val="3"/>
            <w:vMerge w:val="continue"/>
          </w:tcPr>
          <w:p>
            <w:pPr>
              <w:spacing w:after="0"/>
              <w:rPr>
                <w:sz w:val="11"/>
                <w:szCs w:val="11"/>
                <w:color w:val="auto"/>
              </w:rPr>
            </w:pPr>
          </w:p>
        </w:tc>
        <w:tc>
          <w:tcPr>
            <w:tcW w:w="132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1"/>
                <w:szCs w:val="11"/>
                <w:color w:val="auto"/>
              </w:rPr>
            </w:pPr>
          </w:p>
        </w:tc>
        <w:tc>
          <w:tcPr>
            <w:tcW w:w="14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 xml:space="preserve">contractual life </w:t>
            </w:r>
            <w:r>
              <w:rPr>
                <w:rFonts w:ascii="Arial" w:cs="Arial" w:eastAsia="Arial" w:hAnsi="Arial"/>
                <w:sz w:val="14"/>
                <w:szCs w:val="14"/>
                <w:b w:val="1"/>
                <w:bCs w:val="1"/>
                <w:i w:val="1"/>
                <w:iCs w:val="1"/>
                <w:color w:val="auto"/>
                <w:w w:val="94"/>
              </w:rPr>
              <w:t>(in</w:t>
            </w:r>
          </w:p>
        </w:tc>
        <w:tc>
          <w:tcPr>
            <w:tcW w:w="13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800" w:type="dxa"/>
            <w:vAlign w:val="bottom"/>
            <w:gridSpan w:val="3"/>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i w:val="1"/>
                <w:iCs w:val="1"/>
                <w:color w:val="auto"/>
                <w:w w:val="87"/>
              </w:rPr>
              <w:t>years)</w:t>
            </w:r>
          </w:p>
        </w:tc>
        <w:tc>
          <w:tcPr>
            <w:tcW w:w="18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exercise price</w:t>
            </w: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4"/>
                <w:szCs w:val="14"/>
                <w:b w:val="1"/>
                <w:bCs w:val="1"/>
                <w:i w:val="1"/>
                <w:iCs w:val="1"/>
                <w:color w:val="auto"/>
                <w:w w:val="87"/>
              </w:rPr>
              <w:t>years)</w:t>
            </w:r>
          </w:p>
        </w:tc>
        <w:tc>
          <w:tcPr>
            <w:tcW w:w="160" w:type="dxa"/>
            <w:vAlign w:val="bottom"/>
          </w:tcPr>
          <w:p>
            <w:pPr>
              <w:spacing w:after="0"/>
              <w:rPr>
                <w:sz w:val="16"/>
                <w:szCs w:val="16"/>
                <w:color w:val="auto"/>
              </w:rPr>
            </w:pPr>
          </w:p>
        </w:tc>
        <w:tc>
          <w:tcPr>
            <w:tcW w:w="1140" w:type="dxa"/>
            <w:vAlign w:val="bottom"/>
          </w:tcPr>
          <w:p>
            <w:pPr>
              <w:jc w:val="right"/>
              <w:ind w:right="153"/>
              <w:spacing w:after="0"/>
              <w:rPr>
                <w:sz w:val="20"/>
                <w:szCs w:val="20"/>
                <w:color w:val="auto"/>
              </w:rPr>
            </w:pPr>
            <w:r>
              <w:rPr>
                <w:rFonts w:ascii="Arial" w:cs="Arial" w:eastAsia="Arial" w:hAnsi="Arial"/>
                <w:sz w:val="14"/>
                <w:szCs w:val="14"/>
                <w:b w:val="1"/>
                <w:bCs w:val="1"/>
                <w:color w:val="auto"/>
                <w:w w:val="94"/>
              </w:rPr>
              <w:t>exercise price</w:t>
            </w:r>
          </w:p>
        </w:tc>
        <w:tc>
          <w:tcPr>
            <w:tcW w:w="0" w:type="dxa"/>
            <w:vAlign w:val="bottom"/>
          </w:tcPr>
          <w:p>
            <w:pPr>
              <w:spacing w:after="0"/>
              <w:rPr>
                <w:sz w:val="1"/>
                <w:szCs w:val="1"/>
                <w:color w:val="auto"/>
              </w:rPr>
            </w:pPr>
          </w:p>
        </w:tc>
      </w:tr>
      <w:tr>
        <w:trPr>
          <w:trHeight w:val="196"/>
        </w:trPr>
        <w:tc>
          <w:tcPr>
            <w:tcW w:w="520" w:type="dxa"/>
            <w:vAlign w:val="bottom"/>
            <w:tcBorders>
              <w:top w:val="single" w:sz="8" w:color="auto"/>
            </w:tcBorders>
          </w:tcPr>
          <w:p>
            <w:pPr>
              <w:spacing w:after="0"/>
              <w:rPr>
                <w:sz w:val="17"/>
                <w:szCs w:val="17"/>
                <w:color w:val="auto"/>
              </w:rPr>
            </w:pPr>
          </w:p>
        </w:tc>
        <w:tc>
          <w:tcPr>
            <w:tcW w:w="2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$10.01 — $20.00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150,038</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0" w:type="dxa"/>
            <w:vAlign w:val="bottom"/>
          </w:tcPr>
          <w:p>
            <w:pPr>
              <w:spacing w:after="0"/>
              <w:rPr>
                <w:sz w:val="1"/>
                <w:szCs w:val="1"/>
                <w:color w:val="auto"/>
              </w:rPr>
            </w:pPr>
          </w:p>
        </w:tc>
      </w:tr>
      <w:tr>
        <w:trPr>
          <w:trHeight w:val="229"/>
        </w:trPr>
        <w:tc>
          <w:tcPr>
            <w:tcW w:w="2800" w:type="dxa"/>
            <w:vAlign w:val="bottom"/>
            <w:gridSpan w:val="3"/>
          </w:tcPr>
          <w:p>
            <w:pPr>
              <w:spacing w:after="0"/>
              <w:rPr>
                <w:sz w:val="20"/>
                <w:szCs w:val="20"/>
                <w:color w:val="auto"/>
              </w:rPr>
            </w:pPr>
            <w:r>
              <w:rPr>
                <w:rFonts w:ascii="Arial" w:cs="Arial" w:eastAsia="Arial" w:hAnsi="Arial"/>
                <w:sz w:val="18"/>
                <w:szCs w:val="18"/>
                <w:color w:val="auto"/>
              </w:rPr>
              <w:t>$20.01 — $30.00</w:t>
            </w:r>
          </w:p>
        </w:tc>
        <w:tc>
          <w:tcPr>
            <w:tcW w:w="1300" w:type="dxa"/>
            <w:vAlign w:val="bottom"/>
          </w:tcPr>
          <w:p>
            <w:pPr>
              <w:jc w:val="right"/>
              <w:spacing w:after="0"/>
              <w:rPr>
                <w:sz w:val="20"/>
                <w:szCs w:val="20"/>
                <w:color w:val="auto"/>
              </w:rPr>
            </w:pPr>
            <w:r>
              <w:rPr>
                <w:rFonts w:ascii="Arial" w:cs="Arial" w:eastAsia="Arial" w:hAnsi="Arial"/>
                <w:sz w:val="18"/>
                <w:szCs w:val="18"/>
                <w:color w:val="auto"/>
              </w:rPr>
              <w:t>548,348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25.19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324,937</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5.77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25.19</w:t>
            </w:r>
          </w:p>
        </w:tc>
        <w:tc>
          <w:tcPr>
            <w:tcW w:w="0" w:type="dxa"/>
            <w:vAlign w:val="bottom"/>
          </w:tcPr>
          <w:p>
            <w:pPr>
              <w:spacing w:after="0"/>
              <w:rPr>
                <w:sz w:val="1"/>
                <w:szCs w:val="1"/>
                <w:color w:val="auto"/>
              </w:rPr>
            </w:pPr>
          </w:p>
        </w:tc>
      </w:tr>
      <w:tr>
        <w:trPr>
          <w:trHeight w:val="230"/>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w w:val="90"/>
              </w:rPr>
              <w:t>$30.01</w:t>
            </w:r>
          </w:p>
        </w:tc>
        <w:tc>
          <w:tcPr>
            <w:tcW w:w="2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$40.00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68,866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21,270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33.32</w:t>
            </w:r>
          </w:p>
        </w:tc>
        <w:tc>
          <w:tcPr>
            <w:tcW w:w="0" w:type="dxa"/>
            <w:vAlign w:val="bottom"/>
          </w:tcPr>
          <w:p>
            <w:pPr>
              <w:spacing w:after="0"/>
              <w:rPr>
                <w:sz w:val="1"/>
                <w:szCs w:val="1"/>
                <w:color w:val="auto"/>
              </w:rPr>
            </w:pPr>
          </w:p>
        </w:tc>
      </w:tr>
      <w:tr>
        <w:trPr>
          <w:trHeight w:val="229"/>
        </w:trPr>
        <w:tc>
          <w:tcPr>
            <w:tcW w:w="520" w:type="dxa"/>
            <w:vAlign w:val="bottom"/>
          </w:tcPr>
          <w:p>
            <w:pPr>
              <w:spacing w:after="0"/>
              <w:rPr>
                <w:sz w:val="20"/>
                <w:szCs w:val="20"/>
                <w:color w:val="auto"/>
              </w:rPr>
            </w:pPr>
            <w:r>
              <w:rPr>
                <w:rFonts w:ascii="Arial" w:cs="Arial" w:eastAsia="Arial" w:hAnsi="Arial"/>
                <w:sz w:val="18"/>
                <w:szCs w:val="18"/>
                <w:color w:val="auto"/>
                <w:w w:val="90"/>
              </w:rPr>
              <w:t>$60.01</w:t>
            </w:r>
          </w:p>
        </w:tc>
        <w:tc>
          <w:tcPr>
            <w:tcW w:w="2280" w:type="dxa"/>
            <w:vAlign w:val="bottom"/>
            <w:gridSpan w:val="2"/>
          </w:tcPr>
          <w:p>
            <w:pPr>
              <w:ind w:left="20"/>
              <w:spacing w:after="0"/>
              <w:rPr>
                <w:sz w:val="20"/>
                <w:szCs w:val="20"/>
                <w:color w:val="auto"/>
              </w:rPr>
            </w:pPr>
            <w:r>
              <w:rPr>
                <w:rFonts w:ascii="Arial" w:cs="Arial" w:eastAsia="Arial" w:hAnsi="Arial"/>
                <w:sz w:val="18"/>
                <w:szCs w:val="18"/>
                <w:color w:val="auto"/>
              </w:rPr>
              <w:t>— $70.00</w:t>
            </w:r>
          </w:p>
        </w:tc>
        <w:tc>
          <w:tcPr>
            <w:tcW w:w="1300" w:type="dxa"/>
            <w:vAlign w:val="bottom"/>
          </w:tcPr>
          <w:p>
            <w:pPr>
              <w:jc w:val="right"/>
              <w:spacing w:after="0"/>
              <w:rPr>
                <w:sz w:val="20"/>
                <w:szCs w:val="20"/>
                <w:color w:val="auto"/>
              </w:rPr>
            </w:pPr>
            <w:r>
              <w:rPr>
                <w:rFonts w:ascii="Arial" w:cs="Arial" w:eastAsia="Arial" w:hAnsi="Arial"/>
                <w:sz w:val="18"/>
                <w:szCs w:val="18"/>
                <w:color w:val="auto"/>
              </w:rPr>
              <w:t>58,500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60.76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43,875</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60.76</w:t>
            </w:r>
          </w:p>
        </w:tc>
        <w:tc>
          <w:tcPr>
            <w:tcW w:w="0" w:type="dxa"/>
            <w:vAlign w:val="bottom"/>
          </w:tcPr>
          <w:p>
            <w:pPr>
              <w:spacing w:after="0"/>
              <w:rPr>
                <w:sz w:val="1"/>
                <w:szCs w:val="1"/>
                <w:color w:val="auto"/>
              </w:rPr>
            </w:pPr>
          </w:p>
        </w:tc>
      </w:tr>
      <w:tr>
        <w:trPr>
          <w:trHeight w:val="230"/>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w w:val="90"/>
              </w:rPr>
              <w:t>$80.01</w:t>
            </w:r>
          </w:p>
        </w:tc>
        <w:tc>
          <w:tcPr>
            <w:tcW w:w="2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$90.00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86.69</w:t>
            </w:r>
          </w:p>
        </w:tc>
        <w:tc>
          <w:tcPr>
            <w:tcW w:w="0" w:type="dxa"/>
            <w:vAlign w:val="bottom"/>
          </w:tcPr>
          <w:p>
            <w:pPr>
              <w:spacing w:after="0"/>
              <w:rPr>
                <w:sz w:val="1"/>
                <w:szCs w:val="1"/>
                <w:color w:val="auto"/>
              </w:rPr>
            </w:pPr>
          </w:p>
        </w:tc>
      </w:tr>
      <w:tr>
        <w:trPr>
          <w:trHeight w:val="229"/>
        </w:trPr>
        <w:tc>
          <w:tcPr>
            <w:tcW w:w="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0"/>
              </w:rPr>
              <w:t>$90.01</w:t>
            </w:r>
          </w:p>
        </w:tc>
        <w:tc>
          <w:tcPr>
            <w:tcW w:w="22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 $100.00</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45,000</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95.67</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11,250</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95.67</w:t>
            </w:r>
          </w:p>
        </w:tc>
        <w:tc>
          <w:tcPr>
            <w:tcW w:w="0" w:type="dxa"/>
            <w:vAlign w:val="bottom"/>
          </w:tcPr>
          <w:p>
            <w:pPr>
              <w:spacing w:after="0"/>
              <w:rPr>
                <w:sz w:val="1"/>
                <w:szCs w:val="1"/>
                <w:color w:val="auto"/>
              </w:rPr>
            </w:pPr>
          </w:p>
        </w:tc>
      </w:tr>
      <w:tr>
        <w:trPr>
          <w:trHeight w:val="196"/>
        </w:trPr>
        <w:tc>
          <w:tcPr>
            <w:tcW w:w="52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899,914</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557,620</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w:t>
      </w:r>
    </w:p>
    <w:p>
      <w:pPr>
        <w:spacing w:after="0" w:line="29" w:lineRule="exact"/>
        <w:rPr>
          <w:sz w:val="20"/>
          <w:szCs w:val="20"/>
          <w:color w:val="auto"/>
        </w:rPr>
      </w:pPr>
    </w:p>
    <w:p>
      <w:pPr>
        <w:ind w:left="260" w:hanging="252"/>
        <w:spacing w:after="0"/>
        <w:tabs>
          <w:tab w:leader="none" w:pos="260" w:val="left"/>
        </w:tabs>
        <w:numPr>
          <w:ilvl w:val="0"/>
          <w:numId w:val="43"/>
        </w:numPr>
        <w:rPr>
          <w:rFonts w:ascii="Arial" w:cs="Arial" w:eastAsia="Arial" w:hAnsi="Arial"/>
          <w:sz w:val="23"/>
          <w:szCs w:val="23"/>
          <w:color w:val="auto"/>
          <w:vertAlign w:val="superscript"/>
        </w:rPr>
      </w:pPr>
      <w:r>
        <w:rPr>
          <w:rFonts w:ascii="Arial" w:cs="Arial" w:eastAsia="Arial" w:hAnsi="Arial"/>
          <w:sz w:val="18"/>
          <w:szCs w:val="18"/>
          <w:color w:val="auto"/>
        </w:rPr>
        <w:t>These options contain market-based and performance-based components as described above.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market prices necessary in order for the market-based options to begin to vest:</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40" w:type="dxa"/>
            <w:vAlign w:val="bottom"/>
          </w:tcPr>
          <w:p>
            <w:pPr>
              <w:spacing w:after="0"/>
              <w:rPr>
                <w:sz w:val="16"/>
                <w:szCs w:val="16"/>
                <w:color w:val="auto"/>
              </w:rPr>
            </w:pPr>
          </w:p>
        </w:tc>
        <w:tc>
          <w:tcPr>
            <w:tcW w:w="7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813"/>
              <w:spacing w:after="0"/>
              <w:rPr>
                <w:sz w:val="20"/>
                <w:szCs w:val="20"/>
                <w:color w:val="auto"/>
              </w:rPr>
            </w:pPr>
            <w:r>
              <w:rPr>
                <w:rFonts w:ascii="Arial" w:cs="Arial" w:eastAsia="Arial" w:hAnsi="Arial"/>
                <w:sz w:val="14"/>
                <w:szCs w:val="14"/>
                <w:b w:val="1"/>
                <w:bCs w:val="1"/>
                <w:color w:val="auto"/>
              </w:rPr>
              <w:t>Market-based options</w:t>
            </w:r>
          </w:p>
        </w:tc>
        <w:tc>
          <w:tcPr>
            <w:tcW w:w="0" w:type="dxa"/>
            <w:vAlign w:val="bottom"/>
          </w:tcPr>
          <w:p>
            <w:pPr>
              <w:spacing w:after="0"/>
              <w:rPr>
                <w:sz w:val="1"/>
                <w:szCs w:val="1"/>
                <w:color w:val="auto"/>
              </w:rPr>
            </w:pPr>
          </w:p>
        </w:tc>
      </w:tr>
      <w:tr>
        <w:trPr>
          <w:trHeight w:val="135"/>
        </w:trPr>
        <w:tc>
          <w:tcPr>
            <w:tcW w:w="8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Vesting price</w:t>
            </w:r>
          </w:p>
        </w:tc>
        <w:tc>
          <w:tcPr>
            <w:tcW w:w="16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Ordinary performance</w:t>
            </w:r>
          </w:p>
        </w:tc>
        <w:tc>
          <w:tcPr>
            <w:tcW w:w="220" w:type="dxa"/>
            <w:vAlign w:val="bottom"/>
          </w:tcPr>
          <w:p>
            <w:pPr>
              <w:spacing w:after="0"/>
              <w:rPr>
                <w:sz w:val="11"/>
                <w:szCs w:val="11"/>
                <w:color w:val="auto"/>
              </w:rPr>
            </w:pPr>
          </w:p>
        </w:tc>
        <w:tc>
          <w:tcPr>
            <w:tcW w:w="1300" w:type="dxa"/>
            <w:vAlign w:val="bottom"/>
          </w:tcPr>
          <w:p>
            <w:pPr>
              <w:jc w:val="right"/>
              <w:ind w:right="213"/>
              <w:spacing w:after="0" w:line="135" w:lineRule="exact"/>
              <w:rPr>
                <w:sz w:val="20"/>
                <w:szCs w:val="20"/>
                <w:color w:val="auto"/>
              </w:rPr>
            </w:pPr>
            <w:r>
              <w:rPr>
                <w:rFonts w:ascii="Arial" w:cs="Arial" w:eastAsia="Arial" w:hAnsi="Arial"/>
                <w:sz w:val="14"/>
                <w:szCs w:val="14"/>
                <w:b w:val="1"/>
                <w:bCs w:val="1"/>
                <w:color w:val="auto"/>
              </w:rPr>
              <w:t>Extraordinary</w:t>
            </w:r>
          </w:p>
        </w:tc>
        <w:tc>
          <w:tcPr>
            <w:tcW w:w="0" w:type="dxa"/>
            <w:vAlign w:val="bottom"/>
          </w:tcPr>
          <w:p>
            <w:pPr>
              <w:spacing w:after="0"/>
              <w:rPr>
                <w:sz w:val="1"/>
                <w:szCs w:val="1"/>
                <w:color w:val="auto"/>
              </w:rPr>
            </w:pPr>
          </w:p>
        </w:tc>
      </w:tr>
      <w:tr>
        <w:trPr>
          <w:trHeight w:val="188"/>
        </w:trPr>
        <w:tc>
          <w:tcPr>
            <w:tcW w:w="8040" w:type="dxa"/>
            <w:vAlign w:val="bottom"/>
            <w:gridSpan w:val="3"/>
            <w:vMerge w:val="continue"/>
          </w:tcPr>
          <w:p>
            <w:pPr>
              <w:spacing w:after="0"/>
              <w:rPr>
                <w:sz w:val="16"/>
                <w:szCs w:val="16"/>
                <w:color w:val="auto"/>
              </w:rPr>
            </w:pPr>
          </w:p>
        </w:tc>
        <w:tc>
          <w:tcPr>
            <w:tcW w:w="164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ind w:right="273"/>
              <w:spacing w:after="0"/>
              <w:rPr>
                <w:sz w:val="20"/>
                <w:szCs w:val="20"/>
                <w:color w:val="auto"/>
              </w:rPr>
            </w:pPr>
            <w:r>
              <w:rPr>
                <w:rFonts w:ascii="Arial" w:cs="Arial" w:eastAsia="Arial" w:hAnsi="Arial"/>
                <w:sz w:val="14"/>
                <w:szCs w:val="14"/>
                <w:b w:val="1"/>
                <w:bCs w:val="1"/>
                <w:color w:val="auto"/>
              </w:rPr>
              <w:t>performance</w:t>
            </w:r>
          </w:p>
        </w:tc>
        <w:tc>
          <w:tcPr>
            <w:tcW w:w="0" w:type="dxa"/>
            <w:vAlign w:val="bottom"/>
          </w:tcPr>
          <w:p>
            <w:pPr>
              <w:spacing w:after="0"/>
              <w:rPr>
                <w:sz w:val="1"/>
                <w:szCs w:val="1"/>
                <w:color w:val="auto"/>
              </w:rPr>
            </w:pPr>
          </w:p>
        </w:tc>
      </w:tr>
      <w:tr>
        <w:trPr>
          <w:trHeight w:val="197"/>
        </w:trPr>
        <w:tc>
          <w:tcPr>
            <w:tcW w:w="540" w:type="dxa"/>
            <w:vAlign w:val="bottom"/>
            <w:tcBorders>
              <w:top w:val="single" w:sz="8" w:color="auto"/>
            </w:tcBorders>
          </w:tcPr>
          <w:p>
            <w:pPr>
              <w:spacing w:after="0"/>
              <w:rPr>
                <w:sz w:val="17"/>
                <w:szCs w:val="17"/>
                <w:color w:val="auto"/>
              </w:rPr>
            </w:pPr>
          </w:p>
        </w:tc>
        <w:tc>
          <w:tcPr>
            <w:tcW w:w="7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$50.01 — $60.00</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w:t>
            </w:r>
          </w:p>
        </w:tc>
        <w:tc>
          <w:tcPr>
            <w:tcW w:w="0" w:type="dxa"/>
            <w:vAlign w:val="bottom"/>
          </w:tcPr>
          <w:p>
            <w:pPr>
              <w:spacing w:after="0"/>
              <w:rPr>
                <w:sz w:val="1"/>
                <w:szCs w:val="1"/>
                <w:color w:val="auto"/>
              </w:rPr>
            </w:pPr>
          </w:p>
        </w:tc>
      </w:tr>
      <w:tr>
        <w:trPr>
          <w:trHeight w:val="230"/>
        </w:trPr>
        <w:tc>
          <w:tcPr>
            <w:tcW w:w="8040" w:type="dxa"/>
            <w:vAlign w:val="bottom"/>
            <w:gridSpan w:val="3"/>
          </w:tcPr>
          <w:p>
            <w:pPr>
              <w:ind w:left="20"/>
              <w:spacing w:after="0"/>
              <w:rPr>
                <w:sz w:val="20"/>
                <w:szCs w:val="20"/>
                <w:color w:val="auto"/>
              </w:rPr>
            </w:pPr>
            <w:r>
              <w:rPr>
                <w:rFonts w:ascii="Arial" w:cs="Arial" w:eastAsia="Arial" w:hAnsi="Arial"/>
                <w:sz w:val="18"/>
                <w:szCs w:val="18"/>
                <w:color w:val="auto"/>
              </w:rPr>
              <w:t>$60.01 — $70.00</w:t>
            </w: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6,250</w:t>
            </w:r>
          </w:p>
        </w:tc>
        <w:tc>
          <w:tcPr>
            <w:tcW w:w="0" w:type="dxa"/>
            <w:vAlign w:val="bottom"/>
          </w:tcPr>
          <w:p>
            <w:pPr>
              <w:spacing w:after="0"/>
              <w:rPr>
                <w:sz w:val="1"/>
                <w:szCs w:val="1"/>
                <w:color w:val="auto"/>
              </w:rPr>
            </w:pPr>
          </w:p>
        </w:tc>
      </w:tr>
      <w:tr>
        <w:trPr>
          <w:trHeight w:val="230"/>
        </w:trPr>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$70.01</w:t>
            </w:r>
          </w:p>
        </w:tc>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$80.00</w:t>
            </w:r>
          </w:p>
        </w:tc>
        <w:tc>
          <w:tcPr>
            <w:tcW w:w="5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w:t>
            </w:r>
          </w:p>
        </w:tc>
        <w:tc>
          <w:tcPr>
            <w:tcW w:w="0" w:type="dxa"/>
            <w:vAlign w:val="bottom"/>
          </w:tcPr>
          <w:p>
            <w:pPr>
              <w:spacing w:after="0"/>
              <w:rPr>
                <w:sz w:val="1"/>
                <w:szCs w:val="1"/>
                <w:color w:val="auto"/>
              </w:rPr>
            </w:pPr>
          </w:p>
        </w:tc>
      </w:tr>
      <w:tr>
        <w:trPr>
          <w:trHeight w:val="230"/>
        </w:trPr>
        <w:tc>
          <w:tcPr>
            <w:tcW w:w="540" w:type="dxa"/>
            <w:vAlign w:val="bottom"/>
          </w:tcPr>
          <w:p>
            <w:pPr>
              <w:ind w:left="20"/>
              <w:spacing w:after="0"/>
              <w:rPr>
                <w:sz w:val="20"/>
                <w:szCs w:val="20"/>
                <w:color w:val="auto"/>
              </w:rPr>
            </w:pPr>
            <w:r>
              <w:rPr>
                <w:rFonts w:ascii="Arial" w:cs="Arial" w:eastAsia="Arial" w:hAnsi="Arial"/>
                <w:sz w:val="18"/>
                <w:szCs w:val="18"/>
                <w:color w:val="auto"/>
                <w:w w:val="90"/>
              </w:rPr>
              <w:t>$80.01</w:t>
            </w:r>
          </w:p>
        </w:tc>
        <w:tc>
          <w:tcPr>
            <w:tcW w:w="7500" w:type="dxa"/>
            <w:vAlign w:val="bottom"/>
            <w:gridSpan w:val="2"/>
          </w:tcPr>
          <w:p>
            <w:pPr>
              <w:ind w:left="20"/>
              <w:spacing w:after="0"/>
              <w:rPr>
                <w:sz w:val="20"/>
                <w:szCs w:val="20"/>
                <w:color w:val="auto"/>
              </w:rPr>
            </w:pPr>
            <w:r>
              <w:rPr>
                <w:rFonts w:ascii="Arial" w:cs="Arial" w:eastAsia="Arial" w:hAnsi="Arial"/>
                <w:sz w:val="18"/>
                <w:szCs w:val="18"/>
                <w:color w:val="auto"/>
              </w:rPr>
              <w:t>— $90.00</w:t>
            </w:r>
          </w:p>
        </w:tc>
        <w:tc>
          <w:tcPr>
            <w:tcW w:w="5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7,362</w:t>
            </w:r>
          </w:p>
        </w:tc>
        <w:tc>
          <w:tcPr>
            <w:tcW w:w="0" w:type="dxa"/>
            <w:vAlign w:val="bottom"/>
          </w:tcPr>
          <w:p>
            <w:pPr>
              <w:spacing w:after="0"/>
              <w:rPr>
                <w:sz w:val="1"/>
                <w:szCs w:val="1"/>
                <w:color w:val="auto"/>
              </w:rPr>
            </w:pPr>
          </w:p>
        </w:tc>
      </w:tr>
      <w:tr>
        <w:trPr>
          <w:trHeight w:val="229"/>
        </w:trPr>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$90.01</w:t>
            </w:r>
          </w:p>
        </w:tc>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$100.00</w:t>
            </w:r>
          </w:p>
        </w:tc>
        <w:tc>
          <w:tcPr>
            <w:tcW w:w="5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5,325</w:t>
            </w:r>
          </w:p>
        </w:tc>
        <w:tc>
          <w:tcPr>
            <w:tcW w:w="0" w:type="dxa"/>
            <w:vAlign w:val="bottom"/>
          </w:tcPr>
          <w:p>
            <w:pPr>
              <w:spacing w:after="0"/>
              <w:rPr>
                <w:sz w:val="1"/>
                <w:szCs w:val="1"/>
                <w:color w:val="auto"/>
              </w:rPr>
            </w:pPr>
          </w:p>
        </w:tc>
      </w:tr>
      <w:tr>
        <w:trPr>
          <w:trHeight w:val="230"/>
        </w:trPr>
        <w:tc>
          <w:tcPr>
            <w:tcW w:w="8040" w:type="dxa"/>
            <w:vAlign w:val="bottom"/>
            <w:gridSpan w:val="3"/>
          </w:tcPr>
          <w:p>
            <w:pPr>
              <w:ind w:left="20"/>
              <w:spacing w:after="0"/>
              <w:rPr>
                <w:sz w:val="20"/>
                <w:szCs w:val="20"/>
                <w:color w:val="auto"/>
              </w:rPr>
            </w:pPr>
            <w:r>
              <w:rPr>
                <w:rFonts w:ascii="Arial" w:cs="Arial" w:eastAsia="Arial" w:hAnsi="Arial"/>
                <w:sz w:val="18"/>
                <w:szCs w:val="18"/>
                <w:color w:val="auto"/>
              </w:rPr>
              <w:t>$100.01 — $110.00</w:t>
            </w:r>
          </w:p>
        </w:tc>
        <w:tc>
          <w:tcPr>
            <w:tcW w:w="5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8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$170.01 — $180.00</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40" w:type="dxa"/>
            <w:vAlign w:val="bottom"/>
            <w:gridSpan w:val="3"/>
          </w:tcPr>
          <w:p>
            <w:pPr>
              <w:ind w:left="20"/>
              <w:spacing w:after="0"/>
              <w:rPr>
                <w:sz w:val="20"/>
                <w:szCs w:val="20"/>
                <w:color w:val="auto"/>
              </w:rPr>
            </w:pPr>
            <w:r>
              <w:rPr>
                <w:rFonts w:ascii="Arial" w:cs="Arial" w:eastAsia="Arial" w:hAnsi="Arial"/>
                <w:sz w:val="18"/>
                <w:szCs w:val="18"/>
                <w:color w:val="auto"/>
              </w:rPr>
              <w:t>$180.01 — $190.00</w:t>
            </w: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14,625</w:t>
            </w:r>
          </w:p>
        </w:tc>
        <w:tc>
          <w:tcPr>
            <w:tcW w:w="0" w:type="dxa"/>
            <w:vAlign w:val="bottom"/>
          </w:tcPr>
          <w:p>
            <w:pPr>
              <w:spacing w:after="0"/>
              <w:rPr>
                <w:sz w:val="1"/>
                <w:szCs w:val="1"/>
                <w:color w:val="auto"/>
              </w:rPr>
            </w:pPr>
          </w:p>
        </w:tc>
      </w:tr>
      <w:tr>
        <w:trPr>
          <w:trHeight w:val="229"/>
        </w:trPr>
        <w:tc>
          <w:tcPr>
            <w:tcW w:w="8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Over $190.00</w:t>
            </w: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7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7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67,724</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4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80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Weighted average share price</w:t>
            </w: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50.67</w:t>
            </w: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tcPr>
          <w:p>
            <w:pPr>
              <w:spacing w:after="0" w:line="20" w:lineRule="exact"/>
              <w:rPr>
                <w:sz w:val="1"/>
                <w:szCs w:val="1"/>
                <w:color w:val="auto"/>
              </w:rPr>
            </w:pPr>
          </w:p>
        </w:tc>
        <w:tc>
          <w:tcPr>
            <w:tcW w:w="7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Share-Based Awards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Company’s other share-based and similar types of awards are composed of restricted shares and restricted share units. The restricted shares and restricted share units are composed of a combination of service-based awards, performance-based awards and market-based awards.</w:t>
      </w:r>
    </w:p>
    <w:p>
      <w:pPr>
        <w:spacing w:after="0" w:line="9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i w:val="1"/>
          <w:iCs w:val="1"/>
          <w:color w:val="auto"/>
        </w:rPr>
        <w:t xml:space="preserve">Service-Based Awards. </w:t>
      </w:r>
      <w:r>
        <w:rPr>
          <w:rFonts w:ascii="Arial" w:cs="Arial" w:eastAsia="Arial" w:hAnsi="Arial"/>
          <w:sz w:val="18"/>
          <w:szCs w:val="18"/>
          <w:color w:val="auto"/>
        </w:rPr>
        <w:t>These awards generally vest over two to four year periods with (a) vesting in equal annual installments, or (b) vesting of all of</w:t>
      </w:r>
      <w:r>
        <w:rPr>
          <w:rFonts w:ascii="Arial" w:cs="Arial" w:eastAsia="Arial" w:hAnsi="Arial"/>
          <w:sz w:val="18"/>
          <w:szCs w:val="18"/>
          <w:i w:val="1"/>
          <w:iCs w:val="1"/>
          <w:color w:val="auto"/>
        </w:rPr>
        <w:t xml:space="preserve"> </w:t>
      </w:r>
      <w:r>
        <w:rPr>
          <w:rFonts w:ascii="Arial" w:cs="Arial" w:eastAsia="Arial" w:hAnsi="Arial"/>
          <w:sz w:val="18"/>
          <w:szCs w:val="18"/>
          <w:color w:val="auto"/>
        </w:rPr>
        <w:t>the restricted shares and restricted share units at the end of the vesting period. A total of 403 thousand service-based awards were outstanding as of December 31, 2020. Beginning in 2019, service-based restricted share units were awarded as a component of most employees’ annual incentive compensation.</w:t>
      </w:r>
    </w:p>
    <w:p>
      <w:pPr>
        <w:spacing w:after="0" w:line="133"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i w:val="1"/>
          <w:iCs w:val="1"/>
          <w:color w:val="auto"/>
        </w:rPr>
        <w:t xml:space="preserve">Performance-Based Awards. </w:t>
      </w:r>
      <w:r>
        <w:rPr>
          <w:rFonts w:ascii="Arial" w:cs="Arial" w:eastAsia="Arial" w:hAnsi="Arial"/>
          <w:sz w:val="18"/>
          <w:szCs w:val="18"/>
          <w:color w:val="auto"/>
        </w:rPr>
        <w:t>These awards generally vest if certain specific financial measures are achieved; generally one-third vests on each</w:t>
      </w:r>
      <w:r>
        <w:rPr>
          <w:rFonts w:ascii="Arial" w:cs="Arial" w:eastAsia="Arial" w:hAnsi="Arial"/>
          <w:sz w:val="18"/>
          <w:szCs w:val="18"/>
          <w:i w:val="1"/>
          <w:iCs w:val="1"/>
          <w:color w:val="auto"/>
        </w:rPr>
        <w:t xml:space="preserve"> </w:t>
      </w:r>
      <w:r>
        <w:rPr>
          <w:rFonts w:ascii="Arial" w:cs="Arial" w:eastAsia="Arial" w:hAnsi="Arial"/>
          <w:sz w:val="18"/>
          <w:szCs w:val="18"/>
          <w:color w:val="auto"/>
        </w:rPr>
        <w:t>anniversary of the grant date or the awards cliff-vest on the third anniversary of the grant date. The number of performance-based restricted shares and restricted share units that may vest will be based on the level of achievement, as specified in the award agreements. If the performance criteria achieved is above certain financial performance levels, participants have the opportunity to vest in up to 150% of the restricted share unit award for certain awards. If the performance criteria achieved is below a certain thresholds, the award is canceled. A total of 213 thousand performance-based awards were outstanding as of December 31, 2020.</w:t>
      </w:r>
    </w:p>
    <w:p>
      <w:pPr>
        <w:spacing w:after="0" w:line="138"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i w:val="1"/>
          <w:iCs w:val="1"/>
          <w:color w:val="auto"/>
        </w:rPr>
        <w:t xml:space="preserve">Market-Based Awards. </w:t>
      </w:r>
      <w:r>
        <w:rPr>
          <w:rFonts w:ascii="Arial" w:cs="Arial" w:eastAsia="Arial" w:hAnsi="Arial"/>
          <w:sz w:val="18"/>
          <w:szCs w:val="18"/>
          <w:color w:val="auto"/>
        </w:rPr>
        <w:t>50% of these awards generally vest if certain specific market conditions are achieved over a 30-day period and the remaining</w:t>
      </w:r>
      <w:r>
        <w:rPr>
          <w:rFonts w:ascii="Arial" w:cs="Arial" w:eastAsia="Arial" w:hAnsi="Arial"/>
          <w:sz w:val="18"/>
          <w:szCs w:val="18"/>
          <w:i w:val="1"/>
          <w:iCs w:val="1"/>
          <w:color w:val="auto"/>
        </w:rPr>
        <w:t xml:space="preserve"> </w:t>
      </w:r>
      <w:r>
        <w:rPr>
          <w:rFonts w:ascii="Arial" w:cs="Arial" w:eastAsia="Arial" w:hAnsi="Arial"/>
          <w:sz w:val="18"/>
          <w:szCs w:val="18"/>
          <w:color w:val="auto"/>
        </w:rPr>
        <w:t>50% of these awards generally vest on the one year anniversary of the initial vesting. The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0" w:name="page81"/>
    <w:bookmarkEnd w:id="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319"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Company estimates the grant date fair value of these awards using a lattice (binomial) model. A total of 194 thousand market-based awards were outstanding as of December 31, 2020.</w:t>
      </w:r>
    </w:p>
    <w:p>
      <w:pPr>
        <w:spacing w:after="0" w:line="116"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i w:val="1"/>
          <w:iCs w:val="1"/>
          <w:color w:val="auto"/>
        </w:rPr>
        <w:t xml:space="preserve">Performance-Based and Market-Based Awards. </w:t>
      </w:r>
      <w:r>
        <w:rPr>
          <w:rFonts w:ascii="Arial" w:cs="Arial" w:eastAsia="Arial" w:hAnsi="Arial"/>
          <w:sz w:val="18"/>
          <w:szCs w:val="18"/>
          <w:color w:val="auto"/>
        </w:rPr>
        <w:t>These awards generally vest if certain specific financial measures are achieved and if certain specific</w:t>
      </w:r>
      <w:r>
        <w:rPr>
          <w:rFonts w:ascii="Arial" w:cs="Arial" w:eastAsia="Arial" w:hAnsi="Arial"/>
          <w:sz w:val="18"/>
          <w:szCs w:val="18"/>
          <w:i w:val="1"/>
          <w:iCs w:val="1"/>
          <w:color w:val="auto"/>
        </w:rPr>
        <w:t xml:space="preserve"> </w:t>
      </w:r>
      <w:r>
        <w:rPr>
          <w:rFonts w:ascii="Arial" w:cs="Arial" w:eastAsia="Arial" w:hAnsi="Arial"/>
          <w:sz w:val="18"/>
          <w:szCs w:val="18"/>
          <w:color w:val="auto"/>
        </w:rPr>
        <w:t>market conditions are achieved. If the performance criteria achieved is above certain financial performance levels and Altisource’s share performance is above certain established criteria, participants have the opportunity to vest in up to 300% of the restricted share unit award for certain awards. If the performance criteria or the market criteria is below certain thresholds, the award is canceled. The Company estimates the grant date fair value of these awards using a Monte Carlo simulation model. A total of 69 thousand performance-based and market-based awards were outstanding as of December 31, 2020.</w:t>
      </w:r>
    </w:p>
    <w:p>
      <w:pPr>
        <w:spacing w:after="0" w:line="13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granted 609 thousand restricted share units (at a weighted average grant date fair value of $13.47 per share) during the year ended December 31, 2020. These grants include 82 thousand performance-based awards that include both a performance condition and a market condition, and 194 thousand market-based awards for the year ended December 31, 2020. The Company granted 68 thousand performance-based awards that include both a performance condition and a market condition for the year ended December 31, 2019 (no comparative amounts for the year ended December 31, 2018). There were no market-based awards granted for the years ended December 31, 2019 and 2018.</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our restricted shares and restricted share units: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restricted</w:t>
            </w:r>
          </w:p>
        </w:tc>
      </w:tr>
      <w:tr>
        <w:trPr>
          <w:trHeight w:val="135"/>
        </w:trPr>
        <w:tc>
          <w:tcPr>
            <w:tcW w:w="9600" w:type="dxa"/>
            <w:vAlign w:val="bottom"/>
          </w:tcPr>
          <w:p>
            <w:pPr>
              <w:spacing w:after="0"/>
              <w:rPr>
                <w:sz w:val="11"/>
                <w:szCs w:val="11"/>
                <w:color w:val="auto"/>
              </w:rPr>
            </w:pPr>
          </w:p>
        </w:tc>
        <w:tc>
          <w:tcPr>
            <w:tcW w:w="1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shares and restricted</w:t>
            </w:r>
          </w:p>
        </w:tc>
      </w:tr>
      <w:tr>
        <w:trPr>
          <w:trHeight w:val="188"/>
        </w:trPr>
        <w:tc>
          <w:tcPr>
            <w:tcW w:w="9600" w:type="dxa"/>
            <w:vAlign w:val="bottom"/>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share units</w:t>
            </w:r>
          </w:p>
        </w:tc>
      </w:tr>
      <w:tr>
        <w:trPr>
          <w:trHeight w:val="197"/>
        </w:trPr>
        <w:tc>
          <w:tcPr>
            <w:tcW w:w="96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2019</w:t>
            </w:r>
          </w:p>
        </w:tc>
        <w:tc>
          <w:tcPr>
            <w:tcW w:w="1640" w:type="dxa"/>
            <w:vAlign w:val="bottom"/>
            <w:shd w:val="clear" w:color="auto" w:fill="CCEEFF"/>
          </w:tcPr>
          <w:p>
            <w:pPr>
              <w:jc w:val="center"/>
              <w:ind w:left="817"/>
              <w:spacing w:after="0"/>
              <w:rPr>
                <w:sz w:val="20"/>
                <w:szCs w:val="20"/>
                <w:color w:val="auto"/>
              </w:rPr>
            </w:pPr>
            <w:r>
              <w:rPr>
                <w:rFonts w:ascii="Arial" w:cs="Arial" w:eastAsia="Arial" w:hAnsi="Arial"/>
                <w:sz w:val="18"/>
                <w:szCs w:val="18"/>
                <w:color w:val="auto"/>
                <w:w w:val="89"/>
              </w:rPr>
              <w:t>636,146</w:t>
            </w:r>
          </w:p>
        </w:tc>
      </w:tr>
      <w:tr>
        <w:trPr>
          <w:trHeight w:val="229"/>
        </w:trPr>
        <w:tc>
          <w:tcPr>
            <w:tcW w:w="9600" w:type="dxa"/>
            <w:vAlign w:val="bottom"/>
          </w:tcPr>
          <w:p>
            <w:pPr>
              <w:ind w:left="20"/>
              <w:spacing w:after="0"/>
              <w:rPr>
                <w:sz w:val="20"/>
                <w:szCs w:val="20"/>
                <w:color w:val="auto"/>
              </w:rPr>
            </w:pPr>
            <w:r>
              <w:rPr>
                <w:rFonts w:ascii="Arial" w:cs="Arial" w:eastAsia="Arial" w:hAnsi="Arial"/>
                <w:sz w:val="18"/>
                <w:szCs w:val="18"/>
                <w:color w:val="auto"/>
              </w:rPr>
              <w:t>Granted</w:t>
            </w:r>
          </w:p>
        </w:tc>
        <w:tc>
          <w:tcPr>
            <w:tcW w:w="1640" w:type="dxa"/>
            <w:vAlign w:val="bottom"/>
          </w:tcPr>
          <w:p>
            <w:pPr>
              <w:jc w:val="center"/>
              <w:ind w:left="817"/>
              <w:spacing w:after="0"/>
              <w:rPr>
                <w:sz w:val="20"/>
                <w:szCs w:val="20"/>
                <w:color w:val="auto"/>
              </w:rPr>
            </w:pPr>
            <w:r>
              <w:rPr>
                <w:rFonts w:ascii="Arial" w:cs="Arial" w:eastAsia="Arial" w:hAnsi="Arial"/>
                <w:sz w:val="18"/>
                <w:szCs w:val="18"/>
                <w:color w:val="auto"/>
                <w:w w:val="89"/>
              </w:rPr>
              <w:t>608,695</w:t>
            </w:r>
          </w:p>
        </w:tc>
      </w:t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Issued</w:t>
            </w:r>
          </w:p>
        </w:tc>
        <w:tc>
          <w:tcPr>
            <w:tcW w:w="1640" w:type="dxa"/>
            <w:vAlign w:val="bottom"/>
            <w:shd w:val="clear" w:color="auto" w:fill="CCEEFF"/>
          </w:tcPr>
          <w:p>
            <w:pPr>
              <w:jc w:val="center"/>
              <w:ind w:left="797"/>
              <w:spacing w:after="0"/>
              <w:rPr>
                <w:sz w:val="20"/>
                <w:szCs w:val="20"/>
                <w:color w:val="auto"/>
              </w:rPr>
            </w:pPr>
            <w:r>
              <w:rPr>
                <w:rFonts w:ascii="Arial" w:cs="Arial" w:eastAsia="Arial" w:hAnsi="Arial"/>
                <w:sz w:val="18"/>
                <w:szCs w:val="18"/>
                <w:color w:val="auto"/>
                <w:w w:val="93"/>
              </w:rPr>
              <w:t>(210,556)</w:t>
            </w:r>
          </w:p>
        </w:tc>
      </w:tr>
      <w:tr>
        <w:trPr>
          <w:trHeight w:val="230"/>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Forfeited/canceled</w:t>
            </w:r>
          </w:p>
        </w:tc>
        <w:tc>
          <w:tcPr>
            <w:tcW w:w="1640" w:type="dxa"/>
            <w:vAlign w:val="bottom"/>
            <w:tcBorders>
              <w:bottom w:val="single" w:sz="8" w:color="auto"/>
            </w:tcBorders>
          </w:tcPr>
          <w:p>
            <w:pPr>
              <w:jc w:val="center"/>
              <w:ind w:left="797"/>
              <w:spacing w:after="0"/>
              <w:rPr>
                <w:sz w:val="20"/>
                <w:szCs w:val="20"/>
                <w:color w:val="auto"/>
              </w:rPr>
            </w:pPr>
            <w:r>
              <w:rPr>
                <w:rFonts w:ascii="Arial" w:cs="Arial" w:eastAsia="Arial" w:hAnsi="Arial"/>
                <w:sz w:val="18"/>
                <w:szCs w:val="18"/>
                <w:color w:val="auto"/>
                <w:w w:val="93"/>
              </w:rPr>
              <w:t>(155,764)</w:t>
            </w:r>
          </w:p>
        </w:tc>
      </w:tr>
      <w:tr>
        <w:trPr>
          <w:trHeight w:val="196"/>
        </w:trPr>
        <w:tc>
          <w:tcPr>
            <w:tcW w:w="96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Outstanding as of December 31, 2020</w:t>
            </w:r>
          </w:p>
        </w:tc>
        <w:tc>
          <w:tcPr>
            <w:tcW w:w="1640" w:type="dxa"/>
            <w:vAlign w:val="bottom"/>
            <w:tcBorders>
              <w:bottom w:val="single" w:sz="8" w:color="auto"/>
            </w:tcBorders>
          </w:tcPr>
          <w:p>
            <w:pPr>
              <w:jc w:val="center"/>
              <w:ind w:left="817"/>
              <w:spacing w:after="0"/>
              <w:rPr>
                <w:sz w:val="20"/>
                <w:szCs w:val="20"/>
                <w:color w:val="auto"/>
              </w:rPr>
            </w:pPr>
            <w:r>
              <w:rPr>
                <w:rFonts w:ascii="Arial" w:cs="Arial" w:eastAsia="Arial" w:hAnsi="Arial"/>
                <w:sz w:val="18"/>
                <w:szCs w:val="18"/>
                <w:color w:val="auto"/>
                <w:w w:val="89"/>
              </w:rPr>
              <w:t>878,521</w:t>
            </w:r>
          </w:p>
        </w:tc>
      </w:tr>
      <w:tr>
        <w:trPr>
          <w:trHeight w:val="20"/>
        </w:trPr>
        <w:tc>
          <w:tcPr>
            <w:tcW w:w="96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assumptions were used to determine the fair values for the performance-based awards that include both a performance condition and a market condition, and fair values for market-based awards as of the grant date for the years ended December 31:</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8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2020</w:t>
            </w:r>
          </w:p>
        </w:tc>
        <w:tc>
          <w:tcPr>
            <w:tcW w:w="11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2019</w:t>
            </w:r>
          </w:p>
        </w:tc>
        <w:tc>
          <w:tcPr>
            <w:tcW w:w="1160" w:type="dxa"/>
            <w:vAlign w:val="bottom"/>
            <w:tcBorders>
              <w:bottom w:val="single" w:sz="8" w:color="auto"/>
            </w:tcBorders>
          </w:tcPr>
          <w:p>
            <w:pPr>
              <w:spacing w:after="0"/>
              <w:rPr>
                <w:sz w:val="16"/>
                <w:szCs w:val="16"/>
                <w:color w:val="auto"/>
              </w:rPr>
            </w:pPr>
          </w:p>
        </w:tc>
      </w:tr>
      <w:tr>
        <w:trPr>
          <w:trHeight w:val="187"/>
        </w:trPr>
        <w:tc>
          <w:tcPr>
            <w:tcW w:w="5160" w:type="dxa"/>
            <w:vAlign w:val="bottom"/>
          </w:tcPr>
          <w:p>
            <w:pPr>
              <w:spacing w:after="0"/>
              <w:rPr>
                <w:sz w:val="16"/>
                <w:szCs w:val="16"/>
                <w:color w:val="auto"/>
              </w:rPr>
            </w:pPr>
          </w:p>
        </w:tc>
        <w:tc>
          <w:tcPr>
            <w:tcW w:w="184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Monte Carlo</w:t>
            </w:r>
          </w:p>
        </w:tc>
        <w:tc>
          <w:tcPr>
            <w:tcW w:w="1180" w:type="dxa"/>
            <w:vAlign w:val="bottom"/>
          </w:tcPr>
          <w:p>
            <w:pPr>
              <w:jc w:val="right"/>
              <w:ind w:right="353"/>
              <w:spacing w:after="0"/>
              <w:rPr>
                <w:sz w:val="20"/>
                <w:szCs w:val="20"/>
                <w:color w:val="auto"/>
              </w:rPr>
            </w:pPr>
            <w:r>
              <w:rPr>
                <w:rFonts w:ascii="Arial" w:cs="Arial" w:eastAsia="Arial" w:hAnsi="Arial"/>
                <w:sz w:val="14"/>
                <w:szCs w:val="14"/>
                <w:b w:val="1"/>
                <w:bCs w:val="1"/>
                <w:color w:val="auto"/>
              </w:rPr>
              <w:t>Binomial</w:t>
            </w:r>
          </w:p>
        </w:tc>
        <w:tc>
          <w:tcPr>
            <w:tcW w:w="80" w:type="dxa"/>
            <w:vAlign w:val="bottom"/>
          </w:tcPr>
          <w:p>
            <w:pPr>
              <w:spacing w:after="0"/>
              <w:rPr>
                <w:sz w:val="16"/>
                <w:szCs w:val="16"/>
                <w:color w:val="auto"/>
              </w:rPr>
            </w:pPr>
          </w:p>
        </w:tc>
        <w:tc>
          <w:tcPr>
            <w:tcW w:w="182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Monte Carlo</w:t>
            </w:r>
          </w:p>
        </w:tc>
        <w:tc>
          <w:tcPr>
            <w:tcW w:w="1160" w:type="dxa"/>
            <w:vAlign w:val="bottom"/>
          </w:tcPr>
          <w:p>
            <w:pPr>
              <w:jc w:val="right"/>
              <w:ind w:right="353"/>
              <w:spacing w:after="0"/>
              <w:rPr>
                <w:sz w:val="20"/>
                <w:szCs w:val="20"/>
                <w:color w:val="auto"/>
              </w:rPr>
            </w:pPr>
            <w:r>
              <w:rPr>
                <w:rFonts w:ascii="Arial" w:cs="Arial" w:eastAsia="Arial" w:hAnsi="Arial"/>
                <w:sz w:val="14"/>
                <w:szCs w:val="14"/>
                <w:b w:val="1"/>
                <w:bCs w:val="1"/>
                <w:color w:val="auto"/>
              </w:rPr>
              <w:t>Binomial</w:t>
            </w:r>
          </w:p>
        </w:tc>
      </w:tr>
      <w:tr>
        <w:trPr>
          <w:trHeight w:val="197"/>
        </w:trPr>
        <w:tc>
          <w:tcPr>
            <w:tcW w:w="516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 (%)</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 – 0.27</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Expected stock price volatility (%)</w:t>
            </w:r>
          </w:p>
        </w:tc>
        <w:tc>
          <w:tcPr>
            <w:tcW w:w="1420" w:type="dxa"/>
            <w:vAlign w:val="bottom"/>
          </w:tcPr>
          <w:p>
            <w:pPr>
              <w:jc w:val="right"/>
              <w:spacing w:after="0"/>
              <w:rPr>
                <w:sz w:val="20"/>
                <w:szCs w:val="20"/>
                <w:color w:val="auto"/>
              </w:rPr>
            </w:pPr>
            <w:r>
              <w:rPr>
                <w:rFonts w:ascii="Arial" w:cs="Arial" w:eastAsia="Arial" w:hAnsi="Arial"/>
                <w:sz w:val="18"/>
                <w:szCs w:val="18"/>
                <w:color w:val="auto"/>
              </w:rPr>
              <w:t>17.72</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80.36</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58.90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18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Expected life (in years)</w:t>
            </w:r>
          </w:p>
        </w:tc>
        <w:tc>
          <w:tcPr>
            <w:tcW w:w="142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w:t>
            </w:r>
          </w:p>
        </w:tc>
        <w:tc>
          <w:tcPr>
            <w:tcW w:w="18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2018, the Company modified the vesting condition to remove the requirement that a certain employee be employed by the Company in order for the restricted shares to vest for 31 thousand restricted shares granted in the fourth quarter of 2017 and the first quarter of 2018. The award modification did not change the inputs into the valuation model or the Company’s assessment of the probability of vesting as of the effective date of the modifications. Consequently, no incremental compensation expense was required as a result of this modification.</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 ended December 31, 2019, Pointillist issued 1.1 million shares of its common stock, or 12.1% of Pointillist equity to Pointillist management in exchange for their services. The fair value of the Pointillist shares of $0.9 million was recognized as share-based compensation expense for the year ended December 31, 2019.</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REVENUE</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classify revenue in three categories: service revenue, revenue from reimbursable expenses and non-controlling interests. Service revenue consists of amounts attributable to our fee-based services and sales of short-term investments in real estate.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Lenders One, a consolidated entity that is a mortgage cooperative managed, but not owned, by Altisource. The Lenders One members’ earnings are included in revenue and reduced from net income to arrive at net income attributable to Altisource (see Note 2). Our services are provided to customers located in the United States. The components of revenue were as follows for the years ended December 31:</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702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8"/>
                <w:szCs w:val="18"/>
                <w:color w:val="auto"/>
              </w:rPr>
            </w:pPr>
          </w:p>
        </w:tc>
        <w:tc>
          <w:tcPr>
            <w:tcW w:w="1000" w:type="dxa"/>
            <w:vAlign w:val="bottom"/>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434"/>
              <w:spacing w:after="0"/>
              <w:rPr>
                <w:sz w:val="20"/>
                <w:szCs w:val="20"/>
                <w:color w:val="auto"/>
              </w:rPr>
            </w:pPr>
            <w:r>
              <w:rPr>
                <w:rFonts w:ascii="Arial" w:cs="Arial" w:eastAsia="Arial" w:hAnsi="Arial"/>
                <w:sz w:val="14"/>
                <w:szCs w:val="14"/>
                <w:b w:val="1"/>
                <w:bCs w:val="1"/>
                <w:color w:val="auto"/>
              </w:rPr>
              <w:t>2018</w:t>
            </w:r>
          </w:p>
        </w:tc>
      </w:tr>
      <w:tr>
        <w:trPr>
          <w:trHeight w:val="199"/>
        </w:trPr>
        <w:tc>
          <w:tcPr>
            <w:tcW w:w="6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r>
      <w:tr>
        <w:trPr>
          <w:trHeight w:val="229"/>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 revenue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347,313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621,866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805,480</w:t>
            </w:r>
          </w:p>
        </w:tc>
      </w:tr>
      <w:tr>
        <w:trPr>
          <w:trHeight w:val="230"/>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Reimbursable expenses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16,285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24,172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30,039</w:t>
            </w:r>
          </w:p>
        </w:tc>
      </w:tr>
      <w:tr>
        <w:trPr>
          <w:trHeight w:val="229"/>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2,683</w:t>
            </w:r>
          </w:p>
        </w:tc>
      </w:tr>
      <w:tr>
        <w:trPr>
          <w:trHeight w:val="196"/>
        </w:trPr>
        <w:tc>
          <w:tcPr>
            <w:tcW w:w="6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55"/>
        </w:trPr>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365,547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648,651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838,202</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Company adopted ASU No. 2014-09, </w:t>
      </w:r>
      <w:r>
        <w:rPr>
          <w:rFonts w:ascii="Arial" w:cs="Arial" w:eastAsia="Arial" w:hAnsi="Arial"/>
          <w:sz w:val="17"/>
          <w:szCs w:val="17"/>
          <w:i w:val="1"/>
          <w:iCs w:val="1"/>
          <w:color w:val="auto"/>
        </w:rPr>
        <w:t>Revenue from Contracts from Customers (Topic 606)</w:t>
      </w:r>
      <w:r>
        <w:rPr>
          <w:rFonts w:ascii="Arial" w:cs="Arial" w:eastAsia="Arial" w:hAnsi="Arial"/>
          <w:sz w:val="17"/>
          <w:szCs w:val="17"/>
          <w:color w:val="auto"/>
        </w:rPr>
        <w:t>, and related interpretations (“Topic 606”), effective January 1, 2018 retrospectively with the cumulative effect recognized on the date of initial application (the modified retrospective approach) for all contracts. As a result of this adoption, the Company recognized an $11.2 million increase in deferred revenue, a $1.1 million increase in unbilled accounts receivable, a $0.3 million increase in other current liabilities and a $10.4 million decrease in retained earnings as of January 1, 2018.</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Disaggregation of total revenues by major source is as follows:</w:t>
      </w:r>
    </w:p>
    <w:p>
      <w:pPr>
        <w:spacing w:after="0" w:line="18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Revenue recognized</w:t>
            </w:r>
          </w:p>
        </w:tc>
        <w:tc>
          <w:tcPr>
            <w:tcW w:w="14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Revenue related to</w:t>
            </w: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9"/>
              </w:rPr>
              <w:t>when services are</w:t>
            </w:r>
          </w:p>
        </w:tc>
        <w:tc>
          <w:tcPr>
            <w:tcW w:w="158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technology platforms</w:t>
            </w:r>
          </w:p>
        </w:tc>
        <w:tc>
          <w:tcPr>
            <w:tcW w:w="140" w:type="dxa"/>
            <w:vAlign w:val="bottom"/>
          </w:tcPr>
          <w:p>
            <w:pPr>
              <w:spacing w:after="0"/>
              <w:rPr>
                <w:sz w:val="11"/>
                <w:szCs w:val="11"/>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Reimbursable</w:t>
            </w: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0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58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performed or assets are</w:t>
            </w:r>
          </w:p>
        </w:tc>
        <w:tc>
          <w:tcPr>
            <w:tcW w:w="140" w:type="dxa"/>
            <w:vAlign w:val="bottom"/>
          </w:tcPr>
          <w:p>
            <w:pPr>
              <w:spacing w:after="0"/>
              <w:rPr>
                <w:sz w:val="11"/>
                <w:szCs w:val="11"/>
                <w:color w:val="auto"/>
              </w:rPr>
            </w:pPr>
          </w:p>
        </w:tc>
        <w:tc>
          <w:tcPr>
            <w:tcW w:w="14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and professional</w:t>
            </w:r>
          </w:p>
        </w:tc>
        <w:tc>
          <w:tcPr>
            <w:tcW w:w="14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Total revenue</w:t>
            </w:r>
          </w:p>
        </w:tc>
        <w:tc>
          <w:tcPr>
            <w:tcW w:w="0" w:type="dxa"/>
            <w:vAlign w:val="bottom"/>
          </w:tcPr>
          <w:p>
            <w:pPr>
              <w:spacing w:after="0"/>
              <w:rPr>
                <w:sz w:val="1"/>
                <w:szCs w:val="1"/>
                <w:color w:val="auto"/>
              </w:rPr>
            </w:pPr>
          </w:p>
        </w:tc>
      </w:tr>
      <w:tr>
        <w:trPr>
          <w:trHeight w:val="188"/>
        </w:trPr>
        <w:tc>
          <w:tcPr>
            <w:tcW w:w="50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sold</w:t>
            </w: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services</w:t>
            </w:r>
          </w:p>
        </w:tc>
        <w:tc>
          <w:tcPr>
            <w:tcW w:w="14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expenses revenue</w:t>
            </w:r>
          </w:p>
        </w:tc>
        <w:tc>
          <w:tcPr>
            <w:tcW w:w="2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 the year ended December 31, 2020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365,547</w:t>
            </w:r>
          </w:p>
        </w:tc>
        <w:tc>
          <w:tcPr>
            <w:tcW w:w="0" w:type="dxa"/>
            <w:vAlign w:val="bottom"/>
          </w:tcPr>
          <w:p>
            <w:pPr>
              <w:spacing w:after="0"/>
              <w:rPr>
                <w:sz w:val="1"/>
                <w:szCs w:val="1"/>
                <w:color w:val="auto"/>
              </w:rPr>
            </w:pPr>
          </w:p>
        </w:tc>
      </w:tr>
      <w:tr>
        <w:trPr>
          <w:trHeight w:val="229"/>
        </w:trPr>
        <w:tc>
          <w:tcPr>
            <w:tcW w:w="5000" w:type="dxa"/>
            <w:vAlign w:val="bottom"/>
            <w:gridSpan w:val="2"/>
          </w:tcPr>
          <w:p>
            <w:pPr>
              <w:ind w:left="20"/>
              <w:spacing w:after="0"/>
              <w:rPr>
                <w:sz w:val="20"/>
                <w:szCs w:val="20"/>
                <w:color w:val="auto"/>
              </w:rPr>
            </w:pPr>
            <w:r>
              <w:rPr>
                <w:rFonts w:ascii="Arial" w:cs="Arial" w:eastAsia="Arial" w:hAnsi="Arial"/>
                <w:sz w:val="18"/>
                <w:szCs w:val="18"/>
                <w:color w:val="auto"/>
              </w:rPr>
              <w:t>For the year ended December 31, 2019</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579,929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44,550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24,172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648,651</w:t>
            </w:r>
          </w:p>
        </w:tc>
        <w:tc>
          <w:tcPr>
            <w:tcW w:w="0" w:type="dxa"/>
            <w:vAlign w:val="bottom"/>
          </w:tcPr>
          <w:p>
            <w:pPr>
              <w:spacing w:after="0"/>
              <w:rPr>
                <w:sz w:val="1"/>
                <w:szCs w:val="1"/>
                <w:color w:val="auto"/>
              </w:rPr>
            </w:pPr>
          </w:p>
        </w:tc>
      </w:tr>
      <w:tr>
        <w:trPr>
          <w:trHeight w:val="230"/>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 the year ended December 31, 2018</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719,739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838,202</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contract assets consist of unbilled accounts receivable (see Note 6). Our contract liabilities consist of current deferred revenue and other non-current liabilities as reported on the accompanying consolidated balance sheets. Revenue recognized that was included in the contract liability at the beginning of the period was $4.8 million, $9.8 million and $20.6 million for the years ended December 31, 2020, 2019 and 2018, respectively.</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COST OF REVENUE</w:t>
      </w:r>
    </w:p>
    <w:p>
      <w:pPr>
        <w:spacing w:after="0" w:line="17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Cost of revenue principally includes payroll and employee benefits associated with personnel employed in customer service and operations roles, fees paid to external providers related to the provision of services, cost of real estate sold, reimbursable expenses, technology and telecommunications costs as well as depreciation and amortization of operating assets. The components of cost of revenue were as follows for the years ended December 31:</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02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8"/>
                <w:szCs w:val="18"/>
                <w:color w:val="auto"/>
              </w:rPr>
            </w:pPr>
          </w:p>
        </w:tc>
        <w:tc>
          <w:tcPr>
            <w:tcW w:w="1020" w:type="dxa"/>
            <w:vAlign w:val="bottom"/>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432"/>
              <w:spacing w:after="0"/>
              <w:rPr>
                <w:sz w:val="20"/>
                <w:szCs w:val="20"/>
                <w:color w:val="auto"/>
              </w:rPr>
            </w:pPr>
            <w:r>
              <w:rPr>
                <w:rFonts w:ascii="Arial" w:cs="Arial" w:eastAsia="Arial" w:hAnsi="Arial"/>
                <w:sz w:val="14"/>
                <w:szCs w:val="14"/>
                <w:b w:val="1"/>
                <w:bCs w:val="1"/>
                <w:color w:val="auto"/>
              </w:rPr>
              <w:t>2018</w:t>
            </w:r>
          </w:p>
        </w:tc>
      </w:tr>
      <w:tr>
        <w:trPr>
          <w:trHeight w:val="199"/>
        </w:trPr>
        <w:tc>
          <w:tcPr>
            <w:tcW w:w="6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200,486</w:t>
            </w:r>
          </w:p>
        </w:tc>
      </w:tr>
      <w:tr>
        <w:trPr>
          <w:trHeight w:val="229"/>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Outside fees and services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146,322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240,796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278,380</w:t>
            </w:r>
          </w:p>
        </w:tc>
      </w:tr>
      <w:tr>
        <w:trPr>
          <w:trHeight w:val="229"/>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Technology and telecommunications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41,588</w:t>
            </w:r>
          </w:p>
        </w:tc>
      </w:tr>
      <w:tr>
        <w:trPr>
          <w:trHeight w:val="230"/>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Reimbursable expenses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16,285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24,172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30,039</w:t>
            </w:r>
          </w:p>
        </w:tc>
      </w:tr>
      <w:tr>
        <w:trPr>
          <w:trHeight w:val="229"/>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24,013</w:t>
            </w:r>
          </w:p>
        </w:tc>
      </w:tr>
      <w:tr>
        <w:trPr>
          <w:trHeight w:val="229"/>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Cost of real estate sold</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42,763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47,659</w:t>
            </w:r>
          </w:p>
        </w:tc>
      </w:tr>
      <w:tr>
        <w:trPr>
          <w:trHeight w:val="196"/>
        </w:trPr>
        <w:tc>
          <w:tcPr>
            <w:tcW w:w="69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r>
      <w:tr>
        <w:trPr>
          <w:trHeight w:val="229"/>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305,194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493,256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622,165</w:t>
            </w:r>
          </w:p>
        </w:tc>
      </w:tr>
      <w:tr>
        <w:trPr>
          <w:trHeight w:val="21"/>
        </w:trPr>
        <w:tc>
          <w:tcPr>
            <w:tcW w:w="6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SELLING, GENERAL AND ADMINISTRATIVE EXPENSES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include payroll and employee benefits associated with personnel employed in executive, sales and marketing, finance, law, compliance, human resources, vendor management, facilities and risk management roles. This category also includes professional services fees, occupancy costs, marketing costs, depreciation and amortization of non-operating assets and other expenses. The components of selling, general and administrative expenses were as follows for the years ended December 31:</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020" w:type="dxa"/>
            <w:vAlign w:val="bottom"/>
            <w:gridSpan w:val="3"/>
          </w:tcPr>
          <w:p>
            <w:pPr>
              <w:ind w:left="20"/>
              <w:spacing w:after="0"/>
              <w:rPr>
                <w:sz w:val="20"/>
                <w:szCs w:val="20"/>
                <w:color w:val="auto"/>
              </w:rPr>
            </w:pPr>
            <w:r>
              <w:rPr>
                <w:rFonts w:ascii="Arial" w:cs="Arial" w:eastAsia="Arial" w:hAnsi="Arial"/>
                <w:sz w:val="16"/>
                <w:szCs w:val="16"/>
                <w:i w:val="1"/>
                <w:iCs w:val="1"/>
                <w:color w:val="auto"/>
              </w:rPr>
              <w:t>(in thousands)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9"/>
        </w:trPr>
        <w:tc>
          <w:tcPr>
            <w:tcW w:w="69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51,043</w:t>
            </w:r>
          </w:p>
        </w:tc>
        <w:tc>
          <w:tcPr>
            <w:tcW w:w="0" w:type="dxa"/>
            <w:vAlign w:val="bottom"/>
          </w:tcPr>
          <w:p>
            <w:pPr>
              <w:spacing w:after="0"/>
              <w:rPr>
                <w:sz w:val="1"/>
                <w:szCs w:val="1"/>
                <w:color w:val="auto"/>
              </w:rPr>
            </w:pPr>
          </w:p>
        </w:tc>
      </w:tr>
      <w:tr>
        <w:trPr>
          <w:trHeight w:val="229"/>
        </w:trPr>
        <w:tc>
          <w:tcPr>
            <w:tcW w:w="7020" w:type="dxa"/>
            <w:vAlign w:val="bottom"/>
            <w:gridSpan w:val="3"/>
          </w:tcPr>
          <w:p>
            <w:pPr>
              <w:ind w:left="20"/>
              <w:spacing w:after="0"/>
              <w:rPr>
                <w:sz w:val="20"/>
                <w:szCs w:val="20"/>
                <w:color w:val="auto"/>
              </w:rPr>
            </w:pPr>
            <w:r>
              <w:rPr>
                <w:rFonts w:ascii="Arial" w:cs="Arial" w:eastAsia="Arial" w:hAnsi="Arial"/>
                <w:sz w:val="18"/>
                <w:szCs w:val="18"/>
                <w:color w:val="auto"/>
              </w:rPr>
              <w:t>Occupancy related costs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19,363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26,042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30,851</w:t>
            </w:r>
          </w:p>
        </w:tc>
        <w:tc>
          <w:tcPr>
            <w:tcW w:w="0" w:type="dxa"/>
            <w:vAlign w:val="bottom"/>
          </w:tcPr>
          <w:p>
            <w:pPr>
              <w:spacing w:after="0"/>
              <w:rPr>
                <w:sz w:val="1"/>
                <w:szCs w:val="1"/>
                <w:color w:val="auto"/>
              </w:rPr>
            </w:pPr>
          </w:p>
        </w:tc>
      </w:tr>
      <w:tr>
        <w:trPr>
          <w:trHeight w:val="230"/>
        </w:trPr>
        <w:tc>
          <w:tcPr>
            <w:tcW w:w="7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28,412</w:t>
            </w:r>
          </w:p>
        </w:tc>
        <w:tc>
          <w:tcPr>
            <w:tcW w:w="0" w:type="dxa"/>
            <w:vAlign w:val="bottom"/>
          </w:tcPr>
          <w:p>
            <w:pPr>
              <w:spacing w:after="0"/>
              <w:rPr>
                <w:sz w:val="1"/>
                <w:szCs w:val="1"/>
                <w:color w:val="auto"/>
              </w:rPr>
            </w:pPr>
          </w:p>
        </w:tc>
      </w:tr>
      <w:tr>
        <w:trPr>
          <w:trHeight w:val="230"/>
        </w:trPr>
        <w:tc>
          <w:tcPr>
            <w:tcW w:w="7020" w:type="dxa"/>
            <w:vAlign w:val="bottom"/>
            <w:gridSpan w:val="3"/>
          </w:tcPr>
          <w:p>
            <w:pPr>
              <w:ind w:left="20"/>
              <w:spacing w:after="0"/>
              <w:rPr>
                <w:sz w:val="20"/>
                <w:szCs w:val="20"/>
                <w:color w:val="auto"/>
              </w:rPr>
            </w:pPr>
            <w:r>
              <w:rPr>
                <w:rFonts w:ascii="Arial" w:cs="Arial" w:eastAsia="Arial" w:hAnsi="Arial"/>
                <w:sz w:val="18"/>
                <w:szCs w:val="18"/>
                <w:color w:val="auto"/>
              </w:rPr>
              <w:t>Professional services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14,975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16,950</w:t>
            </w:r>
          </w:p>
        </w:tc>
        <w:tc>
          <w:tcPr>
            <w:tcW w:w="0" w:type="dxa"/>
            <w:vAlign w:val="bottom"/>
          </w:tcPr>
          <w:p>
            <w:pPr>
              <w:spacing w:after="0"/>
              <w:rPr>
                <w:sz w:val="1"/>
                <w:szCs w:val="1"/>
                <w:color w:val="auto"/>
              </w:rPr>
            </w:pPr>
          </w:p>
        </w:tc>
      </w:tr>
      <w:tr>
        <w:trPr>
          <w:trHeight w:val="230"/>
        </w:trPr>
        <w:tc>
          <w:tcPr>
            <w:tcW w:w="7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Marketing costs</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14,707</w:t>
            </w:r>
          </w:p>
        </w:tc>
        <w:tc>
          <w:tcPr>
            <w:tcW w:w="0" w:type="dxa"/>
            <w:vAlign w:val="bottom"/>
          </w:tcPr>
          <w:p>
            <w:pPr>
              <w:spacing w:after="0"/>
              <w:rPr>
                <w:sz w:val="1"/>
                <w:szCs w:val="1"/>
                <w:color w:val="auto"/>
              </w:rPr>
            </w:pPr>
          </w:p>
        </w:tc>
      </w:tr>
      <w:tr>
        <w:trPr>
          <w:trHeight w:val="230"/>
        </w:trPr>
        <w:tc>
          <w:tcPr>
            <w:tcW w:w="7020" w:type="dxa"/>
            <w:vAlign w:val="bottom"/>
            <w:gridSpan w:val="3"/>
          </w:tcPr>
          <w:p>
            <w:pPr>
              <w:ind w:left="2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6,786</w:t>
            </w:r>
          </w:p>
        </w:tc>
        <w:tc>
          <w:tcPr>
            <w:tcW w:w="0" w:type="dxa"/>
            <w:vAlign w:val="bottom"/>
          </w:tcPr>
          <w:p>
            <w:pPr>
              <w:spacing w:after="0"/>
              <w:rPr>
                <w:sz w:val="1"/>
                <w:szCs w:val="1"/>
                <w:color w:val="auto"/>
              </w:rPr>
            </w:pPr>
          </w:p>
        </w:tc>
      </w:tr>
      <w:tr>
        <w:trPr>
          <w:trHeight w:val="229"/>
        </w:trPr>
        <w:tc>
          <w:tcPr>
            <w:tcW w:w="7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26,921</w:t>
            </w:r>
          </w:p>
        </w:tc>
        <w:tc>
          <w:tcPr>
            <w:tcW w:w="0" w:type="dxa"/>
            <w:vAlign w:val="bottom"/>
          </w:tcPr>
          <w:p>
            <w:pPr>
              <w:spacing w:after="0"/>
              <w:rPr>
                <w:sz w:val="1"/>
                <w:szCs w:val="1"/>
                <w:color w:val="auto"/>
              </w:rPr>
            </w:pPr>
          </w:p>
        </w:tc>
      </w:tr>
      <w:tr>
        <w:trPr>
          <w:trHeight w:val="196"/>
        </w:trPr>
        <w:tc>
          <w:tcPr>
            <w:tcW w:w="6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70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175,670</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NOTE 21 — OTHER INCOME (EXPENSE), NET</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702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020" w:type="dxa"/>
            <w:vAlign w:val="bottom"/>
            <w:gridSpan w:val="3"/>
          </w:tcPr>
          <w:p>
            <w:pPr>
              <w:spacing w:after="0"/>
              <w:rPr>
                <w:sz w:val="20"/>
                <w:szCs w:val="20"/>
                <w:color w:val="auto"/>
              </w:rPr>
            </w:pPr>
            <w:r>
              <w:rPr>
                <w:rFonts w:ascii="Arial" w:cs="Arial" w:eastAsia="Arial" w:hAnsi="Arial"/>
                <w:sz w:val="18"/>
                <w:szCs w:val="18"/>
                <w:color w:val="auto"/>
                <w:w w:val="99"/>
              </w:rPr>
              <w:t>Other income (expense), net consists of the following for the years ended December 31:</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7020" w:type="dxa"/>
            <w:vAlign w:val="bottom"/>
            <w:gridSpan w:val="3"/>
          </w:tcPr>
          <w:p>
            <w:pPr>
              <w:ind w:left="20"/>
              <w:spacing w:after="0"/>
              <w:rPr>
                <w:sz w:val="20"/>
                <w:szCs w:val="20"/>
                <w:color w:val="auto"/>
              </w:rPr>
            </w:pPr>
            <w:r>
              <w:rPr>
                <w:rFonts w:ascii="Arial" w:cs="Arial" w:eastAsia="Arial" w:hAnsi="Arial"/>
                <w:sz w:val="16"/>
                <w:szCs w:val="16"/>
                <w:i w:val="1"/>
                <w:iCs w:val="1"/>
                <w:color w:val="auto"/>
              </w:rPr>
              <w:t>(in thousands)</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9"/>
        </w:trPr>
        <w:tc>
          <w:tcPr>
            <w:tcW w:w="69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29"/>
        </w:trPr>
        <w:tc>
          <w:tcPr>
            <w:tcW w:w="7020" w:type="dxa"/>
            <w:vAlign w:val="bottom"/>
            <w:gridSpan w:val="3"/>
          </w:tcPr>
          <w:p>
            <w:pPr>
              <w:ind w:left="20"/>
              <w:spacing w:after="0"/>
              <w:rPr>
                <w:sz w:val="20"/>
                <w:szCs w:val="20"/>
                <w:color w:val="auto"/>
              </w:rPr>
            </w:pPr>
            <w:r>
              <w:rPr>
                <w:rFonts w:ascii="Arial" w:cs="Arial" w:eastAsia="Arial" w:hAnsi="Arial"/>
                <w:sz w:val="18"/>
                <w:szCs w:val="18"/>
                <w:color w:val="auto"/>
              </w:rPr>
              <w:t>Loss on debt refinancing</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(4,434)</w:t>
            </w:r>
          </w:p>
        </w:tc>
        <w:tc>
          <w:tcPr>
            <w:tcW w:w="0" w:type="dxa"/>
            <w:vAlign w:val="bottom"/>
          </w:tcPr>
          <w:p>
            <w:pPr>
              <w:spacing w:after="0"/>
              <w:rPr>
                <w:sz w:val="1"/>
                <w:szCs w:val="1"/>
                <w:color w:val="auto"/>
              </w:rPr>
            </w:pPr>
          </w:p>
        </w:tc>
      </w:tr>
      <w:tr>
        <w:trPr>
          <w:trHeight w:val="230"/>
        </w:trPr>
        <w:tc>
          <w:tcPr>
            <w:tcW w:w="7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w:t>
            </w:r>
          </w:p>
        </w:tc>
        <w:tc>
          <w:tcPr>
            <w:tcW w:w="0" w:type="dxa"/>
            <w:vAlign w:val="bottom"/>
          </w:tcPr>
          <w:p>
            <w:pPr>
              <w:spacing w:after="0"/>
              <w:rPr>
                <w:sz w:val="1"/>
                <w:szCs w:val="1"/>
                <w:color w:val="auto"/>
              </w:rPr>
            </w:pPr>
          </w:p>
        </w:tc>
      </w:tr>
      <w:tr>
        <w:trPr>
          <w:trHeight w:val="196"/>
        </w:trPr>
        <w:tc>
          <w:tcPr>
            <w:tcW w:w="6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7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income before income taxes and non-controlling interests consist of the following for the years ended December 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702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8"/>
                <w:szCs w:val="18"/>
                <w:color w:val="auto"/>
              </w:rPr>
            </w:pPr>
          </w:p>
        </w:tc>
        <w:tc>
          <w:tcPr>
            <w:tcW w:w="1000" w:type="dxa"/>
            <w:vAlign w:val="bottom"/>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43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Domestic - Luxembourg</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gridSpan w:val="2"/>
          </w:tcPr>
          <w:p>
            <w:pPr>
              <w:ind w:left="20"/>
              <w:spacing w:after="0"/>
              <w:rPr>
                <w:sz w:val="20"/>
                <w:szCs w:val="20"/>
                <w:color w:val="auto"/>
              </w:rPr>
            </w:pPr>
            <w:r>
              <w:rPr>
                <w:rFonts w:ascii="Arial" w:cs="Arial" w:eastAsia="Arial" w:hAnsi="Arial"/>
                <w:sz w:val="18"/>
                <w:szCs w:val="18"/>
                <w:color w:val="auto"/>
              </w:rPr>
              <w:t>Foreign - U.S.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(13,243)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(12,602)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8,398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 non-U.S.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(57,705)</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040" w:type="dxa"/>
            <w:vAlign w:val="bottom"/>
            <w:gridSpan w:val="3"/>
            <w:vMerge w:val="restart"/>
          </w:tcPr>
          <w:p>
            <w:pPr>
              <w:spacing w:after="0"/>
              <w:rPr>
                <w:sz w:val="20"/>
                <w:szCs w:val="20"/>
                <w:color w:val="auto"/>
              </w:rPr>
            </w:pPr>
            <w:r>
              <w:rPr>
                <w:rFonts w:ascii="Arial" w:cs="Arial" w:eastAsia="Arial" w:hAnsi="Arial"/>
                <w:sz w:val="18"/>
                <w:szCs w:val="18"/>
                <w:color w:val="auto"/>
                <w:w w:val="94"/>
              </w:rPr>
              <w:t>The income tax (provision) benefit consists of the following for the years ended December 31:</w:t>
            </w: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704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20" w:type="dxa"/>
            <w:vAlign w:val="bottom"/>
          </w:tcPr>
          <w:p>
            <w:pPr>
              <w:spacing w:after="0"/>
              <w:rPr>
                <w:sz w:val="24"/>
                <w:szCs w:val="24"/>
                <w:color w:val="auto"/>
              </w:rPr>
            </w:pPr>
          </w:p>
        </w:tc>
        <w:tc>
          <w:tcPr>
            <w:tcW w:w="702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24"/>
                <w:szCs w:val="24"/>
                <w:color w:val="auto"/>
              </w:rPr>
            </w:pPr>
          </w:p>
        </w:tc>
        <w:tc>
          <w:tcPr>
            <w:tcW w:w="1000" w:type="dxa"/>
            <w:vAlign w:val="bottom"/>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43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20" w:type="dxa"/>
            <w:vAlign w:val="bottom"/>
            <w:gridSpan w:val="2"/>
          </w:tcPr>
          <w:p>
            <w:pPr>
              <w:ind w:left="140"/>
              <w:spacing w:after="0"/>
              <w:rPr>
                <w:sz w:val="20"/>
                <w:szCs w:val="20"/>
                <w:color w:val="auto"/>
              </w:rPr>
            </w:pPr>
            <w:r>
              <w:rPr>
                <w:rFonts w:ascii="Arial" w:cs="Arial" w:eastAsia="Arial" w:hAnsi="Arial"/>
                <w:sz w:val="18"/>
                <w:szCs w:val="18"/>
                <w:color w:val="auto"/>
              </w:rPr>
              <w:t>Domestic - Luxembourg</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(2,158)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Foreign - U.S. federal</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gridSpan w:val="2"/>
          </w:tcPr>
          <w:p>
            <w:pPr>
              <w:ind w:left="140"/>
              <w:spacing w:after="0"/>
              <w:rPr>
                <w:sz w:val="20"/>
                <w:szCs w:val="20"/>
                <w:color w:val="auto"/>
              </w:rPr>
            </w:pPr>
            <w:r>
              <w:rPr>
                <w:rFonts w:ascii="Arial" w:cs="Arial" w:eastAsia="Arial" w:hAnsi="Arial"/>
                <w:sz w:val="18"/>
                <w:szCs w:val="18"/>
                <w:color w:val="auto"/>
              </w:rPr>
              <w:t>Foreign - U.S. state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Foreign - non-U.S.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6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Deferred: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02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Domestic - Luxembourg</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(308,657)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20" w:type="dxa"/>
            <w:vAlign w:val="bottom"/>
            <w:gridSpan w:val="2"/>
          </w:tcPr>
          <w:p>
            <w:pPr>
              <w:ind w:left="140"/>
              <w:spacing w:after="0"/>
              <w:rPr>
                <w:sz w:val="20"/>
                <w:szCs w:val="20"/>
                <w:color w:val="auto"/>
              </w:rPr>
            </w:pPr>
            <w:r>
              <w:rPr>
                <w:rFonts w:ascii="Arial" w:cs="Arial" w:eastAsia="Arial" w:hAnsi="Arial"/>
                <w:sz w:val="18"/>
                <w:szCs w:val="18"/>
                <w:color w:val="auto"/>
              </w:rPr>
              <w:t>Foreign - U.S. federal</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(2,808)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Foreign - U.S. state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Foreign - non-U.S.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(307,339)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gridSpan w:val="2"/>
          </w:tcPr>
          <w:p>
            <w:pPr>
              <w:ind w:left="20"/>
              <w:spacing w:after="0"/>
              <w:rPr>
                <w:sz w:val="20"/>
                <w:szCs w:val="20"/>
                <w:color w:val="auto"/>
              </w:rPr>
            </w:pPr>
            <w:r>
              <w:rPr>
                <w:rFonts w:ascii="Arial" w:cs="Arial" w:eastAsia="Arial" w:hAnsi="Arial"/>
                <w:sz w:val="18"/>
                <w:szCs w:val="18"/>
                <w:color w:val="auto"/>
              </w:rPr>
              <w:t>Income tax (provision) benefit</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(318,296)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operate under a tax holiday in Uruguay. The Philippines and India tax holidays expired on June 30, 2019 and March 31, 2019 with the election of the reduced income tax rate, respectively. We operate in a Uruguay free trade zone that provides an indefinite future tax benefit. The tax holiday is conditioned upon our meeting certain employment and investment thresholds. The impact of these tax holidays decreased foreign taxes by $0.1 million ($0.01 per diluted share), $0.3 million ($0.02 per diluted share) and $0.7 million ($0.04 per diluted share) for the years ended December 31, 2020, 2019 and 2018, respectively.</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accounts for certain income and expense items differently for financial reporting purposes and income tax purposes. We recognize deferred income tax assets and liabilities for these differences between the financial reporting basis and the tax basis of our assets and liabilities as well as expected benefits of utilizing net operating loss and credit carryforwards. We measure deferred income tax assets and liabilities using enacted tax rates expected to apply to taxable income in the years in which we expect to recover or settle those temporary differences.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tax effects of the temporary differences is as follows for the years ended December 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Non-current deferred tax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Net operating loss carryforwards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353,358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338,403</w:t>
            </w:r>
          </w:p>
        </w:tc>
      </w:tr>
      <w:tr>
        <w:trPr>
          <w:trHeight w:val="229"/>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U.S. federal and state tax credits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30"/>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Other non-U.S. deferred tax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13,980</w:t>
            </w:r>
          </w:p>
        </w:tc>
      </w:tr>
      <w:tr>
        <w:trPr>
          <w:trHeight w:val="229"/>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Share-based compensation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r>
      <w:tr>
        <w:trPr>
          <w:trHeight w:val="230"/>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Accrued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2,691</w:t>
            </w:r>
          </w:p>
        </w:tc>
      </w:tr>
      <w:tr>
        <w:trPr>
          <w:trHeight w:val="229"/>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Unrealized losses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9,011</w:t>
            </w:r>
          </w:p>
        </w:tc>
      </w:tr>
      <w:tr>
        <w:trPr>
          <w:trHeight w:val="229"/>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526</w:t>
            </w: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Non-current deferred tax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Intangible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(8,325)</w:t>
            </w:r>
          </w:p>
        </w:tc>
      </w:tr>
      <w:tr>
        <w:trPr>
          <w:trHeight w:val="229"/>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Depreciation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r>
      <w:tr>
        <w:trPr>
          <w:trHeight w:val="230"/>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Other non-U.S. deferred tax liability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(998)</w:t>
            </w:r>
          </w:p>
        </w:tc>
      </w:tr>
      <w:tr>
        <w:trPr>
          <w:trHeight w:val="229"/>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368,824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357,185</w:t>
            </w:r>
          </w:p>
        </w:tc>
      </w:tr>
      <w:tr>
        <w:trPr>
          <w:trHeight w:val="216"/>
        </w:trPr>
        <w:tc>
          <w:tcPr>
            <w:tcW w:w="8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Valuation allowance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(372,227)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(355,559)</w:t>
            </w:r>
          </w:p>
        </w:tc>
      </w:tr>
      <w:tr>
        <w:trPr>
          <w:trHeight w:val="196"/>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Non-current deferred tax (liabilities) assets, net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w:t>
            </w:r>
          </w:p>
        </w:tc>
      </w:tr>
      <w:tr>
        <w:trPr>
          <w:trHeight w:val="21"/>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valuation allowance is provided when it is deemed more likely than not that some portion or all of a deferred tax asset will not be realized. In determining whether a valuation allowance is needed requires an extensive analysis of positive and negative evidence regarding realization of the deferred tax assets and, inherent in that, an assessment of the likelihood of sufficient future taxable income. When there is a cumulative pretax loss for financial reporting for the current and two preceding years (i.e., a three year cumulative loss), this is a significant element of negative evidence that would be difficult to overcome on a more likely than not or any other basis. Therefore, the Company recorded a valuation allowance of $372.2 million and $355.6 million for the year ending December 31, 2020 and 2019, respectively.</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Previously, the Company has not recognized deferred taxes on cumulative earnings of non-Luxembourg affiliates. In 2019 with the sale of the NCI business and the impending closure of the Philippines, taxes of $0.9 million were provided on the Philippines earnings. In 2020, the Company recognized income tax expense on $68 million of accumulated earnings in India that had previously been considered indefinitely reinvested. The Company also recognized income tax expense on 2020 earnings in India. The Company continues to remain indefinitely reinvested in all other non-Luxembourg earning not previously discussed. The other non-Luxembourg earnings reinvested as of December 31, 2020 were approximately $13.8 million, which if distributed would result in additional tax due totaling approximately $0.5 million.</w:t>
      </w:r>
    </w:p>
    <w:p>
      <w:pPr>
        <w:spacing w:after="0" w:line="13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had a deferred tax asset of $353.4 million as of December 31, 2020 relating to Luxembourg, U.S. federal, state and foreign net operating losses compared to $338.4 million as of December 31, 2019. As of December 31, 2020 and 2019, a valuation allowance of $349.8 million and $337.7 million, respectively, has been established related to Luxembourg net operating loss (“NOL”), a valuation allowance of $0.8 million and $0.5 million, respectively, has been established related to state NOLs and a valuation allowance of $2.4 million and $0.1 million, respectively, has been established related to U.S. federal NOLs. The gross amount of net operating losses available for carryover to future years is approximately $1,415.9 million as of December 31, 2020 and approximately $1,355.4 million as of December 31, 2019. These losses are scheduled to expire between the years 2023 and 2040.</w:t>
      </w: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deferred tax asset created from the sale of the Financial Services Business was adjusted to reflect the final capital loss balance of $10.4 million in the U.S. Because it is not more likely than not the Company will have sufficient taxable income of the appropriate character (a capital gain) in the carryforward period, a full valuation allowance has been established related to the capital loss.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September 20, 2019, the corporate income tax rate in India lowered from 34.94% to 25.17% retroactive to April 1, 2019. The Company remeasured certain deferred tax assets and liabilities based on the rates at which they are expected to reverse in the future. As of December 31, 2020, the amount recorded related to remeasurement of our deferred tax balance was $1.4 million.</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April 25, 2019, the Luxembourg Parliament voted to approve the 2019 Budget Law. The new legislation reduced the overall effective corporate income tax rate from 26.01% to 24.94% for accounting periods beginning on or after January 1,</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31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2019. The Company remeasured certain deferred tax assets and liabilities based on the rates at which they are expected to reverse in the future, which is generally 24.94%. As of December 31, 2019, the amount recorded related to remeasurement of our deferred tax balance was $14.0 million.</w:t>
      </w:r>
    </w:p>
    <w:p>
      <w:pPr>
        <w:spacing w:after="0" w:line="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the Company had a deferred tax asset of $0.9 million and $0.6 million as of December 31, 2020 and 2019, respectively, relating to state tax credits. Some of the state tax credit carryforwards have an indefinite carryforward period.</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taking advantage of the Coronavirus Aid, Relief, and Economic Security (“CARES”) Act signed into law on March 27, 2020 by utilizing a five year carryback of the full net operating loss generated in the U.S. in 2020. The CARES Act allows a five year carryback of the $14.8 million net operating loss generated in the U.S. in 2020</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effective tax rate differs from the Luxembourg statutory tax rate due to tax rate differences on foreign earnings, increases in uncertain tax positions, state taxes, remeasurement of deferred tax assets related to tax rate changes, a decrease in unrecognized tax benefits and a valuation allowance against deferred tax assets the Company believes it is more likely than not will not be realized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Luxembourg statutory tax rate to our effective tax rate for the years ended December 31: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14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4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r>
      <w:tr>
        <w:trPr>
          <w:trHeight w:val="202"/>
        </w:trPr>
        <w:tc>
          <w:tcPr>
            <w:tcW w:w="67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tax rate</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26.01 %</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Change in valuation allowance</w:t>
            </w: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(29.79)</w:t>
            </w:r>
          </w:p>
        </w:tc>
        <w:tc>
          <w:tcPr>
            <w:tcW w:w="100" w:type="dxa"/>
            <w:vAlign w:val="bottom"/>
          </w:tcPr>
          <w:p>
            <w:pPr>
              <w:spacing w:after="0"/>
              <w:rPr>
                <w:sz w:val="19"/>
                <w:szCs w:val="19"/>
                <w:color w:val="auto"/>
              </w:rPr>
            </w:pPr>
          </w:p>
        </w:tc>
        <w:tc>
          <w:tcPr>
            <w:tcW w:w="1460" w:type="dxa"/>
            <w:vAlign w:val="bottom"/>
          </w:tcPr>
          <w:p>
            <w:pPr>
              <w:jc w:val="right"/>
              <w:ind w:right="132"/>
              <w:spacing w:after="0"/>
              <w:rPr>
                <w:sz w:val="20"/>
                <w:szCs w:val="20"/>
                <w:color w:val="auto"/>
              </w:rPr>
            </w:pPr>
            <w:r>
              <w:rPr>
                <w:rFonts w:ascii="Arial" w:cs="Arial" w:eastAsia="Arial" w:hAnsi="Arial"/>
                <w:sz w:val="18"/>
                <w:szCs w:val="18"/>
                <w:color w:val="auto"/>
              </w:rPr>
              <w:t>2,526.53</w:t>
            </w:r>
          </w:p>
        </w:tc>
        <w:tc>
          <w:tcPr>
            <w:tcW w:w="10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43.08</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tax expense</w:t>
            </w:r>
          </w:p>
        </w:tc>
        <w:tc>
          <w:tcPr>
            <w:tcW w:w="14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28.58</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Tax credits</w:t>
            </w:r>
          </w:p>
        </w:tc>
        <w:tc>
          <w:tcPr>
            <w:tcW w:w="1420" w:type="dxa"/>
            <w:vAlign w:val="bottom"/>
          </w:tcPr>
          <w:p>
            <w:pPr>
              <w:jc w:val="right"/>
              <w:ind w:right="132"/>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9"/>
                <w:szCs w:val="19"/>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Uncertain tax positions</w:t>
            </w:r>
          </w:p>
        </w:tc>
        <w:tc>
          <w:tcPr>
            <w:tcW w:w="14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39.60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114.18</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Unrecognized tax loss</w:t>
            </w: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92"/>
              <w:spacing w:after="0"/>
              <w:rPr>
                <w:sz w:val="20"/>
                <w:szCs w:val="20"/>
                <w:color w:val="auto"/>
              </w:rPr>
            </w:pPr>
            <w:r>
              <w:rPr>
                <w:rFonts w:ascii="Arial" w:cs="Arial" w:eastAsia="Arial" w:hAnsi="Arial"/>
                <w:sz w:val="18"/>
                <w:szCs w:val="18"/>
                <w:color w:val="auto"/>
              </w:rPr>
              <w:t>(67.18)</w:t>
            </w:r>
          </w:p>
        </w:tc>
        <w:tc>
          <w:tcPr>
            <w:tcW w:w="10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rate change</w:t>
            </w:r>
          </w:p>
        </w:tc>
        <w:tc>
          <w:tcPr>
            <w:tcW w:w="14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Tax rate differences on foreign earnings</w:t>
            </w: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19"/>
                <w:szCs w:val="19"/>
                <w:color w:val="auto"/>
              </w:rPr>
            </w:pPr>
          </w:p>
        </w:tc>
        <w:tc>
          <w:tcPr>
            <w:tcW w:w="1460" w:type="dxa"/>
            <w:vAlign w:val="bottom"/>
          </w:tcPr>
          <w:p>
            <w:pPr>
              <w:jc w:val="right"/>
              <w:ind w:right="132"/>
              <w:spacing w:after="0"/>
              <w:rPr>
                <w:sz w:val="20"/>
                <w:szCs w:val="20"/>
                <w:color w:val="auto"/>
              </w:rPr>
            </w:pPr>
            <w:r>
              <w:rPr>
                <w:rFonts w:ascii="Arial" w:cs="Arial" w:eastAsia="Arial" w:hAnsi="Arial"/>
                <w:sz w:val="18"/>
                <w:szCs w:val="18"/>
                <w:color w:val="auto"/>
              </w:rPr>
              <w:t>28.75</w:t>
            </w:r>
          </w:p>
        </w:tc>
        <w:tc>
          <w:tcPr>
            <w:tcW w:w="10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73.11</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7.85</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7.96</w:t>
            </w:r>
          </w:p>
        </w:tc>
      </w:tr>
      <w:tr>
        <w:trPr>
          <w:trHeight w:val="196"/>
        </w:trPr>
        <w:tc>
          <w:tcPr>
            <w:tcW w:w="67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54"/>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2,558.86 %</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292.92 %</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follows ASC Topic 740 which clarifies the accounting and disclosure for uncertainty in tax positions. We analyzed our tax filing positions in the domestic and foreign tax jurisdictions where we are required to file income tax returns as well as for all open tax years subject to audit in these jurisdictions. The Company has open tax years in the United States (2017 through 2019), India (2011 through 2019) and Luxembourg (2014 through 2018).</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changes in unrecognized tax benefits during the years ended December 31:</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Amount of unrecognized tax benefits as of the beginning of the year</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9,687</w:t>
            </w: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Decreases as a result of tax positions taken in a prior period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Increases as a result of tax positions taken in a prior period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8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Increases as a result of tax positions taken in the current period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r>
      <w:tr>
        <w:trPr>
          <w:trHeight w:val="196"/>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Amount of unrecognized tax benefits as of the end of the year</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9,767</w:t>
            </w:r>
          </w:p>
        </w:tc>
      </w:tr>
      <w:tr>
        <w:trPr>
          <w:trHeight w:val="20"/>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total amount of unrecognized tax benefits including interest and penalties that, if recognized, would affect the effective tax rate is $13.2 million and $13.5 million as of December 31, 2020 and 2019, respectively. The Company recognizes interest, if any, related to unrecognized tax benefits as a component of income tax expense. As of December 31, 2020 and 2019, the Company had recorded accrued interest and penalties related to unrecognized tax benefits of $4.6 million and $3.7 million,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 LOSS PER SHARE</w:t>
      </w:r>
    </w:p>
    <w:p>
      <w:pPr>
        <w:spacing w:after="0" w:line="17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Basic loss per share is computed by dividing net loss available to common shareholders by the weighted average number of common shares outstanding for the period. Diluted loss per share reflects the assumed conversion of all dilutive securities using the treasury stock method. Diluted net loss per share excludes all dilutive securities because their impact would be anti-dilutive, as described below.</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6" w:name="page87"/>
    <w:bookmarkEnd w:id="8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loss per share are calculated as follows for the years ended December 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02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 except per share data)</w:t>
            </w:r>
          </w:p>
        </w:tc>
        <w:tc>
          <w:tcPr>
            <w:tcW w:w="320" w:type="dxa"/>
            <w:vAlign w:val="bottom"/>
          </w:tcPr>
          <w:p>
            <w:pPr>
              <w:spacing w:after="0"/>
              <w:rPr>
                <w:sz w:val="18"/>
                <w:szCs w:val="18"/>
                <w:color w:val="auto"/>
              </w:rPr>
            </w:pPr>
          </w:p>
        </w:tc>
        <w:tc>
          <w:tcPr>
            <w:tcW w:w="1020" w:type="dxa"/>
            <w:vAlign w:val="bottom"/>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433"/>
              <w:spacing w:after="0"/>
              <w:rPr>
                <w:sz w:val="20"/>
                <w:szCs w:val="20"/>
                <w:color w:val="auto"/>
              </w:rPr>
            </w:pPr>
            <w:r>
              <w:rPr>
                <w:rFonts w:ascii="Arial" w:cs="Arial" w:eastAsia="Arial" w:hAnsi="Arial"/>
                <w:sz w:val="14"/>
                <w:szCs w:val="14"/>
                <w:b w:val="1"/>
                <w:bCs w:val="1"/>
                <w:color w:val="auto"/>
              </w:rPr>
              <w:t>2018</w:t>
            </w:r>
          </w:p>
        </w:tc>
      </w:tr>
      <w:tr>
        <w:trPr>
          <w:trHeight w:val="199"/>
        </w:trPr>
        <w:tc>
          <w:tcPr>
            <w:tcW w:w="6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r>
      <w:tr>
        <w:trPr>
          <w:trHeight w:val="255"/>
        </w:trPr>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 attributable to Altisource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(307,969)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(5,382)</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28"/>
        </w:trPr>
        <w:tc>
          <w:tcPr>
            <w:tcW w:w="702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Weighted average common shares outstanding, basic</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15,598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15,991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17,073</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54"/>
        </w:trPr>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diluted</w:t>
            </w: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17,073</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29"/>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per share: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020" w:type="dxa"/>
            <w:vAlign w:val="bottom"/>
            <w:gridSpan w:val="2"/>
          </w:tcPr>
          <w:p>
            <w:pPr>
              <w:ind w:left="14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(0.32)</w:t>
            </w: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8"/>
        </w:trPr>
        <w:tc>
          <w:tcPr>
            <w:tcW w:w="7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years ended December 31, 2020, 2019 and 2018, 1.6 million, 1.6 million and 1.2 million, respectively, stock options, restricted shares and restricted share units were excluded from the computation of loss per share, as a result of the following:</w:t>
      </w:r>
    </w:p>
    <w:p>
      <w:pPr>
        <w:spacing w:after="0" w:line="116" w:lineRule="exact"/>
        <w:rPr>
          <w:sz w:val="20"/>
          <w:szCs w:val="20"/>
          <w:color w:val="auto"/>
        </w:rPr>
      </w:pPr>
    </w:p>
    <w:p>
      <w:pPr>
        <w:jc w:val="both"/>
        <w:ind w:left="660" w:hanging="328"/>
        <w:spacing w:after="0" w:line="255"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 a result of the net loss attributable to Altisource for the years ended December 31, 2020, 2019 and 2018, 0.2 million, 0.3 million and 0.5 million, respectively, stock options, restricted shares and restricted share units in each period were excluded from the computation of diluted loss per share, as their impacts were anti-dilutive</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 the years ended December 31, 2020, 2019 and 2018, 0.5 million, 0.5 million and 0.3 million, respectively, stock options were anti-dilutive and have been excluded from the computation of diluted loss per share because their exercise price was greater than the average market price of our common stock</w:t>
      </w:r>
    </w:p>
    <w:p>
      <w:pPr>
        <w:spacing w:after="0" w:line="1"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 the years ended December 31, 2020, 2019 and 2018, 0.9 million, 0.8 million and 0.5 million, respectively, stock options, restricted shares and restricted share units, which begin to vest upon the achievement of certain market criteria related to our common stock price, performance criteria and an annualized rate of return to shareholders that have not yet been met in each period have been excluded from the computation of diluted loss per share.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 RESTRUCTURING CHARGES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2018, Altisource initiated Project Catalyst, a project intended to optimize its operations and reduce costs to better align its cost structure with its anticipated revenues and improve its operating margins (finalized in 2020). During the years ended December 31, 2020, 2019 and 2018, Altisource incurred $12.0 million, $14.1 million and $11.6 million, respectively, of severance costs, professional services fees, facility consolidation costs, technology costs and business wind down costs related to the reorganization plan.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25 — COMMITMENTS, CONTINGENCIES AND REGULATORY MATTERS</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record a liability for contingencies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7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are currently involved in legal actions in the course of our business, some of which seek monetary damages. We do not believe that the outcome of these proceedings, both individually and in the aggregate, will have a material impact on our financial condition, results of operations or cash flows.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Periodically, we are subject to audits, examinations and investigations by federal, state and local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Taxes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21, 2018, the United States Supreme Court rendered a 5-4 majority decision in South Dakota v. Wayfair, Inc., holding that a state may require a remote seller with no physical presence in the state to collect and remit sales tax on goods and services provided to purchasers in the state, overturning existing court precedent. During the year ended December 31, 2019,</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7" w:name="page88"/>
    <w:bookmarkEnd w:id="8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31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completed the analysis of its services for potential exposure to sales tax in various jurisdictions in the United States. The Company recognized a $(2.7) million loss reimbursement, $0.3 million and $6.2 million net loss for the years ended December 31, 2020, 2019 and 2018, respectively, in selling, general and administrative expenses in the accompanying consolidated statements of operations and comprehensive loss. The Company began invoicing, collecting and remitting sales tax in applicable jurisdictions in 2019. Future changes in our estimated sales tax exposure could result in a material adjustment to our consolidated financial statements, which would impact our financial condition and results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 Related Matters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discussed in Note 3, during the year ended December 31, 2020, Ocwen was our largest customer, accounting for 54% of our total revenue. Additionally, 7% of our revenue for the year ended December 31, 2020 was earned on the loan portfolios serviced by Ocwen, when a party other than Ocwen or the MSR owner selected Altisource as the service provider.</w:t>
      </w:r>
    </w:p>
    <w:p>
      <w:pPr>
        <w:spacing w:after="0" w:line="13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Ocwen has disclosed that it is subject to a number of ongoing federal and state regulatory examinations, consent orders, inquiries, subpoenas, civil investigative demands, requests for information and other actions and is subject to pending and threatened legal proceedings, some of which include claims against Ocwen for substantial monetary damages. In addition to monetary damages, various complaints have sought to obtain injunctive relief, consumer redress, refunds, restitution, disgorgement, civil penalties, costs and fees and other relief. Existing or future similar matters could result in, and in some cases, have resulted in, adverse regulatory or other actions against Ocwen. Previous regulatory actions against Ocwen have subjected Ocwen to independent oversight of its operations and placed certain restrictions on its ability to acquire servicing rights. In addition to the above, Ocwen may become subject to future adverse regulatory or other actions.</w:t>
      </w:r>
    </w:p>
    <w:p>
      <w:pPr>
        <w:spacing w:after="0" w:line="1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Ocwen has disclosed that NRZ is its largest client. As of December 31, 2020, NRZ MSRs or rights to MSRs relating to approximately 36% of loans serviced and subserviced by Ocwen (measured in UPB). In July 2017 and January 2018, Ocwen and NRZ entered into a series of agreements pursuant to which the parties agreed, among other things, to undertake certain actions to facilitate the transfer from Ocwen to NRZ of Ocwen’s legal title to the Subject MSRs and under which Ocwen will subservice mortgage loans underlying the MSRs for an initial term of five years. NRZ can terminate its sub-servicing agreement with Ocwen in exchange for the payment of a termination fee.</w:t>
      </w:r>
    </w:p>
    <w:p>
      <w:pPr>
        <w:spacing w:after="0" w:line="13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existence or outcome of Ocwen regulatory matters or the termination of the NRZ sub-servicing agreement with Ocwen may have significant adverse effects on Ocwen’s business and/or our continuing relationship with Ocwen. For example, Ocwen may be required to alter the way it conducts business, including the parties it contracts with for services, it may be required to seek changes to its existing pricing structure with us, it may lose its non-government-sponsored enterprise (“GSE”) servicing rights or subservicing arrangements or may lose one or more of its state servicing or origination licenses. Additional regulatory actions or adverse financial developments may impose additional restrictions on or require changes in Ocwen’s business that could require it to sell assets or change its business operations. Any or all of these effects and others could result in our eventual loss of Ocwen as a customer or a reduction in the number and/or volume of services they purchase from us or the loss of other customers.</w:t>
      </w:r>
    </w:p>
    <w:p>
      <w:pPr>
        <w:spacing w:after="0" w:line="11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During the second quarter of 2020, Ocwen informed us that an MSR investor instructed Ocwen to use a field services provider other than Altisource on properties associated with certain MSRs. Based upon the impacted portfolios to date and the designated service provider, Altisource believes that Ocwen received these directions from NRZ. We believe Ocwen commenced using another field services provider for these properties in July 2020 and continued to transition services during the third quarter of 2020. We believe that the transition to the replacement field service provider was largely completed as of September 30, 2020. We estimate that $70.1 million, $150.2 million and $171.0 million of service revenue from Ocwen for the year ended December 31, 2020, 2019 and 2018, respectively, was derived from Field Services referrals from the NRZ portfolios. Ocwen also communicated to Altisource in the fourth quarter of 2020 that the same investor instructed Ocwen to use a provider for default valuations and certain default title services other than Altisource on properties associated with such certain MSRs and commenced moving these referrals to other service providers in the fourth quarter of 2020. We anticipate that the transition of such default valuations and title services will continue during the course of 2021. We estimate that $18.2 million, $33.2 million and $40.1 million of service revenue from Ocwen for the year ended December 31, 2020, 2019 and 2018, respectively, was derived from default valuations and title services referrals from the NRZ portfolios. Altisource believes that any action taken by Ocwen to redirect these service referrals breaches Altisource's agreement with Ocwen. We are currently in discussions with Ocwen to address this matter, and have reserved all of our rights with respect to this matter.</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To address the reduction in revenue, Altisource is undertaking several measures to further reduce its cost structure and strengthen its operations.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3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to expected reductions in our revenue from the transition of referrals for default related services previously identified, if any of the following events occurred, Altisource’s revenue could be further significantly reduced and our results of operations could be materially adversely affected, including from the possible impairment or write-off of goodwill, intangible assets, property and equipment, other assets and accounts receivable:</w:t>
      </w:r>
    </w:p>
    <w:p>
      <w:pPr>
        <w:spacing w:after="0" w:line="111"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Altisource loses Ocwen as a customer or there is an additional significant reduction in the volume of services they purchase from us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Ocwen loses, sells or transfers a significant portion of its GSE servicing rights or subservicing arrangements or remaining non-GSE servicing rights or subservicing arrangements and Altisource fails to be retained as a service provider</w:t>
      </w:r>
    </w:p>
    <w:p>
      <w:pPr>
        <w:spacing w:after="0" w:line="8"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contractual relationship between Ocwen and NRZ changes significantly and this change results in a change in our status as a provider of services related to the Subject MSRs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Ocwen loses state servicing licenses in states with a significant number of loans in Ocwen’s servicing portfolio</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contractual relationship between Ocwen and Altisource changes significantly or there are significant changes to our pricing to Ocwen for services from which we generate material revenue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Altisource otherwise fails to be retained as a service provider</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Management cannot predict whether any of these events will occur or the amount of any impact they may have on Altisource. However, we are focused on diversifying and growing our revenue and customer base and we have a sales and marketing strategy to support these efforts. Moreover, in the event one or more of these events materially negatively impact Altisource, we believe the variable nature of our cost structure would allow us to realign our cost structure to address some of the impact to revenue and that current liquidity would be sufficient to meet our working capital, capital expenditures, debt service and other cash needs. There can be no assurance that our plans will be successful or our operations will be profitable.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and in July 2018, the FASB issued ASU No. 2018-10, </w:t>
      </w:r>
      <w:r>
        <w:rPr>
          <w:rFonts w:ascii="Arial" w:cs="Arial" w:eastAsia="Arial" w:hAnsi="Arial"/>
          <w:sz w:val="17"/>
          <w:szCs w:val="17"/>
          <w:i w:val="1"/>
          <w:iCs w:val="1"/>
          <w:color w:val="auto"/>
        </w:rPr>
        <w:t>Codification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Improvements to Topic 842, Leases </w:t>
      </w:r>
      <w:r>
        <w:rPr>
          <w:rFonts w:ascii="Arial" w:cs="Arial" w:eastAsia="Arial" w:hAnsi="Arial"/>
          <w:sz w:val="17"/>
          <w:szCs w:val="17"/>
          <w:color w:val="auto"/>
        </w:rPr>
        <w:t>and ASU No. 2018-11,</w:t>
      </w:r>
      <w:r>
        <w:rPr>
          <w:rFonts w:ascii="Arial" w:cs="Arial" w:eastAsia="Arial" w:hAnsi="Arial"/>
          <w:sz w:val="17"/>
          <w:szCs w:val="17"/>
          <w:i w:val="1"/>
          <w:iCs w:val="1"/>
          <w:color w:val="auto"/>
        </w:rPr>
        <w:t xml:space="preserve"> Leases (Topic 842): Targeted Improvements </w:t>
      </w:r>
      <w:r>
        <w:rPr>
          <w:rFonts w:ascii="Arial" w:cs="Arial" w:eastAsia="Arial" w:hAnsi="Arial"/>
          <w:sz w:val="17"/>
          <w:szCs w:val="17"/>
          <w:color w:val="auto"/>
        </w:rPr>
        <w:t>(collectively “Topic 842”). Topic 842 introduced a</w:t>
      </w:r>
      <w:r>
        <w:rPr>
          <w:rFonts w:ascii="Arial" w:cs="Arial" w:eastAsia="Arial" w:hAnsi="Arial"/>
          <w:sz w:val="17"/>
          <w:szCs w:val="17"/>
          <w:i w:val="1"/>
          <w:iCs w:val="1"/>
          <w:color w:val="auto"/>
        </w:rPr>
        <w:t xml:space="preserve"> </w:t>
      </w:r>
      <w:r>
        <w:rPr>
          <w:rFonts w:ascii="Arial" w:cs="Arial" w:eastAsia="Arial" w:hAnsi="Arial"/>
          <w:sz w:val="17"/>
          <w:szCs w:val="17"/>
          <w:color w:val="auto"/>
        </w:rPr>
        <w:t>new lessee model that brings substantially all leases on the balance sheet. The Company adopted Topic 842 effective January 1, 2019 using the modified retrospective transition approach. In addition, the Company elected the practical expedients permitted under the transition guidance within the new standard, including allowing the Company to carry forward its historical lease classification, using hindsight to determine the lease term for existing leases, combining fixed lease and non-lease components and excluding short-term leases. Adoption of this new standard resulted in the recognition of $42.1 million of right-of-use assets in right-of-use assets under operating leases, $45.5 million of operating lease liabilities ($16.7 million in other current liabilities and $28.8 million in other non-current liabilities) and reduced accrued rent and lease incentives of $3.4 million in accounts payable and accrued expenses and other non-current liabilities on the accompanying consolidated balance sheets.</w:t>
      </w:r>
    </w:p>
    <w:p>
      <w:pPr>
        <w:spacing w:after="0" w:line="1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lease certain premises and equipment, primarily consisting of office space and information technology equipment. Certain of our leases include options to renew at our discretion or terminate leases early, and these options are considered in our determination of the expected lease term. Certain of our lease agreements include rental payments adjusted periodically for inflation. Our lease agreements generally do not contain any material residual value guarantees or material restrictive covenants. We sublease certain office space to third parties. Sublease income was $1.4 million, $1.7 million and $1.6 million for the years ended December 31, 2020, 2019 and 2018, respectively. The amortization periods of right-of-use assets are generally limited by the expected lease term. Our leases generally have expected lease terms at adoption of one to six years. As of December 31, 2020, we entered into a five year lease for additional office space which has not yet commenced.</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our lease terms and our discount rate assumption is as follows as of December 31: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02"/>
        </w:trPr>
        <w:tc>
          <w:tcPr>
            <w:tcW w:w="8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(in years)</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7.01 %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7.11 %</w:t>
            </w:r>
          </w:p>
        </w:tc>
        <w:tc>
          <w:tcPr>
            <w:tcW w:w="0" w:type="dxa"/>
            <w:vAlign w:val="bottom"/>
          </w:tcPr>
          <w:p>
            <w:pPr>
              <w:spacing w:after="0"/>
              <w:rPr>
                <w:sz w:val="1"/>
                <w:szCs w:val="1"/>
                <w:color w:val="auto"/>
              </w:rPr>
            </w:pPr>
          </w:p>
        </w:tc>
      </w:tr>
      <w:tr>
        <w:trPr>
          <w:trHeight w:val="472"/>
        </w:trPr>
        <w:tc>
          <w:tcPr>
            <w:tcW w:w="8100" w:type="dxa"/>
            <w:vAlign w:val="bottom"/>
          </w:tcPr>
          <w:p>
            <w:pPr>
              <w:spacing w:after="0"/>
              <w:rPr>
                <w:sz w:val="20"/>
                <w:szCs w:val="20"/>
                <w:color w:val="auto"/>
              </w:rPr>
            </w:pPr>
            <w:r>
              <w:rPr>
                <w:rFonts w:ascii="Arial" w:cs="Arial" w:eastAsia="Arial" w:hAnsi="Arial"/>
                <w:sz w:val="18"/>
                <w:szCs w:val="18"/>
                <w:color w:val="auto"/>
              </w:rPr>
              <w:t>Our lease activity was as follows for the years ended December 31: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9"/>
        </w:trPr>
        <w:tc>
          <w:tcPr>
            <w:tcW w:w="8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Operating lease costs:</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w:t>
            </w:r>
          </w:p>
        </w:tc>
        <w:tc>
          <w:tcPr>
            <w:tcW w:w="4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9,712</w:t>
            </w:r>
          </w:p>
        </w:tc>
        <w:tc>
          <w:tcPr>
            <w:tcW w:w="2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10,698</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1,919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used in operating activities for amounts included in the measurement of lease liabilities</w:t>
            </w:r>
          </w:p>
        </w:tc>
        <w:tc>
          <w:tcPr>
            <w:tcW w:w="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13,113</w:t>
            </w:r>
          </w:p>
        </w:tc>
        <w:tc>
          <w:tcPr>
            <w:tcW w:w="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15,446</w:t>
            </w:r>
          </w:p>
        </w:tc>
        <w:tc>
          <w:tcPr>
            <w:tcW w:w="0" w:type="dxa"/>
            <w:vAlign w:val="bottom"/>
          </w:tcPr>
          <w:p>
            <w:pPr>
              <w:spacing w:after="0"/>
              <w:rPr>
                <w:sz w:val="1"/>
                <w:szCs w:val="1"/>
                <w:color w:val="auto"/>
              </w:rPr>
            </w:pPr>
          </w:p>
        </w:tc>
      </w:tr>
      <w:tr>
        <w:trPr>
          <w:trHeight w:val="230"/>
        </w:trPr>
        <w:tc>
          <w:tcPr>
            <w:tcW w:w="8100" w:type="dxa"/>
            <w:vAlign w:val="bottom"/>
          </w:tcPr>
          <w:p>
            <w:pPr>
              <w:ind w:left="80"/>
              <w:spacing w:after="0"/>
              <w:rPr>
                <w:sz w:val="20"/>
                <w:szCs w:val="20"/>
                <w:color w:val="auto"/>
              </w:rPr>
            </w:pPr>
            <w:r>
              <w:rPr>
                <w:rFonts w:ascii="Arial" w:cs="Arial" w:eastAsia="Arial" w:hAnsi="Arial"/>
                <w:sz w:val="18"/>
                <w:szCs w:val="18"/>
                <w:color w:val="auto"/>
              </w:rPr>
              <w:t>Short-term (twelve months or less) lease costs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3,797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4,999</w:t>
            </w:r>
          </w:p>
        </w:tc>
        <w:tc>
          <w:tcPr>
            <w:tcW w:w="0" w:type="dxa"/>
            <w:vAlign w:val="bottom"/>
          </w:tcPr>
          <w:p>
            <w:pPr>
              <w:spacing w:after="0"/>
              <w:rPr>
                <w:sz w:val="1"/>
                <w:szCs w:val="1"/>
                <w:color w:val="auto"/>
              </w:rPr>
            </w:pPr>
          </w:p>
        </w:tc>
      </w:tr>
      <w:tr>
        <w:trPr>
          <w:trHeight w:val="458"/>
        </w:trPr>
        <w:tc>
          <w:tcPr>
            <w:tcW w:w="8100" w:type="dxa"/>
            <w:vAlign w:val="bottom"/>
          </w:tcPr>
          <w:p>
            <w:pPr>
              <w:spacing w:after="0"/>
              <w:rPr>
                <w:sz w:val="20"/>
                <w:szCs w:val="20"/>
                <w:color w:val="auto"/>
              </w:rPr>
            </w:pPr>
            <w:r>
              <w:rPr>
                <w:rFonts w:ascii="Arial" w:cs="Arial" w:eastAsia="Arial" w:hAnsi="Arial"/>
                <w:sz w:val="18"/>
                <w:szCs w:val="18"/>
                <w:color w:val="auto"/>
              </w:rPr>
              <w:t>Maturities of our lease liabilities as of December 31, 2020 are as follows: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center"/>
              <w:ind w:right="155"/>
              <w:spacing w:after="0"/>
              <w:rPr>
                <w:sz w:val="20"/>
                <w:szCs w:val="20"/>
                <w:color w:val="auto"/>
              </w:rPr>
            </w:pPr>
            <w:r>
              <w:rPr>
                <w:rFonts w:ascii="Arial" w:cs="Arial" w:eastAsia="Arial" w:hAnsi="Arial"/>
                <w:sz w:val="14"/>
                <w:szCs w:val="14"/>
                <w:b w:val="1"/>
                <w:bCs w:val="1"/>
                <w:color w:val="auto"/>
                <w:w w:val="91"/>
              </w:rPr>
              <w:t>Operating lease</w:t>
            </w:r>
          </w:p>
        </w:tc>
        <w:tc>
          <w:tcPr>
            <w:tcW w:w="0" w:type="dxa"/>
            <w:vAlign w:val="bottom"/>
          </w:tcPr>
          <w:p>
            <w:pPr>
              <w:spacing w:after="0"/>
              <w:rPr>
                <w:sz w:val="1"/>
                <w:szCs w:val="1"/>
                <w:color w:val="auto"/>
              </w:rPr>
            </w:pPr>
          </w:p>
        </w:tc>
      </w:tr>
      <w:tr>
        <w:trPr>
          <w:trHeight w:val="188"/>
        </w:trPr>
        <w:tc>
          <w:tcPr>
            <w:tcW w:w="8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0"/>
              </w:rPr>
              <w:t>obligations</w:t>
            </w:r>
          </w:p>
        </w:tc>
        <w:tc>
          <w:tcPr>
            <w:tcW w:w="0" w:type="dxa"/>
            <w:vAlign w:val="bottom"/>
          </w:tcPr>
          <w:p>
            <w:pPr>
              <w:spacing w:after="0"/>
              <w:rPr>
                <w:sz w:val="1"/>
                <w:szCs w:val="1"/>
                <w:color w:val="auto"/>
              </w:rPr>
            </w:pPr>
          </w:p>
        </w:tc>
      </w:tr>
      <w:tr>
        <w:trPr>
          <w:trHeight w:val="197"/>
        </w:trPr>
        <w:tc>
          <w:tcPr>
            <w:tcW w:w="8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8,268</w:t>
            </w:r>
          </w:p>
        </w:tc>
        <w:tc>
          <w:tcPr>
            <w:tcW w:w="0" w:type="dxa"/>
            <w:vAlign w:val="bottom"/>
          </w:tcPr>
          <w:p>
            <w:pPr>
              <w:spacing w:after="0"/>
              <w:rPr>
                <w:sz w:val="1"/>
                <w:szCs w:val="1"/>
                <w:color w:val="auto"/>
              </w:rPr>
            </w:pP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5,765</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4,671</w:t>
            </w:r>
          </w:p>
        </w:tc>
        <w:tc>
          <w:tcPr>
            <w:tcW w:w="0" w:type="dxa"/>
            <w:vAlign w:val="bottom"/>
          </w:tcPr>
          <w:p>
            <w:pPr>
              <w:spacing w:after="0"/>
              <w:rPr>
                <w:sz w:val="1"/>
                <w:szCs w:val="1"/>
                <w:color w:val="auto"/>
              </w:rPr>
            </w:pP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2,901</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23"/>
        </w:trPr>
        <w:tc>
          <w:tcPr>
            <w:tcW w:w="8100" w:type="dxa"/>
            <w:vAlign w:val="bottom"/>
          </w:tcPr>
          <w:p>
            <w:pPr>
              <w:ind w:left="20"/>
              <w:spacing w:after="0"/>
              <w:rPr>
                <w:sz w:val="20"/>
                <w:szCs w:val="20"/>
                <w:color w:val="auto"/>
              </w:rPr>
            </w:pPr>
            <w:r>
              <w:rPr>
                <w:rFonts w:ascii="Arial" w:cs="Arial" w:eastAsia="Arial" w:hAnsi="Arial"/>
                <w:sz w:val="18"/>
                <w:szCs w:val="18"/>
                <w:color w:val="auto"/>
              </w:rPr>
              <w:t>Total lease payments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22,204</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interest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(2,314)</w:t>
            </w:r>
          </w:p>
        </w:tc>
        <w:tc>
          <w:tcPr>
            <w:tcW w:w="0" w:type="dxa"/>
            <w:vAlign w:val="bottom"/>
          </w:tcPr>
          <w:p>
            <w:pPr>
              <w:spacing w:after="0"/>
              <w:rPr>
                <w:sz w:val="1"/>
                <w:szCs w:val="1"/>
                <w:color w:val="auto"/>
              </w:rPr>
            </w:pPr>
          </w:p>
        </w:tc>
      </w:tr>
      <w:tr>
        <w:trPr>
          <w:trHeight w:val="196"/>
        </w:trPr>
        <w:tc>
          <w:tcPr>
            <w:tcW w:w="8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19,890</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020"/>
        <w:spacing w:after="0" w:line="438" w:lineRule="auto"/>
        <w:rPr>
          <w:sz w:val="20"/>
          <w:szCs w:val="20"/>
          <w:color w:val="auto"/>
        </w:rPr>
      </w:pPr>
      <w:r>
        <w:rPr>
          <w:rFonts w:ascii="Arial" w:cs="Arial" w:eastAsia="Arial" w:hAnsi="Arial"/>
          <w:sz w:val="18"/>
          <w:szCs w:val="18"/>
          <w:color w:val="auto"/>
        </w:rPr>
        <w:t xml:space="preserve">We have executed three standby letters of credit totaling $0.8 million related to three office leases that are secured by restricted cash balances. </w:t>
      </w:r>
      <w:r>
        <w:rPr>
          <w:rFonts w:ascii="Arial" w:cs="Arial" w:eastAsia="Arial" w:hAnsi="Arial"/>
          <w:sz w:val="18"/>
          <w:szCs w:val="18"/>
          <w:b w:val="1"/>
          <w:bCs w:val="1"/>
          <w:color w:val="auto"/>
        </w:rPr>
        <w:t>Escrow Balances</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hold customers’ assets in escrow accounts at various financial institutions pending completion of certain real estate activities. These amounts are held in escrow accounts for limited periods of time and are not included in the consolidated balance sheets. Amounts held in escrow accounts were $20.0 million and $12.3 million as of December 31, 2020 and 2019, respectively.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26 — QUARTERLY FINANCIAL DATA (UNAUDITED)</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tables contain selected unaudited statement of operations information for each quarter of 2020 and 2019. The following information reflects all recurring adjustments necessary for a fair presentation of the information for the periods presented. The operating results for any quarter are not necessarily indicative of results for any future period. Our business can be affected by seasonality.</w:t>
      </w:r>
    </w:p>
    <w:p>
      <w:pPr>
        <w:spacing w:after="0" w:line="9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w w:val="95"/>
              </w:rPr>
              <w:t>2020 quarter ended (1)(2)(3)(4)(5)(6)</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99"/>
        </w:trPr>
        <w:tc>
          <w:tcPr>
            <w:tcW w:w="578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 except per share data)</w:t>
            </w:r>
          </w:p>
        </w:tc>
        <w:tc>
          <w:tcPr>
            <w:tcW w:w="200" w:type="dxa"/>
            <w:vAlign w:val="bottom"/>
          </w:tcPr>
          <w:p>
            <w:pPr>
              <w:spacing w:after="0"/>
              <w:rPr>
                <w:sz w:val="17"/>
                <w:szCs w:val="17"/>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7"/>
                <w:szCs w:val="17"/>
                <w:color w:val="auto"/>
              </w:rPr>
            </w:pPr>
          </w:p>
        </w:tc>
        <w:tc>
          <w:tcPr>
            <w:tcW w:w="126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7"/>
                <w:szCs w:val="17"/>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7"/>
                <w:szCs w:val="17"/>
                <w:color w:val="auto"/>
              </w:rPr>
            </w:pPr>
          </w:p>
        </w:tc>
        <w:tc>
          <w:tcPr>
            <w:tcW w:w="1120" w:type="dxa"/>
            <w:vAlign w:val="bottom"/>
          </w:tcPr>
          <w:p>
            <w:pPr>
              <w:jc w:val="right"/>
              <w:ind w:right="132"/>
              <w:spacing w:after="0"/>
              <w:rPr>
                <w:sz w:val="20"/>
                <w:szCs w:val="20"/>
                <w:color w:val="auto"/>
              </w:rPr>
            </w:pPr>
            <w:r>
              <w:rPr>
                <w:rFonts w:ascii="Arial" w:cs="Arial" w:eastAsia="Arial" w:hAnsi="Arial"/>
                <w:sz w:val="14"/>
                <w:szCs w:val="14"/>
                <w:b w:val="1"/>
                <w:bCs w:val="1"/>
                <w:color w:val="auto"/>
                <w:w w:val="96"/>
              </w:rPr>
              <w:t>December 31,</w:t>
            </w:r>
          </w:p>
        </w:tc>
      </w:tr>
      <w:tr>
        <w:trPr>
          <w:trHeight w:val="199"/>
        </w:trPr>
        <w:tc>
          <w:tcPr>
            <w:tcW w:w="5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230"/>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59,966</w:t>
            </w:r>
          </w:p>
        </w:tc>
      </w:tr>
      <w:tr>
        <w:trPr>
          <w:trHeight w:val="229"/>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26,863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12,714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16,225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4,551</w:t>
            </w:r>
          </w:p>
        </w:tc>
      </w:tr>
      <w:tr>
        <w:trPr>
          <w:trHeight w:val="229"/>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before income taxes and non-controlling interests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(3,695)</w:t>
            </w:r>
          </w:p>
        </w:tc>
      </w:tr>
      <w:tr>
        <w:trPr>
          <w:trHeight w:val="230"/>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(34,864)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(7,009)</w:t>
            </w:r>
          </w:p>
        </w:tc>
      </w:tr>
      <w:tr>
        <w:trPr>
          <w:trHeight w:val="229"/>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attributable to Altisource</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(7,208)</w:t>
            </w:r>
          </w:p>
        </w:tc>
      </w:tr>
      <w:tr>
        <w:trPr>
          <w:trHeight w:val="216"/>
        </w:trPr>
        <w:tc>
          <w:tcPr>
            <w:tcW w:w="5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per share:</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5780" w:type="dxa"/>
            <w:vAlign w:val="bottom"/>
            <w:gridSpan w:val="2"/>
          </w:tcPr>
          <w:p>
            <w:pPr>
              <w:ind w:left="22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(0.85)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(0.46)</w:t>
            </w:r>
          </w:p>
        </w:tc>
      </w:tr>
      <w:tr>
        <w:trPr>
          <w:trHeight w:val="229"/>
        </w:trPr>
        <w:tc>
          <w:tcPr>
            <w:tcW w:w="5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r>
      <w:tr>
        <w:trPr>
          <w:trHeight w:val="216"/>
        </w:trPr>
        <w:tc>
          <w:tcPr>
            <w:tcW w:w="5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9"/>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5780" w:type="dxa"/>
            <w:vAlign w:val="bottom"/>
            <w:gridSpan w:val="2"/>
          </w:tcPr>
          <w:p>
            <w:pPr>
              <w:ind w:left="22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15,497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15,601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15,637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15,657</w:t>
            </w:r>
          </w:p>
        </w:tc>
      </w:tr>
      <w:tr>
        <w:trPr>
          <w:trHeight w:val="230"/>
        </w:trPr>
        <w:tc>
          <w:tcPr>
            <w:tcW w:w="5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15,657</w:t>
            </w:r>
          </w:p>
        </w:tc>
      </w:tr>
      <w:tr>
        <w:trPr>
          <w:trHeight w:val="453"/>
        </w:trPr>
        <w:tc>
          <w:tcPr>
            <w:tcW w:w="5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96"/>
              </w:rPr>
              <w:t>2019 quarter ended (1)(2)(3)(4)(5)(7)(8)</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99"/>
        </w:trPr>
        <w:tc>
          <w:tcPr>
            <w:tcW w:w="578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 except per share data)</w:t>
            </w:r>
          </w:p>
        </w:tc>
        <w:tc>
          <w:tcPr>
            <w:tcW w:w="200" w:type="dxa"/>
            <w:vAlign w:val="bottom"/>
          </w:tcPr>
          <w:p>
            <w:pPr>
              <w:spacing w:after="0"/>
              <w:rPr>
                <w:sz w:val="17"/>
                <w:szCs w:val="17"/>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7"/>
                <w:szCs w:val="17"/>
                <w:color w:val="auto"/>
              </w:rPr>
            </w:pPr>
          </w:p>
        </w:tc>
        <w:tc>
          <w:tcPr>
            <w:tcW w:w="126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7"/>
                <w:szCs w:val="17"/>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7"/>
                <w:szCs w:val="17"/>
                <w:color w:val="auto"/>
              </w:rPr>
            </w:pPr>
          </w:p>
        </w:tc>
        <w:tc>
          <w:tcPr>
            <w:tcW w:w="1120" w:type="dxa"/>
            <w:vAlign w:val="bottom"/>
          </w:tcPr>
          <w:p>
            <w:pPr>
              <w:jc w:val="right"/>
              <w:ind w:right="132"/>
              <w:spacing w:after="0"/>
              <w:rPr>
                <w:sz w:val="20"/>
                <w:szCs w:val="20"/>
                <w:color w:val="auto"/>
              </w:rPr>
            </w:pPr>
            <w:r>
              <w:rPr>
                <w:rFonts w:ascii="Arial" w:cs="Arial" w:eastAsia="Arial" w:hAnsi="Arial"/>
                <w:sz w:val="14"/>
                <w:szCs w:val="14"/>
                <w:b w:val="1"/>
                <w:bCs w:val="1"/>
                <w:color w:val="auto"/>
                <w:w w:val="96"/>
              </w:rPr>
              <w:t>December 31,</w:t>
            </w:r>
          </w:p>
        </w:tc>
      </w:tr>
      <w:tr>
        <w:trPr>
          <w:trHeight w:val="199"/>
        </w:trPr>
        <w:tc>
          <w:tcPr>
            <w:tcW w:w="5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229"/>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140,688</w:t>
            </w:r>
          </w:p>
        </w:tc>
      </w:tr>
      <w:tr>
        <w:trPr>
          <w:trHeight w:val="230"/>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45,720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43,821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30,771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35,083</w:t>
            </w:r>
          </w:p>
        </w:tc>
      </w:tr>
      <w:tr>
        <w:trPr>
          <w:trHeight w:val="230"/>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income before income taxes and non-controlling interests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(8,459)</w:t>
            </w:r>
          </w:p>
        </w:tc>
      </w:tr>
      <w:tr>
        <w:trPr>
          <w:trHeight w:val="230"/>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Net (loss) income</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(306,085)</w:t>
            </w:r>
          </w:p>
        </w:tc>
      </w:tr>
      <w:tr>
        <w:trPr>
          <w:trHeight w:val="230"/>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Altisource</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(306,106)</w:t>
            </w:r>
          </w:p>
        </w:tc>
      </w:tr>
      <w:tr>
        <w:trPr>
          <w:trHeight w:val="216"/>
        </w:trPr>
        <w:tc>
          <w:tcPr>
            <w:tcW w:w="57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earnings per share:</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5780" w:type="dxa"/>
            <w:vAlign w:val="bottom"/>
            <w:gridSpan w:val="2"/>
          </w:tcPr>
          <w:p>
            <w:pPr>
              <w:ind w:left="22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(19.66)</w:t>
            </w:r>
          </w:p>
        </w:tc>
      </w:tr>
      <w:tr>
        <w:trPr>
          <w:trHeight w:val="230"/>
        </w:trPr>
        <w:tc>
          <w:tcPr>
            <w:tcW w:w="5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w:t>
            </w:r>
          </w:p>
        </w:tc>
      </w:tr>
      <w:tr>
        <w:trPr>
          <w:trHeight w:val="216"/>
        </w:trPr>
        <w:tc>
          <w:tcPr>
            <w:tcW w:w="57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9"/>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5780" w:type="dxa"/>
            <w:vAlign w:val="bottom"/>
            <w:gridSpan w:val="2"/>
          </w:tcPr>
          <w:p>
            <w:pPr>
              <w:ind w:left="22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16,292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16,214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15,897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15,568</w:t>
            </w:r>
          </w:p>
        </w:tc>
      </w:tr>
      <w:tr>
        <w:trPr>
          <w:trHeight w:val="230"/>
        </w:trPr>
        <w:tc>
          <w:tcPr>
            <w:tcW w:w="5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15,568</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w:t>
      </w:r>
    </w:p>
    <w:p>
      <w:pPr>
        <w:spacing w:after="0" w:line="63" w:lineRule="exact"/>
        <w:rPr>
          <w:sz w:val="20"/>
          <w:szCs w:val="20"/>
          <w:color w:val="auto"/>
        </w:rPr>
      </w:pPr>
    </w:p>
    <w:p>
      <w:pPr>
        <w:ind w:left="260" w:hanging="252"/>
        <w:spacing w:after="0" w:line="227" w:lineRule="auto"/>
        <w:tabs>
          <w:tab w:leader="none" w:pos="337" w:val="left"/>
        </w:tabs>
        <w:numPr>
          <w:ilvl w:val="0"/>
          <w:numId w:val="46"/>
        </w:numPr>
        <w:rPr>
          <w:rFonts w:ascii="Arial" w:cs="Arial" w:eastAsia="Arial" w:hAnsi="Arial"/>
          <w:sz w:val="23"/>
          <w:szCs w:val="23"/>
          <w:color w:val="auto"/>
          <w:vertAlign w:val="superscript"/>
        </w:rPr>
      </w:pPr>
      <w:r>
        <w:rPr>
          <w:rFonts w:ascii="Arial" w:cs="Arial" w:eastAsia="Arial" w:hAnsi="Arial"/>
          <w:sz w:val="18"/>
          <w:szCs w:val="18"/>
          <w:color w:val="auto"/>
        </w:rPr>
        <w:t>The sum of quarterly amounts, including per share amounts, may not equal amounts reported for year-to-date periods. This is due to the effects of rounding and changes in the number of weighted average shares outstanding for each period.</w:t>
      </w:r>
    </w:p>
    <w:p>
      <w:pPr>
        <w:jc w:val="both"/>
        <w:ind w:left="260" w:hanging="252"/>
        <w:spacing w:after="0"/>
        <w:tabs>
          <w:tab w:leader="none" w:pos="283" w:val="left"/>
        </w:tabs>
        <w:numPr>
          <w:ilvl w:val="0"/>
          <w:numId w:val="46"/>
        </w:numPr>
        <w:rPr>
          <w:rFonts w:ascii="Arial" w:cs="Arial" w:eastAsia="Arial" w:hAnsi="Arial"/>
          <w:sz w:val="23"/>
          <w:szCs w:val="23"/>
          <w:color w:val="auto"/>
          <w:vertAlign w:val="superscript"/>
        </w:rPr>
      </w:pPr>
      <w:r>
        <w:rPr>
          <w:rFonts w:ascii="Arial" w:cs="Arial" w:eastAsia="Arial" w:hAnsi="Arial"/>
          <w:sz w:val="18"/>
          <w:szCs w:val="18"/>
          <w:color w:val="auto"/>
        </w:rPr>
        <w:t>The income tax provisions on losses before income taxes and non-controlling interests for each quarter of 2020 were primarily driven by the income in our US and other foreign operations from transfer pricing on services provided to our Luxembourg operating company and no tax benefit on pretax losses from our Luxembourg operating company. During the fourth quarter of 2019, we recognized net income tax provision of $318.3 million, which included an increase in the valuation allowance in connection with the Luxembourg net operating loss carryforward of $291.5 million, the impact of a decrease in the Luxembourg statutory income tax rate on deferred taxes of $1.7 million and foreign income tax reserves of $5.6 million. During the second quarter of 2019, we recognized $12.3 million as a result of the change in the Luxembourg statutory income tax rate on deferred taxes. See Note 22.</w:t>
      </w:r>
    </w:p>
    <w:p>
      <w:pPr>
        <w:spacing w:after="0" w:line="5" w:lineRule="exact"/>
        <w:rPr>
          <w:rFonts w:ascii="Arial" w:cs="Arial" w:eastAsia="Arial" w:hAnsi="Arial"/>
          <w:sz w:val="23"/>
          <w:szCs w:val="23"/>
          <w:color w:val="auto"/>
          <w:vertAlign w:val="superscript"/>
        </w:rPr>
      </w:pPr>
    </w:p>
    <w:p>
      <w:pPr>
        <w:jc w:val="both"/>
        <w:ind w:left="260" w:hanging="252"/>
        <w:spacing w:after="0" w:line="247" w:lineRule="auto"/>
        <w:tabs>
          <w:tab w:leader="none" w:pos="283" w:val="left"/>
        </w:tabs>
        <w:numPr>
          <w:ilvl w:val="0"/>
          <w:numId w:val="46"/>
        </w:numPr>
        <w:rPr>
          <w:rFonts w:ascii="Arial" w:cs="Arial" w:eastAsia="Arial" w:hAnsi="Arial"/>
          <w:sz w:val="22"/>
          <w:szCs w:val="22"/>
          <w:color w:val="auto"/>
          <w:vertAlign w:val="superscript"/>
        </w:rPr>
      </w:pPr>
      <w:r>
        <w:rPr>
          <w:rFonts w:ascii="Arial" w:cs="Arial" w:eastAsia="Arial" w:hAnsi="Arial"/>
          <w:sz w:val="17"/>
          <w:szCs w:val="17"/>
          <w:color w:val="auto"/>
        </w:rPr>
        <w:t>During the first quarter of 2020, second quarter of 2020, third quarter of 2020 and fourth quarter of 2020, we recognized unrealized (losses) gains from our investment in RESI common shares of $(1.3) million, $(11.2) million, $0.1 million and $16.4 million, respectively. During the first quarter of 2019, second quarter of 2019, third quarter of 2019 and fourth quarter of 2019, we recognized unrealized gains (losses) from our investment in RESI common shares of $2.2 million, $11.8 million, $(2.3) million and $2.7 million, respectively. See Note 5.</w:t>
      </w:r>
    </w:p>
    <w:p>
      <w:pPr>
        <w:ind w:left="260" w:right="20" w:hanging="252"/>
        <w:spacing w:after="0" w:line="219" w:lineRule="auto"/>
        <w:tabs>
          <w:tab w:leader="none" w:pos="283" w:val="left"/>
        </w:tabs>
        <w:numPr>
          <w:ilvl w:val="0"/>
          <w:numId w:val="46"/>
        </w:numPr>
        <w:rPr>
          <w:rFonts w:ascii="Arial" w:cs="Arial" w:eastAsia="Arial" w:hAnsi="Arial"/>
          <w:sz w:val="23"/>
          <w:szCs w:val="23"/>
          <w:color w:val="auto"/>
          <w:vertAlign w:val="superscript"/>
        </w:rPr>
      </w:pPr>
      <w:r>
        <w:rPr>
          <w:rFonts w:ascii="Arial" w:cs="Arial" w:eastAsia="Arial" w:hAnsi="Arial"/>
          <w:sz w:val="18"/>
          <w:szCs w:val="18"/>
          <w:color w:val="auto"/>
        </w:rPr>
        <w:t>In August 2018, we initiated Project Catalyst, a restructuring plan intended to optimize our operations and reduce costs to align our cost structure with our anticipated revenues and improve our operating margins. During the first quarter of 2020,</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1" w:name="page92"/>
    <w:bookmarkEnd w:id="9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319" w:lineRule="exact"/>
        <w:rPr>
          <w:sz w:val="20"/>
          <w:szCs w:val="20"/>
          <w:color w:val="auto"/>
        </w:rPr>
      </w:pPr>
    </w:p>
    <w:p>
      <w:pPr>
        <w:jc w:val="both"/>
        <w:ind w:left="260"/>
        <w:spacing w:after="0" w:line="251" w:lineRule="auto"/>
        <w:rPr>
          <w:sz w:val="20"/>
          <w:szCs w:val="20"/>
          <w:color w:val="auto"/>
        </w:rPr>
      </w:pPr>
      <w:r>
        <w:rPr>
          <w:rFonts w:ascii="Arial" w:cs="Arial" w:eastAsia="Arial" w:hAnsi="Arial"/>
          <w:sz w:val="18"/>
          <w:szCs w:val="18"/>
          <w:color w:val="auto"/>
        </w:rPr>
        <w:t>second quarter of 2020, third quarter of 2020 and fourth quarter of 2020, we recognized $2.9 million, $5.8 million, $2.2 million and $1.1 million, respectively, of severance costs, professional services fees, facility consolidation costs, technology costs and business wind down costs related to the restructuring plan. During the first quarter of 2019, second quarter of 2019, third quarter of 2019 and fourth quarter of 2019, we recognized $4.4 million, $1.9 million, $2.8 million and $5.0 million, respectively, of severance costs, professional services fees, facility consolidation costs, technology costs and business wind down costs related to the restructuring plan. See Note 24.</w:t>
      </w:r>
    </w:p>
    <w:p>
      <w:pPr>
        <w:spacing w:after="0" w:line="2" w:lineRule="exact"/>
        <w:rPr>
          <w:sz w:val="20"/>
          <w:szCs w:val="20"/>
          <w:color w:val="auto"/>
        </w:rPr>
      </w:pPr>
    </w:p>
    <w:p>
      <w:pPr>
        <w:jc w:val="both"/>
        <w:ind w:left="260" w:hanging="252"/>
        <w:spacing w:after="0" w:line="236" w:lineRule="auto"/>
        <w:tabs>
          <w:tab w:leader="none" w:pos="351" w:val="left"/>
        </w:tabs>
        <w:numPr>
          <w:ilvl w:val="0"/>
          <w:numId w:val="47"/>
        </w:numPr>
        <w:rPr>
          <w:rFonts w:ascii="Arial" w:cs="Arial" w:eastAsia="Arial" w:hAnsi="Arial"/>
          <w:sz w:val="23"/>
          <w:szCs w:val="23"/>
          <w:color w:val="auto"/>
          <w:vertAlign w:val="superscript"/>
        </w:rPr>
      </w:pPr>
      <w:r>
        <w:rPr>
          <w:rFonts w:ascii="Arial" w:cs="Arial" w:eastAsia="Arial" w:hAnsi="Arial"/>
          <w:sz w:val="18"/>
          <w:szCs w:val="18"/>
          <w:color w:val="auto"/>
        </w:rPr>
        <w:t>In connection with a United States Supreme Court decision in June 2018, we analyzed our services for potential exposure to sales tax in various jurisdictions in the United States and recognized a net loss reimbursement of $(0.6) million and $(2.1) million for the third and fourth quarter of 2020, respectively. In addition, we recognized a net (loss reimbursement) loss of $2.1 million and $(1.7) million in the first and third quarter of 2019, respectively. See Note 25.</w:t>
      </w:r>
    </w:p>
    <w:p>
      <w:pPr>
        <w:spacing w:after="0" w:line="2" w:lineRule="exact"/>
        <w:rPr>
          <w:rFonts w:ascii="Arial" w:cs="Arial" w:eastAsia="Arial" w:hAnsi="Arial"/>
          <w:sz w:val="23"/>
          <w:szCs w:val="23"/>
          <w:color w:val="auto"/>
          <w:vertAlign w:val="superscript"/>
        </w:rPr>
      </w:pPr>
    </w:p>
    <w:p>
      <w:pPr>
        <w:ind w:left="260" w:hanging="252"/>
        <w:spacing w:after="0" w:line="214" w:lineRule="auto"/>
        <w:tabs>
          <w:tab w:leader="none" w:pos="260" w:val="left"/>
        </w:tabs>
        <w:numPr>
          <w:ilvl w:val="0"/>
          <w:numId w:val="47"/>
        </w:numPr>
        <w:rPr>
          <w:rFonts w:ascii="Arial" w:cs="Arial" w:eastAsia="Arial" w:hAnsi="Arial"/>
          <w:sz w:val="21"/>
          <w:szCs w:val="21"/>
          <w:color w:val="auto"/>
          <w:vertAlign w:val="superscript"/>
        </w:rPr>
      </w:pPr>
      <w:r>
        <w:rPr>
          <w:rFonts w:ascii="Arial" w:cs="Arial" w:eastAsia="Arial" w:hAnsi="Arial"/>
          <w:sz w:val="16"/>
          <w:szCs w:val="16"/>
          <w:color w:val="auto"/>
        </w:rPr>
        <w:t>During the third quarter of 2020 we recognized $0.7 million of severance in connection with cost savings initiatives (no comparable amounts in 2019).</w:t>
      </w:r>
    </w:p>
    <w:p>
      <w:pPr>
        <w:spacing w:after="0" w:line="2" w:lineRule="exact"/>
        <w:rPr>
          <w:rFonts w:ascii="Arial" w:cs="Arial" w:eastAsia="Arial" w:hAnsi="Arial"/>
          <w:sz w:val="21"/>
          <w:szCs w:val="21"/>
          <w:color w:val="auto"/>
          <w:vertAlign w:val="superscript"/>
        </w:rPr>
      </w:pPr>
    </w:p>
    <w:p>
      <w:pPr>
        <w:jc w:val="both"/>
        <w:ind w:left="260" w:hanging="252"/>
        <w:spacing w:after="0" w:line="233" w:lineRule="auto"/>
        <w:tabs>
          <w:tab w:leader="none" w:pos="283" w:val="left"/>
        </w:tabs>
        <w:numPr>
          <w:ilvl w:val="0"/>
          <w:numId w:val="47"/>
        </w:numPr>
        <w:rPr>
          <w:rFonts w:ascii="Arial" w:cs="Arial" w:eastAsia="Arial" w:hAnsi="Arial"/>
          <w:sz w:val="23"/>
          <w:szCs w:val="23"/>
          <w:color w:val="auto"/>
          <w:vertAlign w:val="superscript"/>
        </w:rPr>
      </w:pPr>
      <w:r>
        <w:rPr>
          <w:rFonts w:ascii="Arial" w:cs="Arial" w:eastAsia="Arial" w:hAnsi="Arial"/>
          <w:sz w:val="18"/>
          <w:szCs w:val="18"/>
          <w:color w:val="auto"/>
        </w:rPr>
        <w:t>In July 2019, we sold the Financial Services Business to TSI for $44.0 million consisting of an up-front payment of $40.0 million, subject to a working capital adjustment and transaction costs upon closing of the sale, and an additional $4.0 million payment on the one year anniversary of the sale closing. We recognized a $17.6 million pretax gain on sale in the third quarter of 2019 and a working capital true-up gain of an additional $0.3 million in the fourth quarter of 2019. See Note 4.</w:t>
      </w:r>
    </w:p>
    <w:p>
      <w:pPr>
        <w:spacing w:after="0" w:line="2" w:lineRule="exact"/>
        <w:rPr>
          <w:rFonts w:ascii="Arial" w:cs="Arial" w:eastAsia="Arial" w:hAnsi="Arial"/>
          <w:sz w:val="23"/>
          <w:szCs w:val="23"/>
          <w:color w:val="auto"/>
          <w:vertAlign w:val="superscript"/>
        </w:rPr>
      </w:pPr>
    </w:p>
    <w:p>
      <w:pPr>
        <w:jc w:val="both"/>
        <w:ind w:left="260" w:hanging="252"/>
        <w:spacing w:after="0" w:line="229" w:lineRule="auto"/>
        <w:tabs>
          <w:tab w:leader="none" w:pos="270" w:val="left"/>
        </w:tabs>
        <w:numPr>
          <w:ilvl w:val="0"/>
          <w:numId w:val="47"/>
        </w:numPr>
        <w:rPr>
          <w:rFonts w:ascii="Arial" w:cs="Arial" w:eastAsia="Arial" w:hAnsi="Arial"/>
          <w:sz w:val="23"/>
          <w:szCs w:val="23"/>
          <w:color w:val="auto"/>
          <w:vertAlign w:val="superscript"/>
        </w:rPr>
      </w:pPr>
      <w:r>
        <w:rPr>
          <w:rFonts w:ascii="Arial" w:cs="Arial" w:eastAsia="Arial" w:hAnsi="Arial"/>
          <w:sz w:val="18"/>
          <w:szCs w:val="18"/>
          <w:color w:val="auto"/>
        </w:rPr>
        <w:t>In connection with the wind down of Owners.com, we wrote off $5.2 million of goodwill and $0.7 million of intangible assets during the fourth quarter of 2019. In November 2018, we announced our plans to sell the BRS Inventory and discontinue the BRS business. During the second quarter of 2019, we recognized a loss on the sale of the BRS Inventory of $1.8 million. See Note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w:t>
        <w:tab/>
        <w:t>CHANGES IN AND DISAGREEMENTS WITH ACCOUNTANTS ON ACCOUNTING AND FINANCIAL DISCLOSURE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disclosure controls and procedures are designed to ensure that information required to be disclosed by us in the reports that we file or submit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we file or submit under the Exchange Act is accumulated and communicated to our management, including the Chairman and Chief Executive Officer and Chief Financial Officer, as appropriate, to allow timely decisions regarding required disclosure.</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2020, an evaluation was conducted under the supervision and with the participation of our management, including our Chairman and Chief Executive Officer and Chief Financial Officer, of the effectiveness of our disclosure controls and procedures (as defined in Rule 13a-15(e) and Rule 15d-15(e) of the Exchange Act). Based on this evaluation, such officers have concluded that our disclosure controls and procedures were effective as of December 31, 2020.</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Management is responsible for establishing and maintaining adequate internal control over financial reporting, as defined in Rules 13a-15(f) and 15d-15(f) of the Exchange Act. Management has assessed the effectiveness of our internal control over financial reporting as of December 31, 2020 based on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As a result of this assessment, management concluded that, as of December 31, 2020, our internal control over financial reporting was effective in providing reasonable assurance regarding the reliability of financial reporting and the preparation of financial statements for external purposes in accordance with generally accepted accounting principles. Mayer Hoffman McCann P.C. has independently assessed the effectiveness of our internal control over financial reporting and its report is included herein.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the Exchange Act Rules 13a-15(f) and 15d-15(f)) that occurred during the quarter ended December 31, 2020, that have materially affected, or are reasonably likely to materially affect, our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Controls</w:t>
      </w:r>
    </w:p>
    <w:p>
      <w:pPr>
        <w:spacing w:after="0" w:line="17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10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9B.</w:t>
        <w:tab/>
        <w:t>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in connection with our 2021 annual meeting of shareholders to be filed pursuant to Regulation 14A under the Exchange Act.</w:t>
      </w:r>
    </w:p>
    <w:p>
      <w:pPr>
        <w:spacing w:after="0" w:line="1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in connection with our 2021 annual meeting of shareholders to be filed pursuant to Regulation 14A under the Exchange Act.</w:t>
      </w:r>
    </w:p>
    <w:p>
      <w:pPr>
        <w:spacing w:after="0" w:line="112" w:lineRule="exact"/>
        <w:rPr>
          <w:sz w:val="20"/>
          <w:szCs w:val="20"/>
          <w:color w:val="auto"/>
        </w:rPr>
      </w:pPr>
    </w:p>
    <w:p>
      <w:pPr>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11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in connection with our 2021 annual meeting of shareholders to be filed pursuant to Regulation 14A under the Exchange Act.</w:t>
      </w:r>
    </w:p>
    <w:p>
      <w:pPr>
        <w:spacing w:after="0" w:line="112"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in connection with our 2021 annual meeting of shareholders to be filed pursuant to Regulation 14A under the Exchange Act.</w:t>
      </w:r>
    </w:p>
    <w:p>
      <w:pPr>
        <w:spacing w:after="0" w:line="112"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in connection with our 2021 annual meeting of shareholders to be filed pursuant to Regulation 14A under the Exchange Act.</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15.</w:t>
        <w:tab/>
        <w:t>EXHIBITS, FINANCIAL STATEMENT SCHEDULES</w:t>
      </w:r>
    </w:p>
    <w:p>
      <w:pPr>
        <w:spacing w:after="0" w:line="216" w:lineRule="exact"/>
        <w:rPr>
          <w:sz w:val="20"/>
          <w:szCs w:val="20"/>
          <w:color w:val="auto"/>
        </w:rPr>
      </w:pPr>
    </w:p>
    <w:p>
      <w:pPr>
        <w:ind w:left="1220" w:hanging="1194"/>
        <w:spacing w:after="0"/>
        <w:tabs>
          <w:tab w:leader="none" w:pos="12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w:t>
      </w:r>
    </w:p>
    <w:p>
      <w:pPr>
        <w:spacing w:after="0" w:line="77" w:lineRule="exact"/>
        <w:rPr>
          <w:sz w:val="20"/>
          <w:szCs w:val="20"/>
          <w:color w:val="auto"/>
        </w:rPr>
      </w:pPr>
    </w:p>
    <w:p>
      <w:pPr>
        <w:ind w:left="1220" w:right="8480" w:hanging="1194"/>
        <w:spacing w:after="0" w:line="369" w:lineRule="auto"/>
        <w:tabs>
          <w:tab w:leader="none" w:pos="1220"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 xml:space="preserve">Financial Statements </w:t>
      </w:r>
      <w:r>
        <w:rPr>
          <w:rFonts w:ascii="Arial" w:cs="Arial" w:eastAsia="Arial" w:hAnsi="Arial"/>
          <w:sz w:val="16"/>
          <w:szCs w:val="16"/>
          <w:color w:val="auto"/>
        </w:rPr>
        <w:t>See Item 8 above.</w:t>
      </w:r>
    </w:p>
    <w:p>
      <w:pPr>
        <w:spacing w:after="0" w:line="1" w:lineRule="exact"/>
        <w:rPr>
          <w:rFonts w:ascii="Arial" w:cs="Arial" w:eastAsia="Arial" w:hAnsi="Arial"/>
          <w:sz w:val="16"/>
          <w:szCs w:val="16"/>
          <w:color w:val="auto"/>
        </w:rPr>
      </w:pPr>
    </w:p>
    <w:p>
      <w:pPr>
        <w:ind w:left="1220" w:hanging="1194"/>
        <w:spacing w:after="0"/>
        <w:tabs>
          <w:tab w:leader="none" w:pos="122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76"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 xml:space="preserve">Schedule II - </w:t>
      </w:r>
      <w:r>
        <w:rPr>
          <w:rFonts w:ascii="Arial" w:cs="Arial" w:eastAsia="Arial" w:hAnsi="Arial"/>
          <w:sz w:val="18"/>
          <w:szCs w:val="18"/>
          <w:i w:val="1"/>
          <w:iCs w:val="1"/>
          <w:color w:val="auto"/>
        </w:rPr>
        <w:t>Valuation and Qualifying Accounts</w:t>
      </w:r>
      <w:r>
        <w:rPr>
          <w:rFonts w:ascii="Arial" w:cs="Arial" w:eastAsia="Arial" w:hAnsi="Arial"/>
          <w:sz w:val="18"/>
          <w:szCs w:val="18"/>
          <w:color w:val="auto"/>
        </w:rPr>
        <w:t xml:space="preserve"> - included below.</w:t>
      </w:r>
    </w:p>
    <w:p>
      <w:pPr>
        <w:spacing w:after="0" w:line="76" w:lineRule="exact"/>
        <w:rPr>
          <w:rFonts w:ascii="Arial" w:cs="Arial" w:eastAsia="Arial" w:hAnsi="Arial"/>
          <w:sz w:val="18"/>
          <w:szCs w:val="18"/>
          <w:color w:val="auto"/>
        </w:rPr>
      </w:pPr>
    </w:p>
    <w:p>
      <w:pPr>
        <w:ind w:left="1220" w:hanging="1194"/>
        <w:spacing w:after="0"/>
        <w:tabs>
          <w:tab w:leader="none" w:pos="122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17"/>
                <w:szCs w:val="17"/>
                <w:color w:val="auto"/>
              </w:rPr>
            </w:pPr>
          </w:p>
        </w:tc>
        <w:tc>
          <w:tcPr>
            <w:tcW w:w="10280" w:type="dxa"/>
            <w:vAlign w:val="bottom"/>
            <w:gridSpan w:val="24"/>
            <w:vMerge w:val="restart"/>
          </w:tcPr>
          <w:p>
            <w:pPr>
              <w:spacing w:after="0"/>
              <w:rPr>
                <w:sz w:val="20"/>
                <w:szCs w:val="20"/>
                <w:color w:val="auto"/>
              </w:rPr>
            </w:pPr>
            <w:r>
              <w:rPr>
                <w:rFonts w:ascii="Arial" w:cs="Arial" w:eastAsia="Arial" w:hAnsi="Arial"/>
                <w:sz w:val="18"/>
                <w:szCs w:val="18"/>
                <w:b w:val="1"/>
                <w:bCs w:val="1"/>
                <w:color w:val="auto"/>
              </w:rPr>
              <w:t>Exhibit Description</w:t>
            </w:r>
          </w:p>
        </w:tc>
        <w:tc>
          <w:tcPr>
            <w:tcW w:w="0" w:type="dxa"/>
            <w:vAlign w:val="bottom"/>
          </w:tcPr>
          <w:p>
            <w:pPr>
              <w:spacing w:after="0"/>
              <w:rPr>
                <w:sz w:val="1"/>
                <w:szCs w:val="1"/>
                <w:color w:val="auto"/>
              </w:rPr>
            </w:pPr>
          </w:p>
        </w:tc>
      </w:tr>
      <w:tr>
        <w:trPr>
          <w:trHeight w:val="229"/>
        </w:trPr>
        <w:tc>
          <w:tcPr>
            <w:tcW w:w="1200" w:type="dxa"/>
            <w:vAlign w:val="bottom"/>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19"/>
                <w:szCs w:val="19"/>
                <w:color w:val="auto"/>
              </w:rPr>
            </w:pPr>
          </w:p>
        </w:tc>
        <w:tc>
          <w:tcPr>
            <w:tcW w:w="10280" w:type="dxa"/>
            <w:vAlign w:val="bottom"/>
            <w:gridSpan w:val="2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00" w:type="dxa"/>
            <w:vAlign w:val="bottom"/>
            <w:tcBorders>
              <w:top w:val="single" w:sz="8" w:color="auto"/>
            </w:tcBorders>
          </w:tcPr>
          <w:p>
            <w:pPr>
              <w:ind w:left="20"/>
              <w:spacing w:after="0"/>
              <w:rPr>
                <w:rFonts w:ascii="Arial" w:cs="Arial" w:eastAsia="Arial" w:hAnsi="Arial"/>
                <w:sz w:val="18"/>
                <w:szCs w:val="18"/>
                <w:u w:val="single" w:color="auto"/>
                <w:color w:val="0000FF"/>
              </w:rPr>
            </w:pPr>
            <w:hyperlink r:id="rId138">
              <w:r>
                <w:rPr>
                  <w:rFonts w:ascii="Arial" w:cs="Arial" w:eastAsia="Arial" w:hAnsi="Arial"/>
                  <w:sz w:val="18"/>
                  <w:szCs w:val="18"/>
                  <w:u w:val="single" w:color="auto"/>
                  <w:color w:val="0000FF"/>
                </w:rPr>
                <w:t>2.1</w:t>
              </w:r>
            </w:hyperlink>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280" w:type="dxa"/>
            <w:vAlign w:val="bottom"/>
            <w:tcBorders>
              <w:top w:val="single" w:sz="8" w:color="auto"/>
            </w:tcBorders>
            <w:gridSpan w:val="24"/>
          </w:tcPr>
          <w:p>
            <w:pPr>
              <w:spacing w:after="0"/>
              <w:rPr>
                <w:rFonts w:ascii="Arial" w:cs="Arial" w:eastAsia="Arial" w:hAnsi="Arial"/>
                <w:sz w:val="18"/>
                <w:szCs w:val="18"/>
                <w:color w:val="0000FF"/>
                <w:w w:val="94"/>
              </w:rPr>
            </w:pPr>
            <w:hyperlink r:id="rId138">
              <w:r>
                <w:rPr>
                  <w:rFonts w:ascii="Arial" w:cs="Arial" w:eastAsia="Arial" w:hAnsi="Arial"/>
                  <w:sz w:val="18"/>
                  <w:szCs w:val="18"/>
                  <w:color w:val="0000FF"/>
                  <w:w w:val="94"/>
                </w:rPr>
                <w:t>Form of Separation Agreement between Altisource Portfolio Solutions S.A. and Ocwen Financial Corporation (incorporated by reference</w:t>
              </w:r>
            </w:hyperlink>
          </w:p>
        </w:tc>
        <w:tc>
          <w:tcPr>
            <w:tcW w:w="0" w:type="dxa"/>
            <w:vAlign w:val="bottom"/>
          </w:tcPr>
          <w:p>
            <w:pPr>
              <w:spacing w:after="0"/>
              <w:rPr>
                <w:sz w:val="1"/>
                <w:szCs w:val="1"/>
                <w:color w:val="auto"/>
              </w:rPr>
            </w:pPr>
          </w:p>
        </w:tc>
      </w:tr>
      <w:tr>
        <w:trPr>
          <w:trHeight w:val="224"/>
        </w:trPr>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40" w:type="dxa"/>
            <w:vAlign w:val="bottom"/>
            <w:tcBorders>
              <w:top w:val="single" w:sz="8" w:color="0000FF"/>
            </w:tcBorders>
            <w:gridSpan w:val="22"/>
          </w:tcPr>
          <w:p>
            <w:pPr>
              <w:spacing w:after="0"/>
              <w:rPr>
                <w:rFonts w:ascii="Arial" w:cs="Arial" w:eastAsia="Arial" w:hAnsi="Arial"/>
                <w:sz w:val="18"/>
                <w:szCs w:val="18"/>
                <w:u w:val="single" w:color="auto"/>
                <w:color w:val="0000FF"/>
                <w:w w:val="99"/>
              </w:rPr>
            </w:pPr>
            <w:hyperlink r:id="rId138">
              <w:r>
                <w:rPr>
                  <w:rFonts w:ascii="Arial" w:cs="Arial" w:eastAsia="Arial" w:hAnsi="Arial"/>
                  <w:sz w:val="18"/>
                  <w:szCs w:val="18"/>
                  <w:u w:val="single" w:color="auto"/>
                  <w:color w:val="0000FF"/>
                  <w:w w:val="99"/>
                </w:rPr>
                <w:t>to Exhibit 2.1 of the Registrant’s Form 10-12B/A — Amendment No. 1 to Form 10 as filed with the Commission on June 29, 2009)</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100" w:type="dxa"/>
            <w:vAlign w:val="bottom"/>
          </w:tcPr>
          <w:p>
            <w:pPr>
              <w:ind w:left="20"/>
              <w:spacing w:after="0"/>
              <w:rPr>
                <w:rFonts w:ascii="Arial" w:cs="Arial" w:eastAsia="Arial" w:hAnsi="Arial"/>
                <w:sz w:val="18"/>
                <w:szCs w:val="18"/>
                <w:u w:val="single" w:color="auto"/>
                <w:color w:val="0000FF"/>
              </w:rPr>
            </w:pPr>
            <w:hyperlink r:id="rId139">
              <w:r>
                <w:rPr>
                  <w:rFonts w:ascii="Arial" w:cs="Arial" w:eastAsia="Arial" w:hAnsi="Arial"/>
                  <w:sz w:val="18"/>
                  <w:szCs w:val="18"/>
                  <w:u w:val="single" w:color="auto"/>
                  <w:color w:val="0000FF"/>
                </w:rPr>
                <w:t>2.2</w:t>
              </w:r>
            </w:hyperlink>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80" w:type="dxa"/>
            <w:vAlign w:val="bottom"/>
            <w:gridSpan w:val="24"/>
          </w:tcPr>
          <w:p>
            <w:pPr>
              <w:spacing w:after="0"/>
              <w:rPr>
                <w:rFonts w:ascii="Arial" w:cs="Arial" w:eastAsia="Arial" w:hAnsi="Arial"/>
                <w:sz w:val="18"/>
                <w:szCs w:val="18"/>
                <w:color w:val="0000FF"/>
                <w:w w:val="96"/>
              </w:rPr>
            </w:pPr>
            <w:hyperlink r:id="rId139">
              <w:r>
                <w:rPr>
                  <w:rFonts w:ascii="Arial" w:cs="Arial" w:eastAsia="Arial" w:hAnsi="Arial"/>
                  <w:sz w:val="18"/>
                  <w:szCs w:val="18"/>
                  <w:color w:val="0000FF"/>
                  <w:w w:val="96"/>
                </w:rPr>
                <w:t>Separation Agreement, dated as of December 21, 2012, between Altisource Residential Corporation and Altisource Portfolio Solutions</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0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139">
              <w:r>
                <w:rPr>
                  <w:rFonts w:ascii="Arial" w:cs="Arial" w:eastAsia="Arial" w:hAnsi="Arial"/>
                  <w:sz w:val="18"/>
                  <w:szCs w:val="18"/>
                  <w:color w:val="0000FF"/>
                </w:rPr>
                <w:t>S.A. (incorporated by reference to Exhibit 2.1 to the Company’s Form 8-K filed on December 28, 2012)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520" w:type="dxa"/>
            <w:vAlign w:val="bottom"/>
            <w:shd w:val="clear" w:color="auto" w:fill="0000FF"/>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00" w:type="dxa"/>
            <w:vAlign w:val="bottom"/>
          </w:tcPr>
          <w:p>
            <w:pPr>
              <w:ind w:left="20"/>
              <w:spacing w:after="0"/>
              <w:rPr>
                <w:rFonts w:ascii="Arial" w:cs="Arial" w:eastAsia="Arial" w:hAnsi="Arial"/>
                <w:sz w:val="18"/>
                <w:szCs w:val="18"/>
                <w:u w:val="single" w:color="auto"/>
                <w:color w:val="0000FF"/>
              </w:rPr>
            </w:pPr>
            <w:hyperlink r:id="rId140">
              <w:r>
                <w:rPr>
                  <w:rFonts w:ascii="Arial" w:cs="Arial" w:eastAsia="Arial" w:hAnsi="Arial"/>
                  <w:sz w:val="18"/>
                  <w:szCs w:val="18"/>
                  <w:u w:val="single" w:color="auto"/>
                  <w:color w:val="0000FF"/>
                </w:rPr>
                <w:t>2.3</w:t>
              </w:r>
            </w:hyperlink>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80" w:type="dxa"/>
            <w:vAlign w:val="bottom"/>
            <w:gridSpan w:val="24"/>
          </w:tcPr>
          <w:p>
            <w:pPr>
              <w:spacing w:after="0"/>
              <w:rPr>
                <w:rFonts w:ascii="Arial" w:cs="Arial" w:eastAsia="Arial" w:hAnsi="Arial"/>
                <w:sz w:val="18"/>
                <w:szCs w:val="18"/>
                <w:color w:val="0000FF"/>
                <w:w w:val="97"/>
              </w:rPr>
            </w:pPr>
            <w:hyperlink r:id="rId140">
              <w:r>
                <w:rPr>
                  <w:rFonts w:ascii="Arial" w:cs="Arial" w:eastAsia="Arial" w:hAnsi="Arial"/>
                  <w:sz w:val="18"/>
                  <w:szCs w:val="18"/>
                  <w:color w:val="0000FF"/>
                  <w:w w:val="97"/>
                </w:rPr>
                <w:t>Separation Agreement, dated as of December 21, 2012, between Altisource Asset Management Corporation and Altisource Portfolio</w:t>
              </w:r>
            </w:hyperlink>
          </w:p>
        </w:tc>
        <w:tc>
          <w:tcPr>
            <w:tcW w:w="0" w:type="dxa"/>
            <w:vAlign w:val="bottom"/>
          </w:tcPr>
          <w:p>
            <w:pPr>
              <w:spacing w:after="0"/>
              <w:rPr>
                <w:sz w:val="1"/>
                <w:szCs w:val="1"/>
                <w:color w:val="auto"/>
              </w:rPr>
            </w:pPr>
          </w:p>
        </w:tc>
      </w:tr>
      <w:tr>
        <w:trPr>
          <w:trHeight w:val="224"/>
        </w:trPr>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40" w:type="dxa"/>
            <w:vAlign w:val="bottom"/>
            <w:tcBorders>
              <w:top w:val="single" w:sz="8" w:color="0000FF"/>
            </w:tcBorders>
            <w:gridSpan w:val="12"/>
          </w:tcPr>
          <w:p>
            <w:pPr>
              <w:spacing w:after="0"/>
              <w:rPr>
                <w:rFonts w:ascii="Arial" w:cs="Arial" w:eastAsia="Arial" w:hAnsi="Arial"/>
                <w:sz w:val="18"/>
                <w:szCs w:val="18"/>
                <w:u w:val="single" w:color="auto"/>
                <w:color w:val="0000FF"/>
              </w:rPr>
            </w:pPr>
            <w:hyperlink r:id="rId140">
              <w:r>
                <w:rPr>
                  <w:rFonts w:ascii="Arial" w:cs="Arial" w:eastAsia="Arial" w:hAnsi="Arial"/>
                  <w:sz w:val="18"/>
                  <w:szCs w:val="18"/>
                  <w:u w:val="single" w:color="auto"/>
                  <w:color w:val="0000FF"/>
                </w:rPr>
                <w:t>Solutions S.A. (incorporated by reference to Exhibit 2.2 to the Company’s Form 8-K filed on December 28, 2012)</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100" w:type="dxa"/>
            <w:vAlign w:val="bottom"/>
          </w:tcPr>
          <w:p>
            <w:pPr>
              <w:ind w:left="20"/>
              <w:spacing w:after="0"/>
              <w:rPr>
                <w:rFonts w:ascii="Arial" w:cs="Arial" w:eastAsia="Arial" w:hAnsi="Arial"/>
                <w:sz w:val="18"/>
                <w:szCs w:val="18"/>
                <w:u w:val="single" w:color="auto"/>
                <w:color w:val="0000FF"/>
              </w:rPr>
            </w:pPr>
            <w:hyperlink r:id="rId141">
              <w:r>
                <w:rPr>
                  <w:rFonts w:ascii="Arial" w:cs="Arial" w:eastAsia="Arial" w:hAnsi="Arial"/>
                  <w:sz w:val="18"/>
                  <w:szCs w:val="18"/>
                  <w:u w:val="single" w:color="auto"/>
                  <w:color w:val="0000FF"/>
                </w:rPr>
                <w:t>2.4</w:t>
              </w:r>
            </w:hyperlink>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80" w:type="dxa"/>
            <w:vAlign w:val="bottom"/>
            <w:gridSpan w:val="24"/>
          </w:tcPr>
          <w:p>
            <w:pPr>
              <w:spacing w:after="0"/>
              <w:rPr>
                <w:rFonts w:ascii="Arial" w:cs="Arial" w:eastAsia="Arial" w:hAnsi="Arial"/>
                <w:sz w:val="18"/>
                <w:szCs w:val="18"/>
                <w:color w:val="0000FF"/>
                <w:w w:val="95"/>
              </w:rPr>
            </w:pPr>
            <w:hyperlink r:id="rId141">
              <w:r>
                <w:rPr>
                  <w:rFonts w:ascii="Arial" w:cs="Arial" w:eastAsia="Arial" w:hAnsi="Arial"/>
                  <w:sz w:val="18"/>
                  <w:szCs w:val="18"/>
                  <w:color w:val="0000FF"/>
                  <w:w w:val="95"/>
                </w:rPr>
                <w:t>Purchase and Sale Agreement, dated as of March 29, 2013, by and among Altisource Portfolio Solutions, Inc., Altisource Solutions S.à</w:t>
              </w:r>
            </w:hyperlink>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60" w:type="dxa"/>
            <w:vAlign w:val="bottom"/>
            <w:tcBorders>
              <w:top w:val="single" w:sz="8" w:color="0000FF"/>
            </w:tcBorders>
            <w:gridSpan w:val="23"/>
          </w:tcPr>
          <w:p>
            <w:pPr>
              <w:spacing w:after="0" w:line="156" w:lineRule="exact"/>
              <w:rPr>
                <w:rFonts w:ascii="Arial" w:cs="Arial" w:eastAsia="Arial" w:hAnsi="Arial"/>
                <w:sz w:val="18"/>
                <w:szCs w:val="18"/>
                <w:color w:val="0000FF"/>
                <w:w w:val="95"/>
              </w:rPr>
            </w:pPr>
            <w:hyperlink r:id="rId141">
              <w:r>
                <w:rPr>
                  <w:rFonts w:ascii="Arial" w:cs="Arial" w:eastAsia="Arial" w:hAnsi="Arial"/>
                  <w:sz w:val="18"/>
                  <w:szCs w:val="18"/>
                  <w:color w:val="0000FF"/>
                  <w:w w:val="95"/>
                </w:rPr>
                <w:t>r.l., Ocwen Financial Corporation, Homeward Residential, Inc. and Power Valuation Services, Inc. (incorporated by reference to Exhibit</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3"/>
              </w:rPr>
            </w:pPr>
            <w:hyperlink r:id="rId141">
              <w:r>
                <w:rPr>
                  <w:rFonts w:ascii="Arial" w:cs="Arial" w:eastAsia="Arial" w:hAnsi="Arial"/>
                  <w:sz w:val="18"/>
                  <w:szCs w:val="18"/>
                  <w:color w:val="0000FF"/>
                  <w:w w:val="93"/>
                </w:rPr>
                <w:t>2.</w:t>
              </w:r>
              <w:r>
                <w:rPr>
                  <w:rFonts w:ascii="Arial" w:cs="Arial" w:eastAsia="Arial" w:hAnsi="Arial"/>
                  <w:sz w:val="18"/>
                  <w:szCs w:val="18"/>
                  <w:u w:val="single" w:color="auto"/>
                  <w:color w:val="0000FF"/>
                  <w:w w:val="93"/>
                </w:rPr>
                <w:t>1</w:t>
              </w:r>
              <w:r>
                <w:rPr>
                  <w:rFonts w:ascii="Arial" w:cs="Arial" w:eastAsia="Arial" w:hAnsi="Arial"/>
                  <w:sz w:val="18"/>
                  <w:szCs w:val="18"/>
                  <w:color w:val="0000FF"/>
                  <w:w w:val="93"/>
                </w:rPr>
                <w:t xml:space="preserve"> to the Company’s Form 8-K filed on April 4, 2013)</w:t>
              </w:r>
            </w:hyperlink>
          </w:p>
        </w:tc>
        <w:tc>
          <w:tcPr>
            <w:tcW w:w="622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100" w:type="dxa"/>
            <w:vAlign w:val="bottom"/>
          </w:tcPr>
          <w:p>
            <w:pPr>
              <w:ind w:left="20"/>
              <w:spacing w:after="0"/>
              <w:rPr>
                <w:rFonts w:ascii="Arial" w:cs="Arial" w:eastAsia="Arial" w:hAnsi="Arial"/>
                <w:sz w:val="18"/>
                <w:szCs w:val="18"/>
                <w:u w:val="single" w:color="auto"/>
                <w:color w:val="0000FF"/>
              </w:rPr>
            </w:pPr>
            <w:hyperlink r:id="rId142">
              <w:r>
                <w:rPr>
                  <w:rFonts w:ascii="Arial" w:cs="Arial" w:eastAsia="Arial" w:hAnsi="Arial"/>
                  <w:sz w:val="18"/>
                  <w:szCs w:val="18"/>
                  <w:u w:val="single" w:color="auto"/>
                  <w:color w:val="0000FF"/>
                </w:rPr>
                <w:t>2.5</w:t>
              </w:r>
            </w:hyperlink>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80" w:type="dxa"/>
            <w:vAlign w:val="bottom"/>
            <w:gridSpan w:val="24"/>
          </w:tcPr>
          <w:p>
            <w:pPr>
              <w:spacing w:after="0"/>
              <w:rPr>
                <w:rFonts w:ascii="Arial" w:cs="Arial" w:eastAsia="Arial" w:hAnsi="Arial"/>
                <w:sz w:val="18"/>
                <w:szCs w:val="18"/>
                <w:color w:val="0000FF"/>
                <w:w w:val="95"/>
              </w:rPr>
            </w:pPr>
            <w:hyperlink r:id="rId142">
              <w:r>
                <w:rPr>
                  <w:rFonts w:ascii="Arial" w:cs="Arial" w:eastAsia="Arial" w:hAnsi="Arial"/>
                  <w:sz w:val="18"/>
                  <w:szCs w:val="18"/>
                  <w:color w:val="0000FF"/>
                  <w:w w:val="95"/>
                </w:rPr>
                <w:t>Purchase and Sale Agreement, dated as of August 19, 2013, by and among Altisource Portfolio Solutions S.A., Altisource Solutions S.à</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80" w:type="dxa"/>
            <w:vAlign w:val="bottom"/>
            <w:tcBorders>
              <w:top w:val="single" w:sz="8" w:color="0000FF"/>
            </w:tcBorders>
            <w:gridSpan w:val="19"/>
          </w:tcPr>
          <w:p>
            <w:pPr>
              <w:spacing w:after="0" w:line="156" w:lineRule="exact"/>
              <w:rPr>
                <w:rFonts w:ascii="Arial" w:cs="Arial" w:eastAsia="Arial" w:hAnsi="Arial"/>
                <w:sz w:val="18"/>
                <w:szCs w:val="18"/>
                <w:color w:val="0000FF"/>
                <w:w w:val="94"/>
              </w:rPr>
            </w:pPr>
            <w:hyperlink r:id="rId142">
              <w:r>
                <w:rPr>
                  <w:rFonts w:ascii="Arial" w:cs="Arial" w:eastAsia="Arial" w:hAnsi="Arial"/>
                  <w:sz w:val="18"/>
                  <w:szCs w:val="18"/>
                  <w:color w:val="0000FF"/>
                  <w:w w:val="94"/>
                </w:rPr>
                <w:t>r.l. and the Equity Interestholders of Equator, LLC (incorporated by reference to Exhibit 2.1 to the Company’s Form 8-K filed on August</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9"/>
              </w:rPr>
            </w:pPr>
            <w:hyperlink r:id="rId142">
              <w:r>
                <w:rPr>
                  <w:rFonts w:ascii="Arial" w:cs="Arial" w:eastAsia="Arial" w:hAnsi="Arial"/>
                  <w:sz w:val="18"/>
                  <w:szCs w:val="18"/>
                  <w:color w:val="0000FF"/>
                  <w:w w:val="89"/>
                </w:rPr>
                <w:t>21, 2013)</w:t>
              </w:r>
            </w:hyperlink>
          </w:p>
        </w:tc>
        <w:tc>
          <w:tcPr>
            <w:tcW w:w="560" w:type="dxa"/>
            <w:vAlign w:val="bottom"/>
            <w:tcBorders>
              <w:top w:val="single" w:sz="8" w:color="0000FF"/>
            </w:tcBorders>
          </w:tcPr>
          <w:p>
            <w:pPr>
              <w:spacing w:after="0"/>
              <w:rPr>
                <w:sz w:val="13"/>
                <w:szCs w:val="13"/>
                <w:color w:val="auto"/>
              </w:rPr>
            </w:pPr>
          </w:p>
        </w:tc>
        <w:tc>
          <w:tcPr>
            <w:tcW w:w="1180" w:type="dxa"/>
            <w:vAlign w:val="bottom"/>
            <w:tcBorders>
              <w:top w:val="single" w:sz="8" w:color="0000FF"/>
            </w:tcBorders>
          </w:tcPr>
          <w:p>
            <w:pPr>
              <w:spacing w:after="0"/>
              <w:rPr>
                <w:sz w:val="13"/>
                <w:szCs w:val="13"/>
                <w:color w:val="auto"/>
              </w:rPr>
            </w:pPr>
          </w:p>
        </w:tc>
        <w:tc>
          <w:tcPr>
            <w:tcW w:w="104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3520" w:type="dxa"/>
            <w:vAlign w:val="bottom"/>
            <w:tcBorders>
              <w:top w:val="single" w:sz="8" w:color="0000FF"/>
            </w:tcBorders>
          </w:tcPr>
          <w:p>
            <w:pPr>
              <w:spacing w:after="0"/>
              <w:rPr>
                <w:sz w:val="13"/>
                <w:szCs w:val="13"/>
                <w:color w:val="auto"/>
              </w:rPr>
            </w:pPr>
          </w:p>
        </w:tc>
        <w:tc>
          <w:tcPr>
            <w:tcW w:w="24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100" w:type="dxa"/>
            <w:vAlign w:val="bottom"/>
          </w:tcPr>
          <w:p>
            <w:pPr>
              <w:ind w:left="20"/>
              <w:spacing w:after="0"/>
              <w:rPr>
                <w:rFonts w:ascii="Arial" w:cs="Arial" w:eastAsia="Arial" w:hAnsi="Arial"/>
                <w:sz w:val="18"/>
                <w:szCs w:val="18"/>
                <w:u w:val="single" w:color="auto"/>
                <w:color w:val="0000FF"/>
              </w:rPr>
            </w:pPr>
            <w:hyperlink r:id="rId143">
              <w:r>
                <w:rPr>
                  <w:rFonts w:ascii="Arial" w:cs="Arial" w:eastAsia="Arial" w:hAnsi="Arial"/>
                  <w:sz w:val="18"/>
                  <w:szCs w:val="18"/>
                  <w:u w:val="single" w:color="auto"/>
                  <w:color w:val="0000FF"/>
                </w:rPr>
                <w:t>3.1</w:t>
              </w:r>
            </w:hyperlink>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80" w:type="dxa"/>
            <w:vAlign w:val="bottom"/>
            <w:gridSpan w:val="24"/>
          </w:tcPr>
          <w:p>
            <w:pPr>
              <w:spacing w:after="0"/>
              <w:rPr>
                <w:rFonts w:ascii="Arial" w:cs="Arial" w:eastAsia="Arial" w:hAnsi="Arial"/>
                <w:sz w:val="18"/>
                <w:szCs w:val="18"/>
                <w:color w:val="0000FF"/>
                <w:w w:val="97"/>
              </w:rPr>
            </w:pPr>
            <w:hyperlink r:id="rId143">
              <w:r>
                <w:rPr>
                  <w:rFonts w:ascii="Arial" w:cs="Arial" w:eastAsia="Arial" w:hAnsi="Arial"/>
                  <w:sz w:val="18"/>
                  <w:szCs w:val="18"/>
                  <w:color w:val="0000FF"/>
                  <w:w w:val="97"/>
                </w:rPr>
                <w:t>Amended and Restated Articles of Incorporation of Altisource Portfolio Solutions S.A. (incorporated by reference to Exhibit 3.1 to the</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143">
              <w:r>
                <w:rPr>
                  <w:rFonts w:ascii="Arial" w:cs="Arial" w:eastAsia="Arial" w:hAnsi="Arial"/>
                  <w:sz w:val="18"/>
                  <w:szCs w:val="18"/>
                  <w:color w:val="0000FF"/>
                </w:rPr>
                <w:t>Company’s Form 10-Q filed on August 9, 2017)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100" w:type="dxa"/>
            <w:vAlign w:val="bottom"/>
          </w:tcPr>
          <w:p>
            <w:pPr>
              <w:ind w:left="20"/>
              <w:spacing w:after="0"/>
              <w:rPr>
                <w:rFonts w:ascii="Arial" w:cs="Arial" w:eastAsia="Arial" w:hAnsi="Arial"/>
                <w:sz w:val="18"/>
                <w:szCs w:val="18"/>
                <w:u w:val="single" w:color="auto"/>
                <w:color w:val="0000FF"/>
              </w:rPr>
            </w:pPr>
            <w:hyperlink r:id="rId144">
              <w:r>
                <w:rPr>
                  <w:rFonts w:ascii="Arial" w:cs="Arial" w:eastAsia="Arial" w:hAnsi="Arial"/>
                  <w:sz w:val="18"/>
                  <w:szCs w:val="18"/>
                  <w:u w:val="single" w:color="auto"/>
                  <w:color w:val="0000FF"/>
                </w:rPr>
                <w:t>4.1</w:t>
              </w:r>
            </w:hyperlink>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80" w:type="dxa"/>
            <w:vAlign w:val="bottom"/>
            <w:tcBorders>
              <w:top w:val="single" w:sz="8" w:color="0000FF"/>
            </w:tcBorders>
            <w:gridSpan w:val="5"/>
          </w:tcPr>
          <w:p>
            <w:pPr>
              <w:spacing w:after="0"/>
              <w:rPr>
                <w:rFonts w:ascii="Arial" w:cs="Arial" w:eastAsia="Arial" w:hAnsi="Arial"/>
                <w:sz w:val="18"/>
                <w:szCs w:val="18"/>
                <w:u w:val="single" w:color="auto"/>
                <w:color w:val="0000FF"/>
              </w:rPr>
            </w:pPr>
            <w:hyperlink r:id="rId144">
              <w:r>
                <w:rPr>
                  <w:rFonts w:ascii="Arial" w:cs="Arial" w:eastAsia="Arial" w:hAnsi="Arial"/>
                  <w:sz w:val="18"/>
                  <w:szCs w:val="18"/>
                  <w:u w:val="single" w:color="auto"/>
                  <w:color w:val="0000FF"/>
                </w:rPr>
                <w:t>Description of Securities</w:t>
              </w:r>
            </w:hyperlink>
          </w:p>
        </w:tc>
        <w:tc>
          <w:tcPr>
            <w:tcW w:w="680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100" w:type="dxa"/>
            <w:vAlign w:val="bottom"/>
          </w:tcPr>
          <w:p>
            <w:pPr>
              <w:ind w:left="20"/>
              <w:spacing w:after="0"/>
              <w:rPr>
                <w:rFonts w:ascii="Arial" w:cs="Arial" w:eastAsia="Arial" w:hAnsi="Arial"/>
                <w:sz w:val="18"/>
                <w:szCs w:val="18"/>
                <w:u w:val="single" w:color="auto"/>
                <w:color w:val="0000FF"/>
              </w:rPr>
            </w:pPr>
            <w:hyperlink r:id="rId145">
              <w:r>
                <w:rPr>
                  <w:rFonts w:ascii="Arial" w:cs="Arial" w:eastAsia="Arial" w:hAnsi="Arial"/>
                  <w:sz w:val="18"/>
                  <w:szCs w:val="18"/>
                  <w:u w:val="single" w:color="auto"/>
                  <w:color w:val="0000FF"/>
                </w:rPr>
                <w:t>10.1</w:t>
              </w:r>
            </w:hyperlink>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80" w:type="dxa"/>
            <w:vAlign w:val="bottom"/>
            <w:gridSpan w:val="24"/>
          </w:tcPr>
          <w:p>
            <w:pPr>
              <w:spacing w:after="0"/>
              <w:rPr>
                <w:rFonts w:ascii="Arial" w:cs="Arial" w:eastAsia="Arial" w:hAnsi="Arial"/>
                <w:sz w:val="18"/>
                <w:szCs w:val="18"/>
                <w:color w:val="0000FF"/>
              </w:rPr>
            </w:pPr>
            <w:hyperlink r:id="rId145">
              <w:r>
                <w:rPr>
                  <w:rFonts w:ascii="Arial" w:cs="Arial" w:eastAsia="Arial" w:hAnsi="Arial"/>
                  <w:sz w:val="18"/>
                  <w:szCs w:val="18"/>
                  <w:color w:val="0000FF"/>
                </w:rPr>
                <w:t>Separation Agreement, dated as of August 10, 2009, by and between Altisource Portfolio Solutions S.A. and Ocwen Financial</w:t>
              </w:r>
            </w:hyperlink>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40" w:type="dxa"/>
            <w:vAlign w:val="bottom"/>
            <w:tcBorders>
              <w:top w:val="single" w:sz="8" w:color="0000FF"/>
            </w:tcBorders>
            <w:gridSpan w:val="17"/>
          </w:tcPr>
          <w:p>
            <w:pPr>
              <w:spacing w:after="0" w:line="156" w:lineRule="exact"/>
              <w:rPr>
                <w:rFonts w:ascii="Arial" w:cs="Arial" w:eastAsia="Arial" w:hAnsi="Arial"/>
                <w:sz w:val="18"/>
                <w:szCs w:val="18"/>
                <w:color w:val="0000FF"/>
                <w:w w:val="94"/>
              </w:rPr>
            </w:pPr>
            <w:hyperlink r:id="rId145">
              <w:r>
                <w:rPr>
                  <w:rFonts w:ascii="Arial" w:cs="Arial" w:eastAsia="Arial" w:hAnsi="Arial"/>
                  <w:sz w:val="18"/>
                  <w:szCs w:val="18"/>
                  <w:color w:val="0000FF"/>
                  <w:w w:val="94"/>
                </w:rPr>
                <w:t>Corporation (incorporated by reference to Exhibit 10.1 of the Registrant’s Current Report on Form 8-K as filed with the Commission on</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2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145">
              <w:r>
                <w:rPr>
                  <w:rFonts w:ascii="Arial" w:cs="Arial" w:eastAsia="Arial" w:hAnsi="Arial"/>
                  <w:sz w:val="18"/>
                  <w:szCs w:val="18"/>
                  <w:color w:val="0000FF"/>
                </w:rPr>
                <w:t>August 13, 2009)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5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00" w:type="dxa"/>
            <w:vAlign w:val="bottom"/>
          </w:tcPr>
          <w:p>
            <w:pPr>
              <w:ind w:left="20"/>
              <w:spacing w:after="0"/>
              <w:rPr>
                <w:rFonts w:ascii="Arial" w:cs="Arial" w:eastAsia="Arial" w:hAnsi="Arial"/>
                <w:sz w:val="18"/>
                <w:szCs w:val="18"/>
                <w:u w:val="single" w:color="auto"/>
                <w:color w:val="0000FF"/>
              </w:rPr>
            </w:pPr>
            <w:hyperlink r:id="rId146">
              <w:r>
                <w:rPr>
                  <w:rFonts w:ascii="Arial" w:cs="Arial" w:eastAsia="Arial" w:hAnsi="Arial"/>
                  <w:sz w:val="18"/>
                  <w:szCs w:val="18"/>
                  <w:u w:val="single" w:color="auto"/>
                  <w:color w:val="0000FF"/>
                </w:rPr>
                <w:t>10.2</w:t>
              </w:r>
            </w:hyperlink>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80" w:type="dxa"/>
            <w:vAlign w:val="bottom"/>
            <w:gridSpan w:val="24"/>
          </w:tcPr>
          <w:p>
            <w:pPr>
              <w:spacing w:after="0"/>
              <w:rPr>
                <w:rFonts w:ascii="Arial" w:cs="Arial" w:eastAsia="Arial" w:hAnsi="Arial"/>
                <w:sz w:val="18"/>
                <w:szCs w:val="18"/>
                <w:color w:val="0000FF"/>
                <w:w w:val="97"/>
              </w:rPr>
            </w:pPr>
            <w:hyperlink r:id="rId146">
              <w:r>
                <w:rPr>
                  <w:rFonts w:ascii="Arial" w:cs="Arial" w:eastAsia="Arial" w:hAnsi="Arial"/>
                  <w:sz w:val="18"/>
                  <w:szCs w:val="18"/>
                  <w:color w:val="0000FF"/>
                  <w:w w:val="97"/>
                </w:rPr>
                <w:t>Tax Matters Agreement, dated as of August 10, 2009, by and between Altisource Solutions S.à r.l. and Ocwen Financial Corporation</w:t>
              </w:r>
            </w:hyperlink>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20" w:type="dxa"/>
            <w:vAlign w:val="bottom"/>
            <w:tcBorders>
              <w:top w:val="single" w:sz="8" w:color="0000FF"/>
            </w:tcBorders>
            <w:gridSpan w:val="21"/>
          </w:tcPr>
          <w:p>
            <w:pPr>
              <w:spacing w:after="0" w:line="156" w:lineRule="exact"/>
              <w:rPr>
                <w:rFonts w:ascii="Arial" w:cs="Arial" w:eastAsia="Arial" w:hAnsi="Arial"/>
                <w:sz w:val="18"/>
                <w:szCs w:val="18"/>
                <w:color w:val="0000FF"/>
                <w:w w:val="96"/>
              </w:rPr>
            </w:pPr>
            <w:hyperlink r:id="rId146">
              <w:r>
                <w:rPr>
                  <w:rFonts w:ascii="Arial" w:cs="Arial" w:eastAsia="Arial" w:hAnsi="Arial"/>
                  <w:sz w:val="18"/>
                  <w:szCs w:val="18"/>
                  <w:color w:val="0000FF"/>
                  <w:w w:val="96"/>
                </w:rPr>
                <w:t>(incorporated by reference to Exhibit 10.2 of the Registrant’s Current Report on Form 8-K as filed with the Commission on August 13,</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6"/>
              </w:rPr>
            </w:pPr>
            <w:hyperlink r:id="rId146">
              <w:r>
                <w:rPr>
                  <w:rFonts w:ascii="Arial" w:cs="Arial" w:eastAsia="Arial" w:hAnsi="Arial"/>
                  <w:sz w:val="18"/>
                  <w:szCs w:val="18"/>
                  <w:color w:val="0000FF"/>
                  <w:w w:val="86"/>
                </w:rPr>
                <w:t>2009)</w:t>
              </w:r>
            </w:hyperlink>
          </w:p>
        </w:tc>
        <w:tc>
          <w:tcPr>
            <w:tcW w:w="28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1180" w:type="dxa"/>
            <w:vAlign w:val="bottom"/>
            <w:tcBorders>
              <w:top w:val="single" w:sz="8" w:color="0000FF"/>
            </w:tcBorders>
          </w:tcPr>
          <w:p>
            <w:pPr>
              <w:spacing w:after="0"/>
              <w:rPr>
                <w:sz w:val="13"/>
                <w:szCs w:val="13"/>
                <w:color w:val="auto"/>
              </w:rPr>
            </w:pPr>
          </w:p>
        </w:tc>
        <w:tc>
          <w:tcPr>
            <w:tcW w:w="104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3520" w:type="dxa"/>
            <w:vAlign w:val="bottom"/>
            <w:tcBorders>
              <w:top w:val="single" w:sz="8" w:color="0000FF"/>
            </w:tcBorders>
          </w:tcPr>
          <w:p>
            <w:pPr>
              <w:spacing w:after="0"/>
              <w:rPr>
                <w:sz w:val="13"/>
                <w:szCs w:val="13"/>
                <w:color w:val="auto"/>
              </w:rPr>
            </w:pPr>
          </w:p>
        </w:tc>
        <w:tc>
          <w:tcPr>
            <w:tcW w:w="24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100" w:type="dxa"/>
            <w:vAlign w:val="bottom"/>
          </w:tcPr>
          <w:p>
            <w:pPr>
              <w:ind w:left="20"/>
              <w:spacing w:after="0"/>
              <w:rPr>
                <w:rFonts w:ascii="Arial" w:cs="Arial" w:eastAsia="Arial" w:hAnsi="Arial"/>
                <w:sz w:val="18"/>
                <w:szCs w:val="18"/>
                <w:u w:val="single" w:color="auto"/>
                <w:color w:val="0000FF"/>
              </w:rPr>
            </w:pPr>
            <w:hyperlink r:id="rId147">
              <w:r>
                <w:rPr>
                  <w:rFonts w:ascii="Arial" w:cs="Arial" w:eastAsia="Arial" w:hAnsi="Arial"/>
                  <w:sz w:val="18"/>
                  <w:szCs w:val="18"/>
                  <w:u w:val="single" w:color="auto"/>
                  <w:color w:val="0000FF"/>
                </w:rPr>
                <w:t>10.3</w:t>
              </w:r>
            </w:hyperlink>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80" w:type="dxa"/>
            <w:vAlign w:val="bottom"/>
            <w:gridSpan w:val="24"/>
          </w:tcPr>
          <w:p>
            <w:pPr>
              <w:spacing w:after="0"/>
              <w:rPr>
                <w:rFonts w:ascii="Arial" w:cs="Arial" w:eastAsia="Arial" w:hAnsi="Arial"/>
                <w:sz w:val="18"/>
                <w:szCs w:val="18"/>
                <w:color w:val="0000FF"/>
              </w:rPr>
            </w:pPr>
            <w:hyperlink r:id="rId147">
              <w:r>
                <w:rPr>
                  <w:rFonts w:ascii="Arial" w:cs="Arial" w:eastAsia="Arial" w:hAnsi="Arial"/>
                  <w:sz w:val="18"/>
                  <w:szCs w:val="18"/>
                  <w:color w:val="0000FF"/>
                </w:rPr>
                <w:t>Transition Services Agreement, dated as of August 10, 2009, by and between Altisource Solutions S.à r.l. and Ocwen Financial</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tcBorders>
              <w:top w:val="single" w:sz="8" w:color="0000FF"/>
            </w:tcBorders>
            <w:gridSpan w:val="8"/>
          </w:tcPr>
          <w:p>
            <w:pPr>
              <w:spacing w:after="0" w:line="156" w:lineRule="exact"/>
              <w:rPr>
                <w:rFonts w:ascii="Arial" w:cs="Arial" w:eastAsia="Arial" w:hAnsi="Arial"/>
                <w:sz w:val="18"/>
                <w:szCs w:val="18"/>
                <w:color w:val="0000FF"/>
                <w:w w:val="93"/>
              </w:rPr>
            </w:pPr>
            <w:hyperlink r:id="rId147">
              <w:r>
                <w:rPr>
                  <w:rFonts w:ascii="Arial" w:cs="Arial" w:eastAsia="Arial" w:hAnsi="Arial"/>
                  <w:sz w:val="18"/>
                  <w:szCs w:val="18"/>
                  <w:color w:val="0000FF"/>
                  <w:w w:val="93"/>
                </w:rPr>
                <w:t>Corporation (incorporated by reference to Exhibit 10.3 of the Registrant’s Current Report on Form 8-K as filed with the Commission on</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2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147">
              <w:r>
                <w:rPr>
                  <w:rFonts w:ascii="Arial" w:cs="Arial" w:eastAsia="Arial" w:hAnsi="Arial"/>
                  <w:sz w:val="18"/>
                  <w:szCs w:val="18"/>
                  <w:color w:val="0000FF"/>
                </w:rPr>
                <w:t>August 13, 2009)</w:t>
              </w:r>
            </w:hyperlink>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5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00" w:type="dxa"/>
            <w:vAlign w:val="bottom"/>
          </w:tcPr>
          <w:p>
            <w:pPr>
              <w:ind w:left="20"/>
              <w:spacing w:after="0"/>
              <w:rPr>
                <w:rFonts w:ascii="Arial" w:cs="Arial" w:eastAsia="Arial" w:hAnsi="Arial"/>
                <w:sz w:val="18"/>
                <w:szCs w:val="18"/>
                <w:u w:val="single" w:color="auto"/>
                <w:color w:val="0000FF"/>
              </w:rPr>
            </w:pPr>
            <w:hyperlink r:id="rId148">
              <w:r>
                <w:rPr>
                  <w:rFonts w:ascii="Arial" w:cs="Arial" w:eastAsia="Arial" w:hAnsi="Arial"/>
                  <w:sz w:val="18"/>
                  <w:szCs w:val="18"/>
                  <w:u w:val="single" w:color="auto"/>
                  <w:color w:val="0000FF"/>
                </w:rPr>
                <w:t>10.4</w:t>
              </w:r>
            </w:hyperlink>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80" w:type="dxa"/>
            <w:vAlign w:val="bottom"/>
            <w:gridSpan w:val="24"/>
          </w:tcPr>
          <w:p>
            <w:pPr>
              <w:spacing w:after="0"/>
              <w:rPr>
                <w:rFonts w:ascii="Arial" w:cs="Arial" w:eastAsia="Arial" w:hAnsi="Arial"/>
                <w:sz w:val="18"/>
                <w:szCs w:val="18"/>
                <w:color w:val="0000FF"/>
              </w:rPr>
            </w:pPr>
            <w:hyperlink r:id="rId148">
              <w:r>
                <w:rPr>
                  <w:rFonts w:ascii="Arial" w:cs="Arial" w:eastAsia="Arial" w:hAnsi="Arial"/>
                  <w:sz w:val="18"/>
                  <w:szCs w:val="18"/>
                  <w:color w:val="0000FF"/>
                </w:rPr>
                <w:t>Employee Matters Agreement, dated as of August 10, 2009, by and between Altisource Solutions S.à r.l. and Ocwen Financial</w:t>
              </w:r>
            </w:hyperlink>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60" w:type="dxa"/>
            <w:vAlign w:val="bottom"/>
            <w:tcBorders>
              <w:top w:val="single" w:sz="8" w:color="0000FF"/>
            </w:tcBorders>
            <w:gridSpan w:val="13"/>
          </w:tcPr>
          <w:p>
            <w:pPr>
              <w:spacing w:after="0" w:line="156" w:lineRule="exact"/>
              <w:rPr>
                <w:rFonts w:ascii="Arial" w:cs="Arial" w:eastAsia="Arial" w:hAnsi="Arial"/>
                <w:sz w:val="18"/>
                <w:szCs w:val="18"/>
                <w:color w:val="0000FF"/>
                <w:w w:val="94"/>
              </w:rPr>
            </w:pPr>
            <w:hyperlink r:id="rId148">
              <w:r>
                <w:rPr>
                  <w:rFonts w:ascii="Arial" w:cs="Arial" w:eastAsia="Arial" w:hAnsi="Arial"/>
                  <w:sz w:val="18"/>
                  <w:szCs w:val="18"/>
                  <w:color w:val="0000FF"/>
                  <w:w w:val="94"/>
                </w:rPr>
                <w:t>Corporation (incorporated by reference to Exhibit 10.4 of the Registrant’s Current Report on Form 8-K as filed with the Commission on</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2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148">
              <w:r>
                <w:rPr>
                  <w:rFonts w:ascii="Arial" w:cs="Arial" w:eastAsia="Arial" w:hAnsi="Arial"/>
                  <w:sz w:val="18"/>
                  <w:szCs w:val="18"/>
                  <w:color w:val="0000FF"/>
                </w:rPr>
                <w:t>August 13, 2009)</w:t>
              </w:r>
            </w:hyperlink>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5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00" w:type="dxa"/>
            <w:vAlign w:val="bottom"/>
          </w:tcPr>
          <w:p>
            <w:pPr>
              <w:ind w:left="20"/>
              <w:spacing w:after="0"/>
              <w:rPr>
                <w:rFonts w:ascii="Arial" w:cs="Arial" w:eastAsia="Arial" w:hAnsi="Arial"/>
                <w:sz w:val="18"/>
                <w:szCs w:val="18"/>
                <w:u w:val="single" w:color="auto"/>
                <w:color w:val="0000FF"/>
              </w:rPr>
            </w:pPr>
            <w:hyperlink r:id="rId149">
              <w:r>
                <w:rPr>
                  <w:rFonts w:ascii="Arial" w:cs="Arial" w:eastAsia="Arial" w:hAnsi="Arial"/>
                  <w:sz w:val="18"/>
                  <w:szCs w:val="18"/>
                  <w:u w:val="single" w:color="auto"/>
                  <w:color w:val="0000FF"/>
                </w:rPr>
                <w:t>10.5</w:t>
              </w:r>
            </w:hyperlink>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80" w:type="dxa"/>
            <w:vAlign w:val="bottom"/>
            <w:gridSpan w:val="24"/>
          </w:tcPr>
          <w:p>
            <w:pPr>
              <w:spacing w:after="0"/>
              <w:rPr>
                <w:rFonts w:ascii="Arial" w:cs="Arial" w:eastAsia="Arial" w:hAnsi="Arial"/>
                <w:sz w:val="18"/>
                <w:szCs w:val="18"/>
                <w:color w:val="0000FF"/>
                <w:w w:val="93"/>
              </w:rPr>
            </w:pPr>
            <w:hyperlink r:id="rId149">
              <w:r>
                <w:rPr>
                  <w:rFonts w:ascii="Arial" w:cs="Arial" w:eastAsia="Arial" w:hAnsi="Arial"/>
                  <w:sz w:val="18"/>
                  <w:szCs w:val="18"/>
                  <w:color w:val="0000FF"/>
                  <w:w w:val="93"/>
                </w:rPr>
                <w:t>Technology Products Services Agreement, dated as of August 10, 2009, by and between Altisource Solutions S.à r.l. and Ocwen Financial</w:t>
              </w:r>
            </w:hyperlink>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80" w:type="dxa"/>
            <w:vAlign w:val="bottom"/>
            <w:tcBorders>
              <w:top w:val="single" w:sz="8" w:color="0000FF"/>
            </w:tcBorders>
            <w:gridSpan w:val="14"/>
          </w:tcPr>
          <w:p>
            <w:pPr>
              <w:spacing w:after="0" w:line="156" w:lineRule="exact"/>
              <w:rPr>
                <w:rFonts w:ascii="Arial" w:cs="Arial" w:eastAsia="Arial" w:hAnsi="Arial"/>
                <w:sz w:val="18"/>
                <w:szCs w:val="18"/>
                <w:color w:val="0000FF"/>
                <w:w w:val="94"/>
              </w:rPr>
            </w:pPr>
            <w:hyperlink r:id="rId149">
              <w:r>
                <w:rPr>
                  <w:rFonts w:ascii="Arial" w:cs="Arial" w:eastAsia="Arial" w:hAnsi="Arial"/>
                  <w:sz w:val="18"/>
                  <w:szCs w:val="18"/>
                  <w:color w:val="0000FF"/>
                  <w:w w:val="94"/>
                </w:rPr>
                <w:t>Corporation (incorporated by reference to Exhibit 10.5 of the Registrant’s Current Report on Form 8-K as filed with the Commission on</w:t>
              </w:r>
            </w:hyperlink>
          </w:p>
        </w:tc>
        <w:tc>
          <w:tcPr>
            <w:tcW w:w="80" w:type="dxa"/>
            <w:vAlign w:val="bottom"/>
            <w:gridSpan w:val="4"/>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2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149">
              <w:r>
                <w:rPr>
                  <w:rFonts w:ascii="Arial" w:cs="Arial" w:eastAsia="Arial" w:hAnsi="Arial"/>
                  <w:sz w:val="18"/>
                  <w:szCs w:val="18"/>
                  <w:color w:val="0000FF"/>
                </w:rPr>
                <w:t>August 13, 2009)</w:t>
              </w:r>
            </w:hyperlink>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5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00" w:type="dxa"/>
            <w:vAlign w:val="bottom"/>
          </w:tcPr>
          <w:p>
            <w:pPr>
              <w:ind w:left="20"/>
              <w:spacing w:after="0"/>
              <w:rPr>
                <w:rFonts w:ascii="Arial" w:cs="Arial" w:eastAsia="Arial" w:hAnsi="Arial"/>
                <w:sz w:val="18"/>
                <w:szCs w:val="18"/>
                <w:u w:val="single" w:color="auto"/>
                <w:color w:val="0000FF"/>
              </w:rPr>
            </w:pPr>
            <w:hyperlink r:id="rId150">
              <w:r>
                <w:rPr>
                  <w:rFonts w:ascii="Arial" w:cs="Arial" w:eastAsia="Arial" w:hAnsi="Arial"/>
                  <w:sz w:val="18"/>
                  <w:szCs w:val="18"/>
                  <w:u w:val="single" w:color="auto"/>
                  <w:color w:val="0000FF"/>
                </w:rPr>
                <w:t>10.6</w:t>
              </w:r>
            </w:hyperlink>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80" w:type="dxa"/>
            <w:vAlign w:val="bottom"/>
            <w:gridSpan w:val="24"/>
          </w:tcPr>
          <w:p>
            <w:pPr>
              <w:spacing w:after="0"/>
              <w:rPr>
                <w:rFonts w:ascii="Arial" w:cs="Arial" w:eastAsia="Arial" w:hAnsi="Arial"/>
                <w:sz w:val="18"/>
                <w:szCs w:val="18"/>
                <w:color w:val="0000FF"/>
                <w:w w:val="99"/>
              </w:rPr>
            </w:pPr>
            <w:hyperlink r:id="rId150">
              <w:r>
                <w:rPr>
                  <w:rFonts w:ascii="Arial" w:cs="Arial" w:eastAsia="Arial" w:hAnsi="Arial"/>
                  <w:sz w:val="18"/>
                  <w:szCs w:val="18"/>
                  <w:color w:val="0000FF"/>
                  <w:w w:val="99"/>
                </w:rPr>
                <w:t>Services Agreement, dated as of August 10, 2009, by and between Altisource Solutions S.à r.l. and Ocwen Financial Corporation</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4"/>
              </w:rPr>
            </w:pPr>
            <w:hyperlink r:id="rId150">
              <w:r>
                <w:rPr>
                  <w:rFonts w:ascii="Arial" w:cs="Arial" w:eastAsia="Arial" w:hAnsi="Arial"/>
                  <w:sz w:val="18"/>
                  <w:szCs w:val="18"/>
                  <w:color w:val="0000FF"/>
                  <w:w w:val="94"/>
                </w:rPr>
                <w:t>(incorporated by reference to Exhibit 10.6 of the Registrant’s Current Report on Form 8-K as filed with the Commission on August 13,</w:t>
              </w:r>
            </w:hyperlink>
          </w:p>
        </w:tc>
        <w:tc>
          <w:tcPr>
            <w:tcW w:w="20" w:type="dxa"/>
            <w:vAlign w:val="bottom"/>
            <w:tcBorders>
              <w:bottom w:val="single" w:sz="8" w:color="0000FF"/>
            </w:tcBorders>
          </w:tcPr>
          <w:p>
            <w:pPr>
              <w:spacing w:after="0"/>
              <w:rPr>
                <w:sz w:val="13"/>
                <w:szCs w:val="13"/>
                <w:color w:val="auto"/>
              </w:rPr>
            </w:pPr>
          </w:p>
        </w:tc>
        <w:tc>
          <w:tcPr>
            <w:tcW w:w="140" w:type="dxa"/>
            <w:vAlign w:val="bottom"/>
            <w:tcBorders>
              <w:bottom w:val="single" w:sz="8" w:color="0000FF"/>
            </w:tcBorders>
            <w:gridSpan w:val="7"/>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Borders>
              <w:bottom w:val="single" w:sz="8" w:color="0000FF"/>
            </w:tcBorders>
          </w:tcPr>
          <w:p>
            <w:pPr>
              <w:spacing w:after="0" w:line="156" w:lineRule="exact"/>
              <w:rPr>
                <w:rFonts w:ascii="Arial" w:cs="Arial" w:eastAsia="Arial" w:hAnsi="Arial"/>
                <w:sz w:val="18"/>
                <w:szCs w:val="18"/>
                <w:color w:val="0000FF"/>
                <w:w w:val="86"/>
              </w:rPr>
            </w:pPr>
            <w:hyperlink r:id="rId150">
              <w:r>
                <w:rPr>
                  <w:rFonts w:ascii="Arial" w:cs="Arial" w:eastAsia="Arial" w:hAnsi="Arial"/>
                  <w:sz w:val="18"/>
                  <w:szCs w:val="18"/>
                  <w:color w:val="0000FF"/>
                  <w:w w:val="86"/>
                </w:rPr>
                <w:t>2009)</w:t>
              </w:r>
            </w:hyperlink>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100" w:type="dxa"/>
            <w:vAlign w:val="bottom"/>
          </w:tcPr>
          <w:p>
            <w:pPr>
              <w:ind w:left="20"/>
              <w:spacing w:after="0"/>
              <w:rPr>
                <w:rFonts w:ascii="Arial" w:cs="Arial" w:eastAsia="Arial" w:hAnsi="Arial"/>
                <w:sz w:val="18"/>
                <w:szCs w:val="18"/>
                <w:u w:val="single" w:color="auto"/>
                <w:color w:val="0000FF"/>
              </w:rPr>
            </w:pPr>
            <w:hyperlink r:id="rId151">
              <w:r>
                <w:rPr>
                  <w:rFonts w:ascii="Arial" w:cs="Arial" w:eastAsia="Arial" w:hAnsi="Arial"/>
                  <w:sz w:val="18"/>
                  <w:szCs w:val="18"/>
                  <w:u w:val="single" w:color="auto"/>
                  <w:color w:val="0000FF"/>
                </w:rPr>
                <w:t>10.7</w:t>
              </w:r>
            </w:hyperlink>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80" w:type="dxa"/>
            <w:vAlign w:val="bottom"/>
            <w:gridSpan w:val="24"/>
          </w:tcPr>
          <w:p>
            <w:pPr>
              <w:spacing w:after="0"/>
              <w:rPr>
                <w:rFonts w:ascii="Arial" w:cs="Arial" w:eastAsia="Arial" w:hAnsi="Arial"/>
                <w:sz w:val="18"/>
                <w:szCs w:val="18"/>
                <w:color w:val="0000FF"/>
                <w:w w:val="95"/>
              </w:rPr>
            </w:pPr>
            <w:hyperlink r:id="rId151">
              <w:r>
                <w:rPr>
                  <w:rFonts w:ascii="Arial" w:cs="Arial" w:eastAsia="Arial" w:hAnsi="Arial"/>
                  <w:sz w:val="18"/>
                  <w:szCs w:val="18"/>
                  <w:color w:val="0000FF"/>
                  <w:w w:val="95"/>
                </w:rPr>
                <w:t>Data Center and Disaster Recovery Services Agreement, dated as of August 10, 2009, by and between Altisource Solutions S.à r.l. and</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60" w:type="dxa"/>
            <w:vAlign w:val="bottom"/>
            <w:tcBorders>
              <w:top w:val="single" w:sz="8" w:color="0000FF"/>
            </w:tcBorders>
            <w:gridSpan w:val="18"/>
          </w:tcPr>
          <w:p>
            <w:pPr>
              <w:spacing w:after="0" w:line="156" w:lineRule="exact"/>
              <w:rPr>
                <w:rFonts w:ascii="Arial" w:cs="Arial" w:eastAsia="Arial" w:hAnsi="Arial"/>
                <w:sz w:val="18"/>
                <w:szCs w:val="18"/>
                <w:color w:val="0000FF"/>
                <w:w w:val="94"/>
              </w:rPr>
            </w:pPr>
            <w:hyperlink r:id="rId151">
              <w:r>
                <w:rPr>
                  <w:rFonts w:ascii="Arial" w:cs="Arial" w:eastAsia="Arial" w:hAnsi="Arial"/>
                  <w:sz w:val="18"/>
                  <w:szCs w:val="18"/>
                  <w:color w:val="0000FF"/>
                  <w:w w:val="94"/>
                </w:rPr>
                <w:t>Ocwen Financial Corporation (incorporated by reference to Exhibit 10.7 of the Registrant’s Current Report on Form 8-K as filed with the</w:t>
              </w:r>
            </w:hyperlink>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2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151">
              <w:r>
                <w:rPr>
                  <w:rFonts w:ascii="Arial" w:cs="Arial" w:eastAsia="Arial" w:hAnsi="Arial"/>
                  <w:sz w:val="18"/>
                  <w:szCs w:val="18"/>
                  <w:color w:val="0000FF"/>
                </w:rPr>
                <w:t>Commission on August 13, 2009)</w:t>
              </w:r>
            </w:hyperlink>
          </w:p>
        </w:tc>
        <w:tc>
          <w:tcPr>
            <w:tcW w:w="26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817"/>
        </w:trPr>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40" w:type="dxa"/>
            <w:vAlign w:val="bottom"/>
            <w:tcBorders>
              <w:top w:val="single" w:sz="8" w:color="0000FF"/>
            </w:tcBorders>
            <w:gridSpan w:val="4"/>
          </w:tcPr>
          <w:p>
            <w:pPr>
              <w:spacing w:after="0"/>
              <w:rPr>
                <w:sz w:val="24"/>
                <w:szCs w:val="24"/>
                <w:color w:val="auto"/>
              </w:rPr>
            </w:pPr>
          </w:p>
        </w:tc>
        <w:tc>
          <w:tcPr>
            <w:tcW w:w="5060" w:type="dxa"/>
            <w:vAlign w:val="bottom"/>
            <w:gridSpan w:val="3"/>
          </w:tcPr>
          <w:p>
            <w:pPr>
              <w:jc w:val="right"/>
              <w:ind w:right="3000"/>
              <w:spacing w:after="0"/>
              <w:rPr>
                <w:sz w:val="20"/>
                <w:szCs w:val="20"/>
                <w:color w:val="auto"/>
              </w:rPr>
            </w:pPr>
            <w:r>
              <w:rPr>
                <w:rFonts w:ascii="Arial" w:cs="Arial" w:eastAsia="Arial" w:hAnsi="Arial"/>
                <w:sz w:val="18"/>
                <w:szCs w:val="18"/>
                <w:color w:val="auto"/>
              </w:rPr>
              <w:t>95</w:t>
            </w:r>
          </w:p>
        </w:tc>
        <w:tc>
          <w:tcPr>
            <w:tcW w:w="2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52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ind w:left="20"/>
              <w:spacing w:after="0"/>
              <w:rPr>
                <w:rFonts w:ascii="Arial" w:cs="Arial" w:eastAsia="Arial" w:hAnsi="Arial"/>
                <w:sz w:val="18"/>
                <w:szCs w:val="18"/>
                <w:u w:val="single" w:color="auto"/>
                <w:color w:val="0000FF"/>
              </w:rPr>
            </w:pPr>
            <w:hyperlink r:id="rId154">
              <w:r>
                <w:rPr>
                  <w:rFonts w:ascii="Arial" w:cs="Arial" w:eastAsia="Arial" w:hAnsi="Arial"/>
                  <w:sz w:val="18"/>
                  <w:szCs w:val="18"/>
                  <w:u w:val="single" w:color="auto"/>
                  <w:color w:val="0000FF"/>
                </w:rPr>
                <w:t>10.8</w:t>
              </w:r>
            </w:hyperlink>
          </w:p>
        </w:tc>
        <w:tc>
          <w:tcPr>
            <w:tcW w:w="10360" w:type="dxa"/>
            <w:vAlign w:val="bottom"/>
            <w:gridSpan w:val="34"/>
          </w:tcPr>
          <w:p>
            <w:pPr>
              <w:spacing w:after="0"/>
              <w:rPr>
                <w:rFonts w:ascii="Arial" w:cs="Arial" w:eastAsia="Arial" w:hAnsi="Arial"/>
                <w:sz w:val="18"/>
                <w:szCs w:val="18"/>
                <w:color w:val="0000FF"/>
              </w:rPr>
            </w:pPr>
            <w:hyperlink r:id="rId154">
              <w:r>
                <w:rPr>
                  <w:rFonts w:ascii="Arial" w:cs="Arial" w:eastAsia="Arial" w:hAnsi="Arial"/>
                  <w:sz w:val="18"/>
                  <w:szCs w:val="18"/>
                  <w:color w:val="0000FF"/>
                </w:rPr>
                <w:t>Intellectual Property Agreement, dated as of August 10, 2009, by and between Altisource Solutions S.à r.l. and Ocwen Financial</w:t>
              </w:r>
            </w:hyperlink>
          </w:p>
        </w:tc>
      </w:tr>
      <w:tr>
        <w:trPr>
          <w:trHeight w:val="156"/>
        </w:trPr>
        <w:tc>
          <w:tcPr>
            <w:tcW w:w="1220" w:type="dxa"/>
            <w:vAlign w:val="bottom"/>
          </w:tcPr>
          <w:p>
            <w:pPr>
              <w:spacing w:after="0"/>
              <w:rPr>
                <w:sz w:val="13"/>
                <w:szCs w:val="13"/>
                <w:color w:val="auto"/>
              </w:rPr>
            </w:pPr>
          </w:p>
        </w:tc>
        <w:tc>
          <w:tcPr>
            <w:tcW w:w="1008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w w:val="94"/>
              </w:rPr>
            </w:pPr>
            <w:hyperlink r:id="rId154">
              <w:r>
                <w:rPr>
                  <w:rFonts w:ascii="Arial" w:cs="Arial" w:eastAsia="Arial" w:hAnsi="Arial"/>
                  <w:sz w:val="18"/>
                  <w:szCs w:val="18"/>
                  <w:color w:val="0000FF"/>
                  <w:w w:val="94"/>
                </w:rPr>
                <w:t>Corporation (incorporated by reference to Exhibit 10.8 of the Registrant’s Current Report on Form 8-K as filed with the Commission on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220" w:type="dxa"/>
            <w:vAlign w:val="bottom"/>
          </w:tcPr>
          <w:p>
            <w:pPr>
              <w:spacing w:after="0"/>
              <w:rPr>
                <w:sz w:val="13"/>
                <w:szCs w:val="13"/>
                <w:color w:val="auto"/>
              </w:rPr>
            </w:pPr>
          </w:p>
        </w:tc>
        <w:tc>
          <w:tcPr>
            <w:tcW w:w="1280" w:type="dxa"/>
            <w:vAlign w:val="bottom"/>
            <w:tcBorders>
              <w:bottom w:val="single" w:sz="8" w:color="0000FF"/>
            </w:tcBorders>
            <w:gridSpan w:val="6"/>
          </w:tcPr>
          <w:p>
            <w:pPr>
              <w:spacing w:after="0" w:line="156" w:lineRule="exact"/>
              <w:rPr>
                <w:rFonts w:ascii="Arial" w:cs="Arial" w:eastAsia="Arial" w:hAnsi="Arial"/>
                <w:sz w:val="18"/>
                <w:szCs w:val="18"/>
                <w:color w:val="0000FF"/>
                <w:w w:val="91"/>
              </w:rPr>
            </w:pPr>
            <w:hyperlink r:id="rId154">
              <w:r>
                <w:rPr>
                  <w:rFonts w:ascii="Arial" w:cs="Arial" w:eastAsia="Arial" w:hAnsi="Arial"/>
                  <w:sz w:val="18"/>
                  <w:szCs w:val="18"/>
                  <w:color w:val="0000FF"/>
                  <w:w w:val="91"/>
                </w:rPr>
                <w:t>August 13, 2009)</w:t>
              </w:r>
            </w:hyperlink>
          </w:p>
        </w:tc>
        <w:tc>
          <w:tcPr>
            <w:tcW w:w="8880" w:type="dxa"/>
            <w:vAlign w:val="bottom"/>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220" w:type="dxa"/>
            <w:vAlign w:val="bottom"/>
          </w:tcPr>
          <w:p>
            <w:pPr>
              <w:ind w:left="20"/>
              <w:spacing w:after="0"/>
              <w:rPr>
                <w:rFonts w:ascii="Arial" w:cs="Arial" w:eastAsia="Arial" w:hAnsi="Arial"/>
                <w:sz w:val="18"/>
                <w:szCs w:val="18"/>
                <w:color w:val="0000FF"/>
              </w:rPr>
            </w:pPr>
            <w:hyperlink r:id="rId155">
              <w:r>
                <w:rPr>
                  <w:rFonts w:ascii="Arial" w:cs="Arial" w:eastAsia="Arial" w:hAnsi="Arial"/>
                  <w:sz w:val="18"/>
                  <w:szCs w:val="18"/>
                  <w:u w:val="single" w:color="auto"/>
                  <w:color w:val="0000FF"/>
                </w:rPr>
                <w:t>10.9</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360" w:type="dxa"/>
            <w:vAlign w:val="bottom"/>
            <w:gridSpan w:val="34"/>
          </w:tcPr>
          <w:p>
            <w:pPr>
              <w:spacing w:after="0"/>
              <w:rPr>
                <w:rFonts w:ascii="Arial" w:cs="Arial" w:eastAsia="Arial" w:hAnsi="Arial"/>
                <w:sz w:val="18"/>
                <w:szCs w:val="18"/>
                <w:color w:val="0000FF"/>
              </w:rPr>
            </w:pPr>
            <w:hyperlink r:id="rId155">
              <w:r>
                <w:rPr>
                  <w:rFonts w:ascii="Arial" w:cs="Arial" w:eastAsia="Arial" w:hAnsi="Arial"/>
                  <w:sz w:val="18"/>
                  <w:szCs w:val="18"/>
                  <w:color w:val="0000FF"/>
                </w:rPr>
                <w:t>Employment Contract between Altisource Solutions S.à r.l. and William B. Shepro (incorporated by reference from Exhibit 10.9 to</w:t>
              </w:r>
            </w:hyperlink>
          </w:p>
        </w:tc>
      </w:tr>
      <w:tr>
        <w:trPr>
          <w:trHeight w:val="156"/>
        </w:trPr>
        <w:tc>
          <w:tcPr>
            <w:tcW w:w="1220" w:type="dxa"/>
            <w:vAlign w:val="bottom"/>
          </w:tcPr>
          <w:p>
            <w:pPr>
              <w:spacing w:after="0"/>
              <w:rPr>
                <w:sz w:val="13"/>
                <w:szCs w:val="13"/>
                <w:color w:val="auto"/>
              </w:rPr>
            </w:pPr>
          </w:p>
        </w:tc>
        <w:tc>
          <w:tcPr>
            <w:tcW w:w="10320" w:type="dxa"/>
            <w:vAlign w:val="bottom"/>
            <w:tcBorders>
              <w:top w:val="single" w:sz="8" w:color="0000FF"/>
            </w:tcBorders>
            <w:gridSpan w:val="32"/>
          </w:tcPr>
          <w:p>
            <w:pPr>
              <w:spacing w:after="0" w:line="156" w:lineRule="exact"/>
              <w:rPr>
                <w:rFonts w:ascii="Arial" w:cs="Arial" w:eastAsia="Arial" w:hAnsi="Arial"/>
                <w:sz w:val="18"/>
                <w:szCs w:val="18"/>
                <w:color w:val="0000FF"/>
                <w:w w:val="95"/>
              </w:rPr>
            </w:pPr>
            <w:hyperlink r:id="rId155">
              <w:r>
                <w:rPr>
                  <w:rFonts w:ascii="Arial" w:cs="Arial" w:eastAsia="Arial" w:hAnsi="Arial"/>
                  <w:sz w:val="18"/>
                  <w:szCs w:val="18"/>
                  <w:color w:val="0000FF"/>
                  <w:w w:val="95"/>
                </w:rPr>
                <w:t>Amendment No. 1 to the Registration Statement on Form 10 of Altisource Portfolio Solutions S.A. as filed with the Commission on June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220" w:type="dxa"/>
            <w:vAlign w:val="bottom"/>
          </w:tcPr>
          <w:p>
            <w:pPr>
              <w:spacing w:after="0"/>
              <w:rPr>
                <w:sz w:val="13"/>
                <w:szCs w:val="13"/>
                <w:color w:val="auto"/>
              </w:rPr>
            </w:pPr>
          </w:p>
        </w:tc>
        <w:tc>
          <w:tcPr>
            <w:tcW w:w="7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1"/>
              </w:rPr>
            </w:pPr>
            <w:hyperlink r:id="rId155">
              <w:r>
                <w:rPr>
                  <w:rFonts w:ascii="Arial" w:cs="Arial" w:eastAsia="Arial" w:hAnsi="Arial"/>
                  <w:sz w:val="18"/>
                  <w:szCs w:val="18"/>
                  <w:color w:val="0000FF"/>
                  <w:w w:val="91"/>
                </w:rPr>
                <w:t>29, 2009)</w:t>
              </w:r>
            </w:hyperlink>
          </w:p>
        </w:tc>
        <w:tc>
          <w:tcPr>
            <w:tcW w:w="5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60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13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4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1220" w:type="dxa"/>
            <w:vAlign w:val="bottom"/>
          </w:tcPr>
          <w:p>
            <w:pPr>
              <w:ind w:left="20"/>
              <w:spacing w:after="0"/>
              <w:rPr>
                <w:rFonts w:ascii="Arial" w:cs="Arial" w:eastAsia="Arial" w:hAnsi="Arial"/>
                <w:sz w:val="18"/>
                <w:szCs w:val="18"/>
                <w:color w:val="0000FF"/>
              </w:rPr>
            </w:pPr>
            <w:hyperlink r:id="rId156">
              <w:r>
                <w:rPr>
                  <w:rFonts w:ascii="Arial" w:cs="Arial" w:eastAsia="Arial" w:hAnsi="Arial"/>
                  <w:sz w:val="18"/>
                  <w:szCs w:val="18"/>
                  <w:u w:val="single" w:color="auto"/>
                  <w:color w:val="0000FF"/>
                </w:rPr>
                <w:t>10.10</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360" w:type="dxa"/>
            <w:vAlign w:val="bottom"/>
            <w:gridSpan w:val="34"/>
          </w:tcPr>
          <w:p>
            <w:pPr>
              <w:spacing w:after="0"/>
              <w:rPr>
                <w:rFonts w:ascii="Arial" w:cs="Arial" w:eastAsia="Arial" w:hAnsi="Arial"/>
                <w:sz w:val="18"/>
                <w:szCs w:val="18"/>
                <w:color w:val="0000FF"/>
              </w:rPr>
            </w:pPr>
            <w:hyperlink r:id="rId156">
              <w:r>
                <w:rPr>
                  <w:rFonts w:ascii="Arial" w:cs="Arial" w:eastAsia="Arial" w:hAnsi="Arial"/>
                  <w:sz w:val="18"/>
                  <w:szCs w:val="18"/>
                  <w:color w:val="0000FF"/>
                </w:rPr>
                <w:t>Employment Contract between Altisource Solutions S.à r.l. and Kevin J. Wilcox (incorporated by reference from Exhibit 10.11 to</w:t>
              </w:r>
            </w:hyperlink>
          </w:p>
        </w:tc>
      </w:tr>
      <w:tr>
        <w:trPr>
          <w:trHeight w:val="155"/>
        </w:trPr>
        <w:tc>
          <w:tcPr>
            <w:tcW w:w="1220" w:type="dxa"/>
            <w:vAlign w:val="bottom"/>
          </w:tcPr>
          <w:p>
            <w:pPr>
              <w:spacing w:after="0"/>
              <w:rPr>
                <w:sz w:val="13"/>
                <w:szCs w:val="13"/>
                <w:color w:val="auto"/>
              </w:rPr>
            </w:pPr>
          </w:p>
        </w:tc>
        <w:tc>
          <w:tcPr>
            <w:tcW w:w="10260" w:type="dxa"/>
            <w:vAlign w:val="bottom"/>
            <w:tcBorders>
              <w:top w:val="single" w:sz="8" w:color="0000FF"/>
            </w:tcBorders>
            <w:gridSpan w:val="29"/>
          </w:tcPr>
          <w:p>
            <w:pPr>
              <w:spacing w:after="0" w:line="156" w:lineRule="exact"/>
              <w:rPr>
                <w:rFonts w:ascii="Arial" w:cs="Arial" w:eastAsia="Arial" w:hAnsi="Arial"/>
                <w:sz w:val="18"/>
                <w:szCs w:val="18"/>
                <w:color w:val="0000FF"/>
                <w:w w:val="95"/>
              </w:rPr>
            </w:pPr>
            <w:hyperlink r:id="rId156">
              <w:r>
                <w:rPr>
                  <w:rFonts w:ascii="Arial" w:cs="Arial" w:eastAsia="Arial" w:hAnsi="Arial"/>
                  <w:sz w:val="18"/>
                  <w:szCs w:val="18"/>
                  <w:color w:val="0000FF"/>
                  <w:w w:val="95"/>
                </w:rPr>
                <w:t>Amendment No. 1 to the Registration Statement on Form 10 of Altisource Portfolio Solutions S.A. as filed with the Commission on June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220" w:type="dxa"/>
            <w:vAlign w:val="bottom"/>
          </w:tcPr>
          <w:p>
            <w:pPr>
              <w:spacing w:after="0"/>
              <w:rPr>
                <w:sz w:val="13"/>
                <w:szCs w:val="13"/>
                <w:color w:val="auto"/>
              </w:rPr>
            </w:pPr>
          </w:p>
        </w:tc>
        <w:tc>
          <w:tcPr>
            <w:tcW w:w="7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9"/>
              </w:rPr>
            </w:pPr>
            <w:hyperlink r:id="rId156">
              <w:r>
                <w:rPr>
                  <w:rFonts w:ascii="Arial" w:cs="Arial" w:eastAsia="Arial" w:hAnsi="Arial"/>
                  <w:sz w:val="18"/>
                  <w:szCs w:val="18"/>
                  <w:color w:val="0000FF"/>
                  <w:w w:val="89"/>
                </w:rPr>
                <w:t>29, 2009)</w:t>
              </w:r>
            </w:hyperlink>
          </w:p>
        </w:tc>
        <w:tc>
          <w:tcPr>
            <w:tcW w:w="2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60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13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4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1220" w:type="dxa"/>
            <w:vAlign w:val="bottom"/>
          </w:tcPr>
          <w:p>
            <w:pPr>
              <w:ind w:left="20"/>
              <w:spacing w:after="0"/>
              <w:rPr>
                <w:rFonts w:ascii="Arial" w:cs="Arial" w:eastAsia="Arial" w:hAnsi="Arial"/>
                <w:sz w:val="18"/>
                <w:szCs w:val="18"/>
                <w:u w:val="single" w:color="auto"/>
                <w:color w:val="0000FF"/>
              </w:rPr>
            </w:pPr>
            <w:hyperlink r:id="rId157">
              <w:r>
                <w:rPr>
                  <w:rFonts w:ascii="Arial" w:cs="Arial" w:eastAsia="Arial" w:hAnsi="Arial"/>
                  <w:sz w:val="18"/>
                  <w:szCs w:val="18"/>
                  <w:u w:val="single" w:color="auto"/>
                  <w:color w:val="0000FF"/>
                </w:rPr>
                <w:t>10.11</w:t>
              </w:r>
            </w:hyperlink>
          </w:p>
        </w:tc>
        <w:tc>
          <w:tcPr>
            <w:tcW w:w="10360" w:type="dxa"/>
            <w:vAlign w:val="bottom"/>
            <w:gridSpan w:val="34"/>
          </w:tcPr>
          <w:p>
            <w:pPr>
              <w:spacing w:after="0"/>
              <w:rPr>
                <w:rFonts w:ascii="Arial" w:cs="Arial" w:eastAsia="Arial" w:hAnsi="Arial"/>
                <w:sz w:val="18"/>
                <w:szCs w:val="18"/>
                <w:color w:val="0000FF"/>
                <w:w w:val="95"/>
              </w:rPr>
            </w:pPr>
            <w:hyperlink r:id="rId157">
              <w:r>
                <w:rPr>
                  <w:rFonts w:ascii="Arial" w:cs="Arial" w:eastAsia="Arial" w:hAnsi="Arial"/>
                  <w:sz w:val="18"/>
                  <w:szCs w:val="18"/>
                  <w:color w:val="0000FF"/>
                  <w:w w:val="95"/>
                </w:rPr>
                <w:t>Purchase and Sale Agreement, dated as of February 12, 2010, by and among Altisource Portfolio Solutions S.A., and the Equity Interest</w:t>
              </w:r>
            </w:hyperlink>
          </w:p>
        </w:tc>
      </w:tr>
      <w:tr>
        <w:trPr>
          <w:trHeight w:val="156"/>
        </w:trPr>
        <w:tc>
          <w:tcPr>
            <w:tcW w:w="1220" w:type="dxa"/>
            <w:vAlign w:val="bottom"/>
          </w:tcPr>
          <w:p>
            <w:pPr>
              <w:spacing w:after="0"/>
              <w:rPr>
                <w:sz w:val="13"/>
                <w:szCs w:val="13"/>
                <w:color w:val="auto"/>
              </w:rPr>
            </w:pPr>
          </w:p>
        </w:tc>
        <w:tc>
          <w:tcPr>
            <w:tcW w:w="998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2"/>
              </w:rPr>
            </w:pPr>
            <w:hyperlink r:id="rId157">
              <w:r>
                <w:rPr>
                  <w:rFonts w:ascii="Arial" w:cs="Arial" w:eastAsia="Arial" w:hAnsi="Arial"/>
                  <w:sz w:val="18"/>
                  <w:szCs w:val="18"/>
                  <w:color w:val="0000FF"/>
                  <w:w w:val="92"/>
                </w:rPr>
                <w:t>Holders of The Mortgage Partnership of America, L.L.C. and the Management Owners (incorporated by reference to Exhibit 10.12 of the</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220" w:type="dxa"/>
            <w:vAlign w:val="bottom"/>
          </w:tcPr>
          <w:p>
            <w:pPr>
              <w:spacing w:after="0"/>
              <w:rPr>
                <w:sz w:val="13"/>
                <w:szCs w:val="13"/>
                <w:color w:val="auto"/>
              </w:rPr>
            </w:pPr>
          </w:p>
        </w:tc>
        <w:tc>
          <w:tcPr>
            <w:tcW w:w="4880" w:type="dxa"/>
            <w:vAlign w:val="bottom"/>
            <w:tcBorders>
              <w:bottom w:val="single" w:sz="8" w:color="0000FF"/>
            </w:tcBorders>
            <w:gridSpan w:val="7"/>
          </w:tcPr>
          <w:p>
            <w:pPr>
              <w:spacing w:after="0" w:line="156" w:lineRule="exact"/>
              <w:rPr>
                <w:rFonts w:ascii="Arial" w:cs="Arial" w:eastAsia="Arial" w:hAnsi="Arial"/>
                <w:sz w:val="18"/>
                <w:szCs w:val="18"/>
                <w:color w:val="0000FF"/>
                <w:w w:val="92"/>
              </w:rPr>
            </w:pPr>
            <w:hyperlink r:id="rId157">
              <w:r>
                <w:rPr>
                  <w:rFonts w:ascii="Arial" w:cs="Arial" w:eastAsia="Arial" w:hAnsi="Arial"/>
                  <w:sz w:val="18"/>
                  <w:szCs w:val="18"/>
                  <w:color w:val="0000FF"/>
                  <w:w w:val="92"/>
                </w:rPr>
                <w:t>Company’s 10-K as filed with the Commission on March 17, 2010)</w:t>
              </w:r>
            </w:hyperlink>
          </w:p>
        </w:tc>
        <w:tc>
          <w:tcPr>
            <w:tcW w:w="5140" w:type="dxa"/>
            <w:vAlign w:val="bottom"/>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1220" w:type="dxa"/>
            <w:vAlign w:val="bottom"/>
          </w:tcPr>
          <w:p>
            <w:pPr>
              <w:ind w:left="20"/>
              <w:spacing w:after="0"/>
              <w:rPr>
                <w:rFonts w:ascii="Arial" w:cs="Arial" w:eastAsia="Arial" w:hAnsi="Arial"/>
                <w:sz w:val="18"/>
                <w:szCs w:val="18"/>
                <w:color w:val="0000FF"/>
              </w:rPr>
            </w:pPr>
            <w:hyperlink r:id="rId158">
              <w:r>
                <w:rPr>
                  <w:rFonts w:ascii="Arial" w:cs="Arial" w:eastAsia="Arial" w:hAnsi="Arial"/>
                  <w:sz w:val="18"/>
                  <w:szCs w:val="18"/>
                  <w:u w:val="single" w:color="auto"/>
                  <w:color w:val="0000FF"/>
                </w:rPr>
                <w:t>10.12</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360" w:type="dxa"/>
            <w:vAlign w:val="bottom"/>
            <w:gridSpan w:val="34"/>
          </w:tcPr>
          <w:p>
            <w:pPr>
              <w:spacing w:after="0"/>
              <w:rPr>
                <w:rFonts w:ascii="Arial" w:cs="Arial" w:eastAsia="Arial" w:hAnsi="Arial"/>
                <w:sz w:val="18"/>
                <w:szCs w:val="18"/>
                <w:color w:val="0000FF"/>
                <w:w w:val="98"/>
              </w:rPr>
            </w:pPr>
            <w:hyperlink r:id="rId158">
              <w:r>
                <w:rPr>
                  <w:rFonts w:ascii="Arial" w:cs="Arial" w:eastAsia="Arial" w:hAnsi="Arial"/>
                  <w:sz w:val="18"/>
                  <w:szCs w:val="18"/>
                  <w:color w:val="0000FF"/>
                  <w:w w:val="98"/>
                </w:rPr>
                <w:t>Form of Put Option Agreements (incorporated by reference to Exhibit 10.13 of the Company’s 10-K as filed with the Commission on</w:t>
              </w:r>
            </w:hyperlink>
          </w:p>
        </w:tc>
      </w:tr>
      <w:tr>
        <w:trPr>
          <w:trHeight w:val="156"/>
        </w:trPr>
        <w:tc>
          <w:tcPr>
            <w:tcW w:w="1220" w:type="dxa"/>
            <w:vAlign w:val="bottom"/>
          </w:tcPr>
          <w:p>
            <w:pPr>
              <w:spacing w:after="0"/>
              <w:rPr>
                <w:sz w:val="13"/>
                <w:szCs w:val="13"/>
                <w:color w:val="auto"/>
              </w:rPr>
            </w:pPr>
          </w:p>
        </w:tc>
        <w:tc>
          <w:tcPr>
            <w:tcW w:w="122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r:id="rId158">
              <w:r>
                <w:rPr>
                  <w:rFonts w:ascii="Arial" w:cs="Arial" w:eastAsia="Arial" w:hAnsi="Arial"/>
                  <w:sz w:val="18"/>
                  <w:szCs w:val="18"/>
                  <w:color w:val="0000FF"/>
                  <w:w w:val="91"/>
                </w:rPr>
                <w:t>March 17, 2010)</w:t>
              </w:r>
            </w:hyperlink>
          </w:p>
        </w:tc>
        <w:tc>
          <w:tcPr>
            <w:tcW w:w="890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220" w:type="dxa"/>
            <w:vAlign w:val="bottom"/>
          </w:tcPr>
          <w:p>
            <w:pPr>
              <w:ind w:left="20"/>
              <w:spacing w:after="0"/>
              <w:rPr>
                <w:rFonts w:ascii="Arial" w:cs="Arial" w:eastAsia="Arial" w:hAnsi="Arial"/>
                <w:sz w:val="18"/>
                <w:szCs w:val="18"/>
                <w:color w:val="0000FF"/>
              </w:rPr>
            </w:pPr>
            <w:hyperlink r:id="rId159">
              <w:r>
                <w:rPr>
                  <w:rFonts w:ascii="Arial" w:cs="Arial" w:eastAsia="Arial" w:hAnsi="Arial"/>
                  <w:sz w:val="18"/>
                  <w:szCs w:val="18"/>
                  <w:u w:val="single" w:color="auto"/>
                  <w:color w:val="0000FF"/>
                </w:rPr>
                <w:t>10.13</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360" w:type="dxa"/>
            <w:vAlign w:val="bottom"/>
            <w:gridSpan w:val="34"/>
          </w:tcPr>
          <w:p>
            <w:pPr>
              <w:spacing w:after="0"/>
              <w:rPr>
                <w:rFonts w:ascii="Arial" w:cs="Arial" w:eastAsia="Arial" w:hAnsi="Arial"/>
                <w:sz w:val="18"/>
                <w:szCs w:val="18"/>
                <w:color w:val="0000FF"/>
                <w:w w:val="96"/>
              </w:rPr>
            </w:pPr>
            <w:hyperlink r:id="rId159">
              <w:r>
                <w:rPr>
                  <w:rFonts w:ascii="Arial" w:cs="Arial" w:eastAsia="Arial" w:hAnsi="Arial"/>
                  <w:sz w:val="18"/>
                  <w:szCs w:val="18"/>
                  <w:color w:val="0000FF"/>
                  <w:w w:val="96"/>
                </w:rPr>
                <w:t>Form of Non-qualified Stock Option Agreement, pursuant to the 2009 Equity Incentive Plan (incorporated by reference to Exhibit 10.14</w:t>
              </w:r>
            </w:hyperlink>
          </w:p>
        </w:tc>
      </w:tr>
      <w:tr>
        <w:trPr>
          <w:trHeight w:val="156"/>
        </w:trPr>
        <w:tc>
          <w:tcPr>
            <w:tcW w:w="1220" w:type="dxa"/>
            <w:vAlign w:val="bottom"/>
          </w:tcPr>
          <w:p>
            <w:pPr>
              <w:spacing w:after="0"/>
              <w:rPr>
                <w:sz w:val="13"/>
                <w:szCs w:val="13"/>
                <w:color w:val="auto"/>
              </w:rPr>
            </w:pPr>
          </w:p>
        </w:tc>
        <w:tc>
          <w:tcPr>
            <w:tcW w:w="1018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59">
              <w:r>
                <w:rPr>
                  <w:rFonts w:ascii="Arial" w:cs="Arial" w:eastAsia="Arial" w:hAnsi="Arial"/>
                  <w:sz w:val="18"/>
                  <w:szCs w:val="18"/>
                  <w:color w:val="0000FF"/>
                </w:rPr>
                <w:t>of the Company’s 10-K as filed with the Commission on February 18, 2011)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4240" w:type="dxa"/>
            <w:vAlign w:val="bottom"/>
            <w:gridSpan w:val="3"/>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220" w:type="dxa"/>
            <w:vAlign w:val="bottom"/>
          </w:tcPr>
          <w:p>
            <w:pPr>
              <w:ind w:left="20"/>
              <w:spacing w:after="0"/>
              <w:rPr>
                <w:rFonts w:ascii="Arial" w:cs="Arial" w:eastAsia="Arial" w:hAnsi="Arial"/>
                <w:sz w:val="18"/>
                <w:szCs w:val="18"/>
                <w:u w:val="single" w:color="auto"/>
                <w:color w:val="0000FF"/>
              </w:rPr>
            </w:pPr>
            <w:hyperlink r:id="rId160">
              <w:r>
                <w:rPr>
                  <w:rFonts w:ascii="Arial" w:cs="Arial" w:eastAsia="Arial" w:hAnsi="Arial"/>
                  <w:sz w:val="18"/>
                  <w:szCs w:val="18"/>
                  <w:u w:val="single" w:color="auto"/>
                  <w:color w:val="0000FF"/>
                </w:rPr>
                <w:t>10.14</w:t>
              </w:r>
            </w:hyperlink>
          </w:p>
        </w:tc>
        <w:tc>
          <w:tcPr>
            <w:tcW w:w="10360" w:type="dxa"/>
            <w:vAlign w:val="bottom"/>
            <w:gridSpan w:val="34"/>
          </w:tcPr>
          <w:p>
            <w:pPr>
              <w:spacing w:after="0"/>
              <w:rPr>
                <w:rFonts w:ascii="Arial" w:cs="Arial" w:eastAsia="Arial" w:hAnsi="Arial"/>
                <w:sz w:val="18"/>
                <w:szCs w:val="18"/>
                <w:color w:val="0000FF"/>
                <w:w w:val="95"/>
              </w:rPr>
            </w:pPr>
            <w:hyperlink r:id="rId160">
              <w:r>
                <w:rPr>
                  <w:rFonts w:ascii="Arial" w:cs="Arial" w:eastAsia="Arial" w:hAnsi="Arial"/>
                  <w:sz w:val="18"/>
                  <w:szCs w:val="18"/>
                  <w:color w:val="0000FF"/>
                  <w:w w:val="95"/>
                </w:rPr>
                <w:t>First Amendment to the Transition Services Agreement, dated as of August 10, 2011, by and between Ocwen Financial Corporation and</w:t>
              </w:r>
            </w:hyperlink>
          </w:p>
        </w:tc>
      </w:tr>
      <w:tr>
        <w:trPr>
          <w:trHeight w:val="155"/>
        </w:trPr>
        <w:tc>
          <w:tcPr>
            <w:tcW w:w="1220" w:type="dxa"/>
            <w:vAlign w:val="bottom"/>
          </w:tcPr>
          <w:p>
            <w:pPr>
              <w:spacing w:after="0"/>
              <w:rPr>
                <w:sz w:val="13"/>
                <w:szCs w:val="13"/>
                <w:color w:val="auto"/>
              </w:rPr>
            </w:pPr>
          </w:p>
        </w:tc>
        <w:tc>
          <w:tcPr>
            <w:tcW w:w="10200" w:type="dxa"/>
            <w:vAlign w:val="bottom"/>
            <w:tcBorders>
              <w:top w:val="single" w:sz="8" w:color="0000FF"/>
            </w:tcBorders>
            <w:gridSpan w:val="26"/>
          </w:tcPr>
          <w:p>
            <w:pPr>
              <w:spacing w:after="0" w:line="156" w:lineRule="exact"/>
              <w:rPr>
                <w:rFonts w:ascii="Arial" w:cs="Arial" w:eastAsia="Arial" w:hAnsi="Arial"/>
                <w:sz w:val="18"/>
                <w:szCs w:val="18"/>
                <w:color w:val="0000FF"/>
                <w:w w:val="98"/>
              </w:rPr>
            </w:pPr>
            <w:hyperlink r:id="rId160">
              <w:r>
                <w:rPr>
                  <w:rFonts w:ascii="Arial" w:cs="Arial" w:eastAsia="Arial" w:hAnsi="Arial"/>
                  <w:sz w:val="18"/>
                  <w:szCs w:val="18"/>
                  <w:color w:val="0000FF"/>
                  <w:w w:val="98"/>
                </w:rPr>
                <w:t>Altisource Solutions S.à r.l. (incorporated by reference to Exhibit 10.1 of the Company’s Form 8-K as filed with the Commission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220" w:type="dxa"/>
            <w:vAlign w:val="bottom"/>
          </w:tcPr>
          <w:p>
            <w:pPr>
              <w:spacing w:after="0"/>
              <w:rPr>
                <w:sz w:val="13"/>
                <w:szCs w:val="13"/>
                <w:color w:val="auto"/>
              </w:rPr>
            </w:pPr>
          </w:p>
        </w:tc>
        <w:tc>
          <w:tcPr>
            <w:tcW w:w="126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0"/>
              </w:rPr>
            </w:pPr>
            <w:hyperlink r:id="rId160">
              <w:r>
                <w:rPr>
                  <w:rFonts w:ascii="Arial" w:cs="Arial" w:eastAsia="Arial" w:hAnsi="Arial"/>
                  <w:sz w:val="18"/>
                  <w:szCs w:val="18"/>
                  <w:color w:val="0000FF"/>
                  <w:w w:val="90"/>
                </w:rPr>
                <w:t>August 16, 2011)</w:t>
              </w:r>
            </w:hyperlink>
          </w:p>
        </w:tc>
        <w:tc>
          <w:tcPr>
            <w:tcW w:w="8840" w:type="dxa"/>
            <w:vAlign w:val="bottom"/>
            <w:tcBorders>
              <w:top w:val="single" w:sz="8" w:color="0000FF"/>
            </w:tcBorders>
            <w:gridSpan w:val="1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1220" w:type="dxa"/>
            <w:vAlign w:val="bottom"/>
          </w:tcPr>
          <w:p>
            <w:pPr>
              <w:ind w:left="20"/>
              <w:spacing w:after="0"/>
              <w:rPr>
                <w:rFonts w:ascii="Arial" w:cs="Arial" w:eastAsia="Arial" w:hAnsi="Arial"/>
                <w:sz w:val="18"/>
                <w:szCs w:val="18"/>
                <w:color w:val="0000FF"/>
              </w:rPr>
            </w:pPr>
            <w:hyperlink r:id="rId161">
              <w:r>
                <w:rPr>
                  <w:rFonts w:ascii="Arial" w:cs="Arial" w:eastAsia="Arial" w:hAnsi="Arial"/>
                  <w:sz w:val="18"/>
                  <w:szCs w:val="18"/>
                  <w:u w:val="single" w:color="auto"/>
                  <w:color w:val="0000FF"/>
                </w:rPr>
                <w:t>10.15</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360" w:type="dxa"/>
            <w:vAlign w:val="bottom"/>
            <w:gridSpan w:val="34"/>
          </w:tcPr>
          <w:p>
            <w:pPr>
              <w:spacing w:after="0"/>
              <w:rPr>
                <w:rFonts w:ascii="Arial" w:cs="Arial" w:eastAsia="Arial" w:hAnsi="Arial"/>
                <w:sz w:val="18"/>
                <w:szCs w:val="18"/>
                <w:color w:val="0000FF"/>
                <w:w w:val="94"/>
              </w:rPr>
            </w:pPr>
            <w:hyperlink r:id="rId161">
              <w:r>
                <w:rPr>
                  <w:rFonts w:ascii="Arial" w:cs="Arial" w:eastAsia="Arial" w:hAnsi="Arial"/>
                  <w:sz w:val="18"/>
                  <w:szCs w:val="18"/>
                  <w:color w:val="0000FF"/>
                  <w:w w:val="94"/>
                </w:rPr>
                <w:t>Employment Agreement dated March 13, 2012 between Altisource Solutions S.à r.l. and Michelle D. Esterman (incorporated by reference</w:t>
              </w:r>
            </w:hyperlink>
          </w:p>
        </w:tc>
      </w:tr>
      <w:tr>
        <w:trPr>
          <w:trHeight w:val="156"/>
        </w:trPr>
        <w:tc>
          <w:tcPr>
            <w:tcW w:w="1220" w:type="dxa"/>
            <w:vAlign w:val="bottom"/>
          </w:tcPr>
          <w:p>
            <w:pPr>
              <w:spacing w:after="0"/>
              <w:rPr>
                <w:sz w:val="13"/>
                <w:szCs w:val="13"/>
                <w:color w:val="auto"/>
              </w:rPr>
            </w:pPr>
          </w:p>
        </w:tc>
        <w:tc>
          <w:tcPr>
            <w:tcW w:w="680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2"/>
              </w:rPr>
            </w:pPr>
            <w:hyperlink r:id="rId161">
              <w:r>
                <w:rPr>
                  <w:rFonts w:ascii="Arial" w:cs="Arial" w:eastAsia="Arial" w:hAnsi="Arial"/>
                  <w:sz w:val="18"/>
                  <w:szCs w:val="18"/>
                  <w:color w:val="0000FF"/>
                  <w:w w:val="92"/>
                </w:rPr>
                <w:t>to Exhibit 10.1 of the Company’s Form 8-K as filed with the Commission on March 16, 2012)</w:t>
              </w:r>
            </w:hyperlink>
          </w:p>
        </w:tc>
        <w:tc>
          <w:tcPr>
            <w:tcW w:w="3500" w:type="dxa"/>
            <w:vAlign w:val="bottom"/>
            <w:tcBorders>
              <w:top w:val="single" w:sz="8" w:color="0000FF"/>
            </w:tcBorders>
            <w:gridSpan w:val="2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220" w:type="dxa"/>
            <w:vAlign w:val="bottom"/>
          </w:tcPr>
          <w:p>
            <w:pPr>
              <w:ind w:left="20"/>
              <w:spacing w:after="0"/>
              <w:rPr>
                <w:rFonts w:ascii="Arial" w:cs="Arial" w:eastAsia="Arial" w:hAnsi="Arial"/>
                <w:sz w:val="18"/>
                <w:szCs w:val="18"/>
                <w:u w:val="single" w:color="auto"/>
                <w:color w:val="0000FF"/>
              </w:rPr>
            </w:pPr>
            <w:hyperlink r:id="rId162">
              <w:r>
                <w:rPr>
                  <w:rFonts w:ascii="Arial" w:cs="Arial" w:eastAsia="Arial" w:hAnsi="Arial"/>
                  <w:sz w:val="18"/>
                  <w:szCs w:val="18"/>
                  <w:u w:val="single" w:color="auto"/>
                  <w:color w:val="0000FF"/>
                </w:rPr>
                <w:t>10.16</w:t>
              </w:r>
            </w:hyperlink>
          </w:p>
        </w:tc>
        <w:tc>
          <w:tcPr>
            <w:tcW w:w="10360" w:type="dxa"/>
            <w:vAlign w:val="bottom"/>
            <w:gridSpan w:val="34"/>
          </w:tcPr>
          <w:p>
            <w:pPr>
              <w:spacing w:after="0"/>
              <w:rPr>
                <w:rFonts w:ascii="Arial" w:cs="Arial" w:eastAsia="Arial" w:hAnsi="Arial"/>
                <w:sz w:val="18"/>
                <w:szCs w:val="18"/>
                <w:color w:val="0000FF"/>
                <w:w w:val="94"/>
              </w:rPr>
            </w:pPr>
            <w:hyperlink r:id="rId162">
              <w:r>
                <w:rPr>
                  <w:rFonts w:ascii="Arial" w:cs="Arial" w:eastAsia="Arial" w:hAnsi="Arial"/>
                  <w:sz w:val="18"/>
                  <w:szCs w:val="18"/>
                  <w:color w:val="0000FF"/>
                  <w:w w:val="94"/>
                </w:rPr>
                <w:t>Support Services Agreement, dated as of August 10, 2012, by and between Ocwen Mortgage Servicing, Inc. and Altisource Solutions S.à</w:t>
              </w:r>
            </w:hyperlink>
          </w:p>
        </w:tc>
      </w:tr>
      <w:tr>
        <w:trPr>
          <w:trHeight w:val="156"/>
        </w:trPr>
        <w:tc>
          <w:tcPr>
            <w:tcW w:w="1220" w:type="dxa"/>
            <w:vAlign w:val="bottom"/>
          </w:tcPr>
          <w:p>
            <w:pPr>
              <w:spacing w:after="0"/>
              <w:rPr>
                <w:sz w:val="13"/>
                <w:szCs w:val="13"/>
                <w:color w:val="auto"/>
              </w:rPr>
            </w:pPr>
          </w:p>
        </w:tc>
        <w:tc>
          <w:tcPr>
            <w:tcW w:w="726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2"/>
              </w:rPr>
            </w:pPr>
            <w:hyperlink r:id="rId162">
              <w:r>
                <w:rPr>
                  <w:rFonts w:ascii="Arial" w:cs="Arial" w:eastAsia="Arial" w:hAnsi="Arial"/>
                  <w:sz w:val="18"/>
                  <w:szCs w:val="18"/>
                  <w:color w:val="0000FF"/>
                  <w:w w:val="92"/>
                </w:rPr>
                <w:t>r.l. (incorporated by reference to Exhibit 10.1 of the Company’s Form 8-K filed on August 16, 2012)</w:t>
              </w:r>
            </w:hyperlink>
          </w:p>
        </w:tc>
        <w:tc>
          <w:tcPr>
            <w:tcW w:w="2740" w:type="dxa"/>
            <w:vAlign w:val="bottom"/>
            <w:tcBorders>
              <w:top w:val="single" w:sz="8" w:color="0000FF"/>
            </w:tcBorders>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1220" w:type="dxa"/>
            <w:vAlign w:val="bottom"/>
          </w:tcPr>
          <w:p>
            <w:pPr>
              <w:ind w:left="20"/>
              <w:spacing w:after="0"/>
              <w:rPr>
                <w:rFonts w:ascii="Arial" w:cs="Arial" w:eastAsia="Arial" w:hAnsi="Arial"/>
                <w:sz w:val="18"/>
                <w:szCs w:val="18"/>
                <w:color w:val="0000FF"/>
              </w:rPr>
            </w:pPr>
            <w:hyperlink r:id="rId163">
              <w:r>
                <w:rPr>
                  <w:rFonts w:ascii="Arial" w:cs="Arial" w:eastAsia="Arial" w:hAnsi="Arial"/>
                  <w:sz w:val="18"/>
                  <w:szCs w:val="18"/>
                  <w:u w:val="single" w:color="auto"/>
                  <w:color w:val="0000FF"/>
                </w:rPr>
                <w:t>10.17</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360" w:type="dxa"/>
            <w:vAlign w:val="bottom"/>
            <w:gridSpan w:val="34"/>
          </w:tcPr>
          <w:p>
            <w:pPr>
              <w:spacing w:after="0"/>
              <w:rPr>
                <w:rFonts w:ascii="Arial" w:cs="Arial" w:eastAsia="Arial" w:hAnsi="Arial"/>
                <w:sz w:val="18"/>
                <w:szCs w:val="18"/>
                <w:color w:val="0000FF"/>
                <w:w w:val="96"/>
              </w:rPr>
            </w:pPr>
            <w:hyperlink r:id="rId163">
              <w:r>
                <w:rPr>
                  <w:rFonts w:ascii="Arial" w:cs="Arial" w:eastAsia="Arial" w:hAnsi="Arial"/>
                  <w:sz w:val="18"/>
                  <w:szCs w:val="18"/>
                  <w:color w:val="0000FF"/>
                  <w:w w:val="96"/>
                </w:rPr>
                <w:t>First Amendment to the Employment Contract dated as of August 15, 2012 between Altisource Solutions S.à r.l. and William B. Shepro</w:t>
              </w:r>
            </w:hyperlink>
          </w:p>
        </w:tc>
      </w:tr>
      <w:tr>
        <w:trPr>
          <w:trHeight w:val="155"/>
        </w:trPr>
        <w:tc>
          <w:tcPr>
            <w:tcW w:w="1220" w:type="dxa"/>
            <w:vAlign w:val="bottom"/>
          </w:tcPr>
          <w:p>
            <w:pPr>
              <w:spacing w:after="0"/>
              <w:rPr>
                <w:sz w:val="13"/>
                <w:szCs w:val="13"/>
                <w:color w:val="auto"/>
              </w:rPr>
            </w:pPr>
          </w:p>
        </w:tc>
        <w:tc>
          <w:tcPr>
            <w:tcW w:w="702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2"/>
              </w:rPr>
            </w:pPr>
            <w:hyperlink r:id="rId163">
              <w:r>
                <w:rPr>
                  <w:rFonts w:ascii="Arial" w:cs="Arial" w:eastAsia="Arial" w:hAnsi="Arial"/>
                  <w:sz w:val="18"/>
                  <w:szCs w:val="18"/>
                  <w:color w:val="0000FF"/>
                  <w:w w:val="92"/>
                </w:rPr>
                <w:t>(incorporated by reference to Exhibit 10.1 of the Company’s Form 8-K filed on August 20, 2012)</w:t>
              </w:r>
            </w:hyperlink>
          </w:p>
        </w:tc>
        <w:tc>
          <w:tcPr>
            <w:tcW w:w="302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220" w:type="dxa"/>
            <w:vAlign w:val="bottom"/>
          </w:tcPr>
          <w:p>
            <w:pPr>
              <w:ind w:left="20"/>
              <w:spacing w:after="0"/>
              <w:rPr>
                <w:rFonts w:ascii="Arial" w:cs="Arial" w:eastAsia="Arial" w:hAnsi="Arial"/>
                <w:sz w:val="18"/>
                <w:szCs w:val="18"/>
                <w:color w:val="0000FF"/>
              </w:rPr>
            </w:pPr>
            <w:hyperlink r:id="rId164">
              <w:r>
                <w:rPr>
                  <w:rFonts w:ascii="Arial" w:cs="Arial" w:eastAsia="Arial" w:hAnsi="Arial"/>
                  <w:sz w:val="18"/>
                  <w:szCs w:val="18"/>
                  <w:u w:val="single" w:color="auto"/>
                  <w:color w:val="0000FF"/>
                </w:rPr>
                <w:t>10.18</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360" w:type="dxa"/>
            <w:vAlign w:val="bottom"/>
            <w:gridSpan w:val="34"/>
          </w:tcPr>
          <w:p>
            <w:pPr>
              <w:spacing w:after="0"/>
              <w:rPr>
                <w:rFonts w:ascii="Arial" w:cs="Arial" w:eastAsia="Arial" w:hAnsi="Arial"/>
                <w:sz w:val="18"/>
                <w:szCs w:val="18"/>
                <w:color w:val="0000FF"/>
                <w:w w:val="98"/>
              </w:rPr>
            </w:pPr>
            <w:hyperlink r:id="rId164">
              <w:r>
                <w:rPr>
                  <w:rFonts w:ascii="Arial" w:cs="Arial" w:eastAsia="Arial" w:hAnsi="Arial"/>
                  <w:sz w:val="18"/>
                  <w:szCs w:val="18"/>
                  <w:color w:val="0000FF"/>
                  <w:w w:val="98"/>
                </w:rPr>
                <w:t>First Amendment to the Employment Contract dated as of August 15, 2012 between Altisource Solutions S.à r.l. and Kevin J. Wilcox</w:t>
              </w:r>
            </w:hyperlink>
          </w:p>
        </w:tc>
      </w:tr>
      <w:tr>
        <w:trPr>
          <w:trHeight w:val="155"/>
        </w:trPr>
        <w:tc>
          <w:tcPr>
            <w:tcW w:w="1220" w:type="dxa"/>
            <w:vAlign w:val="bottom"/>
          </w:tcPr>
          <w:p>
            <w:pPr>
              <w:spacing w:after="0"/>
              <w:rPr>
                <w:sz w:val="13"/>
                <w:szCs w:val="13"/>
                <w:color w:val="auto"/>
              </w:rPr>
            </w:pPr>
          </w:p>
        </w:tc>
        <w:tc>
          <w:tcPr>
            <w:tcW w:w="702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2"/>
              </w:rPr>
            </w:pPr>
            <w:hyperlink r:id="rId164">
              <w:r>
                <w:rPr>
                  <w:rFonts w:ascii="Arial" w:cs="Arial" w:eastAsia="Arial" w:hAnsi="Arial"/>
                  <w:sz w:val="18"/>
                  <w:szCs w:val="18"/>
                  <w:color w:val="0000FF"/>
                  <w:w w:val="92"/>
                </w:rPr>
                <w:t>(incorporated by reference to Exhibit 10.2 of the Company’s Form 8-K filed on August 20, 2012)</w:t>
              </w:r>
            </w:hyperlink>
          </w:p>
        </w:tc>
        <w:tc>
          <w:tcPr>
            <w:tcW w:w="332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220" w:type="dxa"/>
            <w:vAlign w:val="bottom"/>
          </w:tcPr>
          <w:p>
            <w:pPr>
              <w:ind w:left="20"/>
              <w:spacing w:after="0"/>
              <w:rPr>
                <w:rFonts w:ascii="Arial" w:cs="Arial" w:eastAsia="Arial" w:hAnsi="Arial"/>
                <w:sz w:val="18"/>
                <w:szCs w:val="18"/>
                <w:u w:val="single" w:color="auto"/>
                <w:color w:val="0000FF"/>
              </w:rPr>
            </w:pPr>
            <w:hyperlink r:id="rId165">
              <w:r>
                <w:rPr>
                  <w:rFonts w:ascii="Arial" w:cs="Arial" w:eastAsia="Arial" w:hAnsi="Arial"/>
                  <w:sz w:val="18"/>
                  <w:szCs w:val="18"/>
                  <w:u w:val="single" w:color="auto"/>
                  <w:color w:val="0000FF"/>
                </w:rPr>
                <w:t>10.19</w:t>
              </w:r>
            </w:hyperlink>
          </w:p>
        </w:tc>
        <w:tc>
          <w:tcPr>
            <w:tcW w:w="10360" w:type="dxa"/>
            <w:vAlign w:val="bottom"/>
            <w:gridSpan w:val="34"/>
          </w:tcPr>
          <w:p>
            <w:pPr>
              <w:spacing w:after="0"/>
              <w:rPr>
                <w:rFonts w:ascii="Arial" w:cs="Arial" w:eastAsia="Arial" w:hAnsi="Arial"/>
                <w:sz w:val="18"/>
                <w:szCs w:val="18"/>
                <w:color w:val="0000FF"/>
                <w:w w:val="98"/>
              </w:rPr>
            </w:pPr>
            <w:hyperlink r:id="rId165">
              <w:r>
                <w:rPr>
                  <w:rFonts w:ascii="Arial" w:cs="Arial" w:eastAsia="Arial" w:hAnsi="Arial"/>
                  <w:sz w:val="18"/>
                  <w:szCs w:val="18"/>
                  <w:color w:val="0000FF"/>
                  <w:w w:val="98"/>
                </w:rPr>
                <w:t>Services Agreement, dated as of October 1, 2012, by and between Ocwen Mortgage Servicing, Inc. and Altisource Solutions S.à r.l.</w:t>
              </w:r>
            </w:hyperlink>
          </w:p>
        </w:tc>
      </w:tr>
      <w:tr>
        <w:trPr>
          <w:trHeight w:val="156"/>
        </w:trPr>
        <w:tc>
          <w:tcPr>
            <w:tcW w:w="1220" w:type="dxa"/>
            <w:vAlign w:val="bottom"/>
          </w:tcPr>
          <w:p>
            <w:pPr>
              <w:spacing w:after="0"/>
              <w:rPr>
                <w:sz w:val="13"/>
                <w:szCs w:val="13"/>
                <w:color w:val="auto"/>
              </w:rPr>
            </w:pPr>
          </w:p>
        </w:tc>
        <w:tc>
          <w:tcPr>
            <w:tcW w:w="1028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165">
              <w:r>
                <w:rPr>
                  <w:rFonts w:ascii="Arial" w:cs="Arial" w:eastAsia="Arial" w:hAnsi="Arial"/>
                  <w:sz w:val="18"/>
                  <w:szCs w:val="18"/>
                  <w:color w:val="0000FF"/>
                </w:rPr>
                <w:t>(incorporated by reference to Exhibit 10.1 of the Company’s Form 8-K filed on October 5, 2012)</w:t>
              </w:r>
            </w:hyperlink>
          </w:p>
        </w:tc>
        <w:tc>
          <w:tcPr>
            <w:tcW w:w="80" w:type="dxa"/>
            <w:vAlign w:val="bottom"/>
            <w:gridSpan w:val="4"/>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560" w:type="dxa"/>
            <w:vAlign w:val="bottom"/>
            <w:gridSpan w:val="9"/>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63"/>
        </w:trPr>
        <w:tc>
          <w:tcPr>
            <w:tcW w:w="1220" w:type="dxa"/>
            <w:vAlign w:val="bottom"/>
          </w:tcPr>
          <w:p>
            <w:pPr>
              <w:ind w:left="20"/>
              <w:spacing w:after="0"/>
              <w:rPr>
                <w:rFonts w:ascii="Arial" w:cs="Arial" w:eastAsia="Arial" w:hAnsi="Arial"/>
                <w:sz w:val="18"/>
                <w:szCs w:val="18"/>
                <w:u w:val="single" w:color="auto"/>
                <w:color w:val="0000FF"/>
              </w:rPr>
            </w:pPr>
            <w:hyperlink r:id="rId166">
              <w:r>
                <w:rPr>
                  <w:rFonts w:ascii="Arial" w:cs="Arial" w:eastAsia="Arial" w:hAnsi="Arial"/>
                  <w:sz w:val="18"/>
                  <w:szCs w:val="18"/>
                  <w:u w:val="single" w:color="auto"/>
                  <w:color w:val="0000FF"/>
                </w:rPr>
                <w:t>10.20</w:t>
              </w:r>
            </w:hyperlink>
          </w:p>
        </w:tc>
        <w:tc>
          <w:tcPr>
            <w:tcW w:w="10360" w:type="dxa"/>
            <w:vAlign w:val="bottom"/>
            <w:gridSpan w:val="34"/>
          </w:tcPr>
          <w:p>
            <w:pPr>
              <w:spacing w:after="0"/>
              <w:rPr>
                <w:rFonts w:ascii="Arial" w:cs="Arial" w:eastAsia="Arial" w:hAnsi="Arial"/>
                <w:sz w:val="18"/>
                <w:szCs w:val="18"/>
                <w:color w:val="0000FF"/>
                <w:w w:val="95"/>
              </w:rPr>
            </w:pPr>
            <w:hyperlink r:id="rId166">
              <w:r>
                <w:rPr>
                  <w:rFonts w:ascii="Arial" w:cs="Arial" w:eastAsia="Arial" w:hAnsi="Arial"/>
                  <w:sz w:val="18"/>
                  <w:szCs w:val="18"/>
                  <w:color w:val="0000FF"/>
                  <w:w w:val="95"/>
                </w:rPr>
                <w:t>Technology Products Services Agreement, dated as of October 1, 2012, by and between Ocwen Mortgage Servicing, Inc. and Altisource</w:t>
              </w:r>
            </w:hyperlink>
          </w:p>
        </w:tc>
      </w:tr>
      <w:tr>
        <w:trPr>
          <w:trHeight w:val="224"/>
        </w:trPr>
        <w:tc>
          <w:tcPr>
            <w:tcW w:w="1220" w:type="dxa"/>
            <w:vAlign w:val="bottom"/>
          </w:tcPr>
          <w:p>
            <w:pPr>
              <w:spacing w:after="0"/>
              <w:rPr>
                <w:sz w:val="19"/>
                <w:szCs w:val="19"/>
                <w:color w:val="auto"/>
              </w:rPr>
            </w:pPr>
          </w:p>
        </w:tc>
        <w:tc>
          <w:tcPr>
            <w:tcW w:w="10240" w:type="dxa"/>
            <w:vAlign w:val="bottom"/>
            <w:tcBorders>
              <w:top w:val="single" w:sz="8" w:color="0000FF"/>
            </w:tcBorders>
            <w:gridSpan w:val="28"/>
          </w:tcPr>
          <w:p>
            <w:pPr>
              <w:spacing w:after="0"/>
              <w:rPr>
                <w:rFonts w:ascii="Arial" w:cs="Arial" w:eastAsia="Arial" w:hAnsi="Arial"/>
                <w:sz w:val="18"/>
                <w:szCs w:val="18"/>
                <w:u w:val="single" w:color="auto"/>
                <w:color w:val="0000FF"/>
              </w:rPr>
            </w:pPr>
            <w:hyperlink r:id="rId166">
              <w:r>
                <w:rPr>
                  <w:rFonts w:ascii="Arial" w:cs="Arial" w:eastAsia="Arial" w:hAnsi="Arial"/>
                  <w:sz w:val="18"/>
                  <w:szCs w:val="18"/>
                  <w:u w:val="single" w:color="auto"/>
                  <w:color w:val="0000FF"/>
                </w:rPr>
                <w:t>Solutions S.à r.l. (incorporated by reference to Exhibit 10.2 of the Company’s Form 8-K filed on October 5, 2012)</w:t>
              </w:r>
            </w:hyperlink>
          </w:p>
        </w:tc>
        <w:tc>
          <w:tcPr>
            <w:tcW w:w="120" w:type="dxa"/>
            <w:vAlign w:val="bottom"/>
            <w:gridSpan w:val="6"/>
          </w:tcPr>
          <w:p>
            <w:pPr>
              <w:spacing w:after="0"/>
              <w:rPr>
                <w:sz w:val="19"/>
                <w:szCs w:val="19"/>
                <w:color w:val="auto"/>
              </w:rPr>
            </w:pPr>
          </w:p>
        </w:tc>
      </w:tr>
      <w:tr>
        <w:trPr>
          <w:trHeight w:val="215"/>
        </w:trPr>
        <w:tc>
          <w:tcPr>
            <w:tcW w:w="1220" w:type="dxa"/>
            <w:vAlign w:val="bottom"/>
          </w:tcPr>
          <w:p>
            <w:pPr>
              <w:ind w:left="20"/>
              <w:spacing w:after="0"/>
              <w:rPr>
                <w:rFonts w:ascii="Arial" w:cs="Arial" w:eastAsia="Arial" w:hAnsi="Arial"/>
                <w:sz w:val="18"/>
                <w:szCs w:val="18"/>
                <w:u w:val="single" w:color="auto"/>
                <w:color w:val="0000FF"/>
              </w:rPr>
            </w:pPr>
            <w:hyperlink r:id="rId167">
              <w:r>
                <w:rPr>
                  <w:rFonts w:ascii="Arial" w:cs="Arial" w:eastAsia="Arial" w:hAnsi="Arial"/>
                  <w:sz w:val="18"/>
                  <w:szCs w:val="18"/>
                  <w:u w:val="single" w:color="auto"/>
                  <w:color w:val="0000FF"/>
                </w:rPr>
                <w:t>10.21</w:t>
              </w:r>
            </w:hyperlink>
          </w:p>
        </w:tc>
        <w:tc>
          <w:tcPr>
            <w:tcW w:w="10360" w:type="dxa"/>
            <w:vAlign w:val="bottom"/>
            <w:gridSpan w:val="34"/>
          </w:tcPr>
          <w:p>
            <w:pPr>
              <w:spacing w:after="0"/>
              <w:rPr>
                <w:rFonts w:ascii="Arial" w:cs="Arial" w:eastAsia="Arial" w:hAnsi="Arial"/>
                <w:sz w:val="18"/>
                <w:szCs w:val="18"/>
                <w:color w:val="0000FF"/>
                <w:w w:val="99"/>
              </w:rPr>
            </w:pPr>
            <w:hyperlink r:id="rId167">
              <w:r>
                <w:rPr>
                  <w:rFonts w:ascii="Arial" w:cs="Arial" w:eastAsia="Arial" w:hAnsi="Arial"/>
                  <w:sz w:val="18"/>
                  <w:szCs w:val="18"/>
                  <w:color w:val="0000FF"/>
                  <w:w w:val="99"/>
                </w:rPr>
                <w:t>Data Center and Disaster Recovery Agreement, dated as of October 1, 2012, by and between Ocwen Mortgage Servicing, Inc. and</w:t>
              </w:r>
            </w:hyperlink>
          </w:p>
        </w:tc>
      </w:tr>
      <w:tr>
        <w:trPr>
          <w:trHeight w:val="224"/>
        </w:trPr>
        <w:tc>
          <w:tcPr>
            <w:tcW w:w="1220" w:type="dxa"/>
            <w:vAlign w:val="bottom"/>
          </w:tcPr>
          <w:p>
            <w:pPr>
              <w:spacing w:after="0"/>
              <w:rPr>
                <w:sz w:val="19"/>
                <w:szCs w:val="19"/>
                <w:color w:val="auto"/>
              </w:rPr>
            </w:pPr>
          </w:p>
        </w:tc>
        <w:tc>
          <w:tcPr>
            <w:tcW w:w="10220" w:type="dxa"/>
            <w:vAlign w:val="bottom"/>
            <w:tcBorders>
              <w:top w:val="single" w:sz="8" w:color="0000FF"/>
            </w:tcBorders>
            <w:gridSpan w:val="27"/>
          </w:tcPr>
          <w:p>
            <w:pPr>
              <w:spacing w:after="0"/>
              <w:rPr>
                <w:rFonts w:ascii="Arial" w:cs="Arial" w:eastAsia="Arial" w:hAnsi="Arial"/>
                <w:sz w:val="18"/>
                <w:szCs w:val="18"/>
                <w:u w:val="single" w:color="auto"/>
                <w:color w:val="0000FF"/>
              </w:rPr>
            </w:pPr>
            <w:hyperlink r:id="rId167">
              <w:r>
                <w:rPr>
                  <w:rFonts w:ascii="Arial" w:cs="Arial" w:eastAsia="Arial" w:hAnsi="Arial"/>
                  <w:sz w:val="18"/>
                  <w:szCs w:val="18"/>
                  <w:u w:val="single" w:color="auto"/>
                  <w:color w:val="0000FF"/>
                </w:rPr>
                <w:t>Altisource Solutions S.à r.l. (incorporated by reference to Exhibit 10.3 of the Company’s Form 8-K filed on October 5, 2012)</w:t>
              </w:r>
            </w:hyperlink>
          </w:p>
        </w:tc>
        <w:tc>
          <w:tcPr>
            <w:tcW w:w="140" w:type="dxa"/>
            <w:vAlign w:val="bottom"/>
            <w:gridSpan w:val="7"/>
          </w:tcPr>
          <w:p>
            <w:pPr>
              <w:spacing w:after="0"/>
              <w:rPr>
                <w:sz w:val="19"/>
                <w:szCs w:val="19"/>
                <w:color w:val="auto"/>
              </w:rPr>
            </w:pPr>
          </w:p>
        </w:tc>
      </w:tr>
      <w:tr>
        <w:trPr>
          <w:trHeight w:val="215"/>
        </w:trPr>
        <w:tc>
          <w:tcPr>
            <w:tcW w:w="1220" w:type="dxa"/>
            <w:vAlign w:val="bottom"/>
          </w:tcPr>
          <w:p>
            <w:pPr>
              <w:ind w:left="20"/>
              <w:spacing w:after="0"/>
              <w:rPr>
                <w:rFonts w:ascii="Arial" w:cs="Arial" w:eastAsia="Arial" w:hAnsi="Arial"/>
                <w:sz w:val="18"/>
                <w:szCs w:val="18"/>
                <w:u w:val="single" w:color="auto"/>
                <w:color w:val="0000FF"/>
              </w:rPr>
            </w:pPr>
            <w:hyperlink r:id="rId168">
              <w:r>
                <w:rPr>
                  <w:rFonts w:ascii="Arial" w:cs="Arial" w:eastAsia="Arial" w:hAnsi="Arial"/>
                  <w:sz w:val="18"/>
                  <w:szCs w:val="18"/>
                  <w:u w:val="single" w:color="auto"/>
                  <w:color w:val="0000FF"/>
                </w:rPr>
                <w:t>10.22</w:t>
              </w:r>
            </w:hyperlink>
          </w:p>
        </w:tc>
        <w:tc>
          <w:tcPr>
            <w:tcW w:w="10360" w:type="dxa"/>
            <w:vAlign w:val="bottom"/>
            <w:gridSpan w:val="34"/>
          </w:tcPr>
          <w:p>
            <w:pPr>
              <w:spacing w:after="0"/>
              <w:rPr>
                <w:rFonts w:ascii="Arial" w:cs="Arial" w:eastAsia="Arial" w:hAnsi="Arial"/>
                <w:sz w:val="18"/>
                <w:szCs w:val="18"/>
                <w:color w:val="0000FF"/>
                <w:w w:val="95"/>
              </w:rPr>
            </w:pPr>
            <w:hyperlink r:id="rId168">
              <w:r>
                <w:rPr>
                  <w:rFonts w:ascii="Arial" w:cs="Arial" w:eastAsia="Arial" w:hAnsi="Arial"/>
                  <w:sz w:val="18"/>
                  <w:szCs w:val="18"/>
                  <w:color w:val="0000FF"/>
                  <w:w w:val="95"/>
                </w:rPr>
                <w:t>Intellectual Property Agreement, dated as of October 1, 2012, by and between Ocwen Mortgage Servicing, Inc. and Altisource Solutions</w:t>
              </w:r>
            </w:hyperlink>
          </w:p>
        </w:tc>
      </w:tr>
      <w:tr>
        <w:trPr>
          <w:trHeight w:val="155"/>
        </w:trPr>
        <w:tc>
          <w:tcPr>
            <w:tcW w:w="1220" w:type="dxa"/>
            <w:vAlign w:val="bottom"/>
          </w:tcPr>
          <w:p>
            <w:pPr>
              <w:spacing w:after="0"/>
              <w:rPr>
                <w:sz w:val="13"/>
                <w:szCs w:val="13"/>
                <w:color w:val="auto"/>
              </w:rPr>
            </w:pPr>
          </w:p>
        </w:tc>
        <w:tc>
          <w:tcPr>
            <w:tcW w:w="750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1"/>
              </w:rPr>
            </w:pPr>
            <w:hyperlink r:id="rId168">
              <w:r>
                <w:rPr>
                  <w:rFonts w:ascii="Arial" w:cs="Arial" w:eastAsia="Arial" w:hAnsi="Arial"/>
                  <w:sz w:val="18"/>
                  <w:szCs w:val="18"/>
                  <w:color w:val="0000FF"/>
                  <w:w w:val="91"/>
                </w:rPr>
                <w:t>S.à r.l. (incorporated by reference to Exhibit 10.4 of the Company’s Form 8-K filed on October 5, 2012)</w:t>
              </w:r>
            </w:hyperlink>
          </w:p>
        </w:tc>
        <w:tc>
          <w:tcPr>
            <w:tcW w:w="2560" w:type="dxa"/>
            <w:vAlign w:val="bottom"/>
            <w:tcBorders>
              <w:top w:val="single" w:sz="8" w:color="0000FF"/>
            </w:tcBorders>
            <w:gridSpan w:val="6"/>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10"/>
          </w:tcPr>
          <w:p>
            <w:pPr>
              <w:spacing w:after="0"/>
              <w:rPr>
                <w:sz w:val="13"/>
                <w:szCs w:val="13"/>
                <w:color w:val="auto"/>
              </w:rPr>
            </w:pPr>
          </w:p>
        </w:tc>
      </w:tr>
      <w:tr>
        <w:trPr>
          <w:trHeight w:val="263"/>
        </w:trPr>
        <w:tc>
          <w:tcPr>
            <w:tcW w:w="1220" w:type="dxa"/>
            <w:vAlign w:val="bottom"/>
          </w:tcPr>
          <w:p>
            <w:pPr>
              <w:ind w:left="20"/>
              <w:spacing w:after="0"/>
              <w:rPr>
                <w:rFonts w:ascii="Arial" w:cs="Arial" w:eastAsia="Arial" w:hAnsi="Arial"/>
                <w:sz w:val="18"/>
                <w:szCs w:val="18"/>
                <w:u w:val="single" w:color="auto"/>
                <w:color w:val="0000FF"/>
              </w:rPr>
            </w:pPr>
            <w:hyperlink r:id="rId169">
              <w:r>
                <w:rPr>
                  <w:rFonts w:ascii="Arial" w:cs="Arial" w:eastAsia="Arial" w:hAnsi="Arial"/>
                  <w:sz w:val="18"/>
                  <w:szCs w:val="18"/>
                  <w:u w:val="single" w:color="auto"/>
                  <w:color w:val="0000FF"/>
                </w:rPr>
                <w:t>10.23</w:t>
              </w:r>
            </w:hyperlink>
          </w:p>
        </w:tc>
        <w:tc>
          <w:tcPr>
            <w:tcW w:w="10360" w:type="dxa"/>
            <w:vAlign w:val="bottom"/>
            <w:gridSpan w:val="34"/>
          </w:tcPr>
          <w:p>
            <w:pPr>
              <w:spacing w:after="0"/>
              <w:rPr>
                <w:rFonts w:ascii="Arial" w:cs="Arial" w:eastAsia="Arial" w:hAnsi="Arial"/>
                <w:sz w:val="18"/>
                <w:szCs w:val="18"/>
                <w:color w:val="0000FF"/>
                <w:w w:val="97"/>
              </w:rPr>
            </w:pPr>
            <w:hyperlink r:id="rId169">
              <w:r>
                <w:rPr>
                  <w:rFonts w:ascii="Arial" w:cs="Arial" w:eastAsia="Arial" w:hAnsi="Arial"/>
                  <w:sz w:val="18"/>
                  <w:szCs w:val="18"/>
                  <w:color w:val="0000FF"/>
                  <w:w w:val="97"/>
                </w:rPr>
                <w:t>First Amendment to Support Services Agreement, dated as of October 1, 2012, by and between Ocwen Mortgage Servicing, Inc. and</w:t>
              </w:r>
            </w:hyperlink>
          </w:p>
        </w:tc>
      </w:tr>
      <w:tr>
        <w:trPr>
          <w:trHeight w:val="224"/>
        </w:trPr>
        <w:tc>
          <w:tcPr>
            <w:tcW w:w="1220" w:type="dxa"/>
            <w:vAlign w:val="bottom"/>
          </w:tcPr>
          <w:p>
            <w:pPr>
              <w:spacing w:after="0"/>
              <w:rPr>
                <w:sz w:val="19"/>
                <w:szCs w:val="19"/>
                <w:color w:val="auto"/>
              </w:rPr>
            </w:pPr>
          </w:p>
        </w:tc>
        <w:tc>
          <w:tcPr>
            <w:tcW w:w="9960" w:type="dxa"/>
            <w:vAlign w:val="bottom"/>
            <w:tcBorders>
              <w:top w:val="single" w:sz="8" w:color="0000FF"/>
            </w:tcBorders>
            <w:gridSpan w:val="14"/>
          </w:tcPr>
          <w:p>
            <w:pPr>
              <w:spacing w:after="0"/>
              <w:rPr>
                <w:rFonts w:ascii="Arial" w:cs="Arial" w:eastAsia="Arial" w:hAnsi="Arial"/>
                <w:sz w:val="18"/>
                <w:szCs w:val="18"/>
                <w:u w:val="single" w:color="auto"/>
                <w:color w:val="0000FF"/>
              </w:rPr>
            </w:pPr>
            <w:hyperlink r:id="rId169">
              <w:r>
                <w:rPr>
                  <w:rFonts w:ascii="Arial" w:cs="Arial" w:eastAsia="Arial" w:hAnsi="Arial"/>
                  <w:sz w:val="18"/>
                  <w:szCs w:val="18"/>
                  <w:u w:val="single" w:color="auto"/>
                  <w:color w:val="0000FF"/>
                </w:rPr>
                <w:t>Altisource Solutions S.à r.l. (incorporated by reference to Exhibit 10.5 of the Company’s Form 8-K filed on October 5, 2012)</w:t>
              </w:r>
            </w:hyperlink>
          </w:p>
        </w:tc>
        <w:tc>
          <w:tcPr>
            <w:tcW w:w="180" w:type="dxa"/>
            <w:vAlign w:val="bottom"/>
            <w:gridSpan w:val="9"/>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gridSpan w:val="10"/>
          </w:tcPr>
          <w:p>
            <w:pPr>
              <w:spacing w:after="0"/>
              <w:rPr>
                <w:sz w:val="19"/>
                <w:szCs w:val="19"/>
                <w:color w:val="auto"/>
              </w:rPr>
            </w:pPr>
          </w:p>
        </w:tc>
      </w:tr>
      <w:tr>
        <w:trPr>
          <w:trHeight w:val="215"/>
        </w:trPr>
        <w:tc>
          <w:tcPr>
            <w:tcW w:w="1220" w:type="dxa"/>
            <w:vAlign w:val="bottom"/>
          </w:tcPr>
          <w:p>
            <w:pPr>
              <w:ind w:left="20"/>
              <w:spacing w:after="0"/>
              <w:rPr>
                <w:rFonts w:ascii="Arial" w:cs="Arial" w:eastAsia="Arial" w:hAnsi="Arial"/>
                <w:sz w:val="18"/>
                <w:szCs w:val="18"/>
                <w:u w:val="single" w:color="auto"/>
                <w:color w:val="0000FF"/>
              </w:rPr>
            </w:pPr>
            <w:hyperlink r:id="rId170">
              <w:r>
                <w:rPr>
                  <w:rFonts w:ascii="Arial" w:cs="Arial" w:eastAsia="Arial" w:hAnsi="Arial"/>
                  <w:sz w:val="18"/>
                  <w:szCs w:val="18"/>
                  <w:u w:val="single" w:color="auto"/>
                  <w:color w:val="0000FF"/>
                </w:rPr>
                <w:t>10.24</w:t>
              </w:r>
            </w:hyperlink>
          </w:p>
        </w:tc>
        <w:tc>
          <w:tcPr>
            <w:tcW w:w="10360" w:type="dxa"/>
            <w:vAlign w:val="bottom"/>
            <w:gridSpan w:val="34"/>
          </w:tcPr>
          <w:p>
            <w:pPr>
              <w:spacing w:after="0"/>
              <w:rPr>
                <w:rFonts w:ascii="Arial" w:cs="Arial" w:eastAsia="Arial" w:hAnsi="Arial"/>
                <w:sz w:val="18"/>
                <w:szCs w:val="18"/>
                <w:color w:val="0000FF"/>
                <w:w w:val="98"/>
              </w:rPr>
            </w:pPr>
            <w:hyperlink r:id="rId170">
              <w:r>
                <w:rPr>
                  <w:rFonts w:ascii="Arial" w:cs="Arial" w:eastAsia="Arial" w:hAnsi="Arial"/>
                  <w:sz w:val="18"/>
                  <w:szCs w:val="18"/>
                  <w:color w:val="0000FF"/>
                  <w:w w:val="98"/>
                </w:rPr>
                <w:t>First Amendment to Services Agreement, dated as of October 1, 2012, by and between Ocwen Financial Corporation and Altisource</w:t>
              </w:r>
            </w:hyperlink>
          </w:p>
        </w:tc>
      </w:tr>
      <w:tr>
        <w:trPr>
          <w:trHeight w:val="224"/>
        </w:trPr>
        <w:tc>
          <w:tcPr>
            <w:tcW w:w="1220" w:type="dxa"/>
            <w:vAlign w:val="bottom"/>
          </w:tcPr>
          <w:p>
            <w:pPr>
              <w:spacing w:after="0"/>
              <w:rPr>
                <w:sz w:val="19"/>
                <w:szCs w:val="19"/>
                <w:color w:val="auto"/>
              </w:rPr>
            </w:pPr>
          </w:p>
        </w:tc>
        <w:tc>
          <w:tcPr>
            <w:tcW w:w="10140" w:type="dxa"/>
            <w:vAlign w:val="bottom"/>
            <w:tcBorders>
              <w:top w:val="single" w:sz="8" w:color="0000FF"/>
            </w:tcBorders>
            <w:gridSpan w:val="23"/>
          </w:tcPr>
          <w:p>
            <w:pPr>
              <w:spacing w:after="0"/>
              <w:rPr>
                <w:rFonts w:ascii="Arial" w:cs="Arial" w:eastAsia="Arial" w:hAnsi="Arial"/>
                <w:sz w:val="18"/>
                <w:szCs w:val="18"/>
                <w:u w:val="single" w:color="auto"/>
                <w:color w:val="0000FF"/>
              </w:rPr>
            </w:pPr>
            <w:hyperlink r:id="rId170">
              <w:r>
                <w:rPr>
                  <w:rFonts w:ascii="Arial" w:cs="Arial" w:eastAsia="Arial" w:hAnsi="Arial"/>
                  <w:sz w:val="18"/>
                  <w:szCs w:val="18"/>
                  <w:u w:val="single" w:color="auto"/>
                  <w:color w:val="0000FF"/>
                </w:rPr>
                <w:t>Solutions S.à r.l. (incorporated by reference to Exhibit 10.6 of the Company’s Form 8-K filed on October 5, 2012)</w:t>
              </w:r>
            </w:hyperlink>
          </w:p>
        </w:tc>
        <w:tc>
          <w:tcPr>
            <w:tcW w:w="20" w:type="dxa"/>
            <w:vAlign w:val="bottom"/>
          </w:tcPr>
          <w:p>
            <w:pPr>
              <w:spacing w:after="0"/>
              <w:rPr>
                <w:sz w:val="19"/>
                <w:szCs w:val="19"/>
                <w:color w:val="auto"/>
              </w:rPr>
            </w:pPr>
          </w:p>
        </w:tc>
        <w:tc>
          <w:tcPr>
            <w:tcW w:w="200" w:type="dxa"/>
            <w:vAlign w:val="bottom"/>
            <w:gridSpan w:val="10"/>
          </w:tcPr>
          <w:p>
            <w:pPr>
              <w:spacing w:after="0"/>
              <w:rPr>
                <w:sz w:val="19"/>
                <w:szCs w:val="19"/>
                <w:color w:val="auto"/>
              </w:rPr>
            </w:pPr>
          </w:p>
        </w:tc>
      </w:tr>
      <w:tr>
        <w:trPr>
          <w:trHeight w:val="215"/>
        </w:trPr>
        <w:tc>
          <w:tcPr>
            <w:tcW w:w="1220" w:type="dxa"/>
            <w:vAlign w:val="bottom"/>
          </w:tcPr>
          <w:p>
            <w:pPr>
              <w:ind w:left="20"/>
              <w:spacing w:after="0"/>
              <w:rPr>
                <w:rFonts w:ascii="Arial" w:cs="Arial" w:eastAsia="Arial" w:hAnsi="Arial"/>
                <w:sz w:val="18"/>
                <w:szCs w:val="18"/>
                <w:u w:val="single" w:color="auto"/>
                <w:color w:val="0000FF"/>
              </w:rPr>
            </w:pPr>
            <w:hyperlink r:id="rId171">
              <w:r>
                <w:rPr>
                  <w:rFonts w:ascii="Arial" w:cs="Arial" w:eastAsia="Arial" w:hAnsi="Arial"/>
                  <w:sz w:val="18"/>
                  <w:szCs w:val="18"/>
                  <w:u w:val="single" w:color="auto"/>
                  <w:color w:val="0000FF"/>
                </w:rPr>
                <w:t>10.25</w:t>
              </w:r>
            </w:hyperlink>
          </w:p>
        </w:tc>
        <w:tc>
          <w:tcPr>
            <w:tcW w:w="10360" w:type="dxa"/>
            <w:vAlign w:val="bottom"/>
            <w:gridSpan w:val="34"/>
          </w:tcPr>
          <w:p>
            <w:pPr>
              <w:spacing w:after="0"/>
              <w:rPr>
                <w:rFonts w:ascii="Arial" w:cs="Arial" w:eastAsia="Arial" w:hAnsi="Arial"/>
                <w:sz w:val="18"/>
                <w:szCs w:val="18"/>
                <w:color w:val="0000FF"/>
                <w:w w:val="99"/>
              </w:rPr>
            </w:pPr>
            <w:hyperlink r:id="rId171">
              <w:r>
                <w:rPr>
                  <w:rFonts w:ascii="Arial" w:cs="Arial" w:eastAsia="Arial" w:hAnsi="Arial"/>
                  <w:sz w:val="18"/>
                  <w:szCs w:val="18"/>
                  <w:color w:val="0000FF"/>
                  <w:w w:val="99"/>
                </w:rPr>
                <w:t>First Amendment to Technology Products and Services Agreement, dated as of October 1, 2012, by and between Ocwen Financial</w:t>
              </w:r>
            </w:hyperlink>
          </w:p>
        </w:tc>
      </w:tr>
      <w:tr>
        <w:trPr>
          <w:trHeight w:val="156"/>
        </w:trPr>
        <w:tc>
          <w:tcPr>
            <w:tcW w:w="1220" w:type="dxa"/>
            <w:vAlign w:val="bottom"/>
          </w:tcPr>
          <w:p>
            <w:pPr>
              <w:spacing w:after="0"/>
              <w:rPr>
                <w:sz w:val="13"/>
                <w:szCs w:val="13"/>
                <w:color w:val="auto"/>
              </w:rPr>
            </w:pPr>
          </w:p>
        </w:tc>
        <w:tc>
          <w:tcPr>
            <w:tcW w:w="10320" w:type="dxa"/>
            <w:vAlign w:val="bottom"/>
            <w:tcBorders>
              <w:top w:val="single" w:sz="8" w:color="0000FF"/>
            </w:tcBorders>
            <w:gridSpan w:val="32"/>
          </w:tcPr>
          <w:p>
            <w:pPr>
              <w:spacing w:after="0" w:line="156" w:lineRule="exact"/>
              <w:rPr>
                <w:rFonts w:ascii="Arial" w:cs="Arial" w:eastAsia="Arial" w:hAnsi="Arial"/>
                <w:sz w:val="18"/>
                <w:szCs w:val="18"/>
                <w:color w:val="0000FF"/>
                <w:w w:val="97"/>
              </w:rPr>
            </w:pPr>
            <w:hyperlink r:id="rId171">
              <w:r>
                <w:rPr>
                  <w:rFonts w:ascii="Arial" w:cs="Arial" w:eastAsia="Arial" w:hAnsi="Arial"/>
                  <w:sz w:val="18"/>
                  <w:szCs w:val="18"/>
                  <w:color w:val="0000FF"/>
                  <w:w w:val="97"/>
                </w:rPr>
                <w:t>Corporation and Altisource Solutions S.à r.l. (incorporated by reference to Exhibit 10.7 of the Company’s Form 8-K filed on October 5,</w:t>
              </w:r>
            </w:hyperlink>
          </w:p>
        </w:tc>
        <w:tc>
          <w:tcPr>
            <w:tcW w:w="40" w:type="dxa"/>
            <w:vAlign w:val="bottom"/>
            <w:gridSpan w:val="2"/>
          </w:tcPr>
          <w:p>
            <w:pPr>
              <w:spacing w:after="0"/>
              <w:rPr>
                <w:sz w:val="13"/>
                <w:szCs w:val="13"/>
                <w:color w:val="auto"/>
              </w:rPr>
            </w:pPr>
          </w:p>
        </w:tc>
      </w:tr>
      <w:tr>
        <w:trPr>
          <w:trHeight w:val="155"/>
        </w:trPr>
        <w:tc>
          <w:tcPr>
            <w:tcW w:w="1220" w:type="dxa"/>
            <w:vAlign w:val="bottom"/>
          </w:tcPr>
          <w:p>
            <w:pPr>
              <w:spacing w:after="0"/>
              <w:rPr>
                <w:sz w:val="13"/>
                <w:szCs w:val="13"/>
                <w:color w:val="auto"/>
              </w:rPr>
            </w:pPr>
          </w:p>
        </w:tc>
        <w:tc>
          <w:tcPr>
            <w:tcW w:w="70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r:id="rId171">
              <w:r>
                <w:rPr>
                  <w:rFonts w:ascii="Arial" w:cs="Arial" w:eastAsia="Arial" w:hAnsi="Arial"/>
                  <w:sz w:val="18"/>
                  <w:szCs w:val="18"/>
                  <w:color w:val="0000FF"/>
                </w:rPr>
                <w:t>2012)</w:t>
              </w:r>
            </w:hyperlink>
          </w:p>
        </w:tc>
        <w:tc>
          <w:tcPr>
            <w:tcW w:w="2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60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13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4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803"/>
        </w:trPr>
        <w:tc>
          <w:tcPr>
            <w:tcW w:w="1220" w:type="dxa"/>
            <w:vAlign w:val="bottom"/>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460" w:type="dxa"/>
            <w:vAlign w:val="bottom"/>
            <w:gridSpan w:val="6"/>
          </w:tcPr>
          <w:p>
            <w:pPr>
              <w:jc w:val="right"/>
              <w:ind w:right="380"/>
              <w:spacing w:after="0"/>
              <w:rPr>
                <w:sz w:val="20"/>
                <w:szCs w:val="20"/>
                <w:color w:val="auto"/>
              </w:rPr>
            </w:pPr>
            <w:r>
              <w:rPr>
                <w:rFonts w:ascii="Arial" w:cs="Arial" w:eastAsia="Arial" w:hAnsi="Arial"/>
                <w:sz w:val="18"/>
                <w:szCs w:val="18"/>
                <w:color w:val="auto"/>
              </w:rPr>
              <w:t>96</w:t>
            </w:r>
          </w:p>
        </w:tc>
        <w:tc>
          <w:tcPr>
            <w:tcW w:w="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2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ind w:left="20"/>
              <w:spacing w:after="0"/>
              <w:rPr>
                <w:rFonts w:ascii="Arial" w:cs="Arial" w:eastAsia="Arial" w:hAnsi="Arial"/>
                <w:sz w:val="18"/>
                <w:szCs w:val="18"/>
                <w:u w:val="single" w:color="auto"/>
                <w:color w:val="0000FF"/>
              </w:rPr>
            </w:pPr>
            <w:hyperlink r:id="rId174">
              <w:r>
                <w:rPr>
                  <w:rFonts w:ascii="Arial" w:cs="Arial" w:eastAsia="Arial" w:hAnsi="Arial"/>
                  <w:sz w:val="18"/>
                  <w:szCs w:val="18"/>
                  <w:u w:val="single" w:color="auto"/>
                  <w:color w:val="0000FF"/>
                </w:rPr>
                <w:t>10.26</w:t>
              </w:r>
            </w:hyperlink>
          </w:p>
        </w:tc>
        <w:tc>
          <w:tcPr>
            <w:tcW w:w="10300" w:type="dxa"/>
            <w:vAlign w:val="bottom"/>
            <w:gridSpan w:val="24"/>
          </w:tcPr>
          <w:p>
            <w:pPr>
              <w:spacing w:after="0"/>
              <w:rPr>
                <w:rFonts w:ascii="Arial" w:cs="Arial" w:eastAsia="Arial" w:hAnsi="Arial"/>
                <w:sz w:val="18"/>
                <w:szCs w:val="18"/>
                <w:color w:val="0000FF"/>
                <w:w w:val="98"/>
              </w:rPr>
            </w:pPr>
            <w:hyperlink r:id="rId174">
              <w:r>
                <w:rPr>
                  <w:rFonts w:ascii="Arial" w:cs="Arial" w:eastAsia="Arial" w:hAnsi="Arial"/>
                  <w:sz w:val="18"/>
                  <w:szCs w:val="18"/>
                  <w:color w:val="0000FF"/>
                  <w:w w:val="98"/>
                </w:rPr>
                <w:t>First Amendment to Data Center and Disaster Recovery Agreement, dated as of October 1, 2012, by and between Ocwen Financial</w:t>
              </w:r>
            </w:hyperlink>
          </w:p>
        </w:tc>
      </w:tr>
      <w:tr>
        <w:trPr>
          <w:trHeight w:val="156"/>
        </w:trPr>
        <w:tc>
          <w:tcPr>
            <w:tcW w:w="1220" w:type="dxa"/>
            <w:vAlign w:val="bottom"/>
          </w:tcPr>
          <w:p>
            <w:pPr>
              <w:spacing w:after="0"/>
              <w:rPr>
                <w:sz w:val="13"/>
                <w:szCs w:val="13"/>
                <w:color w:val="auto"/>
              </w:rPr>
            </w:pPr>
          </w:p>
        </w:tc>
        <w:tc>
          <w:tcPr>
            <w:tcW w:w="1002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4"/>
              </w:rPr>
            </w:pPr>
            <w:hyperlink r:id="rId174">
              <w:r>
                <w:rPr>
                  <w:rFonts w:ascii="Arial" w:cs="Arial" w:eastAsia="Arial" w:hAnsi="Arial"/>
                  <w:sz w:val="18"/>
                  <w:szCs w:val="18"/>
                  <w:color w:val="0000FF"/>
                  <w:w w:val="94"/>
                </w:rPr>
                <w:t>Corporation and Altisource Solutions S.à r.l. (incorporated by reference to Exhibit 10.8 of the Company’s Form 8-K filed on October 5,</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220" w:type="dxa"/>
            <w:vAlign w:val="bottom"/>
          </w:tcPr>
          <w:p>
            <w:pPr>
              <w:spacing w:after="0"/>
              <w:rPr>
                <w:sz w:val="13"/>
                <w:szCs w:val="13"/>
                <w:color w:val="auto"/>
              </w:rPr>
            </w:pPr>
          </w:p>
        </w:tc>
        <w:tc>
          <w:tcPr>
            <w:tcW w:w="420" w:type="dxa"/>
            <w:vAlign w:val="bottom"/>
            <w:tcBorders>
              <w:bottom w:val="single" w:sz="8" w:color="0000FF"/>
            </w:tcBorders>
          </w:tcPr>
          <w:p>
            <w:pPr>
              <w:spacing w:after="0" w:line="156" w:lineRule="exact"/>
              <w:rPr>
                <w:rFonts w:ascii="Arial" w:cs="Arial" w:eastAsia="Arial" w:hAnsi="Arial"/>
                <w:sz w:val="18"/>
                <w:szCs w:val="18"/>
                <w:color w:val="0000FF"/>
                <w:w w:val="86"/>
              </w:rPr>
            </w:pPr>
            <w:hyperlink r:id="rId174">
              <w:r>
                <w:rPr>
                  <w:rFonts w:ascii="Arial" w:cs="Arial" w:eastAsia="Arial" w:hAnsi="Arial"/>
                  <w:sz w:val="18"/>
                  <w:szCs w:val="18"/>
                  <w:color w:val="0000FF"/>
                  <w:w w:val="86"/>
                </w:rPr>
                <w:t>2012)</w:t>
              </w:r>
            </w:hyperlink>
          </w:p>
        </w:tc>
        <w:tc>
          <w:tcPr>
            <w:tcW w:w="620" w:type="dxa"/>
            <w:vAlign w:val="bottom"/>
          </w:tcPr>
          <w:p>
            <w:pPr>
              <w:spacing w:after="0"/>
              <w:rPr>
                <w:sz w:val="13"/>
                <w:szCs w:val="13"/>
                <w:color w:val="auto"/>
              </w:rPr>
            </w:pPr>
          </w:p>
        </w:tc>
        <w:tc>
          <w:tcPr>
            <w:tcW w:w="6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1220" w:type="dxa"/>
            <w:vAlign w:val="bottom"/>
          </w:tcPr>
          <w:p>
            <w:pPr>
              <w:ind w:left="20"/>
              <w:spacing w:after="0"/>
              <w:rPr>
                <w:rFonts w:ascii="Arial" w:cs="Arial" w:eastAsia="Arial" w:hAnsi="Arial"/>
                <w:sz w:val="18"/>
                <w:szCs w:val="18"/>
                <w:u w:val="single" w:color="auto"/>
                <w:color w:val="0000FF"/>
              </w:rPr>
            </w:pPr>
            <w:hyperlink r:id="rId175">
              <w:r>
                <w:rPr>
                  <w:rFonts w:ascii="Arial" w:cs="Arial" w:eastAsia="Arial" w:hAnsi="Arial"/>
                  <w:sz w:val="18"/>
                  <w:szCs w:val="18"/>
                  <w:u w:val="single" w:color="auto"/>
                  <w:color w:val="0000FF"/>
                </w:rPr>
                <w:t>10.27</w:t>
              </w:r>
            </w:hyperlink>
          </w:p>
        </w:tc>
        <w:tc>
          <w:tcPr>
            <w:tcW w:w="10300" w:type="dxa"/>
            <w:vAlign w:val="bottom"/>
            <w:gridSpan w:val="24"/>
          </w:tcPr>
          <w:p>
            <w:pPr>
              <w:spacing w:after="0"/>
              <w:rPr>
                <w:rFonts w:ascii="Arial" w:cs="Arial" w:eastAsia="Arial" w:hAnsi="Arial"/>
                <w:sz w:val="18"/>
                <w:szCs w:val="18"/>
                <w:color w:val="0000FF"/>
                <w:w w:val="97"/>
              </w:rPr>
            </w:pPr>
            <w:hyperlink r:id="rId175">
              <w:r>
                <w:rPr>
                  <w:rFonts w:ascii="Arial" w:cs="Arial" w:eastAsia="Arial" w:hAnsi="Arial"/>
                  <w:sz w:val="18"/>
                  <w:szCs w:val="18"/>
                  <w:color w:val="0000FF"/>
                  <w:w w:val="97"/>
                </w:rPr>
                <w:t>First Amendment to Intellectual Property Agreement, dated as of October 1, 2012, by and between Ocwen Financial Corporation and</w:t>
              </w:r>
            </w:hyperlink>
          </w:p>
        </w:tc>
      </w:tr>
      <w:tr>
        <w:trPr>
          <w:trHeight w:val="224"/>
        </w:trPr>
        <w:tc>
          <w:tcPr>
            <w:tcW w:w="1220" w:type="dxa"/>
            <w:vAlign w:val="bottom"/>
          </w:tcPr>
          <w:p>
            <w:pPr>
              <w:spacing w:after="0"/>
              <w:rPr>
                <w:sz w:val="19"/>
                <w:szCs w:val="19"/>
                <w:color w:val="auto"/>
              </w:rPr>
            </w:pPr>
          </w:p>
        </w:tc>
        <w:tc>
          <w:tcPr>
            <w:tcW w:w="10160" w:type="dxa"/>
            <w:vAlign w:val="bottom"/>
            <w:tcBorders>
              <w:top w:val="single" w:sz="8" w:color="0000FF"/>
            </w:tcBorders>
            <w:gridSpan w:val="17"/>
          </w:tcPr>
          <w:p>
            <w:pPr>
              <w:spacing w:after="0"/>
              <w:rPr>
                <w:rFonts w:ascii="Arial" w:cs="Arial" w:eastAsia="Arial" w:hAnsi="Arial"/>
                <w:sz w:val="18"/>
                <w:szCs w:val="18"/>
                <w:u w:val="single" w:color="auto"/>
                <w:color w:val="0000FF"/>
              </w:rPr>
            </w:pPr>
            <w:hyperlink r:id="rId175">
              <w:r>
                <w:rPr>
                  <w:rFonts w:ascii="Arial" w:cs="Arial" w:eastAsia="Arial" w:hAnsi="Arial"/>
                  <w:sz w:val="18"/>
                  <w:szCs w:val="18"/>
                  <w:u w:val="single" w:color="auto"/>
                  <w:color w:val="0000FF"/>
                </w:rPr>
                <w:t>Altisource Solutions S.à r.l. (incorporated by reference to Exhibit 10.9 of the Company’s Form 8-K filed on October 5, 2012)</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1220" w:type="dxa"/>
            <w:vAlign w:val="bottom"/>
          </w:tcPr>
          <w:p>
            <w:pPr>
              <w:ind w:left="20"/>
              <w:spacing w:after="0"/>
              <w:rPr>
                <w:rFonts w:ascii="Arial" w:cs="Arial" w:eastAsia="Arial" w:hAnsi="Arial"/>
                <w:sz w:val="18"/>
                <w:szCs w:val="18"/>
                <w:u w:val="single" w:color="auto"/>
                <w:color w:val="0000FF"/>
              </w:rPr>
            </w:pPr>
            <w:hyperlink r:id="rId176">
              <w:r>
                <w:rPr>
                  <w:rFonts w:ascii="Arial" w:cs="Arial" w:eastAsia="Arial" w:hAnsi="Arial"/>
                  <w:sz w:val="18"/>
                  <w:szCs w:val="18"/>
                  <w:u w:val="single" w:color="auto"/>
                  <w:color w:val="0000FF"/>
                </w:rPr>
                <w:t>10.28</w:t>
              </w:r>
            </w:hyperlink>
          </w:p>
        </w:tc>
        <w:tc>
          <w:tcPr>
            <w:tcW w:w="10300" w:type="dxa"/>
            <w:vAlign w:val="bottom"/>
            <w:gridSpan w:val="24"/>
          </w:tcPr>
          <w:p>
            <w:pPr>
              <w:spacing w:after="0"/>
              <w:rPr>
                <w:rFonts w:ascii="Arial" w:cs="Arial" w:eastAsia="Arial" w:hAnsi="Arial"/>
                <w:sz w:val="18"/>
                <w:szCs w:val="18"/>
                <w:color w:val="0000FF"/>
                <w:w w:val="95"/>
              </w:rPr>
            </w:pPr>
            <w:hyperlink r:id="rId176">
              <w:r>
                <w:rPr>
                  <w:rFonts w:ascii="Arial" w:cs="Arial" w:eastAsia="Arial" w:hAnsi="Arial"/>
                  <w:sz w:val="18"/>
                  <w:szCs w:val="18"/>
                  <w:color w:val="0000FF"/>
                  <w:w w:val="95"/>
                </w:rPr>
                <w:t>Support Services Agreement, dated as of December 21, 2012, between Altisource Residential Corporation and Altisource Solutions S.à</w:t>
              </w:r>
            </w:hyperlink>
          </w:p>
        </w:tc>
      </w:tr>
      <w:tr>
        <w:trPr>
          <w:trHeight w:val="156"/>
        </w:trPr>
        <w:tc>
          <w:tcPr>
            <w:tcW w:w="1220" w:type="dxa"/>
            <w:vAlign w:val="bottom"/>
          </w:tcPr>
          <w:p>
            <w:pPr>
              <w:spacing w:after="0"/>
              <w:rPr>
                <w:sz w:val="13"/>
                <w:szCs w:val="13"/>
                <w:color w:val="auto"/>
              </w:rPr>
            </w:pPr>
          </w:p>
        </w:tc>
        <w:tc>
          <w:tcPr>
            <w:tcW w:w="748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176">
              <w:r>
                <w:rPr>
                  <w:rFonts w:ascii="Arial" w:cs="Arial" w:eastAsia="Arial" w:hAnsi="Arial"/>
                  <w:sz w:val="18"/>
                  <w:szCs w:val="18"/>
                  <w:color w:val="0000FF"/>
                  <w:w w:val="91"/>
                </w:rPr>
                <w:t>r.l. (incorporated by reference to Exhibit 10.1 of the Company’s Form 8-K filed on December 28, 2012)</w:t>
              </w:r>
            </w:hyperlink>
          </w:p>
        </w:tc>
        <w:tc>
          <w:tcPr>
            <w:tcW w:w="262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1220" w:type="dxa"/>
            <w:vAlign w:val="bottom"/>
          </w:tcPr>
          <w:p>
            <w:pPr>
              <w:ind w:left="20"/>
              <w:spacing w:after="0"/>
              <w:rPr>
                <w:rFonts w:ascii="Arial" w:cs="Arial" w:eastAsia="Arial" w:hAnsi="Arial"/>
                <w:sz w:val="18"/>
                <w:szCs w:val="18"/>
                <w:u w:val="single" w:color="auto"/>
                <w:color w:val="0000FF"/>
              </w:rPr>
            </w:pPr>
            <w:hyperlink r:id="rId177">
              <w:r>
                <w:rPr>
                  <w:rFonts w:ascii="Arial" w:cs="Arial" w:eastAsia="Arial" w:hAnsi="Arial"/>
                  <w:sz w:val="18"/>
                  <w:szCs w:val="18"/>
                  <w:u w:val="single" w:color="auto"/>
                  <w:color w:val="0000FF"/>
                </w:rPr>
                <w:t>10.29</w:t>
              </w:r>
            </w:hyperlink>
          </w:p>
        </w:tc>
        <w:tc>
          <w:tcPr>
            <w:tcW w:w="10300" w:type="dxa"/>
            <w:vAlign w:val="bottom"/>
            <w:gridSpan w:val="24"/>
          </w:tcPr>
          <w:p>
            <w:pPr>
              <w:spacing w:after="0"/>
              <w:rPr>
                <w:rFonts w:ascii="Arial" w:cs="Arial" w:eastAsia="Arial" w:hAnsi="Arial"/>
                <w:sz w:val="18"/>
                <w:szCs w:val="18"/>
                <w:color w:val="0000FF"/>
                <w:w w:val="99"/>
              </w:rPr>
            </w:pPr>
            <w:hyperlink r:id="rId177">
              <w:r>
                <w:rPr>
                  <w:rFonts w:ascii="Arial" w:cs="Arial" w:eastAsia="Arial" w:hAnsi="Arial"/>
                  <w:sz w:val="18"/>
                  <w:szCs w:val="18"/>
                  <w:color w:val="0000FF"/>
                  <w:w w:val="99"/>
                </w:rPr>
                <w:t>Support Services Agreement, dated as of December 21, 2012, between Altisource Asset Management Corporation and Altisource</w:t>
              </w:r>
            </w:hyperlink>
          </w:p>
        </w:tc>
      </w:tr>
      <w:tr>
        <w:trPr>
          <w:trHeight w:val="224"/>
        </w:trPr>
        <w:tc>
          <w:tcPr>
            <w:tcW w:w="1220" w:type="dxa"/>
            <w:vAlign w:val="bottom"/>
          </w:tcPr>
          <w:p>
            <w:pPr>
              <w:spacing w:after="0"/>
              <w:rPr>
                <w:sz w:val="19"/>
                <w:szCs w:val="19"/>
                <w:color w:val="auto"/>
              </w:rPr>
            </w:pPr>
          </w:p>
        </w:tc>
        <w:tc>
          <w:tcPr>
            <w:tcW w:w="10060" w:type="dxa"/>
            <w:vAlign w:val="bottom"/>
            <w:tcBorders>
              <w:top w:val="single" w:sz="8" w:color="0000FF"/>
            </w:tcBorders>
            <w:gridSpan w:val="12"/>
          </w:tcPr>
          <w:p>
            <w:pPr>
              <w:spacing w:after="0"/>
              <w:rPr>
                <w:rFonts w:ascii="Arial" w:cs="Arial" w:eastAsia="Arial" w:hAnsi="Arial"/>
                <w:sz w:val="18"/>
                <w:szCs w:val="18"/>
                <w:u w:val="single" w:color="auto"/>
                <w:color w:val="0000FF"/>
              </w:rPr>
            </w:pPr>
            <w:hyperlink r:id="rId177">
              <w:r>
                <w:rPr>
                  <w:rFonts w:ascii="Arial" w:cs="Arial" w:eastAsia="Arial" w:hAnsi="Arial"/>
                  <w:sz w:val="18"/>
                  <w:szCs w:val="18"/>
                  <w:u w:val="single" w:color="auto"/>
                  <w:color w:val="0000FF"/>
                </w:rPr>
                <w:t>Solutions S.à r.l. (incorporated by reference to Exhibit 10.2 of the Company’s Form 8-K filed on December 28, 2012)</w:t>
              </w:r>
            </w:hyperlink>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1220" w:type="dxa"/>
            <w:vAlign w:val="bottom"/>
          </w:tcPr>
          <w:p>
            <w:pPr>
              <w:ind w:left="20"/>
              <w:spacing w:after="0"/>
              <w:rPr>
                <w:rFonts w:ascii="Arial" w:cs="Arial" w:eastAsia="Arial" w:hAnsi="Arial"/>
                <w:sz w:val="18"/>
                <w:szCs w:val="18"/>
                <w:u w:val="single" w:color="auto"/>
                <w:color w:val="0000FF"/>
              </w:rPr>
            </w:pPr>
            <w:hyperlink r:id="rId178">
              <w:r>
                <w:rPr>
                  <w:rFonts w:ascii="Arial" w:cs="Arial" w:eastAsia="Arial" w:hAnsi="Arial"/>
                  <w:sz w:val="18"/>
                  <w:szCs w:val="18"/>
                  <w:u w:val="single" w:color="auto"/>
                  <w:color w:val="0000FF"/>
                </w:rPr>
                <w:t>10.30</w:t>
              </w:r>
            </w:hyperlink>
          </w:p>
        </w:tc>
        <w:tc>
          <w:tcPr>
            <w:tcW w:w="10300" w:type="dxa"/>
            <w:vAlign w:val="bottom"/>
            <w:gridSpan w:val="24"/>
          </w:tcPr>
          <w:p>
            <w:pPr>
              <w:spacing w:after="0"/>
              <w:rPr>
                <w:rFonts w:ascii="Arial" w:cs="Arial" w:eastAsia="Arial" w:hAnsi="Arial"/>
                <w:sz w:val="18"/>
                <w:szCs w:val="18"/>
                <w:color w:val="0000FF"/>
                <w:w w:val="96"/>
              </w:rPr>
            </w:pPr>
            <w:hyperlink r:id="rId178">
              <w:r>
                <w:rPr>
                  <w:rFonts w:ascii="Arial" w:cs="Arial" w:eastAsia="Arial" w:hAnsi="Arial"/>
                  <w:sz w:val="18"/>
                  <w:szCs w:val="18"/>
                  <w:color w:val="0000FF"/>
                  <w:w w:val="96"/>
                </w:rPr>
                <w:t>Tax Matters Agreement, dated as of December 21, 2012, between Altisource Residential Corporation and Altisource Solutions S.à r.l.</w:t>
              </w:r>
            </w:hyperlink>
          </w:p>
        </w:tc>
      </w:tr>
      <w:tr>
        <w:trPr>
          <w:trHeight w:val="156"/>
        </w:trPr>
        <w:tc>
          <w:tcPr>
            <w:tcW w:w="1220" w:type="dxa"/>
            <w:vAlign w:val="bottom"/>
          </w:tcPr>
          <w:p>
            <w:pPr>
              <w:spacing w:after="0"/>
              <w:rPr>
                <w:sz w:val="13"/>
                <w:szCs w:val="13"/>
                <w:color w:val="auto"/>
              </w:rPr>
            </w:pPr>
          </w:p>
        </w:tc>
        <w:tc>
          <w:tcPr>
            <w:tcW w:w="72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r:id="rId178">
              <w:r>
                <w:rPr>
                  <w:rFonts w:ascii="Arial" w:cs="Arial" w:eastAsia="Arial" w:hAnsi="Arial"/>
                  <w:sz w:val="18"/>
                  <w:szCs w:val="18"/>
                  <w:color w:val="0000FF"/>
                  <w:w w:val="91"/>
                </w:rPr>
                <w:t>(incorporated by reference to Exhibit 10.3 of the Company’s Form 8-K filed on December 28, 2012)</w:t>
              </w:r>
            </w:hyperlink>
          </w:p>
        </w:tc>
        <w:tc>
          <w:tcPr>
            <w:tcW w:w="302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220" w:type="dxa"/>
            <w:vAlign w:val="bottom"/>
          </w:tcPr>
          <w:p>
            <w:pPr>
              <w:ind w:left="20"/>
              <w:spacing w:after="0"/>
              <w:rPr>
                <w:rFonts w:ascii="Arial" w:cs="Arial" w:eastAsia="Arial" w:hAnsi="Arial"/>
                <w:sz w:val="18"/>
                <w:szCs w:val="18"/>
                <w:u w:val="single" w:color="auto"/>
                <w:color w:val="0000FF"/>
              </w:rPr>
            </w:pPr>
            <w:hyperlink r:id="rId179">
              <w:r>
                <w:rPr>
                  <w:rFonts w:ascii="Arial" w:cs="Arial" w:eastAsia="Arial" w:hAnsi="Arial"/>
                  <w:sz w:val="18"/>
                  <w:szCs w:val="18"/>
                  <w:u w:val="single" w:color="auto"/>
                  <w:color w:val="0000FF"/>
                </w:rPr>
                <w:t>10.31</w:t>
              </w:r>
            </w:hyperlink>
          </w:p>
        </w:tc>
        <w:tc>
          <w:tcPr>
            <w:tcW w:w="10300" w:type="dxa"/>
            <w:vAlign w:val="bottom"/>
            <w:gridSpan w:val="24"/>
          </w:tcPr>
          <w:p>
            <w:pPr>
              <w:spacing w:after="0"/>
              <w:rPr>
                <w:rFonts w:ascii="Arial" w:cs="Arial" w:eastAsia="Arial" w:hAnsi="Arial"/>
                <w:sz w:val="18"/>
                <w:szCs w:val="18"/>
                <w:color w:val="0000FF"/>
                <w:w w:val="93"/>
              </w:rPr>
            </w:pPr>
            <w:hyperlink r:id="rId179">
              <w:r>
                <w:rPr>
                  <w:rFonts w:ascii="Arial" w:cs="Arial" w:eastAsia="Arial" w:hAnsi="Arial"/>
                  <w:sz w:val="18"/>
                  <w:szCs w:val="18"/>
                  <w:color w:val="0000FF"/>
                  <w:w w:val="93"/>
                </w:rPr>
                <w:t>Tax Matters Agreement, dated as of December 21, 2012, between Altisource Asset Management Corporation and Altisource Solutions S.à</w:t>
              </w:r>
            </w:hyperlink>
          </w:p>
        </w:tc>
      </w:tr>
      <w:tr>
        <w:trPr>
          <w:trHeight w:val="155"/>
        </w:trPr>
        <w:tc>
          <w:tcPr>
            <w:tcW w:w="1220" w:type="dxa"/>
            <w:vAlign w:val="bottom"/>
          </w:tcPr>
          <w:p>
            <w:pPr>
              <w:spacing w:after="0"/>
              <w:rPr>
                <w:sz w:val="13"/>
                <w:szCs w:val="13"/>
                <w:color w:val="auto"/>
              </w:rPr>
            </w:pPr>
          </w:p>
        </w:tc>
        <w:tc>
          <w:tcPr>
            <w:tcW w:w="748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179">
              <w:r>
                <w:rPr>
                  <w:rFonts w:ascii="Arial" w:cs="Arial" w:eastAsia="Arial" w:hAnsi="Arial"/>
                  <w:sz w:val="18"/>
                  <w:szCs w:val="18"/>
                  <w:color w:val="0000FF"/>
                  <w:w w:val="91"/>
                </w:rPr>
                <w:t>r.l. (incorporated by reference to Exhibit 10.4 of the Company’s Form 8-K filed on December 28, 2012)</w:t>
              </w:r>
            </w:hyperlink>
          </w:p>
        </w:tc>
        <w:tc>
          <w:tcPr>
            <w:tcW w:w="2520" w:type="dxa"/>
            <w:vAlign w:val="bottom"/>
            <w:tcBorders>
              <w:top w:val="single" w:sz="8" w:color="0000FF"/>
            </w:tcBorders>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64"/>
        </w:trPr>
        <w:tc>
          <w:tcPr>
            <w:tcW w:w="1220" w:type="dxa"/>
            <w:vAlign w:val="bottom"/>
          </w:tcPr>
          <w:p>
            <w:pPr>
              <w:ind w:left="20"/>
              <w:spacing w:after="0"/>
              <w:rPr>
                <w:rFonts w:ascii="Arial" w:cs="Arial" w:eastAsia="Arial" w:hAnsi="Arial"/>
                <w:sz w:val="18"/>
                <w:szCs w:val="18"/>
                <w:color w:val="0000FF"/>
              </w:rPr>
            </w:pPr>
            <w:hyperlink r:id="rId180">
              <w:r>
                <w:rPr>
                  <w:rFonts w:ascii="Arial" w:cs="Arial" w:eastAsia="Arial" w:hAnsi="Arial"/>
                  <w:sz w:val="18"/>
                  <w:szCs w:val="18"/>
                  <w:u w:val="single" w:color="auto"/>
                  <w:color w:val="0000FF"/>
                </w:rPr>
                <w:t>10.32</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300" w:type="dxa"/>
            <w:vAlign w:val="bottom"/>
            <w:gridSpan w:val="24"/>
          </w:tcPr>
          <w:p>
            <w:pPr>
              <w:spacing w:after="0"/>
              <w:rPr>
                <w:rFonts w:ascii="Arial" w:cs="Arial" w:eastAsia="Arial" w:hAnsi="Arial"/>
                <w:sz w:val="18"/>
                <w:szCs w:val="18"/>
                <w:color w:val="0000FF"/>
                <w:w w:val="93"/>
              </w:rPr>
            </w:pPr>
            <w:hyperlink r:id="rId180">
              <w:r>
                <w:rPr>
                  <w:rFonts w:ascii="Arial" w:cs="Arial" w:eastAsia="Arial" w:hAnsi="Arial"/>
                  <w:sz w:val="18"/>
                  <w:szCs w:val="18"/>
                  <w:color w:val="0000FF"/>
                  <w:w w:val="93"/>
                </w:rPr>
                <w:t>Master Services Agreement, dated as of December 21, 2012, between Altisource Residential Corporation and Altisource Solutions S.à r.l.</w:t>
              </w:r>
            </w:hyperlink>
          </w:p>
        </w:tc>
      </w:tr>
      <w:tr>
        <w:trPr>
          <w:trHeight w:val="156"/>
        </w:trPr>
        <w:tc>
          <w:tcPr>
            <w:tcW w:w="1220" w:type="dxa"/>
            <w:vAlign w:val="bottom"/>
          </w:tcPr>
          <w:p>
            <w:pPr>
              <w:spacing w:after="0"/>
              <w:rPr>
                <w:sz w:val="13"/>
                <w:szCs w:val="13"/>
                <w:color w:val="auto"/>
              </w:rPr>
            </w:pPr>
          </w:p>
        </w:tc>
        <w:tc>
          <w:tcPr>
            <w:tcW w:w="72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r:id="rId180">
              <w:r>
                <w:rPr>
                  <w:rFonts w:ascii="Arial" w:cs="Arial" w:eastAsia="Arial" w:hAnsi="Arial"/>
                  <w:sz w:val="18"/>
                  <w:szCs w:val="18"/>
                  <w:color w:val="0000FF"/>
                  <w:w w:val="91"/>
                </w:rPr>
                <w:t>(incorporated by reference to Exhibit 10.5 of the Company’s Form 8-K filed on December 28, 2012)</w:t>
              </w:r>
            </w:hyperlink>
          </w:p>
        </w:tc>
        <w:tc>
          <w:tcPr>
            <w:tcW w:w="2880" w:type="dxa"/>
            <w:vAlign w:val="bottom"/>
            <w:tcBorders>
              <w:top w:val="single" w:sz="8" w:color="0000FF"/>
            </w:tcBorders>
            <w:gridSpan w:val="1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63"/>
        </w:trPr>
        <w:tc>
          <w:tcPr>
            <w:tcW w:w="1220" w:type="dxa"/>
            <w:vAlign w:val="bottom"/>
          </w:tcPr>
          <w:p>
            <w:pPr>
              <w:ind w:left="20"/>
              <w:spacing w:after="0"/>
              <w:rPr>
                <w:rFonts w:ascii="Arial" w:cs="Arial" w:eastAsia="Arial" w:hAnsi="Arial"/>
                <w:sz w:val="18"/>
                <w:szCs w:val="18"/>
                <w:u w:val="single" w:color="auto"/>
                <w:color w:val="0000FF"/>
              </w:rPr>
            </w:pPr>
            <w:hyperlink r:id="rId181">
              <w:r>
                <w:rPr>
                  <w:rFonts w:ascii="Arial" w:cs="Arial" w:eastAsia="Arial" w:hAnsi="Arial"/>
                  <w:sz w:val="18"/>
                  <w:szCs w:val="18"/>
                  <w:u w:val="single" w:color="auto"/>
                  <w:color w:val="0000FF"/>
                </w:rPr>
                <w:t>10.33</w:t>
              </w:r>
            </w:hyperlink>
          </w:p>
        </w:tc>
        <w:tc>
          <w:tcPr>
            <w:tcW w:w="10300" w:type="dxa"/>
            <w:vAlign w:val="bottom"/>
            <w:gridSpan w:val="24"/>
          </w:tcPr>
          <w:p>
            <w:pPr>
              <w:spacing w:after="0"/>
              <w:rPr>
                <w:rFonts w:ascii="Arial" w:cs="Arial" w:eastAsia="Arial" w:hAnsi="Arial"/>
                <w:sz w:val="18"/>
                <w:szCs w:val="18"/>
                <w:color w:val="0000FF"/>
                <w:w w:val="93"/>
              </w:rPr>
            </w:pPr>
            <w:hyperlink r:id="rId181">
              <w:r>
                <w:rPr>
                  <w:rFonts w:ascii="Arial" w:cs="Arial" w:eastAsia="Arial" w:hAnsi="Arial"/>
                  <w:sz w:val="18"/>
                  <w:szCs w:val="18"/>
                  <w:color w:val="0000FF"/>
                  <w:w w:val="93"/>
                </w:rPr>
                <w:t>Trademark License Agreement, dated as of December 21, 2012, between Altisource Residential Corporation and Altisource Solutions S.à</w:t>
              </w:r>
            </w:hyperlink>
          </w:p>
        </w:tc>
      </w:tr>
      <w:tr>
        <w:trPr>
          <w:trHeight w:val="156"/>
        </w:trPr>
        <w:tc>
          <w:tcPr>
            <w:tcW w:w="1220" w:type="dxa"/>
            <w:vAlign w:val="bottom"/>
          </w:tcPr>
          <w:p>
            <w:pPr>
              <w:spacing w:after="0"/>
              <w:rPr>
                <w:sz w:val="13"/>
                <w:szCs w:val="13"/>
                <w:color w:val="auto"/>
              </w:rPr>
            </w:pPr>
          </w:p>
        </w:tc>
        <w:tc>
          <w:tcPr>
            <w:tcW w:w="748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181">
              <w:r>
                <w:rPr>
                  <w:rFonts w:ascii="Arial" w:cs="Arial" w:eastAsia="Arial" w:hAnsi="Arial"/>
                  <w:sz w:val="18"/>
                  <w:szCs w:val="18"/>
                  <w:color w:val="0000FF"/>
                  <w:w w:val="91"/>
                </w:rPr>
                <w:t>r.l. (incorporated by reference to Exhibit 10.6 of the Company’s Form 8-K filed on December 28, 2012)</w:t>
              </w:r>
            </w:hyperlink>
          </w:p>
        </w:tc>
        <w:tc>
          <w:tcPr>
            <w:tcW w:w="2640" w:type="dxa"/>
            <w:vAlign w:val="bottom"/>
            <w:tcBorders>
              <w:top w:val="single" w:sz="8" w:color="0000FF"/>
            </w:tcBorders>
            <w:gridSpan w:val="10"/>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64"/>
        </w:trPr>
        <w:tc>
          <w:tcPr>
            <w:tcW w:w="1220" w:type="dxa"/>
            <w:vAlign w:val="bottom"/>
          </w:tcPr>
          <w:p>
            <w:pPr>
              <w:ind w:left="20"/>
              <w:spacing w:after="0"/>
              <w:rPr>
                <w:rFonts w:ascii="Arial" w:cs="Arial" w:eastAsia="Arial" w:hAnsi="Arial"/>
                <w:sz w:val="18"/>
                <w:szCs w:val="18"/>
                <w:u w:val="single" w:color="auto"/>
                <w:color w:val="0000FF"/>
              </w:rPr>
            </w:pPr>
            <w:hyperlink r:id="rId182">
              <w:r>
                <w:rPr>
                  <w:rFonts w:ascii="Arial" w:cs="Arial" w:eastAsia="Arial" w:hAnsi="Arial"/>
                  <w:sz w:val="18"/>
                  <w:szCs w:val="18"/>
                  <w:u w:val="single" w:color="auto"/>
                  <w:color w:val="0000FF"/>
                </w:rPr>
                <w:t>10.34</w:t>
              </w:r>
            </w:hyperlink>
          </w:p>
        </w:tc>
        <w:tc>
          <w:tcPr>
            <w:tcW w:w="10300" w:type="dxa"/>
            <w:vAlign w:val="bottom"/>
            <w:gridSpan w:val="24"/>
          </w:tcPr>
          <w:p>
            <w:pPr>
              <w:spacing w:after="0"/>
              <w:rPr>
                <w:rFonts w:ascii="Arial" w:cs="Arial" w:eastAsia="Arial" w:hAnsi="Arial"/>
                <w:sz w:val="18"/>
                <w:szCs w:val="18"/>
                <w:color w:val="0000FF"/>
                <w:w w:val="97"/>
              </w:rPr>
            </w:pPr>
            <w:hyperlink r:id="rId182">
              <w:r>
                <w:rPr>
                  <w:rFonts w:ascii="Arial" w:cs="Arial" w:eastAsia="Arial" w:hAnsi="Arial"/>
                  <w:sz w:val="18"/>
                  <w:szCs w:val="18"/>
                  <w:color w:val="0000FF"/>
                  <w:w w:val="97"/>
                </w:rPr>
                <w:t>Trademark License Agreement, dated as of December 21, 2012, between Altisource Asset Management Corporation and Altisource</w:t>
              </w:r>
            </w:hyperlink>
          </w:p>
        </w:tc>
      </w:tr>
      <w:tr>
        <w:trPr>
          <w:trHeight w:val="224"/>
        </w:trPr>
        <w:tc>
          <w:tcPr>
            <w:tcW w:w="1220" w:type="dxa"/>
            <w:vAlign w:val="bottom"/>
          </w:tcPr>
          <w:p>
            <w:pPr>
              <w:spacing w:after="0"/>
              <w:rPr>
                <w:sz w:val="19"/>
                <w:szCs w:val="19"/>
                <w:color w:val="auto"/>
              </w:rPr>
            </w:pPr>
          </w:p>
        </w:tc>
        <w:tc>
          <w:tcPr>
            <w:tcW w:w="10080" w:type="dxa"/>
            <w:vAlign w:val="bottom"/>
            <w:tcBorders>
              <w:top w:val="single" w:sz="8" w:color="0000FF"/>
            </w:tcBorders>
            <w:gridSpan w:val="13"/>
          </w:tcPr>
          <w:p>
            <w:pPr>
              <w:spacing w:after="0"/>
              <w:rPr>
                <w:rFonts w:ascii="Arial" w:cs="Arial" w:eastAsia="Arial" w:hAnsi="Arial"/>
                <w:sz w:val="18"/>
                <w:szCs w:val="18"/>
                <w:u w:val="single" w:color="auto"/>
                <w:color w:val="0000FF"/>
              </w:rPr>
            </w:pPr>
            <w:hyperlink r:id="rId182">
              <w:r>
                <w:rPr>
                  <w:rFonts w:ascii="Arial" w:cs="Arial" w:eastAsia="Arial" w:hAnsi="Arial"/>
                  <w:sz w:val="18"/>
                  <w:szCs w:val="18"/>
                  <w:u w:val="single" w:color="auto"/>
                  <w:color w:val="0000FF"/>
                </w:rPr>
                <w:t>Solutions S.à r.l. (incorporated by reference to Exhibit 10.7 of the Company’s Form 8-K filed on December 28, 2012)</w:t>
              </w:r>
            </w:hyperlink>
          </w:p>
        </w:tc>
        <w:tc>
          <w:tcPr>
            <w:tcW w:w="100" w:type="dxa"/>
            <w:vAlign w:val="bottom"/>
            <w:gridSpan w:val="5"/>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r>
      <w:tr>
        <w:trPr>
          <w:trHeight w:val="215"/>
        </w:trPr>
        <w:tc>
          <w:tcPr>
            <w:tcW w:w="1220" w:type="dxa"/>
            <w:vAlign w:val="bottom"/>
          </w:tcPr>
          <w:p>
            <w:pPr>
              <w:ind w:left="20"/>
              <w:spacing w:after="0"/>
              <w:rPr>
                <w:rFonts w:ascii="Arial" w:cs="Arial" w:eastAsia="Arial" w:hAnsi="Arial"/>
                <w:sz w:val="18"/>
                <w:szCs w:val="18"/>
                <w:u w:val="single" w:color="auto"/>
                <w:color w:val="0000FF"/>
              </w:rPr>
            </w:pPr>
            <w:hyperlink r:id="rId183">
              <w:r>
                <w:rPr>
                  <w:rFonts w:ascii="Arial" w:cs="Arial" w:eastAsia="Arial" w:hAnsi="Arial"/>
                  <w:sz w:val="18"/>
                  <w:szCs w:val="18"/>
                  <w:u w:val="single" w:color="auto"/>
                  <w:color w:val="0000FF"/>
                </w:rPr>
                <w:t>10.35</w:t>
              </w:r>
            </w:hyperlink>
          </w:p>
        </w:tc>
        <w:tc>
          <w:tcPr>
            <w:tcW w:w="10300" w:type="dxa"/>
            <w:vAlign w:val="bottom"/>
            <w:gridSpan w:val="24"/>
          </w:tcPr>
          <w:p>
            <w:pPr>
              <w:spacing w:after="0"/>
              <w:rPr>
                <w:rFonts w:ascii="Arial" w:cs="Arial" w:eastAsia="Arial" w:hAnsi="Arial"/>
                <w:sz w:val="18"/>
                <w:szCs w:val="18"/>
                <w:color w:val="0000FF"/>
              </w:rPr>
            </w:pPr>
            <w:hyperlink r:id="rId183">
              <w:r>
                <w:rPr>
                  <w:rFonts w:ascii="Arial" w:cs="Arial" w:eastAsia="Arial" w:hAnsi="Arial"/>
                  <w:sz w:val="18"/>
                  <w:szCs w:val="18"/>
                  <w:color w:val="0000FF"/>
                </w:rPr>
                <w:t>Technology Products Services Agreement, between Altisource Asset Management Corporation and Altisource Solutions S.à r.l.</w:t>
              </w:r>
            </w:hyperlink>
          </w:p>
        </w:tc>
      </w:tr>
      <w:tr>
        <w:trPr>
          <w:trHeight w:val="156"/>
        </w:trPr>
        <w:tc>
          <w:tcPr>
            <w:tcW w:w="1220" w:type="dxa"/>
            <w:vAlign w:val="bottom"/>
          </w:tcPr>
          <w:p>
            <w:pPr>
              <w:spacing w:after="0"/>
              <w:rPr>
                <w:sz w:val="13"/>
                <w:szCs w:val="13"/>
                <w:color w:val="auto"/>
              </w:rPr>
            </w:pPr>
          </w:p>
        </w:tc>
        <w:tc>
          <w:tcPr>
            <w:tcW w:w="72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1"/>
              </w:rPr>
            </w:pPr>
            <w:hyperlink r:id="rId183">
              <w:r>
                <w:rPr>
                  <w:rFonts w:ascii="Arial" w:cs="Arial" w:eastAsia="Arial" w:hAnsi="Arial"/>
                  <w:sz w:val="18"/>
                  <w:szCs w:val="18"/>
                  <w:color w:val="0000FF"/>
                  <w:w w:val="91"/>
                </w:rPr>
                <w:t>(incorporated by reference to Exhibit 10.8 of the Company’s Form 8-K filed on December 28, 2012)</w:t>
              </w:r>
            </w:hyperlink>
          </w:p>
        </w:tc>
        <w:tc>
          <w:tcPr>
            <w:tcW w:w="2860" w:type="dxa"/>
            <w:vAlign w:val="bottom"/>
            <w:tcBorders>
              <w:top w:val="single" w:sz="8" w:color="0000FF"/>
            </w:tcBorders>
            <w:gridSpan w:val="11"/>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63"/>
        </w:trPr>
        <w:tc>
          <w:tcPr>
            <w:tcW w:w="1220" w:type="dxa"/>
            <w:vAlign w:val="bottom"/>
          </w:tcPr>
          <w:p>
            <w:pPr>
              <w:ind w:left="20"/>
              <w:spacing w:after="0"/>
              <w:rPr>
                <w:rFonts w:ascii="Arial" w:cs="Arial" w:eastAsia="Arial" w:hAnsi="Arial"/>
                <w:sz w:val="18"/>
                <w:szCs w:val="18"/>
                <w:u w:val="single" w:color="auto"/>
                <w:color w:val="0000FF"/>
              </w:rPr>
            </w:pPr>
            <w:hyperlink r:id="rId184">
              <w:r>
                <w:rPr>
                  <w:rFonts w:ascii="Arial" w:cs="Arial" w:eastAsia="Arial" w:hAnsi="Arial"/>
                  <w:sz w:val="18"/>
                  <w:szCs w:val="18"/>
                  <w:u w:val="single" w:color="auto"/>
                  <w:color w:val="0000FF"/>
                </w:rPr>
                <w:t>10.36</w:t>
              </w:r>
            </w:hyperlink>
          </w:p>
        </w:tc>
        <w:tc>
          <w:tcPr>
            <w:tcW w:w="10300" w:type="dxa"/>
            <w:vAlign w:val="bottom"/>
            <w:gridSpan w:val="24"/>
          </w:tcPr>
          <w:p>
            <w:pPr>
              <w:spacing w:after="0"/>
              <w:rPr>
                <w:rFonts w:ascii="Arial" w:cs="Arial" w:eastAsia="Arial" w:hAnsi="Arial"/>
                <w:sz w:val="18"/>
                <w:szCs w:val="18"/>
                <w:color w:val="0000FF"/>
                <w:w w:val="95"/>
              </w:rPr>
            </w:pPr>
            <w:hyperlink r:id="rId184">
              <w:r>
                <w:rPr>
                  <w:rFonts w:ascii="Arial" w:cs="Arial" w:eastAsia="Arial" w:hAnsi="Arial"/>
                  <w:sz w:val="18"/>
                  <w:szCs w:val="18"/>
                  <w:color w:val="0000FF"/>
                  <w:w w:val="95"/>
                </w:rPr>
                <w:t>Second Amendment to Services Agreement, dated as of March 29, 2013, by and between Ocwen Financial Corporation and Altisource</w:t>
              </w:r>
            </w:hyperlink>
          </w:p>
        </w:tc>
      </w:tr>
      <w:tr>
        <w:trPr>
          <w:trHeight w:val="156"/>
        </w:trPr>
        <w:tc>
          <w:tcPr>
            <w:tcW w:w="1220" w:type="dxa"/>
            <w:vAlign w:val="bottom"/>
          </w:tcPr>
          <w:p>
            <w:pPr>
              <w:spacing w:after="0"/>
              <w:rPr>
                <w:sz w:val="13"/>
                <w:szCs w:val="13"/>
                <w:color w:val="auto"/>
              </w:rPr>
            </w:pPr>
          </w:p>
        </w:tc>
        <w:tc>
          <w:tcPr>
            <w:tcW w:w="802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2"/>
              </w:rPr>
            </w:pPr>
            <w:hyperlink r:id="rId184">
              <w:r>
                <w:rPr>
                  <w:rFonts w:ascii="Arial" w:cs="Arial" w:eastAsia="Arial" w:hAnsi="Arial"/>
                  <w:sz w:val="18"/>
                  <w:szCs w:val="18"/>
                  <w:color w:val="0000FF"/>
                  <w:w w:val="92"/>
                </w:rPr>
                <w:t>Solutions S.à r.l. (incorporated by reference to Exhibit 10.1 of the Company’s Form 8-K filed on April 4, 2013)</w:t>
              </w:r>
            </w:hyperlink>
          </w:p>
        </w:tc>
        <w:tc>
          <w:tcPr>
            <w:tcW w:w="218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64"/>
        </w:trPr>
        <w:tc>
          <w:tcPr>
            <w:tcW w:w="1220" w:type="dxa"/>
            <w:vAlign w:val="bottom"/>
          </w:tcPr>
          <w:p>
            <w:pPr>
              <w:ind w:left="20"/>
              <w:spacing w:after="0"/>
              <w:rPr>
                <w:rFonts w:ascii="Arial" w:cs="Arial" w:eastAsia="Arial" w:hAnsi="Arial"/>
                <w:sz w:val="18"/>
                <w:szCs w:val="18"/>
                <w:u w:val="single" w:color="auto"/>
                <w:color w:val="0000FF"/>
              </w:rPr>
            </w:pPr>
            <w:hyperlink r:id="rId185">
              <w:r>
                <w:rPr>
                  <w:rFonts w:ascii="Arial" w:cs="Arial" w:eastAsia="Arial" w:hAnsi="Arial"/>
                  <w:sz w:val="18"/>
                  <w:szCs w:val="18"/>
                  <w:u w:val="single" w:color="auto"/>
                  <w:color w:val="0000FF"/>
                </w:rPr>
                <w:t>10.37</w:t>
              </w:r>
            </w:hyperlink>
          </w:p>
        </w:tc>
        <w:tc>
          <w:tcPr>
            <w:tcW w:w="10300" w:type="dxa"/>
            <w:vAlign w:val="bottom"/>
            <w:gridSpan w:val="24"/>
          </w:tcPr>
          <w:p>
            <w:pPr>
              <w:spacing w:after="0"/>
              <w:rPr>
                <w:rFonts w:ascii="Arial" w:cs="Arial" w:eastAsia="Arial" w:hAnsi="Arial"/>
                <w:sz w:val="18"/>
                <w:szCs w:val="18"/>
                <w:color w:val="0000FF"/>
                <w:w w:val="99"/>
              </w:rPr>
            </w:pPr>
            <w:hyperlink r:id="rId185">
              <w:r>
                <w:rPr>
                  <w:rFonts w:ascii="Arial" w:cs="Arial" w:eastAsia="Arial" w:hAnsi="Arial"/>
                  <w:sz w:val="18"/>
                  <w:szCs w:val="18"/>
                  <w:color w:val="0000FF"/>
                  <w:w w:val="99"/>
                </w:rPr>
                <w:t>Second Amendment to Technology Products Services Agreement, dated as of March 29, 2013, by and between Ocwen Financial</w:t>
              </w:r>
            </w:hyperlink>
          </w:p>
        </w:tc>
      </w:tr>
      <w:tr>
        <w:trPr>
          <w:trHeight w:val="155"/>
        </w:trPr>
        <w:tc>
          <w:tcPr>
            <w:tcW w:w="1220" w:type="dxa"/>
            <w:vAlign w:val="bottom"/>
          </w:tcPr>
          <w:p>
            <w:pPr>
              <w:spacing w:after="0"/>
              <w:rPr>
                <w:sz w:val="13"/>
                <w:szCs w:val="13"/>
                <w:color w:val="auto"/>
              </w:rPr>
            </w:pPr>
          </w:p>
        </w:tc>
        <w:tc>
          <w:tcPr>
            <w:tcW w:w="10180" w:type="dxa"/>
            <w:vAlign w:val="bottom"/>
            <w:tcBorders>
              <w:top w:val="single" w:sz="8" w:color="0000FF"/>
            </w:tcBorders>
            <w:gridSpan w:val="18"/>
          </w:tcPr>
          <w:p>
            <w:pPr>
              <w:spacing w:after="0" w:line="156" w:lineRule="exact"/>
              <w:rPr>
                <w:rFonts w:ascii="Arial" w:cs="Arial" w:eastAsia="Arial" w:hAnsi="Arial"/>
                <w:sz w:val="18"/>
                <w:szCs w:val="18"/>
                <w:color w:val="0000FF"/>
                <w:w w:val="98"/>
              </w:rPr>
            </w:pPr>
            <w:hyperlink r:id="rId185">
              <w:r>
                <w:rPr>
                  <w:rFonts w:ascii="Arial" w:cs="Arial" w:eastAsia="Arial" w:hAnsi="Arial"/>
                  <w:sz w:val="18"/>
                  <w:szCs w:val="18"/>
                  <w:color w:val="0000FF"/>
                  <w:w w:val="98"/>
                </w:rPr>
                <w:t>Corporation and Altisource Solutions S.à r.l. (incorporated by reference to Exhibit 10.2 of the Company’s Form 8-K filed on April 4,</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220" w:type="dxa"/>
            <w:vAlign w:val="bottom"/>
          </w:tcPr>
          <w:p>
            <w:pPr>
              <w:spacing w:after="0"/>
              <w:rPr>
                <w:sz w:val="13"/>
                <w:szCs w:val="13"/>
                <w:color w:val="auto"/>
              </w:rPr>
            </w:pPr>
          </w:p>
        </w:tc>
        <w:tc>
          <w:tcPr>
            <w:tcW w:w="4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6"/>
              </w:rPr>
            </w:pPr>
            <w:hyperlink r:id="rId185">
              <w:r>
                <w:rPr>
                  <w:rFonts w:ascii="Arial" w:cs="Arial" w:eastAsia="Arial" w:hAnsi="Arial"/>
                  <w:sz w:val="18"/>
                  <w:szCs w:val="18"/>
                  <w:color w:val="0000FF"/>
                  <w:w w:val="86"/>
                </w:rPr>
                <w:t>2013)</w:t>
              </w:r>
            </w:hyperlink>
          </w:p>
        </w:tc>
        <w:tc>
          <w:tcPr>
            <w:tcW w:w="620" w:type="dxa"/>
            <w:vAlign w:val="bottom"/>
            <w:tcBorders>
              <w:top w:val="single" w:sz="8" w:color="0000FF"/>
            </w:tcBorders>
          </w:tcPr>
          <w:p>
            <w:pPr>
              <w:spacing w:after="0"/>
              <w:rPr>
                <w:sz w:val="13"/>
                <w:szCs w:val="13"/>
                <w:color w:val="auto"/>
              </w:rPr>
            </w:pPr>
          </w:p>
        </w:tc>
        <w:tc>
          <w:tcPr>
            <w:tcW w:w="62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19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220" w:type="dxa"/>
            <w:vAlign w:val="bottom"/>
          </w:tcPr>
          <w:p>
            <w:pPr>
              <w:ind w:left="20"/>
              <w:spacing w:after="0"/>
              <w:rPr>
                <w:rFonts w:ascii="Arial" w:cs="Arial" w:eastAsia="Arial" w:hAnsi="Arial"/>
                <w:sz w:val="18"/>
                <w:szCs w:val="18"/>
                <w:u w:val="single" w:color="auto"/>
                <w:color w:val="0000FF"/>
              </w:rPr>
            </w:pPr>
            <w:hyperlink r:id="rId186">
              <w:r>
                <w:rPr>
                  <w:rFonts w:ascii="Arial" w:cs="Arial" w:eastAsia="Arial" w:hAnsi="Arial"/>
                  <w:sz w:val="18"/>
                  <w:szCs w:val="18"/>
                  <w:u w:val="single" w:color="auto"/>
                  <w:color w:val="0000FF"/>
                </w:rPr>
                <w:t>10.38</w:t>
              </w:r>
            </w:hyperlink>
          </w:p>
        </w:tc>
        <w:tc>
          <w:tcPr>
            <w:tcW w:w="10300" w:type="dxa"/>
            <w:vAlign w:val="bottom"/>
            <w:gridSpan w:val="24"/>
          </w:tcPr>
          <w:p>
            <w:pPr>
              <w:spacing w:after="0"/>
              <w:rPr>
                <w:rFonts w:ascii="Arial" w:cs="Arial" w:eastAsia="Arial" w:hAnsi="Arial"/>
                <w:sz w:val="18"/>
                <w:szCs w:val="18"/>
                <w:color w:val="0000FF"/>
                <w:w w:val="96"/>
              </w:rPr>
            </w:pPr>
            <w:hyperlink r:id="rId186">
              <w:r>
                <w:rPr>
                  <w:rFonts w:ascii="Arial" w:cs="Arial" w:eastAsia="Arial" w:hAnsi="Arial"/>
                  <w:sz w:val="18"/>
                  <w:szCs w:val="18"/>
                  <w:color w:val="0000FF"/>
                  <w:w w:val="96"/>
                </w:rPr>
                <w:t>Second Amendment to Data Center and Disaster Recovery Services Agreement, dated as of March 29, 2013, by and between Ocwen</w:t>
              </w:r>
            </w:hyperlink>
          </w:p>
        </w:tc>
      </w:tr>
      <w:tr>
        <w:trPr>
          <w:trHeight w:val="156"/>
        </w:trPr>
        <w:tc>
          <w:tcPr>
            <w:tcW w:w="1220" w:type="dxa"/>
            <w:vAlign w:val="bottom"/>
          </w:tcPr>
          <w:p>
            <w:pPr>
              <w:spacing w:after="0"/>
              <w:rPr>
                <w:sz w:val="13"/>
                <w:szCs w:val="13"/>
                <w:color w:val="auto"/>
              </w:rPr>
            </w:pPr>
          </w:p>
        </w:tc>
        <w:tc>
          <w:tcPr>
            <w:tcW w:w="996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4"/>
              </w:rPr>
            </w:pPr>
            <w:hyperlink r:id="rId186">
              <w:r>
                <w:rPr>
                  <w:rFonts w:ascii="Arial" w:cs="Arial" w:eastAsia="Arial" w:hAnsi="Arial"/>
                  <w:sz w:val="18"/>
                  <w:szCs w:val="18"/>
                  <w:color w:val="0000FF"/>
                  <w:w w:val="94"/>
                </w:rPr>
                <w:t>Financial Corporation and Altisource Solutions S.à r.l. (incorporated by reference to Exhibit 10.3 of the Company’s Form 8-K filed on</w:t>
              </w:r>
            </w:hyperlink>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180" w:type="dxa"/>
            <w:vAlign w:val="bottom"/>
            <w:tcBorders>
              <w:bottom w:val="single" w:sz="8" w:color="0000FF"/>
            </w:tcBorders>
            <w:gridSpan w:val="9"/>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220" w:type="dxa"/>
            <w:vAlign w:val="bottom"/>
          </w:tcPr>
          <w:p>
            <w:pPr>
              <w:spacing w:after="0"/>
              <w:rPr>
                <w:sz w:val="13"/>
                <w:szCs w:val="13"/>
                <w:color w:val="auto"/>
              </w:rPr>
            </w:pPr>
          </w:p>
        </w:tc>
        <w:tc>
          <w:tcPr>
            <w:tcW w:w="1040" w:type="dxa"/>
            <w:vAlign w:val="bottom"/>
            <w:tcBorders>
              <w:bottom w:val="single" w:sz="8" w:color="0000FF"/>
            </w:tcBorders>
            <w:gridSpan w:val="2"/>
          </w:tcPr>
          <w:p>
            <w:pPr>
              <w:spacing w:after="0" w:line="156" w:lineRule="exact"/>
              <w:rPr>
                <w:rFonts w:ascii="Arial" w:cs="Arial" w:eastAsia="Arial" w:hAnsi="Arial"/>
                <w:sz w:val="18"/>
                <w:szCs w:val="18"/>
                <w:color w:val="0000FF"/>
                <w:w w:val="95"/>
              </w:rPr>
            </w:pPr>
            <w:hyperlink r:id="rId186">
              <w:r>
                <w:rPr>
                  <w:rFonts w:ascii="Arial" w:cs="Arial" w:eastAsia="Arial" w:hAnsi="Arial"/>
                  <w:sz w:val="18"/>
                  <w:szCs w:val="18"/>
                  <w:color w:val="0000FF"/>
                  <w:w w:val="95"/>
                </w:rPr>
                <w:t>April 4, 2013)</w:t>
              </w:r>
            </w:hyperlink>
          </w:p>
        </w:tc>
        <w:tc>
          <w:tcPr>
            <w:tcW w:w="9200" w:type="dxa"/>
            <w:vAlign w:val="bottom"/>
            <w:gridSpan w:val="19"/>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63"/>
        </w:trPr>
        <w:tc>
          <w:tcPr>
            <w:tcW w:w="1220" w:type="dxa"/>
            <w:vAlign w:val="bottom"/>
          </w:tcPr>
          <w:p>
            <w:pPr>
              <w:ind w:left="20"/>
              <w:spacing w:after="0"/>
              <w:rPr>
                <w:rFonts w:ascii="Arial" w:cs="Arial" w:eastAsia="Arial" w:hAnsi="Arial"/>
                <w:sz w:val="18"/>
                <w:szCs w:val="18"/>
                <w:u w:val="single" w:color="auto"/>
                <w:color w:val="0000FF"/>
              </w:rPr>
            </w:pPr>
            <w:hyperlink r:id="rId187">
              <w:r>
                <w:rPr>
                  <w:rFonts w:ascii="Arial" w:cs="Arial" w:eastAsia="Arial" w:hAnsi="Arial"/>
                  <w:sz w:val="18"/>
                  <w:szCs w:val="18"/>
                  <w:u w:val="single" w:color="auto"/>
                  <w:color w:val="0000FF"/>
                </w:rPr>
                <w:t>10.39</w:t>
              </w:r>
            </w:hyperlink>
          </w:p>
        </w:tc>
        <w:tc>
          <w:tcPr>
            <w:tcW w:w="10300" w:type="dxa"/>
            <w:vAlign w:val="bottom"/>
            <w:gridSpan w:val="24"/>
          </w:tcPr>
          <w:p>
            <w:pPr>
              <w:spacing w:after="0"/>
              <w:rPr>
                <w:rFonts w:ascii="Arial" w:cs="Arial" w:eastAsia="Arial" w:hAnsi="Arial"/>
                <w:sz w:val="18"/>
                <w:szCs w:val="18"/>
                <w:color w:val="0000FF"/>
                <w:w w:val="95"/>
              </w:rPr>
            </w:pPr>
            <w:hyperlink r:id="rId187">
              <w:r>
                <w:rPr>
                  <w:rFonts w:ascii="Arial" w:cs="Arial" w:eastAsia="Arial" w:hAnsi="Arial"/>
                  <w:sz w:val="18"/>
                  <w:szCs w:val="18"/>
                  <w:color w:val="0000FF"/>
                  <w:w w:val="95"/>
                </w:rPr>
                <w:t>Second Amendment to Intellectual Property Agreement, dated as of March 29, 2013, by and between Ocwen Financial Corporation and</w:t>
              </w:r>
            </w:hyperlink>
          </w:p>
        </w:tc>
      </w:tr>
      <w:tr>
        <w:trPr>
          <w:trHeight w:val="224"/>
        </w:trPr>
        <w:tc>
          <w:tcPr>
            <w:tcW w:w="1220" w:type="dxa"/>
            <w:vAlign w:val="bottom"/>
          </w:tcPr>
          <w:p>
            <w:pPr>
              <w:spacing w:after="0"/>
              <w:rPr>
                <w:sz w:val="19"/>
                <w:szCs w:val="19"/>
                <w:color w:val="auto"/>
              </w:rPr>
            </w:pPr>
          </w:p>
        </w:tc>
        <w:tc>
          <w:tcPr>
            <w:tcW w:w="10280" w:type="dxa"/>
            <w:vAlign w:val="bottom"/>
            <w:tcBorders>
              <w:top w:val="single" w:sz="8" w:color="0000FF"/>
            </w:tcBorders>
            <w:gridSpan w:val="23"/>
          </w:tcPr>
          <w:p>
            <w:pPr>
              <w:spacing w:after="0"/>
              <w:rPr>
                <w:rFonts w:ascii="Arial" w:cs="Arial" w:eastAsia="Arial" w:hAnsi="Arial"/>
                <w:sz w:val="18"/>
                <w:szCs w:val="18"/>
                <w:u w:val="single" w:color="auto"/>
                <w:color w:val="0000FF"/>
              </w:rPr>
            </w:pPr>
            <w:hyperlink r:id="rId187">
              <w:r>
                <w:rPr>
                  <w:rFonts w:ascii="Arial" w:cs="Arial" w:eastAsia="Arial" w:hAnsi="Arial"/>
                  <w:sz w:val="18"/>
                  <w:szCs w:val="18"/>
                  <w:u w:val="single" w:color="auto"/>
                  <w:color w:val="0000FF"/>
                </w:rPr>
                <w:t>Altisource Solutions S.à r.l. (incorporated by reference to Exhibit 10.4 of the Company’s Form 8-K filed on April 4, 2013)</w:t>
              </w:r>
            </w:hyperlink>
          </w:p>
        </w:tc>
        <w:tc>
          <w:tcPr>
            <w:tcW w:w="20" w:type="dxa"/>
            <w:vAlign w:val="bottom"/>
          </w:tcPr>
          <w:p>
            <w:pPr>
              <w:spacing w:after="0"/>
              <w:rPr>
                <w:sz w:val="19"/>
                <w:szCs w:val="19"/>
                <w:color w:val="auto"/>
              </w:rPr>
            </w:pPr>
          </w:p>
        </w:tc>
      </w:tr>
      <w:tr>
        <w:trPr>
          <w:trHeight w:val="215"/>
        </w:trPr>
        <w:tc>
          <w:tcPr>
            <w:tcW w:w="1220" w:type="dxa"/>
            <w:vAlign w:val="bottom"/>
          </w:tcPr>
          <w:p>
            <w:pPr>
              <w:ind w:left="20"/>
              <w:spacing w:after="0"/>
              <w:rPr>
                <w:rFonts w:ascii="Arial" w:cs="Arial" w:eastAsia="Arial" w:hAnsi="Arial"/>
                <w:sz w:val="18"/>
                <w:szCs w:val="18"/>
                <w:u w:val="single" w:color="auto"/>
                <w:color w:val="0000FF"/>
              </w:rPr>
            </w:pPr>
            <w:hyperlink r:id="rId188">
              <w:r>
                <w:rPr>
                  <w:rFonts w:ascii="Arial" w:cs="Arial" w:eastAsia="Arial" w:hAnsi="Arial"/>
                  <w:sz w:val="18"/>
                  <w:szCs w:val="18"/>
                  <w:u w:val="single" w:color="auto"/>
                  <w:color w:val="0000FF"/>
                </w:rPr>
                <w:t>10.40</w:t>
              </w:r>
            </w:hyperlink>
          </w:p>
        </w:tc>
        <w:tc>
          <w:tcPr>
            <w:tcW w:w="10300" w:type="dxa"/>
            <w:vAlign w:val="bottom"/>
            <w:gridSpan w:val="24"/>
          </w:tcPr>
          <w:p>
            <w:pPr>
              <w:spacing w:after="0"/>
              <w:rPr>
                <w:rFonts w:ascii="Arial" w:cs="Arial" w:eastAsia="Arial" w:hAnsi="Arial"/>
                <w:sz w:val="18"/>
                <w:szCs w:val="18"/>
                <w:color w:val="0000FF"/>
                <w:w w:val="96"/>
              </w:rPr>
            </w:pPr>
            <w:hyperlink r:id="rId188">
              <w:r>
                <w:rPr>
                  <w:rFonts w:ascii="Arial" w:cs="Arial" w:eastAsia="Arial" w:hAnsi="Arial"/>
                  <w:sz w:val="18"/>
                  <w:szCs w:val="18"/>
                  <w:color w:val="0000FF"/>
                  <w:w w:val="96"/>
                </w:rPr>
                <w:t>First Amendment to Services Agreement, dated as of March 29, 2013, by and between Ocwen Mortgage Servicing, Inc. and Altisource</w:t>
              </w:r>
            </w:hyperlink>
          </w:p>
        </w:tc>
      </w:tr>
      <w:tr>
        <w:trPr>
          <w:trHeight w:val="155"/>
        </w:trPr>
        <w:tc>
          <w:tcPr>
            <w:tcW w:w="1220" w:type="dxa"/>
            <w:vAlign w:val="bottom"/>
          </w:tcPr>
          <w:p>
            <w:pPr>
              <w:spacing w:after="0"/>
              <w:rPr>
                <w:sz w:val="13"/>
                <w:szCs w:val="13"/>
                <w:color w:val="auto"/>
              </w:rPr>
            </w:pPr>
          </w:p>
        </w:tc>
        <w:tc>
          <w:tcPr>
            <w:tcW w:w="802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2"/>
              </w:rPr>
            </w:pPr>
            <w:hyperlink r:id="rId188">
              <w:r>
                <w:rPr>
                  <w:rFonts w:ascii="Arial" w:cs="Arial" w:eastAsia="Arial" w:hAnsi="Arial"/>
                  <w:sz w:val="18"/>
                  <w:szCs w:val="18"/>
                  <w:color w:val="0000FF"/>
                  <w:w w:val="92"/>
                </w:rPr>
                <w:t>Solutions S.à r.l. (incorporated by reference to Exhibit 10.5 of the Company’s Form 8-K filed on April 4, 2013)</w:t>
              </w:r>
            </w:hyperlink>
          </w:p>
        </w:tc>
        <w:tc>
          <w:tcPr>
            <w:tcW w:w="2240" w:type="dxa"/>
            <w:vAlign w:val="bottom"/>
            <w:tcBorders>
              <w:top w:val="single" w:sz="8" w:color="0000FF"/>
            </w:tcBorders>
            <w:gridSpan w:val="16"/>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63"/>
        </w:trPr>
        <w:tc>
          <w:tcPr>
            <w:tcW w:w="1220" w:type="dxa"/>
            <w:vAlign w:val="bottom"/>
          </w:tcPr>
          <w:p>
            <w:pPr>
              <w:ind w:left="20"/>
              <w:spacing w:after="0"/>
              <w:rPr>
                <w:rFonts w:ascii="Arial" w:cs="Arial" w:eastAsia="Arial" w:hAnsi="Arial"/>
                <w:sz w:val="18"/>
                <w:szCs w:val="18"/>
                <w:u w:val="single" w:color="auto"/>
                <w:color w:val="0000FF"/>
              </w:rPr>
            </w:pPr>
            <w:hyperlink r:id="rId189">
              <w:r>
                <w:rPr>
                  <w:rFonts w:ascii="Arial" w:cs="Arial" w:eastAsia="Arial" w:hAnsi="Arial"/>
                  <w:sz w:val="18"/>
                  <w:szCs w:val="18"/>
                  <w:u w:val="single" w:color="auto"/>
                  <w:color w:val="0000FF"/>
                </w:rPr>
                <w:t>10.41</w:t>
              </w:r>
            </w:hyperlink>
          </w:p>
        </w:tc>
        <w:tc>
          <w:tcPr>
            <w:tcW w:w="10300" w:type="dxa"/>
            <w:vAlign w:val="bottom"/>
            <w:gridSpan w:val="24"/>
          </w:tcPr>
          <w:p>
            <w:pPr>
              <w:spacing w:after="0"/>
              <w:rPr>
                <w:rFonts w:ascii="Arial" w:cs="Arial" w:eastAsia="Arial" w:hAnsi="Arial"/>
                <w:sz w:val="18"/>
                <w:szCs w:val="18"/>
                <w:color w:val="0000FF"/>
                <w:w w:val="94"/>
              </w:rPr>
            </w:pPr>
            <w:hyperlink r:id="rId189">
              <w:r>
                <w:rPr>
                  <w:rFonts w:ascii="Arial" w:cs="Arial" w:eastAsia="Arial" w:hAnsi="Arial"/>
                  <w:sz w:val="18"/>
                  <w:szCs w:val="18"/>
                  <w:color w:val="0000FF"/>
                  <w:w w:val="94"/>
                </w:rPr>
                <w:t>First Amendment to Technology Products Services Agreement, dated as of March 29, 2013, by and between Ocwen Mortgage Servicing,</w:t>
              </w:r>
            </w:hyperlink>
          </w:p>
        </w:tc>
      </w:tr>
      <w:tr>
        <w:trPr>
          <w:trHeight w:val="224"/>
        </w:trPr>
        <w:tc>
          <w:tcPr>
            <w:tcW w:w="1220" w:type="dxa"/>
            <w:vAlign w:val="bottom"/>
          </w:tcPr>
          <w:p>
            <w:pPr>
              <w:spacing w:after="0"/>
              <w:rPr>
                <w:sz w:val="19"/>
                <w:szCs w:val="19"/>
                <w:color w:val="auto"/>
              </w:rPr>
            </w:pPr>
          </w:p>
        </w:tc>
        <w:tc>
          <w:tcPr>
            <w:tcW w:w="10220" w:type="dxa"/>
            <w:vAlign w:val="bottom"/>
            <w:tcBorders>
              <w:top w:val="single" w:sz="8" w:color="0000FF"/>
            </w:tcBorders>
            <w:gridSpan w:val="20"/>
          </w:tcPr>
          <w:p>
            <w:pPr>
              <w:spacing w:after="0"/>
              <w:rPr>
                <w:rFonts w:ascii="Arial" w:cs="Arial" w:eastAsia="Arial" w:hAnsi="Arial"/>
                <w:sz w:val="18"/>
                <w:szCs w:val="18"/>
                <w:u w:val="single" w:color="auto"/>
                <w:color w:val="0000FF"/>
              </w:rPr>
            </w:pPr>
            <w:hyperlink r:id="rId189">
              <w:r>
                <w:rPr>
                  <w:rFonts w:ascii="Arial" w:cs="Arial" w:eastAsia="Arial" w:hAnsi="Arial"/>
                  <w:sz w:val="18"/>
                  <w:szCs w:val="18"/>
                  <w:u w:val="single" w:color="auto"/>
                  <w:color w:val="0000FF"/>
                </w:rPr>
                <w:t>Inc. and Altisource Solutions S.à r.l. (incorporated by reference to Exhibit 10.6 of the Company’s Form 8-K filed on April 4, 2013)</w:t>
              </w:r>
            </w:hyperlink>
          </w:p>
        </w:tc>
        <w:tc>
          <w:tcPr>
            <w:tcW w:w="80" w:type="dxa"/>
            <w:vAlign w:val="bottom"/>
            <w:gridSpan w:val="4"/>
          </w:tcPr>
          <w:p>
            <w:pPr>
              <w:spacing w:after="0"/>
              <w:rPr>
                <w:sz w:val="19"/>
                <w:szCs w:val="19"/>
                <w:color w:val="auto"/>
              </w:rPr>
            </w:pPr>
          </w:p>
        </w:tc>
      </w:tr>
      <w:tr>
        <w:trPr>
          <w:trHeight w:val="215"/>
        </w:trPr>
        <w:tc>
          <w:tcPr>
            <w:tcW w:w="1220" w:type="dxa"/>
            <w:vAlign w:val="bottom"/>
          </w:tcPr>
          <w:p>
            <w:pPr>
              <w:ind w:left="20"/>
              <w:spacing w:after="0"/>
              <w:rPr>
                <w:rFonts w:ascii="Arial" w:cs="Arial" w:eastAsia="Arial" w:hAnsi="Arial"/>
                <w:sz w:val="18"/>
                <w:szCs w:val="18"/>
                <w:u w:val="single" w:color="auto"/>
                <w:color w:val="0000FF"/>
              </w:rPr>
            </w:pPr>
            <w:hyperlink r:id="rId190">
              <w:r>
                <w:rPr>
                  <w:rFonts w:ascii="Arial" w:cs="Arial" w:eastAsia="Arial" w:hAnsi="Arial"/>
                  <w:sz w:val="18"/>
                  <w:szCs w:val="18"/>
                  <w:u w:val="single" w:color="auto"/>
                  <w:color w:val="0000FF"/>
                </w:rPr>
                <w:t>10.42</w:t>
              </w:r>
            </w:hyperlink>
          </w:p>
        </w:tc>
        <w:tc>
          <w:tcPr>
            <w:tcW w:w="10300" w:type="dxa"/>
            <w:vAlign w:val="bottom"/>
            <w:gridSpan w:val="24"/>
          </w:tcPr>
          <w:p>
            <w:pPr>
              <w:spacing w:after="0"/>
              <w:rPr>
                <w:rFonts w:ascii="Arial" w:cs="Arial" w:eastAsia="Arial" w:hAnsi="Arial"/>
                <w:sz w:val="18"/>
                <w:szCs w:val="18"/>
                <w:color w:val="0000FF"/>
                <w:w w:val="98"/>
              </w:rPr>
            </w:pPr>
            <w:hyperlink r:id="rId190">
              <w:r>
                <w:rPr>
                  <w:rFonts w:ascii="Arial" w:cs="Arial" w:eastAsia="Arial" w:hAnsi="Arial"/>
                  <w:sz w:val="18"/>
                  <w:szCs w:val="18"/>
                  <w:color w:val="0000FF"/>
                  <w:w w:val="98"/>
                </w:rPr>
                <w:t>First Amendment to Data Center and Disaster Recovery Services Agreement, dated as of March 29, 2013, by and between Ocwen</w:t>
              </w:r>
            </w:hyperlink>
          </w:p>
        </w:tc>
      </w:tr>
      <w:tr>
        <w:trPr>
          <w:trHeight w:val="155"/>
        </w:trPr>
        <w:tc>
          <w:tcPr>
            <w:tcW w:w="1220" w:type="dxa"/>
            <w:vAlign w:val="bottom"/>
          </w:tcPr>
          <w:p>
            <w:pPr>
              <w:spacing w:after="0"/>
              <w:rPr>
                <w:sz w:val="13"/>
                <w:szCs w:val="13"/>
                <w:color w:val="auto"/>
              </w:rPr>
            </w:pPr>
          </w:p>
        </w:tc>
        <w:tc>
          <w:tcPr>
            <w:tcW w:w="10040" w:type="dxa"/>
            <w:vAlign w:val="bottom"/>
            <w:tcBorders>
              <w:top w:val="single" w:sz="8" w:color="0000FF"/>
            </w:tcBorders>
            <w:gridSpan w:val="11"/>
          </w:tcPr>
          <w:p>
            <w:pPr>
              <w:spacing w:after="0" w:line="156" w:lineRule="exact"/>
              <w:rPr>
                <w:rFonts w:ascii="Arial" w:cs="Arial" w:eastAsia="Arial" w:hAnsi="Arial"/>
                <w:sz w:val="18"/>
                <w:szCs w:val="18"/>
                <w:color w:val="0000FF"/>
                <w:w w:val="93"/>
              </w:rPr>
            </w:pPr>
            <w:hyperlink r:id="rId190">
              <w:r>
                <w:rPr>
                  <w:rFonts w:ascii="Arial" w:cs="Arial" w:eastAsia="Arial" w:hAnsi="Arial"/>
                  <w:sz w:val="18"/>
                  <w:szCs w:val="18"/>
                  <w:color w:val="0000FF"/>
                  <w:w w:val="93"/>
                </w:rPr>
                <w:t>Mortgage Servicing, Inc. and Altisource Solutions S.à r.l. (incorporated by reference to Exhibit 10.7 of the Company’s Form 8-K filed on</w:t>
              </w:r>
            </w:hyperlink>
          </w:p>
        </w:tc>
        <w:tc>
          <w:tcPr>
            <w:tcW w:w="260" w:type="dxa"/>
            <w:vAlign w:val="bottom"/>
            <w:gridSpan w:val="13"/>
          </w:tcPr>
          <w:p>
            <w:pPr>
              <w:spacing w:after="0"/>
              <w:rPr>
                <w:sz w:val="13"/>
                <w:szCs w:val="13"/>
                <w:color w:val="auto"/>
              </w:rPr>
            </w:pPr>
          </w:p>
        </w:tc>
      </w:tr>
      <w:tr>
        <w:trPr>
          <w:trHeight w:val="155"/>
        </w:trPr>
        <w:tc>
          <w:tcPr>
            <w:tcW w:w="1220" w:type="dxa"/>
            <w:vAlign w:val="bottom"/>
          </w:tcPr>
          <w:p>
            <w:pPr>
              <w:spacing w:after="0"/>
              <w:rPr>
                <w:sz w:val="13"/>
                <w:szCs w:val="13"/>
                <w:color w:val="auto"/>
              </w:rPr>
            </w:pPr>
          </w:p>
        </w:tc>
        <w:tc>
          <w:tcPr>
            <w:tcW w:w="10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5"/>
              </w:rPr>
            </w:pPr>
            <w:hyperlink r:id="rId190">
              <w:r>
                <w:rPr>
                  <w:rFonts w:ascii="Arial" w:cs="Arial" w:eastAsia="Arial" w:hAnsi="Arial"/>
                  <w:sz w:val="18"/>
                  <w:szCs w:val="18"/>
                  <w:color w:val="0000FF"/>
                  <w:w w:val="95"/>
                </w:rPr>
                <w:t>April 4, 2013)</w:t>
              </w:r>
            </w:hyperlink>
          </w:p>
        </w:tc>
        <w:tc>
          <w:tcPr>
            <w:tcW w:w="9160" w:type="dxa"/>
            <w:vAlign w:val="bottom"/>
            <w:tcBorders>
              <w:top w:val="single" w:sz="8" w:color="0000FF"/>
            </w:tcBorders>
            <w:gridSpan w:val="17"/>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63"/>
        </w:trPr>
        <w:tc>
          <w:tcPr>
            <w:tcW w:w="1220" w:type="dxa"/>
            <w:vAlign w:val="bottom"/>
          </w:tcPr>
          <w:p>
            <w:pPr>
              <w:ind w:left="20"/>
              <w:spacing w:after="0"/>
              <w:rPr>
                <w:rFonts w:ascii="Arial" w:cs="Arial" w:eastAsia="Arial" w:hAnsi="Arial"/>
                <w:sz w:val="18"/>
                <w:szCs w:val="18"/>
                <w:u w:val="single" w:color="auto"/>
                <w:color w:val="0000FF"/>
              </w:rPr>
            </w:pPr>
            <w:hyperlink r:id="rId191">
              <w:r>
                <w:rPr>
                  <w:rFonts w:ascii="Arial" w:cs="Arial" w:eastAsia="Arial" w:hAnsi="Arial"/>
                  <w:sz w:val="18"/>
                  <w:szCs w:val="18"/>
                  <w:u w:val="single" w:color="auto"/>
                  <w:color w:val="0000FF"/>
                </w:rPr>
                <w:t>10.43</w:t>
              </w:r>
            </w:hyperlink>
          </w:p>
        </w:tc>
        <w:tc>
          <w:tcPr>
            <w:tcW w:w="10300" w:type="dxa"/>
            <w:vAlign w:val="bottom"/>
            <w:gridSpan w:val="24"/>
          </w:tcPr>
          <w:p>
            <w:pPr>
              <w:spacing w:after="0"/>
              <w:rPr>
                <w:rFonts w:ascii="Arial" w:cs="Arial" w:eastAsia="Arial" w:hAnsi="Arial"/>
                <w:sz w:val="18"/>
                <w:szCs w:val="18"/>
                <w:color w:val="0000FF"/>
                <w:w w:val="95"/>
              </w:rPr>
            </w:pPr>
            <w:hyperlink r:id="rId191">
              <w:r>
                <w:rPr>
                  <w:rFonts w:ascii="Arial" w:cs="Arial" w:eastAsia="Arial" w:hAnsi="Arial"/>
                  <w:sz w:val="18"/>
                  <w:szCs w:val="18"/>
                  <w:color w:val="0000FF"/>
                  <w:w w:val="95"/>
                </w:rPr>
                <w:t>First Amendment to Intellectual Property Agreement, dated as of March 29, 2013, by and between Ocwen Mortgage Servicing, Inc. and</w:t>
              </w:r>
            </w:hyperlink>
          </w:p>
        </w:tc>
      </w:tr>
      <w:tr>
        <w:trPr>
          <w:trHeight w:val="224"/>
        </w:trPr>
        <w:tc>
          <w:tcPr>
            <w:tcW w:w="1220" w:type="dxa"/>
            <w:vAlign w:val="bottom"/>
          </w:tcPr>
          <w:p>
            <w:pPr>
              <w:spacing w:after="0"/>
              <w:rPr>
                <w:sz w:val="19"/>
                <w:szCs w:val="19"/>
                <w:color w:val="auto"/>
              </w:rPr>
            </w:pPr>
          </w:p>
        </w:tc>
        <w:tc>
          <w:tcPr>
            <w:tcW w:w="9980" w:type="dxa"/>
            <w:vAlign w:val="bottom"/>
            <w:tcBorders>
              <w:top w:val="single" w:sz="8" w:color="0000FF"/>
            </w:tcBorders>
            <w:gridSpan w:val="8"/>
          </w:tcPr>
          <w:p>
            <w:pPr>
              <w:spacing w:after="0"/>
              <w:rPr>
                <w:rFonts w:ascii="Arial" w:cs="Arial" w:eastAsia="Arial" w:hAnsi="Arial"/>
                <w:sz w:val="18"/>
                <w:szCs w:val="18"/>
                <w:u w:val="single" w:color="auto"/>
                <w:color w:val="0000FF"/>
              </w:rPr>
            </w:pPr>
            <w:hyperlink r:id="rId191">
              <w:r>
                <w:rPr>
                  <w:rFonts w:ascii="Arial" w:cs="Arial" w:eastAsia="Arial" w:hAnsi="Arial"/>
                  <w:sz w:val="18"/>
                  <w:szCs w:val="18"/>
                  <w:u w:val="single" w:color="auto"/>
                  <w:color w:val="0000FF"/>
                </w:rPr>
                <w:t>Altisource Solutions S.à r.l. (incorporated by reference to Exhibit 10.8 of the Company’s Form 8-K filed on April 4, 2013)</w:t>
              </w:r>
            </w:hyperlink>
          </w:p>
        </w:tc>
        <w:tc>
          <w:tcPr>
            <w:tcW w:w="320" w:type="dxa"/>
            <w:vAlign w:val="bottom"/>
            <w:gridSpan w:val="16"/>
          </w:tcPr>
          <w:p>
            <w:pPr>
              <w:spacing w:after="0"/>
              <w:rPr>
                <w:sz w:val="19"/>
                <w:szCs w:val="19"/>
                <w:color w:val="auto"/>
              </w:rPr>
            </w:pPr>
          </w:p>
        </w:tc>
      </w:tr>
      <w:tr>
        <w:trPr>
          <w:trHeight w:val="755"/>
        </w:trPr>
        <w:tc>
          <w:tcPr>
            <w:tcW w:w="1220" w:type="dxa"/>
            <w:vAlign w:val="bottom"/>
          </w:tcPr>
          <w:p>
            <w:pPr>
              <w:spacing w:after="0"/>
              <w:rPr>
                <w:sz w:val="24"/>
                <w:szCs w:val="24"/>
                <w:color w:val="auto"/>
              </w:rPr>
            </w:pPr>
          </w:p>
        </w:tc>
        <w:tc>
          <w:tcPr>
            <w:tcW w:w="7240" w:type="dxa"/>
            <w:vAlign w:val="bottom"/>
            <w:gridSpan w:val="3"/>
          </w:tcPr>
          <w:p>
            <w:pPr>
              <w:ind w:left="4320"/>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2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jc w:val="right"/>
              <w:spacing w:after="0"/>
              <w:rPr>
                <w:rFonts w:ascii="Arial" w:cs="Arial" w:eastAsia="Arial" w:hAnsi="Arial"/>
                <w:sz w:val="18"/>
                <w:szCs w:val="18"/>
                <w:u w:val="single" w:color="auto"/>
                <w:color w:val="0000FF"/>
                <w:w w:val="93"/>
              </w:rPr>
            </w:pPr>
            <w:hyperlink r:id="rId194">
              <w:r>
                <w:rPr>
                  <w:rFonts w:ascii="Arial" w:cs="Arial" w:eastAsia="Arial" w:hAnsi="Arial"/>
                  <w:sz w:val="18"/>
                  <w:szCs w:val="18"/>
                  <w:u w:val="single" w:color="auto"/>
                  <w:color w:val="0000FF"/>
                  <w:w w:val="93"/>
                </w:rPr>
                <w:t>10.44</w:t>
              </w:r>
            </w:hyperlink>
          </w:p>
        </w:tc>
        <w:tc>
          <w:tcPr>
            <w:tcW w:w="760" w:type="dxa"/>
            <w:vAlign w:val="bottom"/>
          </w:tcPr>
          <w:p>
            <w:pPr>
              <w:spacing w:after="0"/>
              <w:rPr>
                <w:sz w:val="17"/>
                <w:szCs w:val="17"/>
                <w:color w:val="auto"/>
              </w:rPr>
            </w:pPr>
          </w:p>
        </w:tc>
        <w:tc>
          <w:tcPr>
            <w:tcW w:w="10340" w:type="dxa"/>
            <w:vAlign w:val="bottom"/>
            <w:gridSpan w:val="36"/>
          </w:tcPr>
          <w:p>
            <w:pPr>
              <w:spacing w:after="0"/>
              <w:rPr>
                <w:rFonts w:ascii="Arial" w:cs="Arial" w:eastAsia="Arial" w:hAnsi="Arial"/>
                <w:sz w:val="18"/>
                <w:szCs w:val="18"/>
                <w:color w:val="0000FF"/>
                <w:w w:val="96"/>
              </w:rPr>
            </w:pPr>
            <w:hyperlink r:id="rId194">
              <w:r>
                <w:rPr>
                  <w:rFonts w:ascii="Arial" w:cs="Arial" w:eastAsia="Arial" w:hAnsi="Arial"/>
                  <w:sz w:val="18"/>
                  <w:szCs w:val="18"/>
                  <w:color w:val="0000FF"/>
                  <w:w w:val="96"/>
                </w:rPr>
                <w:t>Agreement, dated as of April 12, 2013, by and among Altisource Solutions S.à r.l., Ocwen Financial Corporation and Ocwen Mortgage</w:t>
              </w:r>
            </w:hyperlink>
          </w:p>
        </w:tc>
      </w:tr>
      <w:tr>
        <w:trPr>
          <w:trHeight w:val="156"/>
        </w:trPr>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98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2"/>
              </w:rPr>
            </w:pPr>
            <w:hyperlink r:id="rId194">
              <w:r>
                <w:rPr>
                  <w:rFonts w:ascii="Arial" w:cs="Arial" w:eastAsia="Arial" w:hAnsi="Arial"/>
                  <w:sz w:val="18"/>
                  <w:szCs w:val="18"/>
                  <w:color w:val="0000FF"/>
                  <w:w w:val="92"/>
                </w:rPr>
                <w:t>Servicing, Inc. (incorporated by reference to Exhibit 10.1 of the Company’s Form 8-K filed on April 18, 2013)</w:t>
              </w:r>
            </w:hyperlink>
          </w:p>
        </w:tc>
        <w:tc>
          <w:tcPr>
            <w:tcW w:w="222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460" w:type="dxa"/>
            <w:vAlign w:val="bottom"/>
          </w:tcPr>
          <w:p>
            <w:pPr>
              <w:jc w:val="right"/>
              <w:spacing w:after="0"/>
              <w:rPr>
                <w:rFonts w:ascii="Arial" w:cs="Arial" w:eastAsia="Arial" w:hAnsi="Arial"/>
                <w:sz w:val="18"/>
                <w:szCs w:val="18"/>
                <w:u w:val="single" w:color="auto"/>
                <w:color w:val="0000FF"/>
                <w:w w:val="93"/>
              </w:rPr>
            </w:pPr>
            <w:hyperlink r:id="rId195">
              <w:r>
                <w:rPr>
                  <w:rFonts w:ascii="Arial" w:cs="Arial" w:eastAsia="Arial" w:hAnsi="Arial"/>
                  <w:sz w:val="18"/>
                  <w:szCs w:val="18"/>
                  <w:u w:val="single" w:color="auto"/>
                  <w:color w:val="0000FF"/>
                  <w:w w:val="93"/>
                </w:rPr>
                <w:t>10.45</w:t>
              </w:r>
            </w:hyperlink>
          </w:p>
        </w:tc>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10340" w:type="dxa"/>
            <w:vAlign w:val="bottom"/>
            <w:gridSpan w:val="36"/>
          </w:tcPr>
          <w:p>
            <w:pPr>
              <w:spacing w:after="0"/>
              <w:rPr>
                <w:rFonts w:ascii="Arial" w:cs="Arial" w:eastAsia="Arial" w:hAnsi="Arial"/>
                <w:sz w:val="18"/>
                <w:szCs w:val="18"/>
                <w:color w:val="0000FF"/>
                <w:w w:val="99"/>
              </w:rPr>
            </w:pPr>
            <w:hyperlink r:id="rId195">
              <w:r>
                <w:rPr>
                  <w:rFonts w:ascii="Arial" w:cs="Arial" w:eastAsia="Arial" w:hAnsi="Arial"/>
                  <w:sz w:val="18"/>
                  <w:szCs w:val="18"/>
                  <w:color w:val="0000FF"/>
                  <w:w w:val="99"/>
                </w:rPr>
                <w:t>Form of Cash Retention Award Agreement (incorporated by reference to Exhibit 10.1 of the Company’s Form 8-K filed on April 21,</w:t>
              </w:r>
            </w:hyperlink>
          </w:p>
        </w:tc>
      </w:tr>
      <w:tr>
        <w:trPr>
          <w:trHeight w:val="155"/>
        </w:trPr>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r:id="rId195">
              <w:r>
                <w:rPr>
                  <w:rFonts w:ascii="Arial" w:cs="Arial" w:eastAsia="Arial" w:hAnsi="Arial"/>
                  <w:sz w:val="18"/>
                  <w:szCs w:val="18"/>
                  <w:color w:val="0000FF"/>
                </w:rPr>
                <w:t>2015)</w:t>
              </w:r>
            </w:hyperlink>
          </w:p>
        </w:tc>
        <w:tc>
          <w:tcPr>
            <w:tcW w:w="22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11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300" w:type="dxa"/>
            <w:vAlign w:val="bottom"/>
            <w:tcBorders>
              <w:top w:val="single" w:sz="8" w:color="0000FF"/>
            </w:tcBorders>
          </w:tcPr>
          <w:p>
            <w:pPr>
              <w:spacing w:after="0"/>
              <w:rPr>
                <w:sz w:val="13"/>
                <w:szCs w:val="13"/>
                <w:color w:val="auto"/>
              </w:rPr>
            </w:pPr>
          </w:p>
        </w:tc>
        <w:tc>
          <w:tcPr>
            <w:tcW w:w="122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9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460" w:type="dxa"/>
            <w:vAlign w:val="bottom"/>
          </w:tcPr>
          <w:p>
            <w:pPr>
              <w:jc w:val="right"/>
              <w:spacing w:after="0"/>
              <w:rPr>
                <w:rFonts w:ascii="Arial" w:cs="Arial" w:eastAsia="Arial" w:hAnsi="Arial"/>
                <w:sz w:val="18"/>
                <w:szCs w:val="18"/>
                <w:u w:val="single" w:color="auto"/>
                <w:color w:val="0000FF"/>
                <w:w w:val="93"/>
              </w:rPr>
            </w:pPr>
            <w:hyperlink r:id="rId196">
              <w:r>
                <w:rPr>
                  <w:rFonts w:ascii="Arial" w:cs="Arial" w:eastAsia="Arial" w:hAnsi="Arial"/>
                  <w:sz w:val="18"/>
                  <w:szCs w:val="18"/>
                  <w:u w:val="single" w:color="auto"/>
                  <w:color w:val="0000FF"/>
                  <w:w w:val="93"/>
                </w:rPr>
                <w:t>10.46</w:t>
              </w:r>
            </w:hyperlink>
          </w:p>
        </w:tc>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10340" w:type="dxa"/>
            <w:vAlign w:val="bottom"/>
            <w:gridSpan w:val="36"/>
          </w:tcPr>
          <w:p>
            <w:pPr>
              <w:spacing w:after="0"/>
              <w:rPr>
                <w:rFonts w:ascii="Arial" w:cs="Arial" w:eastAsia="Arial" w:hAnsi="Arial"/>
                <w:sz w:val="18"/>
                <w:szCs w:val="18"/>
                <w:color w:val="0000FF"/>
                <w:w w:val="99"/>
              </w:rPr>
            </w:pPr>
            <w:hyperlink r:id="rId196">
              <w:r>
                <w:rPr>
                  <w:rFonts w:ascii="Arial" w:cs="Arial" w:eastAsia="Arial" w:hAnsi="Arial"/>
                  <w:sz w:val="18"/>
                  <w:szCs w:val="18"/>
                  <w:color w:val="0000FF"/>
                  <w:w w:val="99"/>
                </w:rPr>
                <w:t>Form of Restricted Stock Award Agreement (incorporated by reference to Exhibit 10.2 of the Company’s Form 8-K filed on April 21,</w:t>
              </w:r>
            </w:hyperlink>
          </w:p>
        </w:tc>
      </w:tr>
      <w:tr>
        <w:trPr>
          <w:trHeight w:val="156"/>
        </w:trPr>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r:id="rId196">
              <w:r>
                <w:rPr>
                  <w:rFonts w:ascii="Arial" w:cs="Arial" w:eastAsia="Arial" w:hAnsi="Arial"/>
                  <w:sz w:val="18"/>
                  <w:szCs w:val="18"/>
                  <w:color w:val="0000FF"/>
                </w:rPr>
                <w:t>2015)</w:t>
              </w:r>
            </w:hyperlink>
          </w:p>
        </w:tc>
        <w:tc>
          <w:tcPr>
            <w:tcW w:w="22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11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300" w:type="dxa"/>
            <w:vAlign w:val="bottom"/>
            <w:tcBorders>
              <w:top w:val="single" w:sz="8" w:color="0000FF"/>
            </w:tcBorders>
          </w:tcPr>
          <w:p>
            <w:pPr>
              <w:spacing w:after="0"/>
              <w:rPr>
                <w:sz w:val="13"/>
                <w:szCs w:val="13"/>
                <w:color w:val="auto"/>
              </w:rPr>
            </w:pPr>
          </w:p>
        </w:tc>
        <w:tc>
          <w:tcPr>
            <w:tcW w:w="122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9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460" w:type="dxa"/>
            <w:vAlign w:val="bottom"/>
          </w:tcPr>
          <w:p>
            <w:pPr>
              <w:jc w:val="right"/>
              <w:spacing w:after="0"/>
              <w:rPr>
                <w:rFonts w:ascii="Arial" w:cs="Arial" w:eastAsia="Arial" w:hAnsi="Arial"/>
                <w:sz w:val="18"/>
                <w:szCs w:val="18"/>
                <w:u w:val="single" w:color="auto"/>
                <w:color w:val="0000FF"/>
                <w:w w:val="93"/>
              </w:rPr>
            </w:pPr>
            <w:hyperlink r:id="rId197">
              <w:r>
                <w:rPr>
                  <w:rFonts w:ascii="Arial" w:cs="Arial" w:eastAsia="Arial" w:hAnsi="Arial"/>
                  <w:sz w:val="18"/>
                  <w:szCs w:val="18"/>
                  <w:u w:val="single" w:color="auto"/>
                  <w:color w:val="0000FF"/>
                  <w:w w:val="93"/>
                </w:rPr>
                <w:t>10.47</w:t>
              </w:r>
            </w:hyperlink>
          </w:p>
        </w:tc>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10340" w:type="dxa"/>
            <w:vAlign w:val="bottom"/>
            <w:gridSpan w:val="36"/>
          </w:tcPr>
          <w:p>
            <w:pPr>
              <w:spacing w:after="0"/>
              <w:rPr>
                <w:rFonts w:ascii="Arial" w:cs="Arial" w:eastAsia="Arial" w:hAnsi="Arial"/>
                <w:sz w:val="18"/>
                <w:szCs w:val="18"/>
                <w:color w:val="0000FF"/>
                <w:w w:val="96"/>
              </w:rPr>
            </w:pPr>
            <w:hyperlink r:id="rId197">
              <w:r>
                <w:rPr>
                  <w:rFonts w:ascii="Arial" w:cs="Arial" w:eastAsia="Arial" w:hAnsi="Arial"/>
                  <w:sz w:val="18"/>
                  <w:szCs w:val="18"/>
                  <w:color w:val="0000FF"/>
                  <w:w w:val="96"/>
                </w:rPr>
                <w:t>Form of Non-Qualified Stock Option Award Agreement (incorporated by reference to Exhibit 10.3 of the Company’s Form 10-Q filed on</w:t>
              </w:r>
            </w:hyperlink>
          </w:p>
        </w:tc>
      </w:tr>
      <w:tr>
        <w:trPr>
          <w:trHeight w:val="156"/>
        </w:trPr>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96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97">
              <w:r>
                <w:rPr>
                  <w:rFonts w:ascii="Arial" w:cs="Arial" w:eastAsia="Arial" w:hAnsi="Arial"/>
                  <w:sz w:val="18"/>
                  <w:szCs w:val="18"/>
                  <w:color w:val="0000FF"/>
                </w:rPr>
                <w:t>July 23, 2015)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460" w:type="dxa"/>
            <w:vAlign w:val="bottom"/>
          </w:tcPr>
          <w:p>
            <w:pPr>
              <w:jc w:val="right"/>
              <w:spacing w:after="0"/>
              <w:rPr>
                <w:rFonts w:ascii="Arial" w:cs="Arial" w:eastAsia="Arial" w:hAnsi="Arial"/>
                <w:sz w:val="18"/>
                <w:szCs w:val="18"/>
                <w:u w:val="single" w:color="auto"/>
                <w:color w:val="0000FF"/>
                <w:w w:val="93"/>
              </w:rPr>
            </w:pPr>
            <w:hyperlink r:id="rId198">
              <w:r>
                <w:rPr>
                  <w:rFonts w:ascii="Arial" w:cs="Arial" w:eastAsia="Arial" w:hAnsi="Arial"/>
                  <w:sz w:val="18"/>
                  <w:szCs w:val="18"/>
                  <w:u w:val="single" w:color="auto"/>
                  <w:color w:val="0000FF"/>
                  <w:w w:val="93"/>
                </w:rPr>
                <w:t>10.48</w:t>
              </w:r>
            </w:hyperlink>
          </w:p>
        </w:tc>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10340" w:type="dxa"/>
            <w:vAlign w:val="bottom"/>
            <w:gridSpan w:val="36"/>
          </w:tcPr>
          <w:p>
            <w:pPr>
              <w:spacing w:after="0"/>
              <w:rPr>
                <w:rFonts w:ascii="Arial" w:cs="Arial" w:eastAsia="Arial" w:hAnsi="Arial"/>
                <w:sz w:val="18"/>
                <w:szCs w:val="18"/>
                <w:color w:val="0000FF"/>
                <w:w w:val="94"/>
              </w:rPr>
            </w:pPr>
            <w:hyperlink r:id="rId198">
              <w:r>
                <w:rPr>
                  <w:rFonts w:ascii="Arial" w:cs="Arial" w:eastAsia="Arial" w:hAnsi="Arial"/>
                  <w:sz w:val="18"/>
                  <w:szCs w:val="18"/>
                  <w:color w:val="0000FF"/>
                  <w:w w:val="94"/>
                </w:rPr>
                <w:t>Amended and Restated Employment Agreement effective as of October 1, 2014 between Altisource Solutions S.à r.l. and Gregory J. Ritts</w:t>
              </w:r>
            </w:hyperlink>
          </w:p>
        </w:tc>
      </w:tr>
      <w:tr>
        <w:trPr>
          <w:trHeight w:val="155"/>
        </w:trPr>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18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198">
              <w:r>
                <w:rPr>
                  <w:rFonts w:ascii="Arial" w:cs="Arial" w:eastAsia="Arial" w:hAnsi="Arial"/>
                  <w:sz w:val="18"/>
                  <w:szCs w:val="18"/>
                  <w:color w:val="0000FF"/>
                </w:rPr>
                <w:t>(incorporated by reference to Exhibit 10.63 of the Company’s Form 10-K filed on March 15, 2016)</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460" w:type="dxa"/>
            <w:vAlign w:val="bottom"/>
          </w:tcPr>
          <w:p>
            <w:pPr>
              <w:jc w:val="right"/>
              <w:spacing w:after="0"/>
              <w:rPr>
                <w:rFonts w:ascii="Arial" w:cs="Arial" w:eastAsia="Arial" w:hAnsi="Arial"/>
                <w:sz w:val="18"/>
                <w:szCs w:val="18"/>
                <w:u w:val="single" w:color="auto"/>
                <w:color w:val="0000FF"/>
                <w:w w:val="93"/>
              </w:rPr>
            </w:pPr>
            <w:hyperlink r:id="rId199">
              <w:r>
                <w:rPr>
                  <w:rFonts w:ascii="Arial" w:cs="Arial" w:eastAsia="Arial" w:hAnsi="Arial"/>
                  <w:sz w:val="18"/>
                  <w:szCs w:val="18"/>
                  <w:u w:val="single" w:color="auto"/>
                  <w:color w:val="0000FF"/>
                  <w:w w:val="93"/>
                </w:rPr>
                <w:t>10.49</w:t>
              </w:r>
            </w:hyperlink>
          </w:p>
        </w:tc>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10340" w:type="dxa"/>
            <w:vAlign w:val="bottom"/>
            <w:gridSpan w:val="36"/>
          </w:tcPr>
          <w:p>
            <w:pPr>
              <w:spacing w:after="0"/>
              <w:rPr>
                <w:rFonts w:ascii="Arial" w:cs="Arial" w:eastAsia="Arial" w:hAnsi="Arial"/>
                <w:sz w:val="18"/>
                <w:szCs w:val="18"/>
                <w:color w:val="0000FF"/>
                <w:w w:val="95"/>
              </w:rPr>
            </w:pPr>
            <w:hyperlink r:id="rId199">
              <w:r>
                <w:rPr>
                  <w:rFonts w:ascii="Arial" w:cs="Arial" w:eastAsia="Arial" w:hAnsi="Arial"/>
                  <w:sz w:val="18"/>
                  <w:szCs w:val="18"/>
                  <w:color w:val="0000FF"/>
                  <w:w w:val="95"/>
                </w:rPr>
                <w:t>Non-Qualified Stock Option Award Agreement between the Company and Gregory J. Ritts dated as of August 29, 2016 (incorporated by</w:t>
              </w:r>
            </w:hyperlink>
          </w:p>
        </w:tc>
      </w:tr>
      <w:tr>
        <w:trPr>
          <w:trHeight w:val="156"/>
        </w:trPr>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4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199">
              <w:r>
                <w:rPr>
                  <w:rFonts w:ascii="Arial" w:cs="Arial" w:eastAsia="Arial" w:hAnsi="Arial"/>
                  <w:sz w:val="18"/>
                  <w:szCs w:val="18"/>
                  <w:color w:val="0000FF"/>
                </w:rPr>
                <w:t>reference to Exhibit 10.1 of the Company’s Form 10-Q filed on October 27, 2016)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460" w:type="dxa"/>
            <w:vAlign w:val="bottom"/>
          </w:tcPr>
          <w:p>
            <w:pPr>
              <w:jc w:val="right"/>
              <w:spacing w:after="0"/>
              <w:rPr>
                <w:rFonts w:ascii="Arial" w:cs="Arial" w:eastAsia="Arial" w:hAnsi="Arial"/>
                <w:sz w:val="18"/>
                <w:szCs w:val="18"/>
                <w:u w:val="single" w:color="auto"/>
                <w:color w:val="0000FF"/>
                <w:w w:val="93"/>
              </w:rPr>
            </w:pPr>
            <w:hyperlink r:id="rId200">
              <w:r>
                <w:rPr>
                  <w:rFonts w:ascii="Arial" w:cs="Arial" w:eastAsia="Arial" w:hAnsi="Arial"/>
                  <w:sz w:val="18"/>
                  <w:szCs w:val="18"/>
                  <w:u w:val="single" w:color="auto"/>
                  <w:color w:val="0000FF"/>
                  <w:w w:val="93"/>
                </w:rPr>
                <w:t>10.50</w:t>
              </w:r>
            </w:hyperlink>
          </w:p>
        </w:tc>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10340" w:type="dxa"/>
            <w:vAlign w:val="bottom"/>
            <w:gridSpan w:val="36"/>
          </w:tcPr>
          <w:p>
            <w:pPr>
              <w:spacing w:after="0"/>
              <w:rPr>
                <w:rFonts w:ascii="Arial" w:cs="Arial" w:eastAsia="Arial" w:hAnsi="Arial"/>
                <w:sz w:val="18"/>
                <w:szCs w:val="18"/>
                <w:color w:val="0000FF"/>
                <w:w w:val="99"/>
              </w:rPr>
            </w:pPr>
            <w:hyperlink r:id="rId200">
              <w:r>
                <w:rPr>
                  <w:rFonts w:ascii="Arial" w:cs="Arial" w:eastAsia="Arial" w:hAnsi="Arial"/>
                  <w:sz w:val="18"/>
                  <w:szCs w:val="18"/>
                  <w:color w:val="0000FF"/>
                  <w:w w:val="99"/>
                </w:rPr>
                <w:t>Form of Director Restricted Share Award Agreement (incorporated by reference to Exhibit 10.1 of the Company’s Form 8-K filed on</w:t>
              </w:r>
            </w:hyperlink>
          </w:p>
        </w:tc>
      </w:tr>
      <w:tr>
        <w:trPr>
          <w:trHeight w:val="156"/>
        </w:trPr>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98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200">
              <w:r>
                <w:rPr>
                  <w:rFonts w:ascii="Arial" w:cs="Arial" w:eastAsia="Arial" w:hAnsi="Arial"/>
                  <w:sz w:val="18"/>
                  <w:szCs w:val="18"/>
                  <w:color w:val="0000FF"/>
                </w:rPr>
                <w:t>August 24, 2016)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460" w:type="dxa"/>
            <w:vAlign w:val="bottom"/>
          </w:tcPr>
          <w:p>
            <w:pPr>
              <w:jc w:val="right"/>
              <w:spacing w:after="0"/>
              <w:rPr>
                <w:rFonts w:ascii="Arial" w:cs="Arial" w:eastAsia="Arial" w:hAnsi="Arial"/>
                <w:sz w:val="18"/>
                <w:szCs w:val="18"/>
                <w:u w:val="single" w:color="auto"/>
                <w:color w:val="0000FF"/>
                <w:w w:val="93"/>
              </w:rPr>
            </w:pPr>
            <w:hyperlink r:id="rId201">
              <w:r>
                <w:rPr>
                  <w:rFonts w:ascii="Arial" w:cs="Arial" w:eastAsia="Arial" w:hAnsi="Arial"/>
                  <w:sz w:val="18"/>
                  <w:szCs w:val="18"/>
                  <w:u w:val="single" w:color="auto"/>
                  <w:color w:val="0000FF"/>
                  <w:w w:val="93"/>
                </w:rPr>
                <w:t>10.51</w:t>
              </w:r>
            </w:hyperlink>
          </w:p>
        </w:tc>
        <w:tc>
          <w:tcPr>
            <w:tcW w:w="760" w:type="dxa"/>
            <w:vAlign w:val="bottom"/>
          </w:tcPr>
          <w:p>
            <w:pPr>
              <w:spacing w:after="0"/>
              <w:rPr>
                <w:sz w:val="22"/>
                <w:szCs w:val="22"/>
                <w:color w:val="auto"/>
              </w:rPr>
            </w:pPr>
          </w:p>
        </w:tc>
        <w:tc>
          <w:tcPr>
            <w:tcW w:w="10340" w:type="dxa"/>
            <w:vAlign w:val="bottom"/>
            <w:gridSpan w:val="36"/>
          </w:tcPr>
          <w:p>
            <w:pPr>
              <w:spacing w:after="0"/>
              <w:rPr>
                <w:rFonts w:ascii="Arial" w:cs="Arial" w:eastAsia="Arial" w:hAnsi="Arial"/>
                <w:sz w:val="18"/>
                <w:szCs w:val="18"/>
                <w:color w:val="0000FF"/>
              </w:rPr>
            </w:pPr>
            <w:hyperlink r:id="rId201">
              <w:r>
                <w:rPr>
                  <w:rFonts w:ascii="Arial" w:cs="Arial" w:eastAsia="Arial" w:hAnsi="Arial"/>
                  <w:sz w:val="18"/>
                  <w:szCs w:val="18"/>
                  <w:color w:val="0000FF"/>
                </w:rPr>
                <w:t>Amendment and Waiver Agreement dated September 30, 2016 between Altisource Solutions S.à r.l. and Altisource Residential</w:t>
              </w:r>
            </w:hyperlink>
          </w:p>
        </w:tc>
      </w:tr>
      <w:tr>
        <w:trPr>
          <w:trHeight w:val="155"/>
        </w:trPr>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96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201">
              <w:r>
                <w:rPr>
                  <w:rFonts w:ascii="Arial" w:cs="Arial" w:eastAsia="Arial" w:hAnsi="Arial"/>
                  <w:sz w:val="18"/>
                  <w:szCs w:val="18"/>
                  <w:color w:val="0000FF"/>
                </w:rPr>
                <w:t>Corporation (incorporated by reference to Exhibit 10.1 of the Company’s Form 8-K filed on October 3, 2016)</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00" w:type="dxa"/>
            <w:vAlign w:val="bottom"/>
            <w:gridSpan w:val="4"/>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80" w:type="dxa"/>
            <w:vAlign w:val="bottom"/>
            <w:gridSpan w:val="3"/>
            <w:shd w:val="clear" w:color="auto" w:fill="0000FF"/>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460" w:type="dxa"/>
            <w:vAlign w:val="bottom"/>
          </w:tcPr>
          <w:p>
            <w:pPr>
              <w:jc w:val="right"/>
              <w:spacing w:after="0"/>
              <w:rPr>
                <w:rFonts w:ascii="Arial" w:cs="Arial" w:eastAsia="Arial" w:hAnsi="Arial"/>
                <w:sz w:val="18"/>
                <w:szCs w:val="18"/>
                <w:u w:val="single" w:color="auto"/>
                <w:color w:val="0000FF"/>
                <w:w w:val="93"/>
              </w:rPr>
            </w:pPr>
            <w:hyperlink r:id="rId202">
              <w:r>
                <w:rPr>
                  <w:rFonts w:ascii="Arial" w:cs="Arial" w:eastAsia="Arial" w:hAnsi="Arial"/>
                  <w:sz w:val="18"/>
                  <w:szCs w:val="18"/>
                  <w:u w:val="single" w:color="auto"/>
                  <w:color w:val="0000FF"/>
                  <w:w w:val="93"/>
                </w:rPr>
                <w:t>10.52</w:t>
              </w:r>
            </w:hyperlink>
          </w:p>
        </w:tc>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10340" w:type="dxa"/>
            <w:vAlign w:val="bottom"/>
            <w:gridSpan w:val="36"/>
          </w:tcPr>
          <w:p>
            <w:pPr>
              <w:spacing w:after="0"/>
              <w:rPr>
                <w:rFonts w:ascii="Arial" w:cs="Arial" w:eastAsia="Arial" w:hAnsi="Arial"/>
                <w:sz w:val="18"/>
                <w:szCs w:val="18"/>
                <w:color w:val="0000FF"/>
                <w:w w:val="96"/>
              </w:rPr>
            </w:pPr>
            <w:hyperlink r:id="rId202">
              <w:r>
                <w:rPr>
                  <w:rFonts w:ascii="Arial" w:cs="Arial" w:eastAsia="Arial" w:hAnsi="Arial"/>
                  <w:sz w:val="18"/>
                  <w:szCs w:val="18"/>
                  <w:color w:val="0000FF"/>
                  <w:w w:val="96"/>
                </w:rPr>
                <w:t>Form of Non-Qualified Stock Option Award Agreement (2017 Performance-Based Stock Options) (incorporated by reference to Exhibit</w:t>
              </w:r>
            </w:hyperlink>
          </w:p>
        </w:tc>
      </w:tr>
      <w:tr>
        <w:trPr>
          <w:trHeight w:val="156"/>
        </w:trPr>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14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202">
              <w:r>
                <w:rPr>
                  <w:rFonts w:ascii="Arial" w:cs="Arial" w:eastAsia="Arial" w:hAnsi="Arial"/>
                  <w:sz w:val="18"/>
                  <w:szCs w:val="18"/>
                  <w:color w:val="0000FF"/>
                </w:rPr>
                <w:t>10.</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of the Company’s Form 8-K filed on April 13, 2017)</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00" w:type="dxa"/>
            <w:vAlign w:val="bottom"/>
            <w:gridSpan w:val="4"/>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3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460" w:type="dxa"/>
            <w:vAlign w:val="bottom"/>
          </w:tcPr>
          <w:p>
            <w:pPr>
              <w:jc w:val="right"/>
              <w:spacing w:after="0"/>
              <w:rPr>
                <w:rFonts w:ascii="Arial" w:cs="Arial" w:eastAsia="Arial" w:hAnsi="Arial"/>
                <w:sz w:val="18"/>
                <w:szCs w:val="18"/>
                <w:u w:val="single" w:color="auto"/>
                <w:color w:val="0000FF"/>
                <w:w w:val="93"/>
              </w:rPr>
            </w:pPr>
            <w:hyperlink r:id="rId203">
              <w:r>
                <w:rPr>
                  <w:rFonts w:ascii="Arial" w:cs="Arial" w:eastAsia="Arial" w:hAnsi="Arial"/>
                  <w:sz w:val="18"/>
                  <w:szCs w:val="18"/>
                  <w:u w:val="single" w:color="auto"/>
                  <w:color w:val="0000FF"/>
                  <w:w w:val="93"/>
                </w:rPr>
                <w:t>10.53</w:t>
              </w:r>
            </w:hyperlink>
          </w:p>
        </w:tc>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10340" w:type="dxa"/>
            <w:vAlign w:val="bottom"/>
            <w:gridSpan w:val="36"/>
          </w:tcPr>
          <w:p>
            <w:pPr>
              <w:spacing w:after="0"/>
              <w:rPr>
                <w:rFonts w:ascii="Arial" w:cs="Arial" w:eastAsia="Arial" w:hAnsi="Arial"/>
                <w:sz w:val="18"/>
                <w:szCs w:val="18"/>
                <w:color w:val="0000FF"/>
                <w:w w:val="97"/>
              </w:rPr>
            </w:pPr>
            <w:hyperlink r:id="rId203">
              <w:r>
                <w:rPr>
                  <w:rFonts w:ascii="Arial" w:cs="Arial" w:eastAsia="Arial" w:hAnsi="Arial"/>
                  <w:sz w:val="18"/>
                  <w:szCs w:val="18"/>
                  <w:color w:val="0000FF"/>
                  <w:w w:val="97"/>
                </w:rPr>
                <w:t>Form of Non-Qualified Stock Option Award Agreement (Service Revenue Stock Options) (incorporated by reference to Exhibit 10.2 of</w:t>
              </w:r>
            </w:hyperlink>
          </w:p>
        </w:tc>
      </w:tr>
      <w:tr>
        <w:trPr>
          <w:trHeight w:val="155"/>
        </w:trPr>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2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3"/>
              </w:rPr>
            </w:pPr>
            <w:hyperlink r:id="rId203">
              <w:r>
                <w:rPr>
                  <w:rFonts w:ascii="Arial" w:cs="Arial" w:eastAsia="Arial" w:hAnsi="Arial"/>
                  <w:sz w:val="18"/>
                  <w:szCs w:val="18"/>
                  <w:color w:val="0000FF"/>
                  <w:w w:val="93"/>
                </w:rPr>
                <w:t>the Company’s Form 8-K filed on April 13, 2017)</w:t>
              </w:r>
            </w:hyperlink>
          </w:p>
        </w:tc>
        <w:tc>
          <w:tcPr>
            <w:tcW w:w="648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460" w:type="dxa"/>
            <w:vAlign w:val="bottom"/>
          </w:tcPr>
          <w:p>
            <w:pPr>
              <w:jc w:val="right"/>
              <w:spacing w:after="0"/>
              <w:rPr>
                <w:rFonts w:ascii="Arial" w:cs="Arial" w:eastAsia="Arial" w:hAnsi="Arial"/>
                <w:sz w:val="18"/>
                <w:szCs w:val="18"/>
                <w:u w:val="single" w:color="auto"/>
                <w:color w:val="0000FF"/>
                <w:w w:val="93"/>
              </w:rPr>
            </w:pPr>
            <w:hyperlink r:id="rId204">
              <w:r>
                <w:rPr>
                  <w:rFonts w:ascii="Arial" w:cs="Arial" w:eastAsia="Arial" w:hAnsi="Arial"/>
                  <w:sz w:val="18"/>
                  <w:szCs w:val="18"/>
                  <w:u w:val="single" w:color="auto"/>
                  <w:color w:val="0000FF"/>
                  <w:w w:val="93"/>
                </w:rPr>
                <w:t>10.54</w:t>
              </w:r>
            </w:hyperlink>
          </w:p>
        </w:tc>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10340" w:type="dxa"/>
            <w:vAlign w:val="bottom"/>
            <w:gridSpan w:val="36"/>
          </w:tcPr>
          <w:p>
            <w:pPr>
              <w:spacing w:after="0"/>
              <w:rPr>
                <w:rFonts w:ascii="Arial" w:cs="Arial" w:eastAsia="Arial" w:hAnsi="Arial"/>
                <w:sz w:val="18"/>
                <w:szCs w:val="18"/>
                <w:color w:val="0000FF"/>
                <w:w w:val="96"/>
              </w:rPr>
            </w:pPr>
            <w:hyperlink r:id="rId204">
              <w:r>
                <w:rPr>
                  <w:rFonts w:ascii="Arial" w:cs="Arial" w:eastAsia="Arial" w:hAnsi="Arial"/>
                  <w:sz w:val="18"/>
                  <w:szCs w:val="18"/>
                  <w:color w:val="0000FF"/>
                  <w:w w:val="96"/>
                </w:rPr>
                <w:t>Form of Restricted Stock Award Agreement (2017 Performance-Based Restricted Shares) (incorporated by reference to Exhibit 10.3 of</w:t>
              </w:r>
            </w:hyperlink>
          </w:p>
        </w:tc>
      </w:tr>
      <w:tr>
        <w:trPr>
          <w:trHeight w:val="156"/>
        </w:trPr>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2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3"/>
              </w:rPr>
            </w:pPr>
            <w:hyperlink r:id="rId204">
              <w:r>
                <w:rPr>
                  <w:rFonts w:ascii="Arial" w:cs="Arial" w:eastAsia="Arial" w:hAnsi="Arial"/>
                  <w:sz w:val="18"/>
                  <w:szCs w:val="18"/>
                  <w:color w:val="0000FF"/>
                  <w:w w:val="93"/>
                </w:rPr>
                <w:t>the Company’s Form 8-K filed on April 13, 2017)</w:t>
              </w:r>
            </w:hyperlink>
          </w:p>
        </w:tc>
        <w:tc>
          <w:tcPr>
            <w:tcW w:w="6540" w:type="dxa"/>
            <w:vAlign w:val="bottom"/>
            <w:tcBorders>
              <w:top w:val="single" w:sz="8" w:color="0000FF"/>
            </w:tcBorders>
            <w:gridSpan w:val="19"/>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460" w:type="dxa"/>
            <w:vAlign w:val="bottom"/>
          </w:tcPr>
          <w:p>
            <w:pPr>
              <w:jc w:val="right"/>
              <w:spacing w:after="0"/>
              <w:rPr>
                <w:rFonts w:ascii="Arial" w:cs="Arial" w:eastAsia="Arial" w:hAnsi="Arial"/>
                <w:sz w:val="18"/>
                <w:szCs w:val="18"/>
                <w:u w:val="single" w:color="auto"/>
                <w:color w:val="0000FF"/>
                <w:w w:val="93"/>
              </w:rPr>
            </w:pPr>
            <w:hyperlink r:id="rId205">
              <w:r>
                <w:rPr>
                  <w:rFonts w:ascii="Arial" w:cs="Arial" w:eastAsia="Arial" w:hAnsi="Arial"/>
                  <w:sz w:val="18"/>
                  <w:szCs w:val="18"/>
                  <w:u w:val="single" w:color="auto"/>
                  <w:color w:val="0000FF"/>
                  <w:w w:val="93"/>
                </w:rPr>
                <w:t>10.55</w:t>
              </w:r>
            </w:hyperlink>
          </w:p>
        </w:tc>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10340" w:type="dxa"/>
            <w:vAlign w:val="bottom"/>
            <w:gridSpan w:val="36"/>
          </w:tcPr>
          <w:p>
            <w:pPr>
              <w:spacing w:after="0"/>
              <w:rPr>
                <w:rFonts w:ascii="Arial" w:cs="Arial" w:eastAsia="Arial" w:hAnsi="Arial"/>
                <w:sz w:val="18"/>
                <w:szCs w:val="18"/>
                <w:color w:val="0000FF"/>
              </w:rPr>
            </w:pPr>
            <w:hyperlink r:id="rId205">
              <w:r>
                <w:rPr>
                  <w:rFonts w:ascii="Arial" w:cs="Arial" w:eastAsia="Arial" w:hAnsi="Arial"/>
                  <w:sz w:val="18"/>
                  <w:szCs w:val="18"/>
                  <w:color w:val="0000FF"/>
                </w:rPr>
                <w:t>Form of Restricted Stock Award Agreement (Service-Based Restricted Shares) (incorporated by reference to Exhibit 10.4 of the</w:t>
              </w:r>
            </w:hyperlink>
          </w:p>
        </w:tc>
      </w:tr>
      <w:tr>
        <w:trPr>
          <w:trHeight w:val="156"/>
        </w:trPr>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320" w:type="dxa"/>
            <w:vAlign w:val="bottom"/>
            <w:tcBorders>
              <w:top w:val="single" w:sz="8" w:color="0000FF"/>
            </w:tcBorders>
            <w:gridSpan w:val="35"/>
          </w:tcPr>
          <w:p>
            <w:pPr>
              <w:spacing w:after="0" w:line="156" w:lineRule="exact"/>
              <w:rPr>
                <w:rFonts w:ascii="Arial" w:cs="Arial" w:eastAsia="Arial" w:hAnsi="Arial"/>
                <w:sz w:val="18"/>
                <w:szCs w:val="18"/>
                <w:color w:val="0000FF"/>
              </w:rPr>
            </w:pPr>
            <w:hyperlink r:id="rId205">
              <w:r>
                <w:rPr>
                  <w:rFonts w:ascii="Arial" w:cs="Arial" w:eastAsia="Arial" w:hAnsi="Arial"/>
                  <w:sz w:val="18"/>
                  <w:szCs w:val="18"/>
                  <w:color w:val="0000FF"/>
                </w:rPr>
                <w:t>Company’s Form 8-K filed on April 13, 2017)</w:t>
              </w:r>
            </w:hyperlink>
          </w:p>
        </w:tc>
        <w:tc>
          <w:tcPr>
            <w:tcW w:w="20" w:type="dxa"/>
            <w:vAlign w:val="bottom"/>
          </w:tcPr>
          <w:p>
            <w:pPr>
              <w:spacing w:after="0"/>
              <w:rPr>
                <w:sz w:val="13"/>
                <w:szCs w:val="13"/>
                <w:color w:val="auto"/>
              </w:rPr>
            </w:pPr>
          </w:p>
        </w:tc>
      </w:tr>
      <w:tr>
        <w:trPr>
          <w:trHeight w:val="20"/>
        </w:trPr>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00" w:type="dxa"/>
            <w:vAlign w:val="bottom"/>
            <w:gridSpan w:val="4"/>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3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3"/>
        </w:trPr>
        <w:tc>
          <w:tcPr>
            <w:tcW w:w="460" w:type="dxa"/>
            <w:vAlign w:val="bottom"/>
          </w:tcPr>
          <w:p>
            <w:pPr>
              <w:jc w:val="right"/>
              <w:spacing w:after="0"/>
              <w:rPr>
                <w:rFonts w:ascii="Arial" w:cs="Arial" w:eastAsia="Arial" w:hAnsi="Arial"/>
                <w:sz w:val="18"/>
                <w:szCs w:val="18"/>
                <w:u w:val="single" w:color="auto"/>
                <w:color w:val="0000FF"/>
                <w:w w:val="93"/>
              </w:rPr>
            </w:pPr>
            <w:hyperlink r:id="rId206">
              <w:r>
                <w:rPr>
                  <w:rFonts w:ascii="Arial" w:cs="Arial" w:eastAsia="Arial" w:hAnsi="Arial"/>
                  <w:sz w:val="18"/>
                  <w:szCs w:val="18"/>
                  <w:u w:val="single" w:color="auto"/>
                  <w:color w:val="0000FF"/>
                  <w:w w:val="93"/>
                </w:rPr>
                <w:t>10.56</w:t>
              </w:r>
            </w:hyperlink>
          </w:p>
        </w:tc>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10340" w:type="dxa"/>
            <w:vAlign w:val="bottom"/>
            <w:gridSpan w:val="36"/>
          </w:tcPr>
          <w:p>
            <w:pPr>
              <w:spacing w:after="0"/>
              <w:rPr>
                <w:rFonts w:ascii="Arial" w:cs="Arial" w:eastAsia="Arial" w:hAnsi="Arial"/>
                <w:sz w:val="18"/>
                <w:szCs w:val="18"/>
                <w:color w:val="0000FF"/>
              </w:rPr>
            </w:pPr>
            <w:hyperlink r:id="rId206">
              <w:r>
                <w:rPr>
                  <w:rFonts w:ascii="Arial" w:cs="Arial" w:eastAsia="Arial" w:hAnsi="Arial"/>
                  <w:sz w:val="18"/>
                  <w:szCs w:val="18"/>
                  <w:color w:val="0000FF"/>
                </w:rPr>
                <w:t>Cooperative Brokerage Agreement, dated as of August 28, 2017, between REALHome Services and Solutions, Inc., REALHome</w:t>
              </w:r>
            </w:hyperlink>
          </w:p>
        </w:tc>
      </w:tr>
      <w:tr>
        <w:trPr>
          <w:trHeight w:val="156"/>
        </w:trPr>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80" w:type="dxa"/>
            <w:vAlign w:val="bottom"/>
            <w:tcBorders>
              <w:top w:val="single" w:sz="8" w:color="0000FF"/>
            </w:tcBorders>
            <w:gridSpan w:val="33"/>
          </w:tcPr>
          <w:p>
            <w:pPr>
              <w:spacing w:after="0" w:line="156" w:lineRule="exact"/>
              <w:rPr>
                <w:rFonts w:ascii="Arial" w:cs="Arial" w:eastAsia="Arial" w:hAnsi="Arial"/>
                <w:sz w:val="18"/>
                <w:szCs w:val="18"/>
                <w:color w:val="0000FF"/>
                <w:w w:val="94"/>
              </w:rPr>
            </w:pPr>
            <w:hyperlink r:id="rId206">
              <w:r>
                <w:rPr>
                  <w:rFonts w:ascii="Arial" w:cs="Arial" w:eastAsia="Arial" w:hAnsi="Arial"/>
                  <w:sz w:val="18"/>
                  <w:szCs w:val="18"/>
                  <w:color w:val="0000FF"/>
                  <w:w w:val="94"/>
                </w:rPr>
                <w:t>Services and Solutions - CT, Inc. and New Residential Sales Corp. (incorporated by reference to Exhibit 10.8 of the Company’s Form 10-</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10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r:id="rId206">
              <w:r>
                <w:rPr>
                  <w:rFonts w:ascii="Arial" w:cs="Arial" w:eastAsia="Arial" w:hAnsi="Arial"/>
                  <w:sz w:val="18"/>
                  <w:szCs w:val="18"/>
                  <w:color w:val="0000FF"/>
                  <w:w w:val="91"/>
                </w:rPr>
                <w:t>Q filed on October 26, 2017)</w:t>
              </w:r>
            </w:hyperlink>
          </w:p>
        </w:tc>
        <w:tc>
          <w:tcPr>
            <w:tcW w:w="8020" w:type="dxa"/>
            <w:vAlign w:val="bottom"/>
            <w:tcBorders>
              <w:top w:val="single" w:sz="8" w:color="0000FF"/>
            </w:tcBorders>
            <w:gridSpan w:val="21"/>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63"/>
        </w:trPr>
        <w:tc>
          <w:tcPr>
            <w:tcW w:w="460" w:type="dxa"/>
            <w:vAlign w:val="bottom"/>
          </w:tcPr>
          <w:p>
            <w:pPr>
              <w:jc w:val="right"/>
              <w:spacing w:after="0"/>
              <w:rPr>
                <w:rFonts w:ascii="Arial" w:cs="Arial" w:eastAsia="Arial" w:hAnsi="Arial"/>
                <w:sz w:val="18"/>
                <w:szCs w:val="18"/>
                <w:u w:val="single" w:color="auto"/>
                <w:color w:val="0000FF"/>
                <w:w w:val="93"/>
              </w:rPr>
            </w:pPr>
            <w:hyperlink r:id="rId207">
              <w:r>
                <w:rPr>
                  <w:rFonts w:ascii="Arial" w:cs="Arial" w:eastAsia="Arial" w:hAnsi="Arial"/>
                  <w:sz w:val="18"/>
                  <w:szCs w:val="18"/>
                  <w:u w:val="single" w:color="auto"/>
                  <w:color w:val="0000FF"/>
                  <w:w w:val="93"/>
                </w:rPr>
                <w:t>10.57</w:t>
              </w:r>
            </w:hyperlink>
          </w:p>
        </w:tc>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10340" w:type="dxa"/>
            <w:vAlign w:val="bottom"/>
            <w:gridSpan w:val="36"/>
          </w:tcPr>
          <w:p>
            <w:pPr>
              <w:spacing w:after="0"/>
              <w:rPr>
                <w:rFonts w:ascii="Arial" w:cs="Arial" w:eastAsia="Arial" w:hAnsi="Arial"/>
                <w:sz w:val="18"/>
                <w:szCs w:val="18"/>
                <w:color w:val="0000FF"/>
              </w:rPr>
            </w:pPr>
            <w:hyperlink r:id="rId207">
              <w:r>
                <w:rPr>
                  <w:rFonts w:ascii="Arial" w:cs="Arial" w:eastAsia="Arial" w:hAnsi="Arial"/>
                  <w:sz w:val="18"/>
                  <w:szCs w:val="18"/>
                  <w:color w:val="0000FF"/>
                </w:rPr>
                <w:t>Letter Agreement, dated as of August 28, 2017, between New Residential Investment Corp., New Residential Mortgage LLC,</w:t>
              </w:r>
            </w:hyperlink>
          </w:p>
        </w:tc>
      </w:tr>
      <w:tr>
        <w:trPr>
          <w:trHeight w:val="155"/>
        </w:trPr>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0" w:type="dxa"/>
            <w:vAlign w:val="bottom"/>
            <w:tcBorders>
              <w:top w:val="single" w:sz="8" w:color="0000FF"/>
            </w:tcBorders>
            <w:gridSpan w:val="19"/>
          </w:tcPr>
          <w:p>
            <w:pPr>
              <w:spacing w:after="0" w:line="156" w:lineRule="exact"/>
              <w:rPr>
                <w:rFonts w:ascii="Arial" w:cs="Arial" w:eastAsia="Arial" w:hAnsi="Arial"/>
                <w:sz w:val="18"/>
                <w:szCs w:val="18"/>
                <w:color w:val="0000FF"/>
                <w:w w:val="92"/>
              </w:rPr>
            </w:pPr>
            <w:hyperlink r:id="rId207">
              <w:r>
                <w:rPr>
                  <w:rFonts w:ascii="Arial" w:cs="Arial" w:eastAsia="Arial" w:hAnsi="Arial"/>
                  <w:sz w:val="18"/>
                  <w:szCs w:val="18"/>
                  <w:color w:val="0000FF"/>
                  <w:w w:val="92"/>
                </w:rPr>
                <w:t>REALHome Services and Solutions, Inc., REALHome Services and Solutions - CT, Inc. and Altisource Solutions S.à r.l. (incorporated by</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96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207">
              <w:r>
                <w:rPr>
                  <w:rFonts w:ascii="Arial" w:cs="Arial" w:eastAsia="Arial" w:hAnsi="Arial"/>
                  <w:sz w:val="18"/>
                  <w:szCs w:val="18"/>
                  <w:color w:val="0000FF"/>
                </w:rPr>
                <w:t>reference to Exhibit 10.9 of the Company’s Form 10-Q filed on October 26, 2017)</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60" w:type="dxa"/>
            <w:vAlign w:val="bottom"/>
            <w:gridSpan w:val="5"/>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410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4"/>
        </w:trPr>
        <w:tc>
          <w:tcPr>
            <w:tcW w:w="460" w:type="dxa"/>
            <w:vAlign w:val="bottom"/>
          </w:tcPr>
          <w:p>
            <w:pPr>
              <w:jc w:val="right"/>
              <w:spacing w:after="0"/>
              <w:rPr>
                <w:rFonts w:ascii="Arial" w:cs="Arial" w:eastAsia="Arial" w:hAnsi="Arial"/>
                <w:sz w:val="18"/>
                <w:szCs w:val="18"/>
                <w:u w:val="single" w:color="auto"/>
                <w:color w:val="0000FF"/>
                <w:w w:val="93"/>
              </w:rPr>
            </w:pPr>
            <w:hyperlink r:id="rId208">
              <w:r>
                <w:rPr>
                  <w:rFonts w:ascii="Arial" w:cs="Arial" w:eastAsia="Arial" w:hAnsi="Arial"/>
                  <w:sz w:val="18"/>
                  <w:szCs w:val="18"/>
                  <w:u w:val="single" w:color="auto"/>
                  <w:color w:val="0000FF"/>
                  <w:w w:val="93"/>
                </w:rPr>
                <w:t>10.58</w:t>
              </w:r>
            </w:hyperlink>
          </w:p>
        </w:tc>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10340" w:type="dxa"/>
            <w:vAlign w:val="bottom"/>
            <w:gridSpan w:val="36"/>
          </w:tcPr>
          <w:p>
            <w:pPr>
              <w:spacing w:after="0"/>
              <w:rPr>
                <w:rFonts w:ascii="Arial" w:cs="Arial" w:eastAsia="Arial" w:hAnsi="Arial"/>
                <w:sz w:val="18"/>
                <w:szCs w:val="18"/>
                <w:color w:val="0000FF"/>
              </w:rPr>
            </w:pPr>
            <w:hyperlink r:id="rId208">
              <w:r>
                <w:rPr>
                  <w:rFonts w:ascii="Arial" w:cs="Arial" w:eastAsia="Arial" w:hAnsi="Arial"/>
                  <w:sz w:val="18"/>
                  <w:szCs w:val="18"/>
                  <w:color w:val="0000FF"/>
                </w:rPr>
                <w:t>First Amendment to the Cooperative Brokerage Agreement, dated as of November 16, 2017, between REALHome Services and</w:t>
              </w:r>
            </w:hyperlink>
          </w:p>
        </w:tc>
      </w:tr>
      <w:tr>
        <w:trPr>
          <w:trHeight w:val="155"/>
        </w:trPr>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80" w:type="dxa"/>
            <w:vAlign w:val="bottom"/>
            <w:tcBorders>
              <w:top w:val="single" w:sz="8" w:color="0000FF"/>
            </w:tcBorders>
            <w:gridSpan w:val="23"/>
          </w:tcPr>
          <w:p>
            <w:pPr>
              <w:spacing w:after="0" w:line="156" w:lineRule="exact"/>
              <w:rPr>
                <w:rFonts w:ascii="Arial" w:cs="Arial" w:eastAsia="Arial" w:hAnsi="Arial"/>
                <w:sz w:val="18"/>
                <w:szCs w:val="18"/>
                <w:color w:val="0000FF"/>
                <w:w w:val="95"/>
              </w:rPr>
            </w:pPr>
            <w:hyperlink r:id="rId208">
              <w:r>
                <w:rPr>
                  <w:rFonts w:ascii="Arial" w:cs="Arial" w:eastAsia="Arial" w:hAnsi="Arial"/>
                  <w:sz w:val="18"/>
                  <w:szCs w:val="18"/>
                  <w:color w:val="0000FF"/>
                  <w:w w:val="95"/>
                </w:rPr>
                <w:t>Solutions, Inc., REALHome Services and Solutions - CT, Inc. and New Residential Sales Corp. (incorporated by reference to Exhibit</w:t>
              </w:r>
            </w:hyperlink>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2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1"/>
              </w:rPr>
            </w:pPr>
            <w:hyperlink r:id="rId208">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71</w:t>
              </w:r>
              <w:r>
                <w:rPr>
                  <w:rFonts w:ascii="Arial" w:cs="Arial" w:eastAsia="Arial" w:hAnsi="Arial"/>
                  <w:sz w:val="18"/>
                  <w:szCs w:val="18"/>
                  <w:color w:val="0000FF"/>
                  <w:w w:val="91"/>
                </w:rPr>
                <w:t xml:space="preserve"> of the Company’s Form 10-K filed on February 22, 2018)</w:t>
              </w:r>
            </w:hyperlink>
          </w:p>
        </w:tc>
        <w:tc>
          <w:tcPr>
            <w:tcW w:w="5400" w:type="dxa"/>
            <w:vAlign w:val="bottom"/>
            <w:tcBorders>
              <w:top w:val="single" w:sz="8" w:color="0000FF"/>
            </w:tcBorders>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63"/>
        </w:trPr>
        <w:tc>
          <w:tcPr>
            <w:tcW w:w="460" w:type="dxa"/>
            <w:vAlign w:val="bottom"/>
          </w:tcPr>
          <w:p>
            <w:pPr>
              <w:jc w:val="right"/>
              <w:spacing w:after="0"/>
              <w:rPr>
                <w:rFonts w:ascii="Arial" w:cs="Arial" w:eastAsia="Arial" w:hAnsi="Arial"/>
                <w:sz w:val="18"/>
                <w:szCs w:val="18"/>
                <w:u w:val="single" w:color="auto"/>
                <w:color w:val="0000FF"/>
                <w:w w:val="93"/>
              </w:rPr>
            </w:pPr>
            <w:hyperlink r:id="rId209">
              <w:r>
                <w:rPr>
                  <w:rFonts w:ascii="Arial" w:cs="Arial" w:eastAsia="Arial" w:hAnsi="Arial"/>
                  <w:sz w:val="18"/>
                  <w:szCs w:val="18"/>
                  <w:u w:val="single" w:color="auto"/>
                  <w:color w:val="0000FF"/>
                  <w:w w:val="93"/>
                </w:rPr>
                <w:t>10.59</w:t>
              </w:r>
            </w:hyperlink>
          </w:p>
        </w:tc>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10340" w:type="dxa"/>
            <w:vAlign w:val="bottom"/>
            <w:gridSpan w:val="36"/>
          </w:tcPr>
          <w:p>
            <w:pPr>
              <w:spacing w:after="0"/>
              <w:rPr>
                <w:rFonts w:ascii="Arial" w:cs="Arial" w:eastAsia="Arial" w:hAnsi="Arial"/>
                <w:sz w:val="18"/>
                <w:szCs w:val="18"/>
                <w:color w:val="0000FF"/>
              </w:rPr>
            </w:pPr>
            <w:hyperlink r:id="rId209">
              <w:r>
                <w:rPr>
                  <w:rFonts w:ascii="Arial" w:cs="Arial" w:eastAsia="Arial" w:hAnsi="Arial"/>
                  <w:sz w:val="18"/>
                  <w:szCs w:val="18"/>
                  <w:color w:val="0000FF"/>
                </w:rPr>
                <w:t>Second Amendment to the Cooperative Brokerage Agreement, dated as of January 18, 2018, between REALHome Services and</w:t>
              </w:r>
            </w:hyperlink>
          </w:p>
        </w:tc>
      </w:tr>
      <w:tr>
        <w:trPr>
          <w:trHeight w:val="156"/>
        </w:trPr>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60" w:type="dxa"/>
            <w:vAlign w:val="bottom"/>
            <w:tcBorders>
              <w:top w:val="single" w:sz="8" w:color="0000FF"/>
            </w:tcBorders>
            <w:gridSpan w:val="22"/>
          </w:tcPr>
          <w:p>
            <w:pPr>
              <w:spacing w:after="0" w:line="156" w:lineRule="exact"/>
              <w:rPr>
                <w:rFonts w:ascii="Arial" w:cs="Arial" w:eastAsia="Arial" w:hAnsi="Arial"/>
                <w:sz w:val="18"/>
                <w:szCs w:val="18"/>
                <w:color w:val="0000FF"/>
                <w:w w:val="95"/>
              </w:rPr>
            </w:pPr>
            <w:hyperlink r:id="rId209">
              <w:r>
                <w:rPr>
                  <w:rFonts w:ascii="Arial" w:cs="Arial" w:eastAsia="Arial" w:hAnsi="Arial"/>
                  <w:sz w:val="18"/>
                  <w:szCs w:val="18"/>
                  <w:color w:val="0000FF"/>
                  <w:w w:val="95"/>
                </w:rPr>
                <w:t>Solutions, Inc., REALHome Services and Solutions - CT, Inc. and New Residential Sales Corp. (incorporated by reference to Exhibit</w:t>
              </w:r>
            </w:hyperlink>
          </w:p>
        </w:tc>
        <w:tc>
          <w:tcPr>
            <w:tcW w:w="16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2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1"/>
              </w:rPr>
            </w:pPr>
            <w:hyperlink r:id="rId209">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72</w:t>
              </w:r>
              <w:r>
                <w:rPr>
                  <w:rFonts w:ascii="Arial" w:cs="Arial" w:eastAsia="Arial" w:hAnsi="Arial"/>
                  <w:sz w:val="18"/>
                  <w:szCs w:val="18"/>
                  <w:color w:val="0000FF"/>
                  <w:w w:val="91"/>
                </w:rPr>
                <w:t xml:space="preserve"> of the Company’s Form 10-K filed on February 22, 2018)</w:t>
              </w:r>
            </w:hyperlink>
          </w:p>
        </w:tc>
        <w:tc>
          <w:tcPr>
            <w:tcW w:w="5400" w:type="dxa"/>
            <w:vAlign w:val="bottom"/>
            <w:tcBorders>
              <w:top w:val="single" w:sz="8" w:color="0000FF"/>
            </w:tcBorders>
            <w:gridSpan w:val="8"/>
          </w:tcPr>
          <w:p>
            <w:pPr>
              <w:spacing w:after="0"/>
              <w:rPr>
                <w:sz w:val="13"/>
                <w:szCs w:val="13"/>
                <w:color w:val="auto"/>
              </w:rPr>
            </w:pPr>
          </w:p>
        </w:tc>
        <w:tc>
          <w:tcPr>
            <w:tcW w:w="200" w:type="dxa"/>
            <w:vAlign w:val="bottom"/>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63"/>
        </w:trPr>
        <w:tc>
          <w:tcPr>
            <w:tcW w:w="460" w:type="dxa"/>
            <w:vAlign w:val="bottom"/>
          </w:tcPr>
          <w:p>
            <w:pPr>
              <w:jc w:val="right"/>
              <w:spacing w:after="0"/>
              <w:rPr>
                <w:rFonts w:ascii="Arial" w:cs="Arial" w:eastAsia="Arial" w:hAnsi="Arial"/>
                <w:sz w:val="18"/>
                <w:szCs w:val="18"/>
                <w:u w:val="single" w:color="auto"/>
                <w:color w:val="0000FF"/>
                <w:w w:val="93"/>
              </w:rPr>
            </w:pPr>
            <w:hyperlink r:id="rId210">
              <w:r>
                <w:rPr>
                  <w:rFonts w:ascii="Arial" w:cs="Arial" w:eastAsia="Arial" w:hAnsi="Arial"/>
                  <w:sz w:val="18"/>
                  <w:szCs w:val="18"/>
                  <w:u w:val="single" w:color="auto"/>
                  <w:color w:val="0000FF"/>
                  <w:w w:val="93"/>
                </w:rPr>
                <w:t>10.60</w:t>
              </w:r>
            </w:hyperlink>
          </w:p>
        </w:tc>
        <w:tc>
          <w:tcPr>
            <w:tcW w:w="760" w:type="dxa"/>
            <w:vAlign w:val="bottom"/>
          </w:tcPr>
          <w:p>
            <w:pPr>
              <w:spacing w:after="0"/>
              <w:rPr>
                <w:sz w:val="22"/>
                <w:szCs w:val="22"/>
                <w:color w:val="auto"/>
              </w:rPr>
            </w:pPr>
          </w:p>
        </w:tc>
        <w:tc>
          <w:tcPr>
            <w:tcW w:w="10340" w:type="dxa"/>
            <w:vAlign w:val="bottom"/>
            <w:gridSpan w:val="36"/>
          </w:tcPr>
          <w:p>
            <w:pPr>
              <w:spacing w:after="0"/>
              <w:rPr>
                <w:rFonts w:ascii="Arial" w:cs="Arial" w:eastAsia="Arial" w:hAnsi="Arial"/>
                <w:sz w:val="18"/>
                <w:szCs w:val="18"/>
                <w:color w:val="0000FF"/>
                <w:w w:val="95"/>
              </w:rPr>
            </w:pPr>
            <w:hyperlink r:id="rId210">
              <w:r>
                <w:rPr>
                  <w:rFonts w:ascii="Arial" w:cs="Arial" w:eastAsia="Arial" w:hAnsi="Arial"/>
                  <w:sz w:val="18"/>
                  <w:szCs w:val="18"/>
                  <w:color w:val="0000FF"/>
                  <w:w w:val="95"/>
                </w:rPr>
                <w:t>Third Amendment to the Cooperative Brokerage Agreement, dated as of March 23, 2018, between REALHome Services and Solutions,</w:t>
              </w:r>
            </w:hyperlink>
          </w:p>
        </w:tc>
      </w:tr>
      <w:tr>
        <w:trPr>
          <w:trHeight w:val="155"/>
        </w:trPr>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300" w:type="dxa"/>
            <w:vAlign w:val="bottom"/>
            <w:tcBorders>
              <w:top w:val="single" w:sz="8" w:color="0000FF"/>
            </w:tcBorders>
            <w:gridSpan w:val="34"/>
          </w:tcPr>
          <w:p>
            <w:pPr>
              <w:spacing w:after="0" w:line="156" w:lineRule="exact"/>
              <w:rPr>
                <w:rFonts w:ascii="Arial" w:cs="Arial" w:eastAsia="Arial" w:hAnsi="Arial"/>
                <w:sz w:val="18"/>
                <w:szCs w:val="18"/>
                <w:color w:val="0000FF"/>
                <w:w w:val="97"/>
              </w:rPr>
            </w:pPr>
            <w:hyperlink r:id="rId210">
              <w:r>
                <w:rPr>
                  <w:rFonts w:ascii="Arial" w:cs="Arial" w:eastAsia="Arial" w:hAnsi="Arial"/>
                  <w:sz w:val="18"/>
                  <w:szCs w:val="18"/>
                  <w:color w:val="0000FF"/>
                  <w:w w:val="97"/>
                </w:rPr>
                <w:t>Inc., REALHome Services and Solutions - CT, Inc. and New Residential Sales Corp. (incorporated by reference to Exhibit 10.1 of the</w:t>
              </w:r>
            </w:hyperlink>
          </w:p>
        </w:tc>
        <w:tc>
          <w:tcPr>
            <w:tcW w:w="40" w:type="dxa"/>
            <w:vAlign w:val="bottom"/>
            <w:gridSpan w:val="2"/>
          </w:tcPr>
          <w:p>
            <w:pPr>
              <w:spacing w:after="0"/>
              <w:rPr>
                <w:sz w:val="13"/>
                <w:szCs w:val="13"/>
                <w:color w:val="auto"/>
              </w:rPr>
            </w:pPr>
          </w:p>
        </w:tc>
      </w:tr>
      <w:tr>
        <w:trPr>
          <w:trHeight w:val="156"/>
        </w:trPr>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4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3"/>
              </w:rPr>
            </w:pPr>
            <w:hyperlink r:id="rId210">
              <w:r>
                <w:rPr>
                  <w:rFonts w:ascii="Arial" w:cs="Arial" w:eastAsia="Arial" w:hAnsi="Arial"/>
                  <w:sz w:val="18"/>
                  <w:szCs w:val="18"/>
                  <w:color w:val="0000FF"/>
                  <w:w w:val="93"/>
                </w:rPr>
                <w:t>Company’s Form 10-Q filed on April 26, 2018)</w:t>
              </w:r>
            </w:hyperlink>
          </w:p>
        </w:tc>
        <w:tc>
          <w:tcPr>
            <w:tcW w:w="6800" w:type="dxa"/>
            <w:vAlign w:val="bottom"/>
            <w:tcBorders>
              <w:top w:val="single" w:sz="8" w:color="0000FF"/>
            </w:tcBorders>
            <w:gridSpan w:val="2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304"/>
        </w:trPr>
        <w:tc>
          <w:tcPr>
            <w:tcW w:w="460" w:type="dxa"/>
            <w:vAlign w:val="bottom"/>
          </w:tcPr>
          <w:p>
            <w:pPr>
              <w:jc w:val="right"/>
              <w:spacing w:after="0"/>
              <w:rPr>
                <w:rFonts w:ascii="Arial" w:cs="Arial" w:eastAsia="Arial" w:hAnsi="Arial"/>
                <w:sz w:val="18"/>
                <w:szCs w:val="18"/>
                <w:u w:val="single" w:color="auto"/>
                <w:color w:val="0000FF"/>
                <w:w w:val="93"/>
              </w:rPr>
            </w:pPr>
            <w:hyperlink r:id="rId211">
              <w:r>
                <w:rPr>
                  <w:rFonts w:ascii="Arial" w:cs="Arial" w:eastAsia="Arial" w:hAnsi="Arial"/>
                  <w:sz w:val="18"/>
                  <w:szCs w:val="18"/>
                  <w:u w:val="single" w:color="auto"/>
                  <w:color w:val="0000FF"/>
                  <w:w w:val="93"/>
                </w:rPr>
                <w:t>10.61</w:t>
              </w:r>
            </w:hyperlink>
          </w:p>
        </w:tc>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10340" w:type="dxa"/>
            <w:vAlign w:val="bottom"/>
            <w:gridSpan w:val="36"/>
          </w:tcPr>
          <w:p>
            <w:pPr>
              <w:spacing w:after="0"/>
              <w:rPr>
                <w:rFonts w:ascii="Arial" w:cs="Arial" w:eastAsia="Arial" w:hAnsi="Arial"/>
                <w:sz w:val="18"/>
                <w:szCs w:val="18"/>
                <w:color w:val="0000FF"/>
                <w:w w:val="96"/>
              </w:rPr>
            </w:pPr>
            <w:hyperlink r:id="rId211">
              <w:r>
                <w:rPr>
                  <w:rFonts w:ascii="Arial" w:cs="Arial" w:eastAsia="Arial" w:hAnsi="Arial"/>
                  <w:sz w:val="18"/>
                  <w:szCs w:val="18"/>
                  <w:color w:val="0000FF"/>
                  <w:w w:val="96"/>
                </w:rPr>
                <w:t>Form of Non-Qualified Stock Option Award Agreement (2018 Performance-Based Stock Options) (incorporated by reference to Exhibit</w:t>
              </w:r>
            </w:hyperlink>
          </w:p>
        </w:tc>
      </w:tr>
      <w:tr>
        <w:trPr>
          <w:trHeight w:val="155"/>
        </w:trPr>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6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2"/>
              </w:rPr>
            </w:pPr>
            <w:hyperlink r:id="rId211">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2</w:t>
              </w:r>
              <w:r>
                <w:rPr>
                  <w:rFonts w:ascii="Arial" w:cs="Arial" w:eastAsia="Arial" w:hAnsi="Arial"/>
                  <w:sz w:val="18"/>
                  <w:szCs w:val="18"/>
                  <w:color w:val="0000FF"/>
                  <w:w w:val="92"/>
                </w:rPr>
                <w:t xml:space="preserve"> of the Company’s Form 10-Q filed on April 26, 2018)</w:t>
              </w:r>
            </w:hyperlink>
          </w:p>
        </w:tc>
        <w:tc>
          <w:tcPr>
            <w:tcW w:w="5880" w:type="dxa"/>
            <w:vAlign w:val="bottom"/>
            <w:tcBorders>
              <w:top w:val="single" w:sz="8" w:color="0000FF"/>
            </w:tcBorders>
            <w:gridSpan w:val="15"/>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304"/>
        </w:trPr>
        <w:tc>
          <w:tcPr>
            <w:tcW w:w="460" w:type="dxa"/>
            <w:vAlign w:val="bottom"/>
          </w:tcPr>
          <w:p>
            <w:pPr>
              <w:jc w:val="right"/>
              <w:spacing w:after="0"/>
              <w:rPr>
                <w:rFonts w:ascii="Arial" w:cs="Arial" w:eastAsia="Arial" w:hAnsi="Arial"/>
                <w:sz w:val="18"/>
                <w:szCs w:val="18"/>
                <w:u w:val="single" w:color="auto"/>
                <w:color w:val="0000FF"/>
                <w:w w:val="93"/>
              </w:rPr>
            </w:pPr>
            <w:hyperlink r:id="rId212">
              <w:r>
                <w:rPr>
                  <w:rFonts w:ascii="Arial" w:cs="Arial" w:eastAsia="Arial" w:hAnsi="Arial"/>
                  <w:sz w:val="18"/>
                  <w:szCs w:val="18"/>
                  <w:u w:val="single" w:color="auto"/>
                  <w:color w:val="0000FF"/>
                  <w:w w:val="93"/>
                </w:rPr>
                <w:t>10.62</w:t>
              </w:r>
            </w:hyperlink>
          </w:p>
        </w:tc>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10340" w:type="dxa"/>
            <w:vAlign w:val="bottom"/>
            <w:gridSpan w:val="36"/>
          </w:tcPr>
          <w:p>
            <w:pPr>
              <w:spacing w:after="0"/>
              <w:rPr>
                <w:rFonts w:ascii="Arial" w:cs="Arial" w:eastAsia="Arial" w:hAnsi="Arial"/>
                <w:sz w:val="18"/>
                <w:szCs w:val="18"/>
                <w:color w:val="0000FF"/>
                <w:w w:val="94"/>
              </w:rPr>
            </w:pPr>
            <w:hyperlink r:id="rId212">
              <w:r>
                <w:rPr>
                  <w:rFonts w:ascii="Arial" w:cs="Arial" w:eastAsia="Arial" w:hAnsi="Arial"/>
                  <w:sz w:val="18"/>
                  <w:szCs w:val="18"/>
                  <w:color w:val="0000FF"/>
                  <w:w w:val="94"/>
                </w:rPr>
                <w:t>Form of Restricted Share Unit Award Agreement (2018 Service-Based Restricted Share Units) (incorporated by reference to Exhibit 10.3</w:t>
              </w:r>
            </w:hyperlink>
          </w:p>
        </w:tc>
      </w:tr>
      <w:tr>
        <w:trPr>
          <w:trHeight w:val="155"/>
        </w:trPr>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90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2"/>
              </w:rPr>
            </w:pPr>
            <w:hyperlink r:id="rId212">
              <w:r>
                <w:rPr>
                  <w:rFonts w:ascii="Arial" w:cs="Arial" w:eastAsia="Arial" w:hAnsi="Arial"/>
                  <w:sz w:val="18"/>
                  <w:szCs w:val="18"/>
                  <w:color w:val="0000FF"/>
                  <w:w w:val="92"/>
                </w:rPr>
                <w:t>of the Company’s Form 10-Q filed on April 26, 2018)</w:t>
              </w:r>
            </w:hyperlink>
          </w:p>
        </w:tc>
        <w:tc>
          <w:tcPr>
            <w:tcW w:w="6400" w:type="dxa"/>
            <w:vAlign w:val="bottom"/>
            <w:tcBorders>
              <w:top w:val="single" w:sz="8" w:color="0000FF"/>
            </w:tcBorders>
            <w:gridSpan w:val="25"/>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04"/>
        </w:trPr>
        <w:tc>
          <w:tcPr>
            <w:tcW w:w="460" w:type="dxa"/>
            <w:vAlign w:val="bottom"/>
          </w:tcPr>
          <w:p>
            <w:pPr>
              <w:jc w:val="right"/>
              <w:spacing w:after="0"/>
              <w:rPr>
                <w:rFonts w:ascii="Arial" w:cs="Arial" w:eastAsia="Arial" w:hAnsi="Arial"/>
                <w:sz w:val="18"/>
                <w:szCs w:val="18"/>
                <w:u w:val="single" w:color="auto"/>
                <w:color w:val="0000FF"/>
                <w:w w:val="93"/>
              </w:rPr>
            </w:pPr>
            <w:hyperlink r:id="rId213">
              <w:r>
                <w:rPr>
                  <w:rFonts w:ascii="Arial" w:cs="Arial" w:eastAsia="Arial" w:hAnsi="Arial"/>
                  <w:sz w:val="18"/>
                  <w:szCs w:val="18"/>
                  <w:u w:val="single" w:color="auto"/>
                  <w:color w:val="0000FF"/>
                  <w:w w:val="93"/>
                </w:rPr>
                <w:t>10.63</w:t>
              </w:r>
            </w:hyperlink>
          </w:p>
        </w:tc>
        <w:tc>
          <w:tcPr>
            <w:tcW w:w="760" w:type="dxa"/>
            <w:vAlign w:val="bottom"/>
          </w:tcPr>
          <w:p>
            <w:pPr>
              <w:spacing w:after="0"/>
              <w:rPr>
                <w:sz w:val="24"/>
                <w:szCs w:val="24"/>
                <w:color w:val="auto"/>
              </w:rPr>
            </w:pPr>
          </w:p>
        </w:tc>
        <w:tc>
          <w:tcPr>
            <w:tcW w:w="10340" w:type="dxa"/>
            <w:vAlign w:val="bottom"/>
            <w:gridSpan w:val="36"/>
          </w:tcPr>
          <w:p>
            <w:pPr>
              <w:spacing w:after="0"/>
              <w:rPr>
                <w:rFonts w:ascii="Arial" w:cs="Arial" w:eastAsia="Arial" w:hAnsi="Arial"/>
                <w:sz w:val="18"/>
                <w:szCs w:val="18"/>
                <w:color w:val="0000FF"/>
                <w:w w:val="95"/>
              </w:rPr>
            </w:pPr>
            <w:hyperlink r:id="rId213">
              <w:r>
                <w:rPr>
                  <w:rFonts w:ascii="Arial" w:cs="Arial" w:eastAsia="Arial" w:hAnsi="Arial"/>
                  <w:sz w:val="18"/>
                  <w:szCs w:val="18"/>
                  <w:color w:val="0000FF"/>
                  <w:w w:val="95"/>
                </w:rPr>
                <w:t>Credit Agreement, dated April 3, 2018 among Altisource S.à r.l. and Altisource Portfolio Solutions S.A., Morgan Stanley Senior Funding,</w:t>
              </w:r>
            </w:hyperlink>
          </w:p>
        </w:tc>
      </w:tr>
      <w:tr>
        <w:trPr>
          <w:trHeight w:val="156"/>
        </w:trPr>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20" w:type="dxa"/>
            <w:vAlign w:val="bottom"/>
            <w:tcBorders>
              <w:top w:val="single" w:sz="8" w:color="0000FF"/>
              <w:bottom w:val="single" w:sz="8" w:color="0000FF"/>
            </w:tcBorders>
            <w:gridSpan w:val="30"/>
          </w:tcPr>
          <w:p>
            <w:pPr>
              <w:spacing w:after="0" w:line="156" w:lineRule="exact"/>
              <w:rPr>
                <w:rFonts w:ascii="Arial" w:cs="Arial" w:eastAsia="Arial" w:hAnsi="Arial"/>
                <w:sz w:val="18"/>
                <w:szCs w:val="18"/>
                <w:color w:val="0000FF"/>
                <w:w w:val="99"/>
              </w:rPr>
            </w:pPr>
            <w:hyperlink r:id="rId213">
              <w:r>
                <w:rPr>
                  <w:rFonts w:ascii="Arial" w:cs="Arial" w:eastAsia="Arial" w:hAnsi="Arial"/>
                  <w:sz w:val="18"/>
                  <w:szCs w:val="18"/>
                  <w:color w:val="0000FF"/>
                  <w:w w:val="99"/>
                </w:rPr>
                <w:t>Inc., as Administrative Agent and Collateral Agent, and the Lenders party thereto (incorporated by reference to Exhibit 10.1 of the</w:t>
              </w:r>
            </w:hyperlink>
          </w:p>
        </w:tc>
        <w:tc>
          <w:tcPr>
            <w:tcW w:w="40" w:type="dxa"/>
            <w:vAlign w:val="bottom"/>
            <w:tcBorders>
              <w:bottom w:val="single" w:sz="8" w:color="0000FF"/>
            </w:tcBorders>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55"/>
        </w:trPr>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60" w:type="dxa"/>
            <w:vAlign w:val="bottom"/>
            <w:tcBorders>
              <w:bottom w:val="single" w:sz="8" w:color="0000FF"/>
            </w:tcBorders>
            <w:gridSpan w:val="5"/>
          </w:tcPr>
          <w:p>
            <w:pPr>
              <w:spacing w:after="0" w:line="156" w:lineRule="exact"/>
              <w:rPr>
                <w:rFonts w:ascii="Arial" w:cs="Arial" w:eastAsia="Arial" w:hAnsi="Arial"/>
                <w:sz w:val="18"/>
                <w:szCs w:val="18"/>
                <w:color w:val="0000FF"/>
                <w:w w:val="93"/>
              </w:rPr>
            </w:pPr>
            <w:hyperlink r:id="rId213">
              <w:r>
                <w:rPr>
                  <w:rFonts w:ascii="Arial" w:cs="Arial" w:eastAsia="Arial" w:hAnsi="Arial"/>
                  <w:sz w:val="18"/>
                  <w:szCs w:val="18"/>
                  <w:color w:val="0000FF"/>
                  <w:w w:val="93"/>
                </w:rPr>
                <w:t>Company’s Form 8-K filed on April 4, 2018)</w:t>
              </w:r>
            </w:hyperlink>
          </w:p>
        </w:tc>
        <w:tc>
          <w:tcPr>
            <w:tcW w:w="7000" w:type="dxa"/>
            <w:vAlign w:val="bottom"/>
            <w:gridSpan w:val="27"/>
          </w:tcPr>
          <w:p>
            <w:pPr>
              <w:spacing w:after="0"/>
              <w:rPr>
                <w:sz w:val="13"/>
                <w:szCs w:val="13"/>
                <w:color w:val="auto"/>
              </w:rPr>
            </w:pPr>
          </w:p>
        </w:tc>
        <w:tc>
          <w:tcPr>
            <w:tcW w:w="80" w:type="dxa"/>
            <w:vAlign w:val="bottom"/>
            <w:gridSpan w:val="4"/>
          </w:tcPr>
          <w:p>
            <w:pPr>
              <w:spacing w:after="0"/>
              <w:rPr>
                <w:sz w:val="13"/>
                <w:szCs w:val="13"/>
                <w:color w:val="auto"/>
              </w:rPr>
            </w:pPr>
          </w:p>
        </w:tc>
      </w:tr>
      <w:tr>
        <w:trPr>
          <w:trHeight w:val="803"/>
        </w:trPr>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20" w:type="dxa"/>
            <w:vAlign w:val="bottom"/>
            <w:gridSpan w:val="12"/>
          </w:tcPr>
          <w:p>
            <w:pPr>
              <w:ind w:left="4320"/>
              <w:spacing w:after="0"/>
              <w:rPr>
                <w:sz w:val="20"/>
                <w:szCs w:val="20"/>
                <w:color w:val="auto"/>
              </w:rPr>
            </w:pPr>
            <w:r>
              <w:rPr>
                <w:rFonts w:ascii="Arial" w:cs="Arial" w:eastAsia="Arial" w:hAnsi="Arial"/>
                <w:sz w:val="18"/>
                <w:szCs w:val="18"/>
                <w:color w:val="auto"/>
              </w:rPr>
              <w:t>98</w:t>
            </w: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 w:type="dxa"/>
            <w:vAlign w:val="bottom"/>
          </w:tcPr>
          <w:p>
            <w:pPr>
              <w:ind w:left="20"/>
              <w:spacing w:after="0"/>
              <w:rPr>
                <w:rFonts w:ascii="Arial" w:cs="Arial" w:eastAsia="Arial" w:hAnsi="Arial"/>
                <w:sz w:val="18"/>
                <w:szCs w:val="18"/>
                <w:u w:val="single" w:color="auto"/>
                <w:color w:val="0000FF"/>
                <w:w w:val="97"/>
              </w:rPr>
            </w:pPr>
            <w:hyperlink r:id="rId216">
              <w:r>
                <w:rPr>
                  <w:rFonts w:ascii="Arial" w:cs="Arial" w:eastAsia="Arial" w:hAnsi="Arial"/>
                  <w:sz w:val="18"/>
                  <w:szCs w:val="18"/>
                  <w:u w:val="single" w:color="auto"/>
                  <w:color w:val="0000FF"/>
                  <w:w w:val="97"/>
                </w:rPr>
                <w:t>10.64</w:t>
              </w:r>
            </w:hyperlink>
          </w:p>
        </w:tc>
        <w:tc>
          <w:tcPr>
            <w:tcW w:w="740" w:type="dxa"/>
            <w:vAlign w:val="bottom"/>
          </w:tcPr>
          <w:p>
            <w:pPr>
              <w:spacing w:after="0"/>
              <w:rPr>
                <w:sz w:val="20"/>
                <w:szCs w:val="20"/>
                <w:color w:val="auto"/>
              </w:rPr>
            </w:pPr>
            <w:r>
              <w:rPr>
                <w:rFonts w:ascii="Arial" w:cs="Arial" w:eastAsia="Arial" w:hAnsi="Arial"/>
                <w:sz w:val="18"/>
                <w:szCs w:val="18"/>
                <w:color w:val="auto"/>
              </w:rPr>
              <w:t>†</w:t>
            </w:r>
          </w:p>
        </w:tc>
        <w:tc>
          <w:tcPr>
            <w:tcW w:w="10300" w:type="dxa"/>
            <w:vAlign w:val="bottom"/>
            <w:gridSpan w:val="32"/>
          </w:tcPr>
          <w:p>
            <w:pPr>
              <w:spacing w:after="0"/>
              <w:rPr>
                <w:rFonts w:ascii="Arial" w:cs="Arial" w:eastAsia="Arial" w:hAnsi="Arial"/>
                <w:sz w:val="18"/>
                <w:szCs w:val="18"/>
                <w:color w:val="0000FF"/>
                <w:w w:val="96"/>
              </w:rPr>
            </w:pPr>
            <w:hyperlink r:id="rId216">
              <w:r>
                <w:rPr>
                  <w:rFonts w:ascii="Arial" w:cs="Arial" w:eastAsia="Arial" w:hAnsi="Arial"/>
                  <w:sz w:val="18"/>
                  <w:szCs w:val="18"/>
                  <w:color w:val="0000FF"/>
                  <w:w w:val="96"/>
                </w:rPr>
                <w:t>Form of Non-Qualified Stock Option Award Agreement (2018 Performance-Based Stock Options) (incorporated by reference to Exhibit</w:t>
              </w:r>
            </w:hyperlink>
          </w:p>
        </w:tc>
      </w:tr>
      <w:tr>
        <w:trPr>
          <w:trHeight w:val="156"/>
        </w:trPr>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1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r:id="rId216">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w:t>
              </w:r>
              <w:r>
                <w:rPr>
                  <w:rFonts w:ascii="Arial" w:cs="Arial" w:eastAsia="Arial" w:hAnsi="Arial"/>
                  <w:sz w:val="18"/>
                  <w:szCs w:val="18"/>
                  <w:color w:val="0000FF"/>
                  <w:w w:val="91"/>
                </w:rPr>
                <w:t xml:space="preserve"> of the Company’s Form 10-Q filed on July 26, 2018)</w:t>
              </w:r>
            </w:hyperlink>
          </w:p>
        </w:tc>
        <w:tc>
          <w:tcPr>
            <w:tcW w:w="596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04"/>
        </w:trPr>
        <w:tc>
          <w:tcPr>
            <w:tcW w:w="480" w:type="dxa"/>
            <w:vAlign w:val="bottom"/>
          </w:tcPr>
          <w:p>
            <w:pPr>
              <w:ind w:left="20"/>
              <w:spacing w:after="0"/>
              <w:rPr>
                <w:rFonts w:ascii="Arial" w:cs="Arial" w:eastAsia="Arial" w:hAnsi="Arial"/>
                <w:sz w:val="18"/>
                <w:szCs w:val="18"/>
                <w:u w:val="single" w:color="auto"/>
                <w:color w:val="0000FF"/>
                <w:w w:val="97"/>
              </w:rPr>
            </w:pPr>
            <w:hyperlink r:id="rId217">
              <w:r>
                <w:rPr>
                  <w:rFonts w:ascii="Arial" w:cs="Arial" w:eastAsia="Arial" w:hAnsi="Arial"/>
                  <w:sz w:val="18"/>
                  <w:szCs w:val="18"/>
                  <w:u w:val="single" w:color="auto"/>
                  <w:color w:val="0000FF"/>
                  <w:w w:val="97"/>
                </w:rPr>
                <w:t>10.65</w:t>
              </w:r>
            </w:hyperlink>
          </w:p>
        </w:tc>
        <w:tc>
          <w:tcPr>
            <w:tcW w:w="740" w:type="dxa"/>
            <w:vAlign w:val="bottom"/>
          </w:tcPr>
          <w:p>
            <w:pPr>
              <w:spacing w:after="0"/>
              <w:rPr>
                <w:sz w:val="24"/>
                <w:szCs w:val="24"/>
                <w:color w:val="auto"/>
              </w:rPr>
            </w:pPr>
          </w:p>
        </w:tc>
        <w:tc>
          <w:tcPr>
            <w:tcW w:w="10300" w:type="dxa"/>
            <w:vAlign w:val="bottom"/>
            <w:gridSpan w:val="32"/>
          </w:tcPr>
          <w:p>
            <w:pPr>
              <w:spacing w:after="0"/>
              <w:rPr>
                <w:rFonts w:ascii="Arial" w:cs="Arial" w:eastAsia="Arial" w:hAnsi="Arial"/>
                <w:sz w:val="18"/>
                <w:szCs w:val="18"/>
                <w:color w:val="0000FF"/>
                <w:w w:val="98"/>
              </w:rPr>
            </w:pPr>
            <w:hyperlink r:id="rId217">
              <w:r>
                <w:rPr>
                  <w:rFonts w:ascii="Arial" w:cs="Arial" w:eastAsia="Arial" w:hAnsi="Arial"/>
                  <w:sz w:val="18"/>
                  <w:szCs w:val="18"/>
                  <w:color w:val="0000FF"/>
                  <w:w w:val="98"/>
                </w:rPr>
                <w:t>Amendment No. 1 to Credit Agreement dated as of June 27, 2018 among Altisource S.à r.l. and Altisource Portfolio Solutions S.A.,</w:t>
              </w:r>
            </w:hyperlink>
          </w:p>
        </w:tc>
      </w:tr>
      <w:tr>
        <w:trPr>
          <w:trHeight w:val="156"/>
        </w:trPr>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6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w w:val="96"/>
              </w:rPr>
            </w:pPr>
            <w:hyperlink r:id="rId217">
              <w:r>
                <w:rPr>
                  <w:rFonts w:ascii="Arial" w:cs="Arial" w:eastAsia="Arial" w:hAnsi="Arial"/>
                  <w:sz w:val="18"/>
                  <w:szCs w:val="18"/>
                  <w:color w:val="0000FF"/>
                  <w:w w:val="96"/>
                </w:rPr>
                <w:t>Morgan Stanley Senior Funding, Inc., as Administrative Agent and Collateral Agent, and the Lenders party thereto (incorporated by</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280" w:type="dxa"/>
            <w:vAlign w:val="bottom"/>
            <w:gridSpan w:val="31"/>
          </w:tcPr>
          <w:p>
            <w:pPr>
              <w:spacing w:after="0" w:line="156" w:lineRule="exact"/>
              <w:rPr>
                <w:rFonts w:ascii="Arial" w:cs="Arial" w:eastAsia="Arial" w:hAnsi="Arial"/>
                <w:sz w:val="18"/>
                <w:szCs w:val="18"/>
                <w:color w:val="0000FF"/>
              </w:rPr>
            </w:pPr>
            <w:hyperlink r:id="rId217">
              <w:r>
                <w:rPr>
                  <w:rFonts w:ascii="Arial" w:cs="Arial" w:eastAsia="Arial" w:hAnsi="Arial"/>
                  <w:sz w:val="18"/>
                  <w:szCs w:val="18"/>
                  <w:color w:val="0000FF"/>
                </w:rPr>
                <w:t>reference to Exhibit 10.3 of the Company’s Form 10-Q filed on July 26, 2018)</w:t>
              </w:r>
            </w:hyperlink>
          </w:p>
        </w:tc>
        <w:tc>
          <w:tcPr>
            <w:tcW w:w="20" w:type="dxa"/>
            <w:vAlign w:val="bottom"/>
          </w:tcPr>
          <w:p>
            <w:pPr>
              <w:spacing w:after="0"/>
              <w:rPr>
                <w:sz w:val="13"/>
                <w:szCs w:val="13"/>
                <w:color w:val="auto"/>
              </w:rPr>
            </w:pPr>
          </w:p>
        </w:tc>
      </w:tr>
      <w:tr>
        <w:trPr>
          <w:trHeight w:val="20"/>
        </w:trPr>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480" w:type="dxa"/>
            <w:vAlign w:val="bottom"/>
          </w:tcPr>
          <w:p>
            <w:pPr>
              <w:ind w:left="20"/>
              <w:spacing w:after="0"/>
              <w:rPr>
                <w:rFonts w:ascii="Arial" w:cs="Arial" w:eastAsia="Arial" w:hAnsi="Arial"/>
                <w:sz w:val="18"/>
                <w:szCs w:val="18"/>
                <w:u w:val="single" w:color="auto"/>
                <w:color w:val="0000FF"/>
                <w:w w:val="97"/>
              </w:rPr>
            </w:pPr>
            <w:hyperlink r:id="rId218">
              <w:r>
                <w:rPr>
                  <w:rFonts w:ascii="Arial" w:cs="Arial" w:eastAsia="Arial" w:hAnsi="Arial"/>
                  <w:sz w:val="18"/>
                  <w:szCs w:val="18"/>
                  <w:u w:val="single" w:color="auto"/>
                  <w:color w:val="0000FF"/>
                  <w:w w:val="97"/>
                </w:rPr>
                <w:t>10.66</w:t>
              </w:r>
            </w:hyperlink>
          </w:p>
        </w:tc>
        <w:tc>
          <w:tcPr>
            <w:tcW w:w="740" w:type="dxa"/>
            <w:vAlign w:val="bottom"/>
          </w:tcPr>
          <w:p>
            <w:pPr>
              <w:spacing w:after="0"/>
              <w:rPr>
                <w:sz w:val="24"/>
                <w:szCs w:val="24"/>
                <w:color w:val="auto"/>
              </w:rPr>
            </w:pPr>
          </w:p>
        </w:tc>
        <w:tc>
          <w:tcPr>
            <w:tcW w:w="10300" w:type="dxa"/>
            <w:vAlign w:val="bottom"/>
            <w:gridSpan w:val="32"/>
          </w:tcPr>
          <w:p>
            <w:pPr>
              <w:spacing w:after="0"/>
              <w:rPr>
                <w:rFonts w:ascii="Arial" w:cs="Arial" w:eastAsia="Arial" w:hAnsi="Arial"/>
                <w:sz w:val="18"/>
                <w:szCs w:val="18"/>
                <w:color w:val="0000FF"/>
                <w:w w:val="95"/>
              </w:rPr>
            </w:pPr>
            <w:hyperlink r:id="rId218">
              <w:r>
                <w:rPr>
                  <w:rFonts w:ascii="Arial" w:cs="Arial" w:eastAsia="Arial" w:hAnsi="Arial"/>
                  <w:sz w:val="18"/>
                  <w:szCs w:val="18"/>
                  <w:color w:val="0000FF"/>
                  <w:w w:val="95"/>
                </w:rPr>
                <w:t>Omnibus Amendment to Master Services Agreement, Waiver Agreement, Services Letter and Fee Letter, dated August 8, 2018 among</w:t>
              </w:r>
            </w:hyperlink>
          </w:p>
        </w:tc>
      </w:tr>
      <w:tr>
        <w:trPr>
          <w:trHeight w:val="156"/>
        </w:trPr>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40" w:type="dxa"/>
            <w:vAlign w:val="bottom"/>
            <w:tcBorders>
              <w:top w:val="single" w:sz="8" w:color="0000FF"/>
              <w:bottom w:val="single" w:sz="8" w:color="0000FF"/>
            </w:tcBorders>
            <w:gridSpan w:val="19"/>
          </w:tcPr>
          <w:p>
            <w:pPr>
              <w:spacing w:after="0" w:line="156" w:lineRule="exact"/>
              <w:rPr>
                <w:rFonts w:ascii="Arial" w:cs="Arial" w:eastAsia="Arial" w:hAnsi="Arial"/>
                <w:sz w:val="18"/>
                <w:szCs w:val="18"/>
                <w:color w:val="0000FF"/>
                <w:w w:val="92"/>
              </w:rPr>
            </w:pPr>
            <w:hyperlink r:id="rId218">
              <w:r>
                <w:rPr>
                  <w:rFonts w:ascii="Arial" w:cs="Arial" w:eastAsia="Arial" w:hAnsi="Arial"/>
                  <w:sz w:val="18"/>
                  <w:szCs w:val="18"/>
                  <w:color w:val="0000FF"/>
                  <w:w w:val="92"/>
                </w:rPr>
                <w:t>Altisource S.à r.l. and Front Yard Residential Corporation (incorporated by reference to Exhibit 10.1 of the Company’s Form 8-K filed on</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80" w:type="dxa"/>
            <w:vAlign w:val="bottom"/>
            <w:tcBorders>
              <w:bottom w:val="single" w:sz="8" w:color="0000FF"/>
            </w:tcBorders>
          </w:tcPr>
          <w:p>
            <w:pPr>
              <w:spacing w:after="0" w:line="156" w:lineRule="exact"/>
              <w:rPr>
                <w:rFonts w:ascii="Arial" w:cs="Arial" w:eastAsia="Arial" w:hAnsi="Arial"/>
                <w:sz w:val="18"/>
                <w:szCs w:val="18"/>
                <w:color w:val="0000FF"/>
                <w:w w:val="91"/>
              </w:rPr>
            </w:pPr>
            <w:hyperlink r:id="rId218">
              <w:r>
                <w:rPr>
                  <w:rFonts w:ascii="Arial" w:cs="Arial" w:eastAsia="Arial" w:hAnsi="Arial"/>
                  <w:sz w:val="18"/>
                  <w:szCs w:val="18"/>
                  <w:color w:val="0000FF"/>
                  <w:w w:val="91"/>
                </w:rPr>
                <w:t>August 9, 2018)</w:t>
              </w:r>
            </w:hyperlink>
          </w:p>
        </w:tc>
        <w:tc>
          <w:tcPr>
            <w:tcW w:w="8940" w:type="dxa"/>
            <w:vAlign w:val="bottom"/>
            <w:gridSpan w:val="2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04"/>
        </w:trPr>
        <w:tc>
          <w:tcPr>
            <w:tcW w:w="480" w:type="dxa"/>
            <w:vAlign w:val="bottom"/>
          </w:tcPr>
          <w:p>
            <w:pPr>
              <w:ind w:left="20"/>
              <w:spacing w:after="0"/>
              <w:rPr>
                <w:rFonts w:ascii="Arial" w:cs="Arial" w:eastAsia="Arial" w:hAnsi="Arial"/>
                <w:sz w:val="18"/>
                <w:szCs w:val="18"/>
                <w:u w:val="single" w:color="auto"/>
                <w:color w:val="0000FF"/>
                <w:w w:val="97"/>
              </w:rPr>
            </w:pPr>
            <w:hyperlink r:id="rId219">
              <w:r>
                <w:rPr>
                  <w:rFonts w:ascii="Arial" w:cs="Arial" w:eastAsia="Arial" w:hAnsi="Arial"/>
                  <w:sz w:val="18"/>
                  <w:szCs w:val="18"/>
                  <w:u w:val="single" w:color="auto"/>
                  <w:color w:val="0000FF"/>
                  <w:w w:val="97"/>
                </w:rPr>
                <w:t>10.67</w:t>
              </w:r>
            </w:hyperlink>
          </w:p>
        </w:tc>
        <w:tc>
          <w:tcPr>
            <w:tcW w:w="740" w:type="dxa"/>
            <w:vAlign w:val="bottom"/>
          </w:tcPr>
          <w:p>
            <w:pPr>
              <w:spacing w:after="0"/>
              <w:rPr>
                <w:sz w:val="24"/>
                <w:szCs w:val="24"/>
                <w:color w:val="auto"/>
              </w:rPr>
            </w:pPr>
          </w:p>
        </w:tc>
        <w:tc>
          <w:tcPr>
            <w:tcW w:w="10300" w:type="dxa"/>
            <w:vAlign w:val="bottom"/>
            <w:gridSpan w:val="32"/>
          </w:tcPr>
          <w:p>
            <w:pPr>
              <w:spacing w:after="0"/>
              <w:rPr>
                <w:rFonts w:ascii="Arial" w:cs="Arial" w:eastAsia="Arial" w:hAnsi="Arial"/>
                <w:sz w:val="18"/>
                <w:szCs w:val="18"/>
                <w:color w:val="0000FF"/>
                <w:w w:val="98"/>
              </w:rPr>
            </w:pPr>
            <w:hyperlink r:id="rId219">
              <w:r>
                <w:rPr>
                  <w:rFonts w:ascii="Arial" w:cs="Arial" w:eastAsia="Arial" w:hAnsi="Arial"/>
                  <w:sz w:val="18"/>
                  <w:szCs w:val="18"/>
                  <w:color w:val="0000FF"/>
                  <w:w w:val="98"/>
                </w:rPr>
                <w:t>Fourth Amendment to the Cooperative Brokerage Agreement, dated as of September 11, 2018, between REALHome Services and</w:t>
              </w:r>
            </w:hyperlink>
          </w:p>
        </w:tc>
      </w:tr>
      <w:tr>
        <w:trPr>
          <w:trHeight w:val="156"/>
        </w:trPr>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180" w:type="dxa"/>
            <w:vAlign w:val="bottom"/>
            <w:tcBorders>
              <w:top w:val="single" w:sz="8" w:color="0000FF"/>
              <w:bottom w:val="single" w:sz="8" w:color="0000FF"/>
            </w:tcBorders>
            <w:gridSpan w:val="26"/>
          </w:tcPr>
          <w:p>
            <w:pPr>
              <w:spacing w:after="0" w:line="156" w:lineRule="exact"/>
              <w:rPr>
                <w:rFonts w:ascii="Arial" w:cs="Arial" w:eastAsia="Arial" w:hAnsi="Arial"/>
                <w:sz w:val="18"/>
                <w:szCs w:val="18"/>
                <w:color w:val="0000FF"/>
                <w:w w:val="93"/>
              </w:rPr>
            </w:pPr>
            <w:hyperlink r:id="rId219">
              <w:r>
                <w:rPr>
                  <w:rFonts w:ascii="Arial" w:cs="Arial" w:eastAsia="Arial" w:hAnsi="Arial"/>
                  <w:sz w:val="18"/>
                  <w:szCs w:val="18"/>
                  <w:color w:val="0000FF"/>
                  <w:w w:val="93"/>
                </w:rPr>
                <w:t>Solutions, Inc., REALHome Services and Solutions - CT, Inc. and New Residential Sales Corp. (incorporated by reference to Exhibit 10.4</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100" w:type="dxa"/>
            <w:vAlign w:val="bottom"/>
            <w:tcBorders>
              <w:bottom w:val="single" w:sz="8" w:color="0000FF"/>
            </w:tcBorders>
            <w:gridSpan w:val="3"/>
          </w:tcPr>
          <w:p>
            <w:pPr>
              <w:spacing w:after="0" w:line="156" w:lineRule="exact"/>
              <w:rPr>
                <w:rFonts w:ascii="Arial" w:cs="Arial" w:eastAsia="Arial" w:hAnsi="Arial"/>
                <w:sz w:val="18"/>
                <w:szCs w:val="18"/>
                <w:color w:val="0000FF"/>
                <w:w w:val="91"/>
              </w:rPr>
            </w:pPr>
            <w:hyperlink r:id="rId219">
              <w:r>
                <w:rPr>
                  <w:rFonts w:ascii="Arial" w:cs="Arial" w:eastAsia="Arial" w:hAnsi="Arial"/>
                  <w:sz w:val="18"/>
                  <w:szCs w:val="18"/>
                  <w:color w:val="0000FF"/>
                  <w:w w:val="91"/>
                </w:rPr>
                <w:t>of the Company’s Form 10-Q filed on October 25, 2018)</w:t>
              </w:r>
            </w:hyperlink>
          </w:p>
        </w:tc>
        <w:tc>
          <w:tcPr>
            <w:tcW w:w="6140" w:type="dxa"/>
            <w:vAlign w:val="bottom"/>
            <w:gridSpan w:val="2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63"/>
        </w:trPr>
        <w:tc>
          <w:tcPr>
            <w:tcW w:w="480" w:type="dxa"/>
            <w:vAlign w:val="bottom"/>
          </w:tcPr>
          <w:p>
            <w:pPr>
              <w:ind w:left="20"/>
              <w:spacing w:after="0"/>
              <w:rPr>
                <w:rFonts w:ascii="Arial" w:cs="Arial" w:eastAsia="Arial" w:hAnsi="Arial"/>
                <w:sz w:val="18"/>
                <w:szCs w:val="18"/>
                <w:u w:val="single" w:color="auto"/>
                <w:color w:val="0000FF"/>
                <w:w w:val="97"/>
              </w:rPr>
            </w:pPr>
            <w:hyperlink r:id="rId220">
              <w:r>
                <w:rPr>
                  <w:rFonts w:ascii="Arial" w:cs="Arial" w:eastAsia="Arial" w:hAnsi="Arial"/>
                  <w:sz w:val="18"/>
                  <w:szCs w:val="18"/>
                  <w:u w:val="single" w:color="auto"/>
                  <w:color w:val="0000FF"/>
                  <w:w w:val="97"/>
                </w:rPr>
                <w:t>10.68</w:t>
              </w:r>
            </w:hyperlink>
          </w:p>
        </w:tc>
        <w:tc>
          <w:tcPr>
            <w:tcW w:w="740" w:type="dxa"/>
            <w:vAlign w:val="bottom"/>
          </w:tcPr>
          <w:p>
            <w:pPr>
              <w:spacing w:after="0"/>
              <w:rPr>
                <w:sz w:val="20"/>
                <w:szCs w:val="20"/>
                <w:color w:val="auto"/>
              </w:rPr>
            </w:pPr>
            <w:r>
              <w:rPr>
                <w:rFonts w:ascii="Arial" w:cs="Arial" w:eastAsia="Arial" w:hAnsi="Arial"/>
                <w:sz w:val="18"/>
                <w:szCs w:val="18"/>
                <w:color w:val="auto"/>
              </w:rPr>
              <w:t>†</w:t>
            </w:r>
          </w:p>
        </w:tc>
        <w:tc>
          <w:tcPr>
            <w:tcW w:w="10300" w:type="dxa"/>
            <w:vAlign w:val="bottom"/>
            <w:gridSpan w:val="32"/>
          </w:tcPr>
          <w:p>
            <w:pPr>
              <w:spacing w:after="0"/>
              <w:rPr>
                <w:rFonts w:ascii="Arial" w:cs="Arial" w:eastAsia="Arial" w:hAnsi="Arial"/>
                <w:sz w:val="18"/>
                <w:szCs w:val="18"/>
                <w:color w:val="0000FF"/>
                <w:w w:val="95"/>
              </w:rPr>
            </w:pPr>
            <w:hyperlink r:id="rId220">
              <w:r>
                <w:rPr>
                  <w:rFonts w:ascii="Arial" w:cs="Arial" w:eastAsia="Arial" w:hAnsi="Arial"/>
                  <w:sz w:val="18"/>
                  <w:szCs w:val="18"/>
                  <w:color w:val="0000FF"/>
                  <w:w w:val="95"/>
                </w:rPr>
                <w:t>Settlement Agreement and Full Release dated as of October 16, 2018 between Altisource S.à r.l. and Joseph A. Davila (incorporated by</w:t>
              </w:r>
            </w:hyperlink>
          </w:p>
        </w:tc>
      </w:tr>
      <w:tr>
        <w:trPr>
          <w:trHeight w:val="156"/>
        </w:trPr>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26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220">
              <w:r>
                <w:rPr>
                  <w:rFonts w:ascii="Arial" w:cs="Arial" w:eastAsia="Arial" w:hAnsi="Arial"/>
                  <w:sz w:val="18"/>
                  <w:szCs w:val="18"/>
                  <w:color w:val="0000FF"/>
                </w:rPr>
                <w:t>reference to Exhibit 10.5 of the Company’s Form 10-Q filed on October 25, 2018)</w:t>
              </w:r>
            </w:hyperlink>
          </w:p>
        </w:tc>
        <w:tc>
          <w:tcPr>
            <w:tcW w:w="40" w:type="dxa"/>
            <w:vAlign w:val="bottom"/>
            <w:gridSpan w:val="2"/>
          </w:tcPr>
          <w:p>
            <w:pPr>
              <w:spacing w:after="0"/>
              <w:rPr>
                <w:sz w:val="13"/>
                <w:szCs w:val="13"/>
                <w:color w:val="auto"/>
              </w:rPr>
            </w:pPr>
          </w:p>
        </w:tc>
      </w:tr>
      <w:tr>
        <w:trPr>
          <w:trHeight w:val="20"/>
        </w:trPr>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40" w:type="dxa"/>
            <w:vAlign w:val="bottom"/>
            <w:gridSpan w:val="2"/>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04"/>
        </w:trPr>
        <w:tc>
          <w:tcPr>
            <w:tcW w:w="480" w:type="dxa"/>
            <w:vAlign w:val="bottom"/>
          </w:tcPr>
          <w:p>
            <w:pPr>
              <w:ind w:left="20"/>
              <w:spacing w:after="0"/>
              <w:rPr>
                <w:rFonts w:ascii="Arial" w:cs="Arial" w:eastAsia="Arial" w:hAnsi="Arial"/>
                <w:sz w:val="18"/>
                <w:szCs w:val="18"/>
                <w:u w:val="single" w:color="auto"/>
                <w:color w:val="0000FF"/>
                <w:w w:val="97"/>
              </w:rPr>
            </w:pPr>
            <w:hyperlink r:id="rId221">
              <w:r>
                <w:rPr>
                  <w:rFonts w:ascii="Arial" w:cs="Arial" w:eastAsia="Arial" w:hAnsi="Arial"/>
                  <w:sz w:val="18"/>
                  <w:szCs w:val="18"/>
                  <w:u w:val="single" w:color="auto"/>
                  <w:color w:val="0000FF"/>
                  <w:w w:val="97"/>
                </w:rPr>
                <w:t>10.69</w:t>
              </w:r>
            </w:hyperlink>
          </w:p>
        </w:tc>
        <w:tc>
          <w:tcPr>
            <w:tcW w:w="740" w:type="dxa"/>
            <w:vAlign w:val="bottom"/>
          </w:tcPr>
          <w:p>
            <w:pPr>
              <w:spacing w:after="0"/>
              <w:rPr>
                <w:sz w:val="20"/>
                <w:szCs w:val="20"/>
                <w:color w:val="auto"/>
              </w:rPr>
            </w:pPr>
            <w:r>
              <w:rPr>
                <w:rFonts w:ascii="Arial" w:cs="Arial" w:eastAsia="Arial" w:hAnsi="Arial"/>
                <w:sz w:val="18"/>
                <w:szCs w:val="18"/>
                <w:color w:val="auto"/>
              </w:rPr>
              <w:t>†</w:t>
            </w:r>
          </w:p>
        </w:tc>
        <w:tc>
          <w:tcPr>
            <w:tcW w:w="10300" w:type="dxa"/>
            <w:vAlign w:val="bottom"/>
            <w:gridSpan w:val="32"/>
          </w:tcPr>
          <w:p>
            <w:pPr>
              <w:spacing w:after="0"/>
              <w:rPr>
                <w:rFonts w:ascii="Arial" w:cs="Arial" w:eastAsia="Arial" w:hAnsi="Arial"/>
                <w:sz w:val="18"/>
                <w:szCs w:val="18"/>
                <w:color w:val="0000FF"/>
                <w:w w:val="93"/>
              </w:rPr>
            </w:pPr>
            <w:hyperlink r:id="rId221">
              <w:r>
                <w:rPr>
                  <w:rFonts w:ascii="Arial" w:cs="Arial" w:eastAsia="Arial" w:hAnsi="Arial"/>
                  <w:sz w:val="18"/>
                  <w:szCs w:val="18"/>
                  <w:color w:val="0000FF"/>
                  <w:w w:val="93"/>
                </w:rPr>
                <w:t>Second Amended and Restated Employment Contract dated as of November 6, 2018 between Altisource Solutions S.à r.l. and Gregory J.</w:t>
              </w:r>
            </w:hyperlink>
          </w:p>
        </w:tc>
      </w:tr>
      <w:tr>
        <w:trPr>
          <w:trHeight w:val="156"/>
        </w:trPr>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72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1"/>
              </w:rPr>
            </w:pPr>
            <w:hyperlink r:id="rId221">
              <w:r>
                <w:rPr>
                  <w:rFonts w:ascii="Arial" w:cs="Arial" w:eastAsia="Arial" w:hAnsi="Arial"/>
                  <w:sz w:val="18"/>
                  <w:szCs w:val="18"/>
                  <w:color w:val="0000FF"/>
                  <w:w w:val="91"/>
                </w:rPr>
                <w:t>Ritts (incorporated by reference to Exhibit 10.78 of the Company’s Form 10-K filed on February 26, 2019)</w:t>
              </w:r>
            </w:hyperlink>
          </w:p>
        </w:tc>
        <w:tc>
          <w:tcPr>
            <w:tcW w:w="224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304"/>
        </w:trPr>
        <w:tc>
          <w:tcPr>
            <w:tcW w:w="480" w:type="dxa"/>
            <w:vAlign w:val="bottom"/>
          </w:tcPr>
          <w:p>
            <w:pPr>
              <w:ind w:left="20"/>
              <w:spacing w:after="0"/>
              <w:rPr>
                <w:rFonts w:ascii="Arial" w:cs="Arial" w:eastAsia="Arial" w:hAnsi="Arial"/>
                <w:sz w:val="18"/>
                <w:szCs w:val="18"/>
                <w:u w:val="single" w:color="auto"/>
                <w:color w:val="0000FF"/>
                <w:w w:val="97"/>
              </w:rPr>
            </w:pPr>
            <w:hyperlink r:id="rId222">
              <w:r>
                <w:rPr>
                  <w:rFonts w:ascii="Arial" w:cs="Arial" w:eastAsia="Arial" w:hAnsi="Arial"/>
                  <w:sz w:val="18"/>
                  <w:szCs w:val="18"/>
                  <w:u w:val="single" w:color="auto"/>
                  <w:color w:val="0000FF"/>
                  <w:w w:val="97"/>
                </w:rPr>
                <w:t>10.70</w:t>
              </w:r>
            </w:hyperlink>
          </w:p>
        </w:tc>
        <w:tc>
          <w:tcPr>
            <w:tcW w:w="740" w:type="dxa"/>
            <w:vAlign w:val="bottom"/>
          </w:tcPr>
          <w:p>
            <w:pPr>
              <w:spacing w:after="0"/>
              <w:rPr>
                <w:sz w:val="20"/>
                <w:szCs w:val="20"/>
                <w:color w:val="auto"/>
              </w:rPr>
            </w:pPr>
            <w:r>
              <w:rPr>
                <w:rFonts w:ascii="Arial" w:cs="Arial" w:eastAsia="Arial" w:hAnsi="Arial"/>
                <w:sz w:val="18"/>
                <w:szCs w:val="18"/>
                <w:color w:val="auto"/>
              </w:rPr>
              <w:t>†</w:t>
            </w:r>
          </w:p>
        </w:tc>
        <w:tc>
          <w:tcPr>
            <w:tcW w:w="10300" w:type="dxa"/>
            <w:vAlign w:val="bottom"/>
            <w:gridSpan w:val="32"/>
          </w:tcPr>
          <w:p>
            <w:pPr>
              <w:spacing w:after="0"/>
              <w:rPr>
                <w:rFonts w:ascii="Arial" w:cs="Arial" w:eastAsia="Arial" w:hAnsi="Arial"/>
                <w:sz w:val="18"/>
                <w:szCs w:val="18"/>
                <w:color w:val="0000FF"/>
                <w:w w:val="98"/>
              </w:rPr>
            </w:pPr>
            <w:hyperlink r:id="rId222">
              <w:r>
                <w:rPr>
                  <w:rFonts w:ascii="Arial" w:cs="Arial" w:eastAsia="Arial" w:hAnsi="Arial"/>
                  <w:sz w:val="18"/>
                  <w:szCs w:val="18"/>
                  <w:color w:val="0000FF"/>
                  <w:w w:val="98"/>
                </w:rPr>
                <w:t>Employment Agreement effective as of August 1, 2017 between Altisource Solutions S.à r.l and Marcello Mastioni (incorporated by</w:t>
              </w:r>
            </w:hyperlink>
          </w:p>
        </w:tc>
      </w:tr>
      <w:tr>
        <w:trPr>
          <w:trHeight w:val="155"/>
        </w:trPr>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20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222">
              <w:r>
                <w:rPr>
                  <w:rFonts w:ascii="Arial" w:cs="Arial" w:eastAsia="Arial" w:hAnsi="Arial"/>
                  <w:sz w:val="18"/>
                  <w:szCs w:val="18"/>
                  <w:color w:val="0000FF"/>
                </w:rPr>
                <w:t>reference to Exhibit 10.79 of the Company’s Form 10-K filed on February 26, 2019)</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40" w:type="dxa"/>
            <w:vAlign w:val="bottom"/>
            <w:gridSpan w:val="2"/>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04"/>
        </w:trPr>
        <w:tc>
          <w:tcPr>
            <w:tcW w:w="480" w:type="dxa"/>
            <w:vAlign w:val="bottom"/>
          </w:tcPr>
          <w:p>
            <w:pPr>
              <w:ind w:left="20"/>
              <w:spacing w:after="0"/>
              <w:rPr>
                <w:rFonts w:ascii="Arial" w:cs="Arial" w:eastAsia="Arial" w:hAnsi="Arial"/>
                <w:sz w:val="18"/>
                <w:szCs w:val="18"/>
                <w:u w:val="single" w:color="auto"/>
                <w:color w:val="0000FF"/>
                <w:w w:val="97"/>
              </w:rPr>
            </w:pPr>
            <w:hyperlink r:id="rId223">
              <w:r>
                <w:rPr>
                  <w:rFonts w:ascii="Arial" w:cs="Arial" w:eastAsia="Arial" w:hAnsi="Arial"/>
                  <w:sz w:val="18"/>
                  <w:szCs w:val="18"/>
                  <w:u w:val="single" w:color="auto"/>
                  <w:color w:val="0000FF"/>
                  <w:w w:val="97"/>
                </w:rPr>
                <w:t>10.71</w:t>
              </w:r>
            </w:hyperlink>
          </w:p>
        </w:tc>
        <w:tc>
          <w:tcPr>
            <w:tcW w:w="740" w:type="dxa"/>
            <w:vAlign w:val="bottom"/>
          </w:tcPr>
          <w:p>
            <w:pPr>
              <w:spacing w:after="0"/>
              <w:rPr>
                <w:sz w:val="20"/>
                <w:szCs w:val="20"/>
                <w:color w:val="auto"/>
              </w:rPr>
            </w:pPr>
            <w:r>
              <w:rPr>
                <w:rFonts w:ascii="Arial" w:cs="Arial" w:eastAsia="Arial" w:hAnsi="Arial"/>
                <w:sz w:val="18"/>
                <w:szCs w:val="18"/>
                <w:color w:val="auto"/>
              </w:rPr>
              <w:t>†</w:t>
            </w:r>
          </w:p>
        </w:tc>
        <w:tc>
          <w:tcPr>
            <w:tcW w:w="10300" w:type="dxa"/>
            <w:vAlign w:val="bottom"/>
            <w:gridSpan w:val="32"/>
          </w:tcPr>
          <w:p>
            <w:pPr>
              <w:spacing w:after="0"/>
              <w:rPr>
                <w:rFonts w:ascii="Arial" w:cs="Arial" w:eastAsia="Arial" w:hAnsi="Arial"/>
                <w:sz w:val="18"/>
                <w:szCs w:val="18"/>
                <w:color w:val="0000FF"/>
                <w:w w:val="94"/>
              </w:rPr>
            </w:pPr>
            <w:hyperlink r:id="rId223">
              <w:r>
                <w:rPr>
                  <w:rFonts w:ascii="Arial" w:cs="Arial" w:eastAsia="Arial" w:hAnsi="Arial"/>
                  <w:sz w:val="18"/>
                  <w:szCs w:val="18"/>
                  <w:color w:val="0000FF"/>
                  <w:w w:val="94"/>
                </w:rPr>
                <w:t>Non-Qualified Stock Option Award Agreement between the Company and Marcello Mastioni dated as of August 1, 2017 (incorporated by</w:t>
              </w:r>
            </w:hyperlink>
          </w:p>
        </w:tc>
      </w:tr>
      <w:tr>
        <w:trPr>
          <w:trHeight w:val="155"/>
        </w:trPr>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16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223">
              <w:r>
                <w:rPr>
                  <w:rFonts w:ascii="Arial" w:cs="Arial" w:eastAsia="Arial" w:hAnsi="Arial"/>
                  <w:sz w:val="18"/>
                  <w:szCs w:val="18"/>
                  <w:color w:val="0000FF"/>
                </w:rPr>
                <w:t>reference to Exhibit 10.80 of the Company’s Form 10-K filed on February 26, 2019)</w:t>
              </w:r>
            </w:hyperlink>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40" w:type="dxa"/>
            <w:vAlign w:val="bottom"/>
            <w:gridSpan w:val="2"/>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04"/>
        </w:trPr>
        <w:tc>
          <w:tcPr>
            <w:tcW w:w="480" w:type="dxa"/>
            <w:vAlign w:val="bottom"/>
          </w:tcPr>
          <w:p>
            <w:pPr>
              <w:ind w:left="20"/>
              <w:spacing w:after="0"/>
              <w:rPr>
                <w:rFonts w:ascii="Arial" w:cs="Arial" w:eastAsia="Arial" w:hAnsi="Arial"/>
                <w:sz w:val="18"/>
                <w:szCs w:val="18"/>
                <w:u w:val="single" w:color="auto"/>
                <w:color w:val="0000FF"/>
                <w:w w:val="97"/>
              </w:rPr>
            </w:pPr>
            <w:hyperlink r:id="rId224">
              <w:r>
                <w:rPr>
                  <w:rFonts w:ascii="Arial" w:cs="Arial" w:eastAsia="Arial" w:hAnsi="Arial"/>
                  <w:sz w:val="18"/>
                  <w:szCs w:val="18"/>
                  <w:u w:val="single" w:color="auto"/>
                  <w:color w:val="0000FF"/>
                  <w:w w:val="97"/>
                </w:rPr>
                <w:t>10.72</w:t>
              </w:r>
            </w:hyperlink>
          </w:p>
        </w:tc>
        <w:tc>
          <w:tcPr>
            <w:tcW w:w="740" w:type="dxa"/>
            <w:vAlign w:val="bottom"/>
          </w:tcPr>
          <w:p>
            <w:pPr>
              <w:spacing w:after="0"/>
              <w:rPr>
                <w:sz w:val="20"/>
                <w:szCs w:val="20"/>
                <w:color w:val="auto"/>
              </w:rPr>
            </w:pPr>
            <w:r>
              <w:rPr>
                <w:rFonts w:ascii="Arial" w:cs="Arial" w:eastAsia="Arial" w:hAnsi="Arial"/>
                <w:sz w:val="18"/>
                <w:szCs w:val="18"/>
                <w:color w:val="auto"/>
              </w:rPr>
              <w:t>†</w:t>
            </w:r>
          </w:p>
        </w:tc>
        <w:tc>
          <w:tcPr>
            <w:tcW w:w="10300" w:type="dxa"/>
            <w:vAlign w:val="bottom"/>
            <w:gridSpan w:val="32"/>
          </w:tcPr>
          <w:p>
            <w:pPr>
              <w:spacing w:after="0"/>
              <w:rPr>
                <w:rFonts w:ascii="Arial" w:cs="Arial" w:eastAsia="Arial" w:hAnsi="Arial"/>
                <w:sz w:val="18"/>
                <w:szCs w:val="18"/>
                <w:color w:val="0000FF"/>
                <w:w w:val="94"/>
              </w:rPr>
            </w:pPr>
            <w:hyperlink r:id="rId224">
              <w:r>
                <w:rPr>
                  <w:rFonts w:ascii="Arial" w:cs="Arial" w:eastAsia="Arial" w:hAnsi="Arial"/>
                  <w:sz w:val="18"/>
                  <w:szCs w:val="18"/>
                  <w:color w:val="0000FF"/>
                  <w:w w:val="94"/>
                </w:rPr>
                <w:t>Restricted Share Award Agreement between the Company and Marcello Mastioni dated as of August 1, 2017 (incorporated by reference</w:t>
              </w:r>
            </w:hyperlink>
          </w:p>
        </w:tc>
      </w:tr>
      <w:tr>
        <w:trPr>
          <w:trHeight w:val="156"/>
        </w:trPr>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38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2"/>
              </w:rPr>
            </w:pPr>
            <w:hyperlink r:id="rId224">
              <w:r>
                <w:rPr>
                  <w:rFonts w:ascii="Arial" w:cs="Arial" w:eastAsia="Arial" w:hAnsi="Arial"/>
                  <w:sz w:val="18"/>
                  <w:szCs w:val="18"/>
                  <w:color w:val="0000FF"/>
                  <w:w w:val="92"/>
                </w:rPr>
                <w:t>to Exhibit 10.81 of the Company’s Form 10-K filed on February 26, 2019)</w:t>
              </w:r>
            </w:hyperlink>
          </w:p>
        </w:tc>
        <w:tc>
          <w:tcPr>
            <w:tcW w:w="4740" w:type="dxa"/>
            <w:vAlign w:val="bottom"/>
            <w:tcBorders>
              <w:top w:val="single" w:sz="8" w:color="0000FF"/>
            </w:tcBorders>
            <w:gridSpan w:val="18"/>
          </w:tcPr>
          <w:p>
            <w:pPr>
              <w:spacing w:after="0"/>
              <w:rPr>
                <w:sz w:val="13"/>
                <w:szCs w:val="13"/>
                <w:color w:val="auto"/>
              </w:rPr>
            </w:pPr>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r>
      <w:tr>
        <w:trPr>
          <w:trHeight w:val="304"/>
        </w:trPr>
        <w:tc>
          <w:tcPr>
            <w:tcW w:w="480" w:type="dxa"/>
            <w:vAlign w:val="bottom"/>
          </w:tcPr>
          <w:p>
            <w:pPr>
              <w:ind w:left="20"/>
              <w:spacing w:after="0"/>
              <w:rPr>
                <w:rFonts w:ascii="Arial" w:cs="Arial" w:eastAsia="Arial" w:hAnsi="Arial"/>
                <w:sz w:val="18"/>
                <w:szCs w:val="18"/>
                <w:u w:val="single" w:color="auto"/>
                <w:color w:val="0000FF"/>
                <w:w w:val="97"/>
              </w:rPr>
            </w:pPr>
            <w:hyperlink r:id="rId225">
              <w:r>
                <w:rPr>
                  <w:rFonts w:ascii="Arial" w:cs="Arial" w:eastAsia="Arial" w:hAnsi="Arial"/>
                  <w:sz w:val="18"/>
                  <w:szCs w:val="18"/>
                  <w:u w:val="single" w:color="auto"/>
                  <w:color w:val="0000FF"/>
                  <w:w w:val="97"/>
                </w:rPr>
                <w:t>10.73</w:t>
              </w:r>
            </w:hyperlink>
          </w:p>
        </w:tc>
        <w:tc>
          <w:tcPr>
            <w:tcW w:w="740" w:type="dxa"/>
            <w:vAlign w:val="bottom"/>
          </w:tcPr>
          <w:p>
            <w:pPr>
              <w:spacing w:after="0"/>
              <w:rPr>
                <w:sz w:val="20"/>
                <w:szCs w:val="20"/>
                <w:color w:val="auto"/>
              </w:rPr>
            </w:pPr>
            <w:r>
              <w:rPr>
                <w:rFonts w:ascii="Arial" w:cs="Arial" w:eastAsia="Arial" w:hAnsi="Arial"/>
                <w:sz w:val="18"/>
                <w:szCs w:val="18"/>
                <w:color w:val="auto"/>
              </w:rPr>
              <w:t>†</w:t>
            </w:r>
          </w:p>
        </w:tc>
        <w:tc>
          <w:tcPr>
            <w:tcW w:w="10300" w:type="dxa"/>
            <w:vAlign w:val="bottom"/>
            <w:gridSpan w:val="32"/>
          </w:tcPr>
          <w:p>
            <w:pPr>
              <w:spacing w:after="0"/>
              <w:rPr>
                <w:rFonts w:ascii="Arial" w:cs="Arial" w:eastAsia="Arial" w:hAnsi="Arial"/>
                <w:sz w:val="18"/>
                <w:szCs w:val="18"/>
                <w:color w:val="0000FF"/>
                <w:w w:val="95"/>
              </w:rPr>
            </w:pPr>
            <w:hyperlink r:id="rId225">
              <w:r>
                <w:rPr>
                  <w:rFonts w:ascii="Arial" w:cs="Arial" w:eastAsia="Arial" w:hAnsi="Arial"/>
                  <w:sz w:val="18"/>
                  <w:szCs w:val="18"/>
                  <w:color w:val="0000FF"/>
                  <w:w w:val="95"/>
                </w:rPr>
                <w:t>Altisource Portfolio Solutions S.A. Amended and Restated 2009 Equity Incentive Plan, dated as of November 12, 2018 (incorporated by</w:t>
              </w:r>
            </w:hyperlink>
          </w:p>
        </w:tc>
      </w:tr>
      <w:tr>
        <w:trPr>
          <w:trHeight w:val="156"/>
        </w:trPr>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98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225">
              <w:r>
                <w:rPr>
                  <w:rFonts w:ascii="Arial" w:cs="Arial" w:eastAsia="Arial" w:hAnsi="Arial"/>
                  <w:sz w:val="18"/>
                  <w:szCs w:val="18"/>
                  <w:color w:val="0000FF"/>
                </w:rPr>
                <w:t>reference to Exhibit 10.82 of the Company’s Form 10-K filed on February 26, 2019)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40" w:type="dxa"/>
            <w:vAlign w:val="bottom"/>
            <w:gridSpan w:val="2"/>
            <w:shd w:val="clear" w:color="auto" w:fill="0000FF"/>
          </w:tcPr>
          <w:p>
            <w:pPr>
              <w:spacing w:after="0" w:line="20" w:lineRule="exact"/>
              <w:rPr>
                <w:sz w:val="1"/>
                <w:szCs w:val="1"/>
                <w:color w:val="auto"/>
              </w:rPr>
            </w:pPr>
          </w:p>
        </w:tc>
        <w:tc>
          <w:tcPr>
            <w:tcW w:w="2320" w:type="dxa"/>
            <w:vAlign w:val="bottom"/>
            <w:gridSpan w:val="6"/>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04"/>
        </w:trPr>
        <w:tc>
          <w:tcPr>
            <w:tcW w:w="480" w:type="dxa"/>
            <w:vAlign w:val="bottom"/>
          </w:tcPr>
          <w:p>
            <w:pPr>
              <w:ind w:left="20"/>
              <w:spacing w:after="0"/>
              <w:rPr>
                <w:rFonts w:ascii="Arial" w:cs="Arial" w:eastAsia="Arial" w:hAnsi="Arial"/>
                <w:sz w:val="18"/>
                <w:szCs w:val="18"/>
                <w:u w:val="single" w:color="auto"/>
                <w:color w:val="0000FF"/>
                <w:w w:val="97"/>
              </w:rPr>
            </w:pPr>
            <w:hyperlink r:id="rId226">
              <w:r>
                <w:rPr>
                  <w:rFonts w:ascii="Arial" w:cs="Arial" w:eastAsia="Arial" w:hAnsi="Arial"/>
                  <w:sz w:val="18"/>
                  <w:szCs w:val="18"/>
                  <w:u w:val="single" w:color="auto"/>
                  <w:color w:val="0000FF"/>
                  <w:w w:val="97"/>
                </w:rPr>
                <w:t>10.74</w:t>
              </w:r>
            </w:hyperlink>
          </w:p>
        </w:tc>
        <w:tc>
          <w:tcPr>
            <w:tcW w:w="740" w:type="dxa"/>
            <w:vAlign w:val="bottom"/>
          </w:tcPr>
          <w:p>
            <w:pPr>
              <w:spacing w:after="0"/>
              <w:rPr>
                <w:sz w:val="20"/>
                <w:szCs w:val="20"/>
                <w:color w:val="auto"/>
              </w:rPr>
            </w:pPr>
            <w:r>
              <w:rPr>
                <w:rFonts w:ascii="Arial" w:cs="Arial" w:eastAsia="Arial" w:hAnsi="Arial"/>
                <w:sz w:val="18"/>
                <w:szCs w:val="18"/>
                <w:color w:val="auto"/>
              </w:rPr>
              <w:t>**</w:t>
            </w:r>
          </w:p>
        </w:tc>
        <w:tc>
          <w:tcPr>
            <w:tcW w:w="10300" w:type="dxa"/>
            <w:vAlign w:val="bottom"/>
            <w:gridSpan w:val="32"/>
          </w:tcPr>
          <w:p>
            <w:pPr>
              <w:spacing w:after="0"/>
              <w:rPr>
                <w:rFonts w:ascii="Arial" w:cs="Arial" w:eastAsia="Arial" w:hAnsi="Arial"/>
                <w:sz w:val="18"/>
                <w:szCs w:val="18"/>
                <w:color w:val="0000FF"/>
                <w:w w:val="98"/>
              </w:rPr>
            </w:pPr>
            <w:hyperlink r:id="rId226">
              <w:r>
                <w:rPr>
                  <w:rFonts w:ascii="Arial" w:cs="Arial" w:eastAsia="Arial" w:hAnsi="Arial"/>
                  <w:sz w:val="18"/>
                  <w:szCs w:val="18"/>
                  <w:color w:val="0000FF"/>
                  <w:w w:val="98"/>
                </w:rPr>
                <w:t>Binding Term Sheet dated as of February 22, 2019 between Altisource S.à r.l., Ocwen Financial Corporation and Ocwen Mortgage</w:t>
              </w:r>
            </w:hyperlink>
          </w:p>
        </w:tc>
      </w:tr>
      <w:tr>
        <w:trPr>
          <w:trHeight w:val="156"/>
        </w:trPr>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0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226">
              <w:r>
                <w:rPr>
                  <w:rFonts w:ascii="Arial" w:cs="Arial" w:eastAsia="Arial" w:hAnsi="Arial"/>
                  <w:sz w:val="18"/>
                  <w:szCs w:val="18"/>
                  <w:color w:val="0000FF"/>
                </w:rPr>
                <w:t>Servicing, Inc. (incorporated by reference to Exhibit 10.1 of the Company’s Form 10-Q filed on April 25, 2019)</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40" w:type="dxa"/>
            <w:vAlign w:val="bottom"/>
            <w:gridSpan w:val="2"/>
            <w:shd w:val="clear" w:color="auto" w:fill="0000FF"/>
          </w:tcPr>
          <w:p>
            <w:pPr>
              <w:spacing w:after="0" w:line="20" w:lineRule="exact"/>
              <w:rPr>
                <w:sz w:val="1"/>
                <w:szCs w:val="1"/>
                <w:color w:val="auto"/>
              </w:rPr>
            </w:pPr>
          </w:p>
        </w:tc>
        <w:tc>
          <w:tcPr>
            <w:tcW w:w="2320" w:type="dxa"/>
            <w:vAlign w:val="bottom"/>
            <w:gridSpan w:val="6"/>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04"/>
        </w:trPr>
        <w:tc>
          <w:tcPr>
            <w:tcW w:w="480" w:type="dxa"/>
            <w:vAlign w:val="bottom"/>
          </w:tcPr>
          <w:p>
            <w:pPr>
              <w:ind w:left="20"/>
              <w:spacing w:after="0"/>
              <w:rPr>
                <w:rFonts w:ascii="Arial" w:cs="Arial" w:eastAsia="Arial" w:hAnsi="Arial"/>
                <w:sz w:val="18"/>
                <w:szCs w:val="18"/>
                <w:u w:val="single" w:color="auto"/>
                <w:color w:val="0000FF"/>
                <w:w w:val="97"/>
              </w:rPr>
            </w:pPr>
            <w:hyperlink r:id="rId227">
              <w:r>
                <w:rPr>
                  <w:rFonts w:ascii="Arial" w:cs="Arial" w:eastAsia="Arial" w:hAnsi="Arial"/>
                  <w:sz w:val="18"/>
                  <w:szCs w:val="18"/>
                  <w:u w:val="single" w:color="auto"/>
                  <w:color w:val="0000FF"/>
                  <w:w w:val="97"/>
                </w:rPr>
                <w:t>10.75</w:t>
              </w:r>
            </w:hyperlink>
          </w:p>
        </w:tc>
        <w:tc>
          <w:tcPr>
            <w:tcW w:w="740" w:type="dxa"/>
            <w:vAlign w:val="bottom"/>
          </w:tcPr>
          <w:p>
            <w:pPr>
              <w:spacing w:after="0"/>
              <w:rPr>
                <w:sz w:val="20"/>
                <w:szCs w:val="20"/>
                <w:color w:val="auto"/>
              </w:rPr>
            </w:pPr>
            <w:r>
              <w:rPr>
                <w:rFonts w:ascii="Arial" w:cs="Arial" w:eastAsia="Arial" w:hAnsi="Arial"/>
                <w:sz w:val="18"/>
                <w:szCs w:val="18"/>
                <w:color w:val="auto"/>
              </w:rPr>
              <w:t>†</w:t>
            </w:r>
          </w:p>
        </w:tc>
        <w:tc>
          <w:tcPr>
            <w:tcW w:w="10300" w:type="dxa"/>
            <w:vAlign w:val="bottom"/>
            <w:gridSpan w:val="32"/>
          </w:tcPr>
          <w:p>
            <w:pPr>
              <w:spacing w:after="0"/>
              <w:rPr>
                <w:rFonts w:ascii="Arial" w:cs="Arial" w:eastAsia="Arial" w:hAnsi="Arial"/>
                <w:sz w:val="18"/>
                <w:szCs w:val="18"/>
                <w:color w:val="0000FF"/>
                <w:w w:val="94"/>
              </w:rPr>
            </w:pPr>
            <w:hyperlink r:id="rId227">
              <w:r>
                <w:rPr>
                  <w:rFonts w:ascii="Arial" w:cs="Arial" w:eastAsia="Arial" w:hAnsi="Arial"/>
                  <w:sz w:val="18"/>
                  <w:szCs w:val="18"/>
                  <w:color w:val="0000FF"/>
                  <w:w w:val="94"/>
                </w:rPr>
                <w:t>Amended and Restated Employment Contract of Indefinite Duration dated as of March 22, 2019 between Altisource S.à r.l. and Marcello</w:t>
              </w:r>
            </w:hyperlink>
          </w:p>
        </w:tc>
      </w:tr>
      <w:tr>
        <w:trPr>
          <w:trHeight w:val="155"/>
        </w:trPr>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6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2"/>
              </w:rPr>
            </w:pPr>
            <w:hyperlink r:id="rId227">
              <w:r>
                <w:rPr>
                  <w:rFonts w:ascii="Arial" w:cs="Arial" w:eastAsia="Arial" w:hAnsi="Arial"/>
                  <w:sz w:val="18"/>
                  <w:szCs w:val="18"/>
                  <w:color w:val="0000FF"/>
                  <w:w w:val="92"/>
                </w:rPr>
                <w:t>Mastioni (incorporated by reference to Exhibit 10.2 of the Company’s Form 10-Q filed on April 25, 2019)</w:t>
              </w:r>
            </w:hyperlink>
          </w:p>
        </w:tc>
        <w:tc>
          <w:tcPr>
            <w:tcW w:w="2320" w:type="dxa"/>
            <w:vAlign w:val="bottom"/>
            <w:tcBorders>
              <w:top w:val="single" w:sz="8" w:color="0000FF"/>
            </w:tcBorders>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80" w:type="dxa"/>
            <w:vAlign w:val="bottom"/>
            <w:gridSpan w:val="4"/>
          </w:tcPr>
          <w:p>
            <w:pPr>
              <w:spacing w:after="0"/>
              <w:rPr>
                <w:sz w:val="13"/>
                <w:szCs w:val="13"/>
                <w:color w:val="auto"/>
              </w:rPr>
            </w:pPr>
          </w:p>
        </w:tc>
      </w:tr>
      <w:tr>
        <w:trPr>
          <w:trHeight w:val="304"/>
        </w:trPr>
        <w:tc>
          <w:tcPr>
            <w:tcW w:w="480" w:type="dxa"/>
            <w:vAlign w:val="bottom"/>
          </w:tcPr>
          <w:p>
            <w:pPr>
              <w:ind w:left="20"/>
              <w:spacing w:after="0"/>
              <w:rPr>
                <w:rFonts w:ascii="Arial" w:cs="Arial" w:eastAsia="Arial" w:hAnsi="Arial"/>
                <w:sz w:val="18"/>
                <w:szCs w:val="18"/>
                <w:u w:val="single" w:color="auto"/>
                <w:color w:val="0000FF"/>
                <w:w w:val="97"/>
              </w:rPr>
            </w:pPr>
            <w:hyperlink r:id="rId228">
              <w:r>
                <w:rPr>
                  <w:rFonts w:ascii="Arial" w:cs="Arial" w:eastAsia="Arial" w:hAnsi="Arial"/>
                  <w:sz w:val="18"/>
                  <w:szCs w:val="18"/>
                  <w:u w:val="single" w:color="auto"/>
                  <w:color w:val="0000FF"/>
                  <w:w w:val="97"/>
                </w:rPr>
                <w:t>10.76</w:t>
              </w:r>
            </w:hyperlink>
          </w:p>
        </w:tc>
        <w:tc>
          <w:tcPr>
            <w:tcW w:w="740" w:type="dxa"/>
            <w:vAlign w:val="bottom"/>
          </w:tcPr>
          <w:p>
            <w:pPr>
              <w:spacing w:after="0"/>
              <w:rPr>
                <w:sz w:val="20"/>
                <w:szCs w:val="20"/>
                <w:color w:val="auto"/>
              </w:rPr>
            </w:pPr>
            <w:r>
              <w:rPr>
                <w:rFonts w:ascii="Arial" w:cs="Arial" w:eastAsia="Arial" w:hAnsi="Arial"/>
                <w:sz w:val="18"/>
                <w:szCs w:val="18"/>
                <w:color w:val="auto"/>
              </w:rPr>
              <w:t>** †</w:t>
            </w:r>
          </w:p>
        </w:tc>
        <w:tc>
          <w:tcPr>
            <w:tcW w:w="10300" w:type="dxa"/>
            <w:vAlign w:val="bottom"/>
            <w:gridSpan w:val="32"/>
          </w:tcPr>
          <w:p>
            <w:pPr>
              <w:spacing w:after="0"/>
              <w:rPr>
                <w:rFonts w:ascii="Arial" w:cs="Arial" w:eastAsia="Arial" w:hAnsi="Arial"/>
                <w:sz w:val="18"/>
                <w:szCs w:val="18"/>
                <w:color w:val="0000FF"/>
                <w:w w:val="93"/>
              </w:rPr>
            </w:pPr>
            <w:hyperlink r:id="rId228">
              <w:r>
                <w:rPr>
                  <w:rFonts w:ascii="Arial" w:cs="Arial" w:eastAsia="Arial" w:hAnsi="Arial"/>
                  <w:sz w:val="18"/>
                  <w:szCs w:val="18"/>
                  <w:color w:val="0000FF"/>
                  <w:w w:val="93"/>
                </w:rPr>
                <w:t>Separation Agreement and Release dated as of March 22, 2019 between Indroneel Chatterjee and Altisource Solutions, Inc. (incorporated</w:t>
              </w:r>
            </w:hyperlink>
          </w:p>
        </w:tc>
      </w:tr>
      <w:tr>
        <w:trPr>
          <w:trHeight w:val="155"/>
        </w:trPr>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96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2"/>
              </w:rPr>
            </w:pPr>
            <w:hyperlink r:id="rId228">
              <w:r>
                <w:rPr>
                  <w:rFonts w:ascii="Arial" w:cs="Arial" w:eastAsia="Arial" w:hAnsi="Arial"/>
                  <w:sz w:val="18"/>
                  <w:szCs w:val="18"/>
                  <w:color w:val="0000FF"/>
                  <w:w w:val="92"/>
                </w:rPr>
                <w:t>by reference to Exhibit 10.3 of the Company’s Form 10-Q filed on April 25, 2019)</w:t>
              </w:r>
            </w:hyperlink>
          </w:p>
        </w:tc>
        <w:tc>
          <w:tcPr>
            <w:tcW w:w="4060" w:type="dxa"/>
            <w:vAlign w:val="bottom"/>
            <w:tcBorders>
              <w:top w:val="single" w:sz="8" w:color="0000FF"/>
            </w:tcBorders>
            <w:gridSpan w:val="10"/>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80" w:type="dxa"/>
            <w:vAlign w:val="bottom"/>
            <w:gridSpan w:val="4"/>
          </w:tcPr>
          <w:p>
            <w:pPr>
              <w:spacing w:after="0"/>
              <w:rPr>
                <w:sz w:val="13"/>
                <w:szCs w:val="13"/>
                <w:color w:val="auto"/>
              </w:rPr>
            </w:pPr>
          </w:p>
        </w:tc>
      </w:tr>
      <w:tr>
        <w:trPr>
          <w:trHeight w:val="304"/>
        </w:trPr>
        <w:tc>
          <w:tcPr>
            <w:tcW w:w="480" w:type="dxa"/>
            <w:vAlign w:val="bottom"/>
          </w:tcPr>
          <w:p>
            <w:pPr>
              <w:ind w:left="20"/>
              <w:spacing w:after="0"/>
              <w:rPr>
                <w:rFonts w:ascii="Arial" w:cs="Arial" w:eastAsia="Arial" w:hAnsi="Arial"/>
                <w:sz w:val="18"/>
                <w:szCs w:val="18"/>
                <w:u w:val="single" w:color="auto"/>
                <w:color w:val="0000FF"/>
                <w:w w:val="97"/>
              </w:rPr>
            </w:pPr>
            <w:hyperlink r:id="rId229">
              <w:r>
                <w:rPr>
                  <w:rFonts w:ascii="Arial" w:cs="Arial" w:eastAsia="Arial" w:hAnsi="Arial"/>
                  <w:sz w:val="18"/>
                  <w:szCs w:val="18"/>
                  <w:u w:val="single" w:color="auto"/>
                  <w:color w:val="0000FF"/>
                  <w:w w:val="97"/>
                </w:rPr>
                <w:t>10.77</w:t>
              </w:r>
            </w:hyperlink>
          </w:p>
        </w:tc>
        <w:tc>
          <w:tcPr>
            <w:tcW w:w="740" w:type="dxa"/>
            <w:vAlign w:val="bottom"/>
          </w:tcPr>
          <w:p>
            <w:pPr>
              <w:spacing w:after="0"/>
              <w:rPr>
                <w:sz w:val="20"/>
                <w:szCs w:val="20"/>
                <w:color w:val="auto"/>
              </w:rPr>
            </w:pPr>
            <w:r>
              <w:rPr>
                <w:rFonts w:ascii="Arial" w:cs="Arial" w:eastAsia="Arial" w:hAnsi="Arial"/>
                <w:sz w:val="18"/>
                <w:szCs w:val="18"/>
                <w:color w:val="auto"/>
              </w:rPr>
              <w:t>** †</w:t>
            </w:r>
          </w:p>
        </w:tc>
        <w:tc>
          <w:tcPr>
            <w:tcW w:w="10300" w:type="dxa"/>
            <w:vAlign w:val="bottom"/>
            <w:gridSpan w:val="32"/>
          </w:tcPr>
          <w:p>
            <w:pPr>
              <w:spacing w:after="0"/>
              <w:rPr>
                <w:rFonts w:ascii="Arial" w:cs="Arial" w:eastAsia="Arial" w:hAnsi="Arial"/>
                <w:sz w:val="18"/>
                <w:szCs w:val="18"/>
                <w:color w:val="0000FF"/>
                <w:w w:val="94"/>
              </w:rPr>
            </w:pPr>
            <w:hyperlink r:id="rId229">
              <w:r>
                <w:rPr>
                  <w:rFonts w:ascii="Arial" w:cs="Arial" w:eastAsia="Arial" w:hAnsi="Arial"/>
                  <w:sz w:val="18"/>
                  <w:szCs w:val="18"/>
                  <w:color w:val="0000FF"/>
                  <w:w w:val="94"/>
                </w:rPr>
                <w:t>Side Letter to Separation Agreement and Release by and between Indroneel Chatterjee and Altisource Solutions, Inc. dated as of March</w:t>
              </w:r>
            </w:hyperlink>
          </w:p>
        </w:tc>
      </w:tr>
      <w:tr>
        <w:trPr>
          <w:trHeight w:val="155"/>
        </w:trPr>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2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229">
              <w:r>
                <w:rPr>
                  <w:rFonts w:ascii="Arial" w:cs="Arial" w:eastAsia="Arial" w:hAnsi="Arial"/>
                  <w:sz w:val="18"/>
                  <w:szCs w:val="18"/>
                  <w:color w:val="0000FF"/>
                </w:rPr>
                <w:t>22, 2019 (incorporated by reference to Exhibit 10.4 of the Company’s Form 10-Q filed on April 25, 2019)</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40" w:type="dxa"/>
            <w:vAlign w:val="bottom"/>
            <w:gridSpan w:val="2"/>
            <w:shd w:val="clear" w:color="auto" w:fill="0000FF"/>
          </w:tcPr>
          <w:p>
            <w:pPr>
              <w:spacing w:after="0" w:line="20" w:lineRule="exact"/>
              <w:rPr>
                <w:sz w:val="1"/>
                <w:szCs w:val="1"/>
                <w:color w:val="auto"/>
              </w:rPr>
            </w:pPr>
          </w:p>
        </w:tc>
        <w:tc>
          <w:tcPr>
            <w:tcW w:w="3320" w:type="dxa"/>
            <w:vAlign w:val="bottom"/>
            <w:gridSpan w:val="8"/>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4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04"/>
        </w:trPr>
        <w:tc>
          <w:tcPr>
            <w:tcW w:w="480" w:type="dxa"/>
            <w:vAlign w:val="bottom"/>
          </w:tcPr>
          <w:p>
            <w:pPr>
              <w:ind w:left="20"/>
              <w:spacing w:after="0"/>
              <w:rPr>
                <w:rFonts w:ascii="Arial" w:cs="Arial" w:eastAsia="Arial" w:hAnsi="Arial"/>
                <w:sz w:val="18"/>
                <w:szCs w:val="18"/>
                <w:u w:val="single" w:color="auto"/>
                <w:color w:val="0000FF"/>
                <w:w w:val="97"/>
              </w:rPr>
            </w:pPr>
            <w:hyperlink r:id="rId230">
              <w:r>
                <w:rPr>
                  <w:rFonts w:ascii="Arial" w:cs="Arial" w:eastAsia="Arial" w:hAnsi="Arial"/>
                  <w:sz w:val="18"/>
                  <w:szCs w:val="18"/>
                  <w:u w:val="single" w:color="auto"/>
                  <w:color w:val="0000FF"/>
                  <w:w w:val="97"/>
                </w:rPr>
                <w:t>10.78</w:t>
              </w:r>
            </w:hyperlink>
          </w:p>
        </w:tc>
        <w:tc>
          <w:tcPr>
            <w:tcW w:w="740" w:type="dxa"/>
            <w:vAlign w:val="bottom"/>
          </w:tcPr>
          <w:p>
            <w:pPr>
              <w:spacing w:after="0"/>
              <w:rPr>
                <w:sz w:val="20"/>
                <w:szCs w:val="20"/>
                <w:color w:val="auto"/>
              </w:rPr>
            </w:pPr>
            <w:r>
              <w:rPr>
                <w:rFonts w:ascii="Arial" w:cs="Arial" w:eastAsia="Arial" w:hAnsi="Arial"/>
                <w:sz w:val="18"/>
                <w:szCs w:val="18"/>
                <w:color w:val="auto"/>
              </w:rPr>
              <w:t>†</w:t>
            </w:r>
          </w:p>
        </w:tc>
        <w:tc>
          <w:tcPr>
            <w:tcW w:w="10300" w:type="dxa"/>
            <w:vAlign w:val="bottom"/>
            <w:gridSpan w:val="32"/>
          </w:tcPr>
          <w:p>
            <w:pPr>
              <w:spacing w:after="0"/>
              <w:rPr>
                <w:rFonts w:ascii="Arial" w:cs="Arial" w:eastAsia="Arial" w:hAnsi="Arial"/>
                <w:sz w:val="18"/>
                <w:szCs w:val="18"/>
                <w:color w:val="0000FF"/>
              </w:rPr>
            </w:pPr>
            <w:hyperlink r:id="rId230">
              <w:r>
                <w:rPr>
                  <w:rFonts w:ascii="Arial" w:cs="Arial" w:eastAsia="Arial" w:hAnsi="Arial"/>
                  <w:sz w:val="18"/>
                  <w:szCs w:val="18"/>
                  <w:color w:val="0000FF"/>
                </w:rPr>
                <w:t>Form of Restricted Stock Unit Award Agreement Pursuant to Altisource’s 2009 Equity Incentive Plan and 2019 Long Term Equity</w:t>
              </w:r>
            </w:hyperlink>
          </w:p>
        </w:tc>
      </w:tr>
      <w:tr>
        <w:trPr>
          <w:trHeight w:val="224"/>
        </w:trPr>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100" w:type="dxa"/>
            <w:vAlign w:val="bottom"/>
            <w:tcBorders>
              <w:top w:val="single" w:sz="8" w:color="0000FF"/>
            </w:tcBorders>
            <w:gridSpan w:val="22"/>
          </w:tcPr>
          <w:p>
            <w:pPr>
              <w:spacing w:after="0"/>
              <w:rPr>
                <w:rFonts w:ascii="Arial" w:cs="Arial" w:eastAsia="Arial" w:hAnsi="Arial"/>
                <w:sz w:val="18"/>
                <w:szCs w:val="18"/>
                <w:u w:val="single" w:color="auto"/>
                <w:color w:val="0000FF"/>
              </w:rPr>
            </w:pPr>
            <w:hyperlink r:id="rId230">
              <w:r>
                <w:rPr>
                  <w:rFonts w:ascii="Arial" w:cs="Arial" w:eastAsia="Arial" w:hAnsi="Arial"/>
                  <w:sz w:val="18"/>
                  <w:szCs w:val="18"/>
                  <w:u w:val="single" w:color="auto"/>
                  <w:color w:val="0000FF"/>
                </w:rPr>
                <w:t>Incentive Program (incorporated by reference to Exhibit 10.5 of the Company’s Form 10-Q filed on April 25, 2019)</w:t>
              </w:r>
            </w:hyperlink>
          </w:p>
        </w:tc>
        <w:tc>
          <w:tcPr>
            <w:tcW w:w="120" w:type="dxa"/>
            <w:vAlign w:val="bottom"/>
            <w:gridSpan w:val="6"/>
          </w:tcPr>
          <w:p>
            <w:pPr>
              <w:spacing w:after="0"/>
              <w:rPr>
                <w:sz w:val="19"/>
                <w:szCs w:val="19"/>
                <w:color w:val="auto"/>
              </w:rPr>
            </w:pPr>
          </w:p>
        </w:tc>
        <w:tc>
          <w:tcPr>
            <w:tcW w:w="80" w:type="dxa"/>
            <w:vAlign w:val="bottom"/>
            <w:gridSpan w:val="4"/>
          </w:tcPr>
          <w:p>
            <w:pPr>
              <w:spacing w:after="0"/>
              <w:rPr>
                <w:sz w:val="19"/>
                <w:szCs w:val="19"/>
                <w:color w:val="auto"/>
              </w:rPr>
            </w:pPr>
          </w:p>
        </w:tc>
      </w:tr>
      <w:tr>
        <w:trPr>
          <w:trHeight w:val="256"/>
        </w:trPr>
        <w:tc>
          <w:tcPr>
            <w:tcW w:w="480" w:type="dxa"/>
            <w:vAlign w:val="bottom"/>
          </w:tcPr>
          <w:p>
            <w:pPr>
              <w:ind w:left="20"/>
              <w:spacing w:after="0"/>
              <w:rPr>
                <w:rFonts w:ascii="Arial" w:cs="Arial" w:eastAsia="Arial" w:hAnsi="Arial"/>
                <w:sz w:val="18"/>
                <w:szCs w:val="18"/>
                <w:u w:val="single" w:color="auto"/>
                <w:color w:val="0000FF"/>
                <w:w w:val="97"/>
              </w:rPr>
            </w:pPr>
            <w:hyperlink r:id="rId231">
              <w:r>
                <w:rPr>
                  <w:rFonts w:ascii="Arial" w:cs="Arial" w:eastAsia="Arial" w:hAnsi="Arial"/>
                  <w:sz w:val="18"/>
                  <w:szCs w:val="18"/>
                  <w:u w:val="single" w:color="auto"/>
                  <w:color w:val="0000FF"/>
                  <w:w w:val="97"/>
                </w:rPr>
                <w:t>10.79</w:t>
              </w:r>
            </w:hyperlink>
          </w:p>
        </w:tc>
        <w:tc>
          <w:tcPr>
            <w:tcW w:w="740" w:type="dxa"/>
            <w:vAlign w:val="bottom"/>
          </w:tcPr>
          <w:p>
            <w:pPr>
              <w:spacing w:after="0"/>
              <w:rPr>
                <w:sz w:val="20"/>
                <w:szCs w:val="20"/>
                <w:color w:val="auto"/>
              </w:rPr>
            </w:pPr>
            <w:r>
              <w:rPr>
                <w:rFonts w:ascii="Arial" w:cs="Arial" w:eastAsia="Arial" w:hAnsi="Arial"/>
                <w:sz w:val="18"/>
                <w:szCs w:val="18"/>
                <w:color w:val="auto"/>
              </w:rPr>
              <w:t>†</w:t>
            </w:r>
          </w:p>
        </w:tc>
        <w:tc>
          <w:tcPr>
            <w:tcW w:w="10300" w:type="dxa"/>
            <w:vAlign w:val="bottom"/>
            <w:gridSpan w:val="32"/>
          </w:tcPr>
          <w:p>
            <w:pPr>
              <w:spacing w:after="0"/>
              <w:rPr>
                <w:rFonts w:ascii="Arial" w:cs="Arial" w:eastAsia="Arial" w:hAnsi="Arial"/>
                <w:sz w:val="18"/>
                <w:szCs w:val="18"/>
                <w:color w:val="0000FF"/>
                <w:w w:val="97"/>
              </w:rPr>
            </w:pPr>
            <w:hyperlink r:id="rId231">
              <w:r>
                <w:rPr>
                  <w:rFonts w:ascii="Arial" w:cs="Arial" w:eastAsia="Arial" w:hAnsi="Arial"/>
                  <w:sz w:val="18"/>
                  <w:szCs w:val="18"/>
                  <w:color w:val="0000FF"/>
                  <w:w w:val="97"/>
                </w:rPr>
                <w:t>Form of Restricted Stock Unit Award Agreement Pursuant to Altisource’s 2009 Equity Incentive Plan and 2018 Annual Incentive Plan</w:t>
              </w:r>
            </w:hyperlink>
          </w:p>
        </w:tc>
      </w:tr>
      <w:tr>
        <w:trPr>
          <w:trHeight w:val="155"/>
        </w:trPr>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8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231">
              <w:r>
                <w:rPr>
                  <w:rFonts w:ascii="Arial" w:cs="Arial" w:eastAsia="Arial" w:hAnsi="Arial"/>
                  <w:sz w:val="18"/>
                  <w:szCs w:val="18"/>
                  <w:color w:val="0000FF"/>
                </w:rPr>
                <w:t>(incorporated by reference to Exhibit 10.6 of the Company’s Form 10-Q filed on April 25, 2019)</w:t>
              </w:r>
            </w:hyperlink>
          </w:p>
        </w:tc>
        <w:tc>
          <w:tcPr>
            <w:tcW w:w="140" w:type="dxa"/>
            <w:vAlign w:val="bottom"/>
            <w:gridSpan w:val="7"/>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40" w:type="dxa"/>
            <w:vAlign w:val="bottom"/>
            <w:gridSpan w:val="2"/>
            <w:shd w:val="clear" w:color="auto" w:fill="0000FF"/>
          </w:tcPr>
          <w:p>
            <w:pPr>
              <w:spacing w:after="0" w:line="20" w:lineRule="exact"/>
              <w:rPr>
                <w:sz w:val="1"/>
                <w:szCs w:val="1"/>
                <w:color w:val="auto"/>
              </w:rPr>
            </w:pPr>
          </w:p>
        </w:tc>
        <w:tc>
          <w:tcPr>
            <w:tcW w:w="3320" w:type="dxa"/>
            <w:vAlign w:val="bottom"/>
            <w:gridSpan w:val="8"/>
            <w:shd w:val="clear" w:color="auto" w:fill="0000FF"/>
          </w:tcPr>
          <w:p>
            <w:pPr>
              <w:spacing w:after="0" w:line="20" w:lineRule="exact"/>
              <w:rPr>
                <w:sz w:val="1"/>
                <w:szCs w:val="1"/>
                <w:color w:val="auto"/>
              </w:rPr>
            </w:pPr>
          </w:p>
        </w:tc>
        <w:tc>
          <w:tcPr>
            <w:tcW w:w="3260" w:type="dxa"/>
            <w:vAlign w:val="bottom"/>
            <w:gridSpan w:val="18"/>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04"/>
        </w:trPr>
        <w:tc>
          <w:tcPr>
            <w:tcW w:w="480" w:type="dxa"/>
            <w:vAlign w:val="bottom"/>
          </w:tcPr>
          <w:p>
            <w:pPr>
              <w:ind w:left="20"/>
              <w:spacing w:after="0"/>
              <w:rPr>
                <w:rFonts w:ascii="Arial" w:cs="Arial" w:eastAsia="Arial" w:hAnsi="Arial"/>
                <w:sz w:val="18"/>
                <w:szCs w:val="18"/>
                <w:u w:val="single" w:color="auto"/>
                <w:color w:val="0000FF"/>
                <w:w w:val="97"/>
              </w:rPr>
            </w:pPr>
            <w:hyperlink r:id="rId232">
              <w:r>
                <w:rPr>
                  <w:rFonts w:ascii="Arial" w:cs="Arial" w:eastAsia="Arial" w:hAnsi="Arial"/>
                  <w:sz w:val="18"/>
                  <w:szCs w:val="18"/>
                  <w:u w:val="single" w:color="auto"/>
                  <w:color w:val="0000FF"/>
                  <w:w w:val="97"/>
                </w:rPr>
                <w:t>10.80</w:t>
              </w:r>
            </w:hyperlink>
          </w:p>
        </w:tc>
        <w:tc>
          <w:tcPr>
            <w:tcW w:w="740" w:type="dxa"/>
            <w:vAlign w:val="bottom"/>
          </w:tcPr>
          <w:p>
            <w:pPr>
              <w:spacing w:after="0"/>
              <w:rPr>
                <w:sz w:val="20"/>
                <w:szCs w:val="20"/>
                <w:color w:val="auto"/>
              </w:rPr>
            </w:pPr>
            <w:r>
              <w:rPr>
                <w:rFonts w:ascii="Arial" w:cs="Arial" w:eastAsia="Arial" w:hAnsi="Arial"/>
                <w:sz w:val="18"/>
                <w:szCs w:val="18"/>
                <w:color w:val="auto"/>
              </w:rPr>
              <w:t>†</w:t>
            </w:r>
          </w:p>
        </w:tc>
        <w:tc>
          <w:tcPr>
            <w:tcW w:w="10300" w:type="dxa"/>
            <w:vAlign w:val="bottom"/>
            <w:gridSpan w:val="32"/>
          </w:tcPr>
          <w:p>
            <w:pPr>
              <w:spacing w:after="0"/>
              <w:rPr>
                <w:rFonts w:ascii="Arial" w:cs="Arial" w:eastAsia="Arial" w:hAnsi="Arial"/>
                <w:sz w:val="18"/>
                <w:szCs w:val="18"/>
                <w:color w:val="0000FF"/>
              </w:rPr>
            </w:pPr>
            <w:hyperlink r:id="rId232">
              <w:r>
                <w:rPr>
                  <w:rFonts w:ascii="Arial" w:cs="Arial" w:eastAsia="Arial" w:hAnsi="Arial"/>
                  <w:sz w:val="18"/>
                  <w:szCs w:val="18"/>
                  <w:color w:val="0000FF"/>
                </w:rPr>
                <w:t>Form of Restricted Stock Unit Award Agreement Pursuant to Altisource’s 2009 Equity Incentive Plan and 2019 Long Term Equity</w:t>
              </w:r>
            </w:hyperlink>
          </w:p>
        </w:tc>
      </w:tr>
      <w:tr>
        <w:trPr>
          <w:trHeight w:val="224"/>
        </w:trPr>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100" w:type="dxa"/>
            <w:vAlign w:val="bottom"/>
            <w:tcBorders>
              <w:top w:val="single" w:sz="8" w:color="0000FF"/>
            </w:tcBorders>
            <w:gridSpan w:val="22"/>
          </w:tcPr>
          <w:p>
            <w:pPr>
              <w:spacing w:after="0"/>
              <w:rPr>
                <w:rFonts w:ascii="Arial" w:cs="Arial" w:eastAsia="Arial" w:hAnsi="Arial"/>
                <w:sz w:val="18"/>
                <w:szCs w:val="18"/>
                <w:u w:val="single" w:color="auto"/>
                <w:color w:val="0000FF"/>
              </w:rPr>
            </w:pPr>
            <w:hyperlink r:id="rId232">
              <w:r>
                <w:rPr>
                  <w:rFonts w:ascii="Arial" w:cs="Arial" w:eastAsia="Arial" w:hAnsi="Arial"/>
                  <w:sz w:val="18"/>
                  <w:szCs w:val="18"/>
                  <w:u w:val="single" w:color="auto"/>
                  <w:color w:val="0000FF"/>
                </w:rPr>
                <w:t>Incentive Program (incorporated by reference to Exhibit 10.1 of the Company’s Form 10-Q filed on July 25, 2019)</w:t>
              </w:r>
            </w:hyperlink>
          </w:p>
        </w:tc>
        <w:tc>
          <w:tcPr>
            <w:tcW w:w="120" w:type="dxa"/>
            <w:vAlign w:val="bottom"/>
            <w:gridSpan w:val="6"/>
          </w:tcPr>
          <w:p>
            <w:pPr>
              <w:spacing w:after="0"/>
              <w:rPr>
                <w:sz w:val="19"/>
                <w:szCs w:val="19"/>
                <w:color w:val="auto"/>
              </w:rPr>
            </w:pPr>
          </w:p>
        </w:tc>
        <w:tc>
          <w:tcPr>
            <w:tcW w:w="80" w:type="dxa"/>
            <w:vAlign w:val="bottom"/>
            <w:gridSpan w:val="4"/>
          </w:tcPr>
          <w:p>
            <w:pPr>
              <w:spacing w:after="0"/>
              <w:rPr>
                <w:sz w:val="19"/>
                <w:szCs w:val="19"/>
                <w:color w:val="auto"/>
              </w:rPr>
            </w:pPr>
          </w:p>
        </w:tc>
      </w:tr>
      <w:tr>
        <w:trPr>
          <w:trHeight w:val="256"/>
        </w:trPr>
        <w:tc>
          <w:tcPr>
            <w:tcW w:w="480" w:type="dxa"/>
            <w:vAlign w:val="bottom"/>
          </w:tcPr>
          <w:p>
            <w:pPr>
              <w:ind w:left="20"/>
              <w:spacing w:after="0"/>
              <w:rPr>
                <w:rFonts w:ascii="Arial" w:cs="Arial" w:eastAsia="Arial" w:hAnsi="Arial"/>
                <w:sz w:val="18"/>
                <w:szCs w:val="18"/>
                <w:u w:val="single" w:color="auto"/>
                <w:color w:val="0000FF"/>
                <w:w w:val="97"/>
              </w:rPr>
            </w:pPr>
            <w:hyperlink r:id="rId233">
              <w:r>
                <w:rPr>
                  <w:rFonts w:ascii="Arial" w:cs="Arial" w:eastAsia="Arial" w:hAnsi="Arial"/>
                  <w:sz w:val="18"/>
                  <w:szCs w:val="18"/>
                  <w:u w:val="single" w:color="auto"/>
                  <w:color w:val="0000FF"/>
                  <w:w w:val="97"/>
                </w:rPr>
                <w:t>10.81</w:t>
              </w:r>
            </w:hyperlink>
          </w:p>
        </w:tc>
        <w:tc>
          <w:tcPr>
            <w:tcW w:w="740" w:type="dxa"/>
            <w:vAlign w:val="bottom"/>
          </w:tcPr>
          <w:p>
            <w:pPr>
              <w:spacing w:after="0"/>
              <w:rPr>
                <w:sz w:val="20"/>
                <w:szCs w:val="20"/>
                <w:color w:val="auto"/>
              </w:rPr>
            </w:pPr>
            <w:r>
              <w:rPr>
                <w:rFonts w:ascii="Arial" w:cs="Arial" w:eastAsia="Arial" w:hAnsi="Arial"/>
                <w:sz w:val="18"/>
                <w:szCs w:val="18"/>
                <w:color w:val="auto"/>
              </w:rPr>
              <w:t>†</w:t>
            </w:r>
          </w:p>
        </w:tc>
        <w:tc>
          <w:tcPr>
            <w:tcW w:w="10300" w:type="dxa"/>
            <w:vAlign w:val="bottom"/>
            <w:gridSpan w:val="32"/>
          </w:tcPr>
          <w:p>
            <w:pPr>
              <w:spacing w:after="0"/>
              <w:rPr>
                <w:rFonts w:ascii="Arial" w:cs="Arial" w:eastAsia="Arial" w:hAnsi="Arial"/>
                <w:sz w:val="18"/>
                <w:szCs w:val="18"/>
                <w:color w:val="0000FF"/>
                <w:w w:val="94"/>
              </w:rPr>
            </w:pPr>
            <w:hyperlink r:id="rId233">
              <w:r>
                <w:rPr>
                  <w:rFonts w:ascii="Arial" w:cs="Arial" w:eastAsia="Arial" w:hAnsi="Arial"/>
                  <w:sz w:val="18"/>
                  <w:szCs w:val="18"/>
                  <w:color w:val="0000FF"/>
                  <w:w w:val="94"/>
                </w:rPr>
                <w:t>Agreement dated as of October 11, 2019 between Altisource S.à r.l. and Kevin J. Wilcox (incorporated by reference to Exhibit 10.1 of the</w:t>
              </w:r>
            </w:hyperlink>
          </w:p>
        </w:tc>
      </w:tr>
      <w:tr>
        <w:trPr>
          <w:trHeight w:val="156"/>
        </w:trPr>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1"/>
              </w:rPr>
            </w:pPr>
            <w:hyperlink r:id="rId233">
              <w:r>
                <w:rPr>
                  <w:rFonts w:ascii="Arial" w:cs="Arial" w:eastAsia="Arial" w:hAnsi="Arial"/>
                  <w:sz w:val="18"/>
                  <w:szCs w:val="18"/>
                  <w:color w:val="0000FF"/>
                  <w:w w:val="91"/>
                </w:rPr>
                <w:t>Company’s Form 10-Q filed on October 24, 2019)</w:t>
              </w:r>
            </w:hyperlink>
          </w:p>
        </w:tc>
        <w:tc>
          <w:tcPr>
            <w:tcW w:w="6580" w:type="dxa"/>
            <w:vAlign w:val="bottom"/>
            <w:tcBorders>
              <w:top w:val="single" w:sz="8" w:color="0000FF"/>
            </w:tcBorders>
            <w:gridSpan w:val="26"/>
          </w:tcPr>
          <w:p>
            <w:pPr>
              <w:spacing w:after="0"/>
              <w:rPr>
                <w:sz w:val="13"/>
                <w:szCs w:val="13"/>
                <w:color w:val="auto"/>
              </w:rPr>
            </w:pPr>
          </w:p>
        </w:tc>
        <w:tc>
          <w:tcPr>
            <w:tcW w:w="80" w:type="dxa"/>
            <w:vAlign w:val="bottom"/>
            <w:gridSpan w:val="4"/>
          </w:tcPr>
          <w:p>
            <w:pPr>
              <w:spacing w:after="0"/>
              <w:rPr>
                <w:sz w:val="13"/>
                <w:szCs w:val="13"/>
                <w:color w:val="auto"/>
              </w:rPr>
            </w:pPr>
          </w:p>
        </w:tc>
      </w:tr>
      <w:tr>
        <w:trPr>
          <w:trHeight w:val="345"/>
        </w:trPr>
        <w:tc>
          <w:tcPr>
            <w:tcW w:w="480" w:type="dxa"/>
            <w:vAlign w:val="bottom"/>
          </w:tcPr>
          <w:p>
            <w:pPr>
              <w:ind w:left="20"/>
              <w:spacing w:after="0"/>
              <w:rPr>
                <w:rFonts w:ascii="Arial" w:cs="Arial" w:eastAsia="Arial" w:hAnsi="Arial"/>
                <w:sz w:val="18"/>
                <w:szCs w:val="18"/>
                <w:color w:val="0000FF"/>
                <w:w w:val="93"/>
              </w:rPr>
            </w:pPr>
            <w:hyperlink w:anchor="page103">
              <w:r>
                <w:rPr>
                  <w:rFonts w:ascii="Arial" w:cs="Arial" w:eastAsia="Arial" w:hAnsi="Arial"/>
                  <w:sz w:val="18"/>
                  <w:szCs w:val="18"/>
                  <w:u w:val="single" w:color="auto"/>
                  <w:color w:val="0000FF"/>
                  <w:w w:val="93"/>
                </w:rPr>
                <w:t>21.1</w:t>
              </w:r>
              <w:r>
                <w:rPr>
                  <w:rFonts w:ascii="Arial" w:cs="Arial" w:eastAsia="Arial" w:hAnsi="Arial"/>
                  <w:sz w:val="18"/>
                  <w:szCs w:val="18"/>
                  <w:color w:val="0000FF"/>
                  <w:w w:val="93"/>
                </w:rPr>
                <w:t xml:space="preserve"> </w:t>
              </w:r>
            </w:hyperlink>
            <w:r>
              <w:rPr>
                <w:rFonts w:ascii="Arial" w:cs="Arial" w:eastAsia="Arial" w:hAnsi="Arial"/>
                <w:sz w:val="18"/>
                <w:szCs w:val="18"/>
                <w:color w:val="000000"/>
                <w:w w:val="93"/>
              </w:rPr>
              <w:t>*</w:t>
            </w:r>
          </w:p>
        </w:tc>
        <w:tc>
          <w:tcPr>
            <w:tcW w:w="740" w:type="dxa"/>
            <w:vAlign w:val="bottom"/>
          </w:tcPr>
          <w:p>
            <w:pPr>
              <w:spacing w:after="0"/>
              <w:rPr>
                <w:sz w:val="24"/>
                <w:szCs w:val="24"/>
                <w:color w:val="auto"/>
              </w:rPr>
            </w:pPr>
          </w:p>
        </w:tc>
        <w:tc>
          <w:tcPr>
            <w:tcW w:w="10300" w:type="dxa"/>
            <w:vAlign w:val="bottom"/>
            <w:gridSpan w:val="32"/>
          </w:tcPr>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Subsidiaries of the Registrant.</w:t>
              </w:r>
            </w:hyperlink>
          </w:p>
        </w:tc>
      </w:tr>
      <w:tr>
        <w:trPr>
          <w:trHeight w:val="283"/>
        </w:trPr>
        <w:tc>
          <w:tcPr>
            <w:tcW w:w="480" w:type="dxa"/>
            <w:vAlign w:val="bottom"/>
          </w:tcPr>
          <w:p>
            <w:pPr>
              <w:ind w:left="20"/>
              <w:spacing w:after="0"/>
              <w:rPr>
                <w:rFonts w:ascii="Arial" w:cs="Arial" w:eastAsia="Arial" w:hAnsi="Arial"/>
                <w:sz w:val="18"/>
                <w:szCs w:val="18"/>
                <w:color w:val="0000FF"/>
                <w:w w:val="93"/>
              </w:rPr>
            </w:pPr>
            <w:hyperlink w:anchor="page105">
              <w:r>
                <w:rPr>
                  <w:rFonts w:ascii="Arial" w:cs="Arial" w:eastAsia="Arial" w:hAnsi="Arial"/>
                  <w:sz w:val="18"/>
                  <w:szCs w:val="18"/>
                  <w:u w:val="single" w:color="auto"/>
                  <w:color w:val="0000FF"/>
                  <w:w w:val="93"/>
                </w:rPr>
                <w:t>23.1</w:t>
              </w:r>
              <w:r>
                <w:rPr>
                  <w:rFonts w:ascii="Arial" w:cs="Arial" w:eastAsia="Arial" w:hAnsi="Arial"/>
                  <w:sz w:val="18"/>
                  <w:szCs w:val="18"/>
                  <w:color w:val="0000FF"/>
                  <w:w w:val="93"/>
                </w:rPr>
                <w:t xml:space="preserve"> </w:t>
              </w:r>
            </w:hyperlink>
            <w:r>
              <w:rPr>
                <w:rFonts w:ascii="Arial" w:cs="Arial" w:eastAsia="Arial" w:hAnsi="Arial"/>
                <w:sz w:val="18"/>
                <w:szCs w:val="18"/>
                <w:color w:val="000000"/>
                <w:w w:val="93"/>
              </w:rPr>
              <w:t>*</w:t>
            </w:r>
          </w:p>
        </w:tc>
        <w:tc>
          <w:tcPr>
            <w:tcW w:w="740" w:type="dxa"/>
            <w:vAlign w:val="bottom"/>
          </w:tcPr>
          <w:p>
            <w:pPr>
              <w:spacing w:after="0"/>
              <w:rPr>
                <w:sz w:val="24"/>
                <w:szCs w:val="24"/>
                <w:color w:val="auto"/>
              </w:rPr>
            </w:pPr>
          </w:p>
        </w:tc>
        <w:tc>
          <w:tcPr>
            <w:tcW w:w="10300" w:type="dxa"/>
            <w:vAlign w:val="bottom"/>
            <w:gridSpan w:val="32"/>
          </w:tcPr>
          <w:p>
            <w:pPr>
              <w:spacing w:after="0"/>
              <w:rPr>
                <w:rFonts w:ascii="Arial" w:cs="Arial" w:eastAsia="Arial" w:hAnsi="Arial"/>
                <w:sz w:val="18"/>
                <w:szCs w:val="18"/>
                <w:u w:val="single" w:color="auto"/>
                <w:color w:val="0000FF"/>
              </w:rPr>
            </w:pPr>
            <w:hyperlink w:anchor="page105">
              <w:r>
                <w:rPr>
                  <w:rFonts w:ascii="Arial" w:cs="Arial" w:eastAsia="Arial" w:hAnsi="Arial"/>
                  <w:sz w:val="18"/>
                  <w:szCs w:val="18"/>
                  <w:u w:val="single" w:color="auto"/>
                  <w:color w:val="0000FF"/>
                </w:rPr>
                <w:t>Consent of Independent Registered Public Accounting Firm (Mayer Hoffman McCann P.C.).</w:t>
              </w:r>
            </w:hyperlink>
          </w:p>
        </w:tc>
      </w:tr>
      <w:tr>
        <w:trPr>
          <w:trHeight w:val="283"/>
        </w:trPr>
        <w:tc>
          <w:tcPr>
            <w:tcW w:w="480" w:type="dxa"/>
            <w:vAlign w:val="bottom"/>
          </w:tcPr>
          <w:p>
            <w:pPr>
              <w:ind w:left="20"/>
              <w:spacing w:after="0"/>
              <w:rPr>
                <w:rFonts w:ascii="Arial" w:cs="Arial" w:eastAsia="Arial" w:hAnsi="Arial"/>
                <w:sz w:val="18"/>
                <w:szCs w:val="18"/>
                <w:color w:val="0000FF"/>
                <w:w w:val="93"/>
              </w:rPr>
            </w:pPr>
            <w:hyperlink w:anchor="page106">
              <w:r>
                <w:rPr>
                  <w:rFonts w:ascii="Arial" w:cs="Arial" w:eastAsia="Arial" w:hAnsi="Arial"/>
                  <w:sz w:val="18"/>
                  <w:szCs w:val="18"/>
                  <w:u w:val="single" w:color="auto"/>
                  <w:color w:val="0000FF"/>
                  <w:w w:val="93"/>
                </w:rPr>
                <w:t>31.1</w:t>
              </w:r>
              <w:r>
                <w:rPr>
                  <w:rFonts w:ascii="Arial" w:cs="Arial" w:eastAsia="Arial" w:hAnsi="Arial"/>
                  <w:sz w:val="18"/>
                  <w:szCs w:val="18"/>
                  <w:color w:val="0000FF"/>
                  <w:w w:val="93"/>
                </w:rPr>
                <w:t xml:space="preserve"> </w:t>
              </w:r>
            </w:hyperlink>
            <w:r>
              <w:rPr>
                <w:rFonts w:ascii="Arial" w:cs="Arial" w:eastAsia="Arial" w:hAnsi="Arial"/>
                <w:sz w:val="18"/>
                <w:szCs w:val="18"/>
                <w:color w:val="000000"/>
                <w:w w:val="93"/>
              </w:rPr>
              <w:t>*</w:t>
            </w:r>
          </w:p>
        </w:tc>
        <w:tc>
          <w:tcPr>
            <w:tcW w:w="740" w:type="dxa"/>
            <w:vAlign w:val="bottom"/>
          </w:tcPr>
          <w:p>
            <w:pPr>
              <w:spacing w:after="0"/>
              <w:rPr>
                <w:sz w:val="24"/>
                <w:szCs w:val="24"/>
                <w:color w:val="auto"/>
              </w:rPr>
            </w:pPr>
          </w:p>
        </w:tc>
        <w:tc>
          <w:tcPr>
            <w:tcW w:w="10300" w:type="dxa"/>
            <w:vAlign w:val="bottom"/>
            <w:gridSpan w:val="32"/>
          </w:tcPr>
          <w:p>
            <w:pPr>
              <w:spacing w:after="0"/>
              <w:rPr>
                <w:rFonts w:ascii="Arial" w:cs="Arial" w:eastAsia="Arial" w:hAnsi="Arial"/>
                <w:sz w:val="18"/>
                <w:szCs w:val="18"/>
                <w:u w:val="single" w:color="auto"/>
                <w:color w:val="0000FF"/>
              </w:rPr>
            </w:pPr>
            <w:hyperlink w:anchor="page106">
              <w:r>
                <w:rPr>
                  <w:rFonts w:ascii="Arial" w:cs="Arial" w:eastAsia="Arial" w:hAnsi="Arial"/>
                  <w:sz w:val="18"/>
                  <w:szCs w:val="18"/>
                  <w:u w:val="single" w:color="auto"/>
                  <w:color w:val="0000FF"/>
                </w:rPr>
                <w:t>Section 302 Certification of the Chief Executive Officer pursuant to Exchange Act Rule 13a-14(a).</w:t>
              </w:r>
            </w:hyperlink>
          </w:p>
        </w:tc>
      </w:tr>
      <w:tr>
        <w:trPr>
          <w:trHeight w:val="729"/>
        </w:trPr>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380" w:type="dxa"/>
            <w:vAlign w:val="bottom"/>
            <w:gridSpan w:val="5"/>
          </w:tcPr>
          <w:p>
            <w:pPr>
              <w:ind w:left="4320"/>
              <w:spacing w:after="0"/>
              <w:rPr>
                <w:sz w:val="20"/>
                <w:szCs w:val="20"/>
                <w:color w:val="auto"/>
              </w:rPr>
            </w:pPr>
            <w:r>
              <w:rPr>
                <w:rFonts w:ascii="Arial" w:cs="Arial" w:eastAsia="Arial" w:hAnsi="Arial"/>
                <w:sz w:val="18"/>
                <w:szCs w:val="18"/>
                <w:color w:val="auto"/>
              </w:rPr>
              <w:t>99</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3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40" w:type="dxa"/>
            <w:vAlign w:val="bottom"/>
          </w:tcPr>
          <w:p>
            <w:pPr>
              <w:spacing w:after="0"/>
              <w:rPr>
                <w:rFonts w:ascii="Arial" w:cs="Arial" w:eastAsia="Arial" w:hAnsi="Arial"/>
                <w:sz w:val="18"/>
                <w:szCs w:val="18"/>
                <w:color w:val="0000FF"/>
              </w:rPr>
            </w:pPr>
            <w:hyperlink w:anchor="page107">
              <w:r>
                <w:rPr>
                  <w:rFonts w:ascii="Arial" w:cs="Arial" w:eastAsia="Arial" w:hAnsi="Arial"/>
                  <w:sz w:val="18"/>
                  <w:szCs w:val="18"/>
                  <w:u w:val="single" w:color="auto"/>
                  <w:color w:val="0000FF"/>
                </w:rPr>
                <w:t>31.2</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340" w:type="dxa"/>
            <w:vAlign w:val="bottom"/>
          </w:tcPr>
          <w:p>
            <w:pPr>
              <w:ind w:left="360"/>
              <w:spacing w:after="0"/>
              <w:rPr>
                <w:rFonts w:ascii="Arial" w:cs="Arial" w:eastAsia="Arial" w:hAnsi="Arial"/>
                <w:sz w:val="18"/>
                <w:szCs w:val="18"/>
                <w:u w:val="single" w:color="auto"/>
                <w:color w:val="0000FF"/>
              </w:rPr>
            </w:pPr>
            <w:hyperlink w:anchor="page107">
              <w:r>
                <w:rPr>
                  <w:rFonts w:ascii="Arial" w:cs="Arial" w:eastAsia="Arial" w:hAnsi="Arial"/>
                  <w:sz w:val="18"/>
                  <w:szCs w:val="18"/>
                  <w:u w:val="single" w:color="auto"/>
                  <w:color w:val="0000FF"/>
                </w:rPr>
                <w:t>Section 302 Certification of the Chief Financial Officer pursuant to Exchange Act Rule 13a-14(a).</w:t>
              </w:r>
            </w:hyperlink>
          </w:p>
        </w:tc>
      </w:tr>
      <w:tr>
        <w:trPr>
          <w:trHeight w:val="283"/>
        </w:trPr>
        <w:tc>
          <w:tcPr>
            <w:tcW w:w="840" w:type="dxa"/>
            <w:vAlign w:val="bottom"/>
          </w:tcPr>
          <w:p>
            <w:pPr>
              <w:spacing w:after="0"/>
              <w:rPr>
                <w:rFonts w:ascii="Arial" w:cs="Arial" w:eastAsia="Arial" w:hAnsi="Arial"/>
                <w:sz w:val="18"/>
                <w:szCs w:val="18"/>
                <w:color w:val="0000FF"/>
              </w:rPr>
            </w:pPr>
            <w:hyperlink w:anchor="page108">
              <w:r>
                <w:rPr>
                  <w:rFonts w:ascii="Arial" w:cs="Arial" w:eastAsia="Arial" w:hAnsi="Arial"/>
                  <w:sz w:val="18"/>
                  <w:szCs w:val="18"/>
                  <w:u w:val="single" w:color="auto"/>
                  <w:color w:val="0000FF"/>
                </w:rPr>
                <w:t>32.1</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340" w:type="dxa"/>
            <w:vAlign w:val="bottom"/>
          </w:tcPr>
          <w:p>
            <w:pPr>
              <w:ind w:left="360"/>
              <w:spacing w:after="0"/>
              <w:rPr>
                <w:rFonts w:ascii="Arial" w:cs="Arial" w:eastAsia="Arial" w:hAnsi="Arial"/>
                <w:sz w:val="18"/>
                <w:szCs w:val="18"/>
                <w:u w:val="single" w:color="auto"/>
                <w:color w:val="0000FF"/>
                <w:w w:val="96"/>
              </w:rPr>
            </w:pPr>
            <w:hyperlink w:anchor="page108">
              <w:r>
                <w:rPr>
                  <w:rFonts w:ascii="Arial" w:cs="Arial" w:eastAsia="Arial" w:hAnsi="Arial"/>
                  <w:sz w:val="18"/>
                  <w:szCs w:val="18"/>
                  <w:u w:val="single" w:color="auto"/>
                  <w:color w:val="0000FF"/>
                  <w:w w:val="96"/>
                </w:rPr>
                <w:t>Certification of the Chief Executive Officer and Chief Financial Officer pursuant to Section 906 of the Sarbanes-Oxley Act of 2002.</w:t>
              </w:r>
            </w:hyperlink>
          </w:p>
        </w:tc>
      </w:t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10340" w:type="dxa"/>
            <w:vAlign w:val="bottom"/>
          </w:tcPr>
          <w:p>
            <w:pPr>
              <w:ind w:left="360"/>
              <w:spacing w:after="0"/>
              <w:rPr>
                <w:sz w:val="20"/>
                <w:szCs w:val="20"/>
                <w:color w:val="auto"/>
              </w:rPr>
            </w:pPr>
            <w:r>
              <w:rPr>
                <w:rFonts w:ascii="Arial" w:cs="Arial" w:eastAsia="Arial" w:hAnsi="Arial"/>
                <w:sz w:val="18"/>
                <w:szCs w:val="18"/>
                <w:color w:val="auto"/>
                <w:w w:val="95"/>
              </w:rPr>
              <w:t>Pursuant to Rule 405 of Regulation S-T, the following financial information from the Company’s Annual Report on Form 10-K for the</w:t>
            </w:r>
          </w:p>
        </w:tc>
      </w:tr>
      <w:tr>
        <w:trPr>
          <w:trHeight w:val="176"/>
        </w:trPr>
        <w:tc>
          <w:tcPr>
            <w:tcW w:w="840" w:type="dxa"/>
            <w:vAlign w:val="bottom"/>
          </w:tcPr>
          <w:p>
            <w:pPr>
              <w:spacing w:after="0"/>
              <w:rPr>
                <w:sz w:val="15"/>
                <w:szCs w:val="15"/>
                <w:color w:val="auto"/>
              </w:rPr>
            </w:pPr>
          </w:p>
        </w:tc>
        <w:tc>
          <w:tcPr>
            <w:tcW w:w="10340" w:type="dxa"/>
            <w:vAlign w:val="bottom"/>
          </w:tcPr>
          <w:p>
            <w:pPr>
              <w:ind w:left="360"/>
              <w:spacing w:after="0" w:line="176" w:lineRule="exact"/>
              <w:rPr>
                <w:sz w:val="20"/>
                <w:szCs w:val="20"/>
                <w:color w:val="auto"/>
              </w:rPr>
            </w:pPr>
            <w:r>
              <w:rPr>
                <w:rFonts w:ascii="Arial" w:cs="Arial" w:eastAsia="Arial" w:hAnsi="Arial"/>
                <w:sz w:val="18"/>
                <w:szCs w:val="18"/>
                <w:color w:val="auto"/>
                <w:w w:val="93"/>
              </w:rPr>
              <w:t>year ended December 31, 2020 is formatted in Inline XBRL interactive data files: (i) Consolidated Balance Sheets as of December 31,</w:t>
            </w:r>
          </w:p>
        </w:tc>
      </w:tr>
      <w:tr>
        <w:trPr>
          <w:trHeight w:val="175"/>
        </w:trPr>
        <w:tc>
          <w:tcPr>
            <w:tcW w:w="840" w:type="dxa"/>
            <w:vAlign w:val="bottom"/>
          </w:tcPr>
          <w:p>
            <w:pPr>
              <w:spacing w:after="0"/>
              <w:rPr>
                <w:sz w:val="15"/>
                <w:szCs w:val="15"/>
                <w:color w:val="auto"/>
              </w:rPr>
            </w:pPr>
          </w:p>
        </w:tc>
        <w:tc>
          <w:tcPr>
            <w:tcW w:w="10340" w:type="dxa"/>
            <w:vAlign w:val="bottom"/>
          </w:tcPr>
          <w:p>
            <w:pPr>
              <w:ind w:left="360"/>
              <w:spacing w:after="0" w:line="176" w:lineRule="exact"/>
              <w:rPr>
                <w:sz w:val="20"/>
                <w:szCs w:val="20"/>
                <w:color w:val="auto"/>
              </w:rPr>
            </w:pPr>
            <w:r>
              <w:rPr>
                <w:rFonts w:ascii="Arial" w:cs="Arial" w:eastAsia="Arial" w:hAnsi="Arial"/>
                <w:sz w:val="18"/>
                <w:szCs w:val="18"/>
                <w:color w:val="auto"/>
                <w:w w:val="90"/>
              </w:rPr>
              <w:t>2020 and December 31, 2019; (ii) Consolidated Statements of Operations and Comprehensive Loss for each of the years in the three-year</w:t>
            </w:r>
          </w:p>
        </w:tc>
      </w:tr>
      <w:tr>
        <w:trPr>
          <w:trHeight w:val="176"/>
        </w:trPr>
        <w:tc>
          <w:tcPr>
            <w:tcW w:w="840" w:type="dxa"/>
            <w:vAlign w:val="bottom"/>
          </w:tcPr>
          <w:p>
            <w:pPr>
              <w:spacing w:after="0"/>
              <w:rPr>
                <w:sz w:val="15"/>
                <w:szCs w:val="15"/>
                <w:color w:val="auto"/>
              </w:rPr>
            </w:pPr>
          </w:p>
        </w:tc>
        <w:tc>
          <w:tcPr>
            <w:tcW w:w="10340" w:type="dxa"/>
            <w:vAlign w:val="bottom"/>
          </w:tcPr>
          <w:p>
            <w:pPr>
              <w:ind w:left="360"/>
              <w:spacing w:after="0" w:line="176" w:lineRule="exact"/>
              <w:rPr>
                <w:sz w:val="20"/>
                <w:szCs w:val="20"/>
                <w:color w:val="auto"/>
              </w:rPr>
            </w:pPr>
            <w:r>
              <w:rPr>
                <w:rFonts w:ascii="Arial" w:cs="Arial" w:eastAsia="Arial" w:hAnsi="Arial"/>
                <w:sz w:val="18"/>
                <w:szCs w:val="18"/>
                <w:color w:val="auto"/>
                <w:w w:val="91"/>
              </w:rPr>
              <w:t>period ended December 31, 2020; (iii) Consolidated Statements of Equity for each of the years in the three-year period ended December</w:t>
            </w:r>
          </w:p>
        </w:tc>
      </w:tr>
      <w:tr>
        <w:trPr>
          <w:trHeight w:val="175"/>
        </w:trPr>
        <w:tc>
          <w:tcPr>
            <w:tcW w:w="840" w:type="dxa"/>
            <w:vAlign w:val="bottom"/>
          </w:tcPr>
          <w:p>
            <w:pPr>
              <w:spacing w:after="0"/>
              <w:rPr>
                <w:sz w:val="15"/>
                <w:szCs w:val="15"/>
                <w:color w:val="auto"/>
              </w:rPr>
            </w:pPr>
          </w:p>
        </w:tc>
        <w:tc>
          <w:tcPr>
            <w:tcW w:w="10340" w:type="dxa"/>
            <w:vAlign w:val="bottom"/>
          </w:tcPr>
          <w:p>
            <w:pPr>
              <w:ind w:left="360"/>
              <w:spacing w:after="0" w:line="176" w:lineRule="exact"/>
              <w:rPr>
                <w:sz w:val="20"/>
                <w:szCs w:val="20"/>
                <w:color w:val="auto"/>
              </w:rPr>
            </w:pPr>
            <w:r>
              <w:rPr>
                <w:rFonts w:ascii="Arial" w:cs="Arial" w:eastAsia="Arial" w:hAnsi="Arial"/>
                <w:sz w:val="18"/>
                <w:szCs w:val="18"/>
                <w:color w:val="auto"/>
                <w:w w:val="91"/>
              </w:rPr>
              <w:t>31, 2020 (iv) Consolidated Statements of Cash Flows for each of the years in the three-year period ended December 31, 2020; (v) Notes</w:t>
            </w:r>
          </w:p>
        </w:tc>
      </w:tr>
      <w:tr>
        <w:trPr>
          <w:trHeight w:val="230"/>
        </w:trPr>
        <w:tc>
          <w:tcPr>
            <w:tcW w:w="84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rPr>
              <w:t>to Consolidated Financial Statements; and (vi) Financial Statement Schedule.</w:t>
            </w:r>
          </w:p>
        </w:tc>
      </w:tr>
      <w:tr>
        <w:trPr>
          <w:trHeight w:val="283"/>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10340" w:type="dxa"/>
            <w:vAlign w:val="bottom"/>
          </w:tcPr>
          <w:p>
            <w:pPr>
              <w:ind w:left="36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w:t>
      </w:r>
    </w:p>
    <w:p>
      <w:pPr>
        <w:spacing w:after="0" w:line="144" w:lineRule="exact"/>
        <w:rPr>
          <w:sz w:val="20"/>
          <w:szCs w:val="20"/>
          <w:color w:val="auto"/>
        </w:rPr>
      </w:pPr>
    </w:p>
    <w:p>
      <w:pPr>
        <w:ind w:left="1160" w:hanging="1134"/>
        <w:spacing w:after="0"/>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77" w:lineRule="exact"/>
        <w:rPr>
          <w:sz w:val="20"/>
          <w:szCs w:val="20"/>
          <w:color w:val="auto"/>
        </w:rPr>
      </w:pPr>
    </w:p>
    <w:p>
      <w:pPr>
        <w:ind w:left="1160" w:hanging="1134"/>
        <w:spacing w:after="0" w:line="235" w:lineRule="auto"/>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Portions of this exhibit have been redacted pursuant to a request for confidential treatment. The non-public information has been filed separately with the Securities and Exchange Commission.</w:t>
      </w:r>
    </w:p>
    <w:p>
      <w:pPr>
        <w:spacing w:after="0" w:line="54" w:lineRule="exact"/>
        <w:rPr>
          <w:sz w:val="20"/>
          <w:szCs w:val="20"/>
          <w:color w:val="auto"/>
        </w:rPr>
      </w:pPr>
    </w:p>
    <w:p>
      <w:pPr>
        <w:ind w:left="1160" w:hanging="1134"/>
        <w:spacing w:after="0"/>
        <w:tabs>
          <w:tab w:leader="none" w:pos="11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Denotes management contract or compensatory arrangement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78" w:lineRule="exact"/>
        <w:rPr>
          <w:rFonts w:ascii="Arial" w:cs="Arial" w:eastAsia="Arial" w:hAnsi="Arial"/>
          <w:sz w:val="18"/>
          <w:szCs w:val="18"/>
          <w:color w:val="auto"/>
        </w:rPr>
      </w:pPr>
    </w:p>
    <w:p>
      <w:pPr>
        <w:ind w:left="5480"/>
        <w:spacing w:after="0"/>
        <w:rPr>
          <w:rFonts w:ascii="Arial" w:cs="Arial" w:eastAsia="Arial" w:hAnsi="Arial"/>
          <w:sz w:val="18"/>
          <w:szCs w:val="18"/>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SCHEDULE II.</w:t>
        <w:tab/>
        <w:t>VALUATION AND QUALIFYING ACCOUNTS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2020, 2019 and 2018:</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40" w:type="dxa"/>
            <w:vAlign w:val="bottom"/>
            <w:gridSpan w:val="4"/>
          </w:tcPr>
          <w:p>
            <w:pPr>
              <w:ind w:left="40"/>
              <w:spacing w:after="0"/>
              <w:rPr>
                <w:sz w:val="20"/>
                <w:szCs w:val="20"/>
                <w:color w:val="auto"/>
              </w:rPr>
            </w:pPr>
            <w:r>
              <w:rPr>
                <w:rFonts w:ascii="Arial" w:cs="Arial" w:eastAsia="Arial" w:hAnsi="Arial"/>
                <w:sz w:val="14"/>
                <w:szCs w:val="14"/>
                <w:b w:val="1"/>
                <w:bCs w:val="1"/>
                <w:color w:val="auto"/>
              </w:rPr>
              <w:t>Additions</w:t>
            </w: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100" w:type="dxa"/>
            <w:vAlign w:val="bottom"/>
            <w:vMerge w:val="restart"/>
          </w:tcPr>
          <w:p>
            <w:pPr>
              <w:spacing w:after="0"/>
              <w:rPr>
                <w:sz w:val="20"/>
                <w:szCs w:val="20"/>
                <w:color w:val="auto"/>
              </w:rPr>
            </w:pPr>
            <w:r>
              <w:rPr>
                <w:rFonts w:ascii="Arial" w:cs="Arial" w:eastAsia="Arial" w:hAnsi="Arial"/>
                <w:sz w:val="16"/>
                <w:szCs w:val="16"/>
                <w:i w:val="1"/>
                <w:iCs w:val="1"/>
                <w:color w:val="auto"/>
              </w:rPr>
              <w:t>(in thousands)</w:t>
            </w:r>
          </w:p>
        </w:tc>
        <w:tc>
          <w:tcPr>
            <w:tcW w:w="100" w:type="dxa"/>
            <w:vAlign w:val="bottom"/>
            <w:vMerge w:val="restart"/>
          </w:tcPr>
          <w:p>
            <w:pPr>
              <w:spacing w:after="0"/>
              <w:rPr>
                <w:sz w:val="11"/>
                <w:szCs w:val="11"/>
                <w:color w:val="auto"/>
              </w:rPr>
            </w:pPr>
          </w:p>
        </w:tc>
        <w:tc>
          <w:tcPr>
            <w:tcW w:w="142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1"/>
              </w:rPr>
              <w:t>Balance at</w:t>
            </w:r>
          </w:p>
        </w:tc>
        <w:tc>
          <w:tcPr>
            <w:tcW w:w="1020" w:type="dxa"/>
            <w:vAlign w:val="bottom"/>
            <w:tcBorders>
              <w:top w:val="single" w:sz="8" w:color="auto"/>
            </w:tcBorders>
          </w:tcPr>
          <w:p>
            <w:pPr>
              <w:jc w:val="center"/>
              <w:ind w:left="168"/>
              <w:spacing w:after="0" w:line="135" w:lineRule="exact"/>
              <w:rPr>
                <w:sz w:val="20"/>
                <w:szCs w:val="20"/>
                <w:color w:val="auto"/>
              </w:rPr>
            </w:pPr>
            <w:r>
              <w:rPr>
                <w:rFonts w:ascii="Arial" w:cs="Arial" w:eastAsia="Arial" w:hAnsi="Arial"/>
                <w:sz w:val="14"/>
                <w:szCs w:val="14"/>
                <w:b w:val="1"/>
                <w:bCs w:val="1"/>
                <w:color w:val="auto"/>
                <w:w w:val="94"/>
              </w:rPr>
              <w:t>Charged to</w:t>
            </w:r>
          </w:p>
        </w:tc>
        <w:tc>
          <w:tcPr>
            <w:tcW w:w="2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5"/>
              </w:rPr>
              <w:t>Charged to Other</w:t>
            </w:r>
          </w:p>
        </w:tc>
        <w:tc>
          <w:tcPr>
            <w:tcW w:w="100" w:type="dxa"/>
            <w:vAlign w:val="bottom"/>
          </w:tcPr>
          <w:p>
            <w:pPr>
              <w:spacing w:after="0"/>
              <w:rPr>
                <w:sz w:val="11"/>
                <w:szCs w:val="11"/>
                <w:color w:val="auto"/>
              </w:rPr>
            </w:pPr>
          </w:p>
        </w:tc>
        <w:tc>
          <w:tcPr>
            <w:tcW w:w="130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3"/>
              </w:rPr>
              <w:t xml:space="preserve">Deductions Note </w:t>
            </w:r>
            <w:r>
              <w:rPr>
                <w:rFonts w:ascii="Arial" w:cs="Arial" w:eastAsia="Arial" w:hAnsi="Arial"/>
                <w:sz w:val="18"/>
                <w:szCs w:val="18"/>
                <w:b w:val="1"/>
                <w:bCs w:val="1"/>
                <w:color w:val="auto"/>
                <w:w w:val="93"/>
                <w:vertAlign w:val="superscript"/>
              </w:rPr>
              <w:t>(2)</w:t>
            </w:r>
          </w:p>
        </w:tc>
        <w:tc>
          <w:tcPr>
            <w:tcW w:w="120" w:type="dxa"/>
            <w:vAlign w:val="bottom"/>
            <w:vMerge w:val="restart"/>
          </w:tcPr>
          <w:p>
            <w:pPr>
              <w:spacing w:after="0"/>
              <w:rPr>
                <w:sz w:val="11"/>
                <w:szCs w:val="11"/>
                <w:color w:val="auto"/>
              </w:rPr>
            </w:pPr>
          </w:p>
        </w:tc>
        <w:tc>
          <w:tcPr>
            <w:tcW w:w="12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Balance at End of</w:t>
            </w:r>
          </w:p>
        </w:tc>
        <w:tc>
          <w:tcPr>
            <w:tcW w:w="0" w:type="dxa"/>
            <w:vAlign w:val="bottom"/>
          </w:tcPr>
          <w:p>
            <w:pPr>
              <w:spacing w:after="0"/>
              <w:rPr>
                <w:sz w:val="1"/>
                <w:szCs w:val="1"/>
                <w:color w:val="auto"/>
              </w:rPr>
            </w:pPr>
          </w:p>
        </w:tc>
      </w:tr>
      <w:tr>
        <w:trPr>
          <w:trHeight w:val="189"/>
        </w:trPr>
        <w:tc>
          <w:tcPr>
            <w:tcW w:w="41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Beginning of Period</w:t>
            </w: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b w:val="1"/>
                <w:bCs w:val="1"/>
                <w:color w:val="auto"/>
                <w:w w:val="88"/>
              </w:rPr>
              <w:t>Expenses</w:t>
            </w:r>
          </w:p>
        </w:tc>
        <w:tc>
          <w:tcPr>
            <w:tcW w:w="2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86"/>
              </w:rPr>
              <w:t xml:space="preserve">Accounts Note </w:t>
            </w:r>
            <w:r>
              <w:rPr>
                <w:rFonts w:ascii="Arial" w:cs="Arial" w:eastAsia="Arial" w:hAnsi="Arial"/>
                <w:sz w:val="18"/>
                <w:szCs w:val="18"/>
                <w:b w:val="1"/>
                <w:bCs w:val="1"/>
                <w:color w:val="auto"/>
                <w:w w:val="86"/>
                <w:vertAlign w:val="superscript"/>
              </w:rPr>
              <w:t>(1)</w:t>
            </w:r>
          </w:p>
        </w:tc>
        <w:tc>
          <w:tcPr>
            <w:tcW w:w="100" w:type="dxa"/>
            <w:vAlign w:val="bottom"/>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Deductions from asset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-127635</wp:posOffset>
            </wp:positionV>
            <wp:extent cx="7106285" cy="1454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37">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color w:val="auto"/>
        </w:rPr>
        <w:t>Allowance for doubtful accounts and expected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-120650</wp:posOffset>
            </wp:positionV>
            <wp:extent cx="7106285" cy="2571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38">
                      <a:extLst>
                        <a:ext uri="{28A0092B-C50C-407E-A947-70E740481C1C}"/>
                      </a:extLst>
                    </a:blip>
                    <a:srcRect/>
                    <a:stretch>
                      <a:fillRect/>
                    </a:stretch>
                  </pic:blipFill>
                  <pic:spPr bwMode="auto">
                    <a:xfrm>
                      <a:off x="0" y="0"/>
                      <a:ext cx="7106285" cy="257175"/>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losses: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2020</w:t>
            </w:r>
          </w:p>
        </w:tc>
        <w:tc>
          <w:tcPr>
            <w:tcW w:w="9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4,472</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2,229</w:t>
            </w:r>
          </w:p>
        </w:tc>
        <w:tc>
          <w:tcPr>
            <w:tcW w:w="66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1,120</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5,581</w:t>
            </w:r>
          </w:p>
        </w:tc>
      </w:tr>
      <w:tr>
        <w:trPr>
          <w:trHeight w:val="229"/>
        </w:trPr>
        <w:tc>
          <w:tcPr>
            <w:tcW w:w="3680" w:type="dxa"/>
            <w:vAlign w:val="bottom"/>
          </w:tcPr>
          <w:p>
            <w:pPr>
              <w:spacing w:after="0"/>
              <w:rPr>
                <w:sz w:val="20"/>
                <w:szCs w:val="20"/>
                <w:color w:val="auto"/>
              </w:rPr>
            </w:pPr>
            <w:r>
              <w:rPr>
                <w:rFonts w:ascii="Arial" w:cs="Arial" w:eastAsia="Arial" w:hAnsi="Arial"/>
                <w:sz w:val="18"/>
                <w:szCs w:val="18"/>
                <w:color w:val="auto"/>
              </w:rPr>
              <w:t>Year 2019</w:t>
            </w:r>
          </w:p>
        </w:tc>
        <w:tc>
          <w:tcPr>
            <w:tcW w:w="90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10,883</w:t>
            </w:r>
          </w:p>
        </w:tc>
        <w:tc>
          <w:tcPr>
            <w:tcW w:w="46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720</w:t>
            </w:r>
          </w:p>
        </w:tc>
        <w:tc>
          <w:tcPr>
            <w:tcW w:w="6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w:t>
            </w:r>
          </w:p>
        </w:tc>
        <w:tc>
          <w:tcPr>
            <w:tcW w:w="52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7,061</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4,472</w:t>
            </w:r>
          </w:p>
        </w:tc>
      </w:tr>
      <w:tr>
        <w:trPr>
          <w:trHeight w:val="23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Year 2018</w:t>
            </w:r>
          </w:p>
        </w:tc>
        <w:tc>
          <w:tcPr>
            <w:tcW w:w="9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10,579</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2,830</w:t>
            </w:r>
          </w:p>
        </w:tc>
        <w:tc>
          <w:tcPr>
            <w:tcW w:w="6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2,519</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10,883</w:t>
            </w:r>
          </w:p>
        </w:tc>
      </w:tr>
      <w:tr>
        <w:trPr>
          <w:trHeight w:val="216"/>
        </w:trPr>
        <w:tc>
          <w:tcPr>
            <w:tcW w:w="3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9"/>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 for deferred tax assets:</w:t>
            </w:r>
          </w:p>
        </w:tc>
        <w:tc>
          <w:tcPr>
            <w:tcW w:w="9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6"/>
        </w:trPr>
        <w:tc>
          <w:tcPr>
            <w:tcW w:w="3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9"/>
        </w:trPr>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2020</w:t>
            </w:r>
          </w:p>
        </w:tc>
        <w:tc>
          <w:tcPr>
            <w:tcW w:w="9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355,559</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16,668</w:t>
            </w:r>
          </w:p>
        </w:tc>
        <w:tc>
          <w:tcPr>
            <w:tcW w:w="66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372,227</w:t>
            </w:r>
          </w:p>
        </w:tc>
      </w:tr>
      <w:tr>
        <w:trPr>
          <w:trHeight w:val="229"/>
        </w:trPr>
        <w:tc>
          <w:tcPr>
            <w:tcW w:w="3680" w:type="dxa"/>
            <w:vAlign w:val="bottom"/>
          </w:tcPr>
          <w:p>
            <w:pPr>
              <w:spacing w:after="0"/>
              <w:rPr>
                <w:sz w:val="20"/>
                <w:szCs w:val="20"/>
                <w:color w:val="auto"/>
              </w:rPr>
            </w:pPr>
            <w:r>
              <w:rPr>
                <w:rFonts w:ascii="Arial" w:cs="Arial" w:eastAsia="Arial" w:hAnsi="Arial"/>
                <w:sz w:val="18"/>
                <w:szCs w:val="18"/>
                <w:color w:val="auto"/>
              </w:rPr>
              <w:t>Year 2019</w:t>
            </w:r>
          </w:p>
        </w:tc>
        <w:tc>
          <w:tcPr>
            <w:tcW w:w="90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46,751</w:t>
            </w:r>
          </w:p>
        </w:tc>
        <w:tc>
          <w:tcPr>
            <w:tcW w:w="46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308,808</w:t>
            </w:r>
          </w:p>
        </w:tc>
        <w:tc>
          <w:tcPr>
            <w:tcW w:w="66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355,559</w:t>
            </w:r>
          </w:p>
        </w:tc>
      </w:tr>
      <w:tr>
        <w:trPr>
          <w:trHeight w:val="23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Year 2018</w:t>
            </w:r>
          </w:p>
        </w:tc>
        <w:tc>
          <w:tcPr>
            <w:tcW w:w="9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46,283</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468</w:t>
            </w:r>
          </w:p>
        </w:tc>
        <w:tc>
          <w:tcPr>
            <w:tcW w:w="6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46,751</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w:t>
      </w:r>
    </w:p>
    <w:p>
      <w:pPr>
        <w:spacing w:after="0" w:line="40" w:lineRule="exact"/>
        <w:rPr>
          <w:sz w:val="20"/>
          <w:szCs w:val="20"/>
          <w:color w:val="auto"/>
        </w:rPr>
      </w:pPr>
    </w:p>
    <w:p>
      <w:pPr>
        <w:ind w:left="320" w:hanging="312"/>
        <w:spacing w:after="0"/>
        <w:tabs>
          <w:tab w:leader="none" w:pos="320" w:val="left"/>
        </w:tabs>
        <w:numPr>
          <w:ilvl w:val="0"/>
          <w:numId w:val="53"/>
        </w:numPr>
        <w:rPr>
          <w:rFonts w:ascii="Arial" w:cs="Arial" w:eastAsia="Arial" w:hAnsi="Arial"/>
          <w:sz w:val="22"/>
          <w:szCs w:val="22"/>
          <w:color w:val="auto"/>
          <w:vertAlign w:val="superscript"/>
        </w:rPr>
      </w:pPr>
      <w:r>
        <w:rPr>
          <w:rFonts w:ascii="Arial" w:cs="Arial" w:eastAsia="Arial" w:hAnsi="Arial"/>
          <w:sz w:val="17"/>
          <w:szCs w:val="17"/>
          <w:color w:val="auto"/>
        </w:rPr>
        <w:t>For allowance for credit losses, primarily includes amounts previously written off which were credited directly to this account when recovered.</w:t>
      </w:r>
    </w:p>
    <w:p>
      <w:pPr>
        <w:spacing w:after="0" w:line="1" w:lineRule="exact"/>
        <w:rPr>
          <w:rFonts w:ascii="Arial" w:cs="Arial" w:eastAsia="Arial" w:hAnsi="Arial"/>
          <w:sz w:val="22"/>
          <w:szCs w:val="22"/>
          <w:color w:val="auto"/>
          <w:vertAlign w:val="superscript"/>
        </w:rPr>
      </w:pPr>
    </w:p>
    <w:p>
      <w:pPr>
        <w:ind w:left="320" w:hanging="312"/>
        <w:spacing w:after="0" w:line="194" w:lineRule="auto"/>
        <w:tabs>
          <w:tab w:leader="none" w:pos="320" w:val="left"/>
        </w:tabs>
        <w:numPr>
          <w:ilvl w:val="0"/>
          <w:numId w:val="53"/>
        </w:numPr>
        <w:rPr>
          <w:rFonts w:ascii="Arial" w:cs="Arial" w:eastAsia="Arial" w:hAnsi="Arial"/>
          <w:sz w:val="23"/>
          <w:szCs w:val="23"/>
          <w:color w:val="auto"/>
          <w:vertAlign w:val="superscript"/>
        </w:rPr>
      </w:pPr>
      <w:r>
        <w:rPr>
          <w:rFonts w:ascii="Arial" w:cs="Arial" w:eastAsia="Arial" w:hAnsi="Arial"/>
          <w:sz w:val="18"/>
          <w:szCs w:val="18"/>
          <w:color w:val="auto"/>
        </w:rPr>
        <w:t>For allowance for credit losses, amounts written off as uncollectible or transferred to other accounts or utilized.</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March 11, 2021</w:t>
      </w:r>
    </w:p>
    <w:p>
      <w:pPr>
        <w:spacing w:after="0" w:line="208" w:lineRule="exact"/>
        <w:rPr>
          <w:sz w:val="20"/>
          <w:szCs w:val="20"/>
          <w:color w:val="auto"/>
        </w:rPr>
      </w:pPr>
    </w:p>
    <w:p>
      <w:pPr>
        <w:ind w:left="6960"/>
        <w:spacing w:after="0"/>
        <w:rPr>
          <w:sz w:val="20"/>
          <w:szCs w:val="20"/>
          <w:color w:val="auto"/>
        </w:rPr>
      </w:pPr>
      <w:r>
        <w:rPr>
          <w:rFonts w:ascii="Arial" w:cs="Arial" w:eastAsia="Arial" w:hAnsi="Arial"/>
          <w:sz w:val="18"/>
          <w:szCs w:val="18"/>
          <w:b w:val="1"/>
          <w:bCs w:val="1"/>
          <w:color w:val="auto"/>
        </w:rPr>
        <w:t>Altisource Portfolio Solutions S.A.</w:t>
      </w:r>
    </w:p>
    <w:p>
      <w:pPr>
        <w:spacing w:after="0" w:line="283" w:lineRule="exact"/>
        <w:rPr>
          <w:sz w:val="20"/>
          <w:szCs w:val="20"/>
          <w:color w:val="auto"/>
        </w:rPr>
      </w:pPr>
    </w:p>
    <w:p>
      <w:pPr>
        <w:ind w:left="6500"/>
        <w:spacing w:after="0"/>
        <w:tabs>
          <w:tab w:leader="none" w:pos="6940" w:val="left"/>
        </w:tabs>
        <w:rPr>
          <w:sz w:val="20"/>
          <w:szCs w:val="20"/>
          <w:color w:val="auto"/>
        </w:rPr>
      </w:pPr>
      <w:r>
        <w:rPr>
          <w:rFonts w:ascii="Arial" w:cs="Arial" w:eastAsia="Arial" w:hAnsi="Arial"/>
          <w:sz w:val="18"/>
          <w:szCs w:val="18"/>
          <w:color w:val="auto"/>
        </w:rPr>
        <w:t>By:</w:t>
        <w:tab/>
        <w:t>/s/ William B. Shepro</w:t>
      </w:r>
    </w:p>
    <w:p>
      <w:pPr>
        <w:spacing w:after="0" w:line="23" w:lineRule="exact"/>
        <w:rPr>
          <w:sz w:val="20"/>
          <w:szCs w:val="20"/>
          <w:color w:val="auto"/>
        </w:rPr>
      </w:pPr>
    </w:p>
    <w:tbl>
      <w:tblPr>
        <w:tblLayout w:type="fixed"/>
        <w:tblInd w:w="6500" w:type="dxa"/>
        <w:tblCellMar>
          <w:top w:w="0" w:type="dxa"/>
          <w:left w:w="0" w:type="dxa"/>
          <w:bottom w:w="0" w:type="dxa"/>
          <w:right w:w="0" w:type="dxa"/>
        </w:tblCellMar>
      </w:tblPr>
      <w:tr>
        <w:trPr>
          <w:trHeight w:val="222"/>
        </w:trPr>
        <w:tc>
          <w:tcPr>
            <w:tcW w:w="440" w:type="dxa"/>
            <w:vAlign w:val="bottom"/>
          </w:tcPr>
          <w:p>
            <w:pPr>
              <w:spacing w:after="0"/>
              <w:rPr>
                <w:sz w:val="19"/>
                <w:szCs w:val="19"/>
                <w:color w:val="auto"/>
              </w:rPr>
            </w:pPr>
          </w:p>
        </w:tc>
        <w:tc>
          <w:tcPr>
            <w:tcW w:w="6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368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William B. Shepro</w:t>
            </w:r>
          </w:p>
        </w:tc>
      </w:tr>
      <w:tr>
        <w:trPr>
          <w:trHeight w:val="229"/>
        </w:trPr>
        <w:tc>
          <w:tcPr>
            <w:tcW w:w="440" w:type="dxa"/>
            <w:vAlign w:val="bottom"/>
          </w:tcPr>
          <w:p>
            <w:pPr>
              <w:spacing w:after="0"/>
              <w:rPr>
                <w:sz w:val="19"/>
                <w:szCs w:val="19"/>
                <w:color w:val="auto"/>
              </w:rPr>
            </w:pPr>
          </w:p>
        </w:tc>
        <w:tc>
          <w:tcPr>
            <w:tcW w:w="620" w:type="dxa"/>
            <w:vAlign w:val="bottom"/>
          </w:tcPr>
          <w:p>
            <w:pPr>
              <w:ind w:left="20"/>
              <w:spacing w:after="0"/>
              <w:rPr>
                <w:sz w:val="20"/>
                <w:szCs w:val="20"/>
                <w:color w:val="auto"/>
              </w:rPr>
            </w:pPr>
            <w:r>
              <w:rPr>
                <w:rFonts w:ascii="Arial" w:cs="Arial" w:eastAsia="Arial" w:hAnsi="Arial"/>
                <w:sz w:val="18"/>
                <w:szCs w:val="18"/>
                <w:color w:val="auto"/>
              </w:rPr>
              <w:t>Title:</w:t>
            </w:r>
          </w:p>
        </w:tc>
        <w:tc>
          <w:tcPr>
            <w:tcW w:w="3680" w:type="dxa"/>
            <w:vAlign w:val="bottom"/>
          </w:tcPr>
          <w:p>
            <w:pPr>
              <w:ind w:left="140"/>
              <w:spacing w:after="0"/>
              <w:rPr>
                <w:sz w:val="20"/>
                <w:szCs w:val="20"/>
                <w:color w:val="auto"/>
              </w:rPr>
            </w:pPr>
            <w:r>
              <w:rPr>
                <w:rFonts w:ascii="Arial" w:cs="Arial" w:eastAsia="Arial" w:hAnsi="Arial"/>
                <w:sz w:val="18"/>
                <w:szCs w:val="18"/>
                <w:color w:val="auto"/>
              </w:rPr>
              <w:t>Chairman and Chief Executive Officer</w:t>
            </w:r>
          </w:p>
        </w:tc>
      </w:tr>
      <w:tr>
        <w:trPr>
          <w:trHeight w:val="230"/>
        </w:trPr>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80" w:type="dxa"/>
            <w:vAlign w:val="bottom"/>
          </w:tcPr>
          <w:p>
            <w:pPr>
              <w:ind w:left="140"/>
              <w:spacing w:after="0"/>
              <w:rPr>
                <w:sz w:val="20"/>
                <w:szCs w:val="20"/>
                <w:color w:val="auto"/>
              </w:rPr>
            </w:pPr>
            <w:r>
              <w:rPr>
                <w:rFonts w:ascii="Arial" w:cs="Arial" w:eastAsia="Arial" w:hAnsi="Arial"/>
                <w:sz w:val="18"/>
                <w:szCs w:val="18"/>
                <w:color w:val="auto"/>
              </w:rPr>
              <w:t>(Principal Executive Officer)</w:t>
            </w:r>
          </w:p>
        </w:tc>
      </w:tr>
      <w:tr>
        <w:trPr>
          <w:trHeight w:val="486"/>
        </w:trPr>
        <w:tc>
          <w:tcPr>
            <w:tcW w:w="4740" w:type="dxa"/>
            <w:vAlign w:val="bottom"/>
            <w:gridSpan w:val="3"/>
          </w:tcPr>
          <w:p>
            <w:pPr>
              <w:spacing w:after="0"/>
              <w:rPr>
                <w:sz w:val="20"/>
                <w:szCs w:val="20"/>
                <w:color w:val="auto"/>
              </w:rPr>
            </w:pPr>
            <w:r>
              <w:rPr>
                <w:rFonts w:ascii="Arial" w:cs="Arial" w:eastAsia="Arial" w:hAnsi="Arial"/>
                <w:sz w:val="18"/>
                <w:szCs w:val="18"/>
                <w:color w:val="auto"/>
              </w:rPr>
              <w:t>By:  /s/ Michelle D. Esterman</w:t>
            </w:r>
          </w:p>
        </w:tc>
      </w:tr>
      <w:tr>
        <w:trPr>
          <w:trHeight w:val="222"/>
        </w:trPr>
        <w:tc>
          <w:tcPr>
            <w:tcW w:w="440" w:type="dxa"/>
            <w:vAlign w:val="bottom"/>
          </w:tcPr>
          <w:p>
            <w:pPr>
              <w:spacing w:after="0"/>
              <w:rPr>
                <w:sz w:val="19"/>
                <w:szCs w:val="19"/>
                <w:color w:val="auto"/>
              </w:rPr>
            </w:pPr>
          </w:p>
        </w:tc>
        <w:tc>
          <w:tcPr>
            <w:tcW w:w="6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368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Michelle D. Esterman</w:t>
            </w:r>
          </w:p>
        </w:tc>
      </w:tr>
      <w:tr>
        <w:trPr>
          <w:trHeight w:val="229"/>
        </w:trPr>
        <w:tc>
          <w:tcPr>
            <w:tcW w:w="440" w:type="dxa"/>
            <w:vAlign w:val="bottom"/>
          </w:tcPr>
          <w:p>
            <w:pPr>
              <w:spacing w:after="0"/>
              <w:rPr>
                <w:sz w:val="19"/>
                <w:szCs w:val="19"/>
                <w:color w:val="auto"/>
              </w:rPr>
            </w:pPr>
          </w:p>
        </w:tc>
        <w:tc>
          <w:tcPr>
            <w:tcW w:w="620" w:type="dxa"/>
            <w:vAlign w:val="bottom"/>
          </w:tcPr>
          <w:p>
            <w:pPr>
              <w:ind w:left="20"/>
              <w:spacing w:after="0"/>
              <w:rPr>
                <w:sz w:val="20"/>
                <w:szCs w:val="20"/>
                <w:color w:val="auto"/>
              </w:rPr>
            </w:pPr>
            <w:r>
              <w:rPr>
                <w:rFonts w:ascii="Arial" w:cs="Arial" w:eastAsia="Arial" w:hAnsi="Arial"/>
                <w:sz w:val="18"/>
                <w:szCs w:val="18"/>
                <w:color w:val="auto"/>
              </w:rPr>
              <w:t>Title:</w:t>
            </w:r>
          </w:p>
        </w:tc>
        <w:tc>
          <w:tcPr>
            <w:tcW w:w="3680" w:type="dxa"/>
            <w:vAlign w:val="bottom"/>
          </w:tcPr>
          <w:p>
            <w:pPr>
              <w:ind w:left="140"/>
              <w:spacing w:after="0"/>
              <w:rPr>
                <w:sz w:val="20"/>
                <w:szCs w:val="20"/>
                <w:color w:val="auto"/>
              </w:rPr>
            </w:pPr>
            <w:r>
              <w:rPr>
                <w:rFonts w:ascii="Arial" w:cs="Arial" w:eastAsia="Arial" w:hAnsi="Arial"/>
                <w:sz w:val="18"/>
                <w:szCs w:val="18"/>
                <w:color w:val="auto"/>
              </w:rPr>
              <w:t>Chief Financial Officer</w:t>
            </w:r>
          </w:p>
        </w:tc>
      </w:tr>
      <w:tr>
        <w:trPr>
          <w:trHeight w:val="176"/>
        </w:trPr>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80" w:type="dxa"/>
            <w:vAlign w:val="bottom"/>
          </w:tcPr>
          <w:p>
            <w:pPr>
              <w:ind w:left="140"/>
              <w:spacing w:after="0" w:line="176" w:lineRule="exact"/>
              <w:rPr>
                <w:sz w:val="20"/>
                <w:szCs w:val="20"/>
                <w:color w:val="auto"/>
              </w:rPr>
            </w:pPr>
            <w:r>
              <w:rPr>
                <w:rFonts w:ascii="Arial" w:cs="Arial" w:eastAsia="Arial" w:hAnsi="Arial"/>
                <w:sz w:val="18"/>
                <w:szCs w:val="18"/>
                <w:color w:val="auto"/>
              </w:rPr>
              <w:t>(Principal Financial Officer and Principal</w:t>
            </w:r>
          </w:p>
        </w:tc>
      </w:tr>
      <w:tr>
        <w:trPr>
          <w:trHeight w:val="230"/>
        </w:trPr>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80" w:type="dxa"/>
            <w:vAlign w:val="bottom"/>
          </w:tcPr>
          <w:p>
            <w:pPr>
              <w:ind w:left="140"/>
              <w:spacing w:after="0"/>
              <w:rPr>
                <w:sz w:val="20"/>
                <w:szCs w:val="20"/>
                <w:color w:val="auto"/>
              </w:rPr>
            </w:pPr>
            <w:r>
              <w:rPr>
                <w:rFonts w:ascii="Arial" w:cs="Arial" w:eastAsia="Arial" w:hAnsi="Arial"/>
                <w:sz w:val="18"/>
                <w:szCs w:val="18"/>
                <w:color w:val="auto"/>
              </w:rPr>
              <w:t>Accounting Officer)</w:t>
            </w:r>
          </w:p>
        </w:tc>
      </w:tr>
    </w:tbl>
    <w:p>
      <w:pPr>
        <w:spacing w:after="0" w:line="3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2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6"/>
                <w:szCs w:val="16"/>
                <w:color w:val="auto"/>
              </w:rPr>
            </w:pPr>
          </w:p>
        </w:tc>
        <w:tc>
          <w:tcPr>
            <w:tcW w:w="6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00" w:type="dxa"/>
            <w:vAlign w:val="bottom"/>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72"/>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William B. Shepro</w:t>
            </w:r>
          </w:p>
        </w:tc>
        <w:tc>
          <w:tcPr>
            <w:tcW w:w="100" w:type="dxa"/>
            <w:vAlign w:val="bottom"/>
          </w:tcPr>
          <w:p>
            <w:pPr>
              <w:spacing w:after="0"/>
              <w:rPr>
                <w:sz w:val="24"/>
                <w:szCs w:val="24"/>
                <w:color w:val="auto"/>
              </w:rPr>
            </w:pPr>
          </w:p>
        </w:tc>
        <w:tc>
          <w:tcPr>
            <w:tcW w:w="64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Chairman and Chief Executive Officer</w:t>
            </w: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March 11, 2021</w:t>
            </w:r>
          </w:p>
        </w:tc>
      </w:tr>
      <w:tr>
        <w:trPr>
          <w:trHeight w:val="224"/>
        </w:trPr>
        <w:tc>
          <w:tcPr>
            <w:tcW w:w="2720" w:type="dxa"/>
            <w:vAlign w:val="bottom"/>
          </w:tcPr>
          <w:p>
            <w:pPr>
              <w:ind w:left="20"/>
              <w:spacing w:after="0"/>
              <w:rPr>
                <w:sz w:val="20"/>
                <w:szCs w:val="20"/>
                <w:color w:val="auto"/>
              </w:rPr>
            </w:pPr>
            <w:r>
              <w:rPr>
                <w:rFonts w:ascii="Arial" w:cs="Arial" w:eastAsia="Arial" w:hAnsi="Arial"/>
                <w:sz w:val="18"/>
                <w:szCs w:val="18"/>
                <w:color w:val="auto"/>
              </w:rPr>
              <w:t>William B. Shepro</w:t>
            </w:r>
          </w:p>
        </w:tc>
        <w:tc>
          <w:tcPr>
            <w:tcW w:w="100" w:type="dxa"/>
            <w:vAlign w:val="bottom"/>
          </w:tcPr>
          <w:p>
            <w:pPr>
              <w:spacing w:after="0"/>
              <w:rPr>
                <w:sz w:val="19"/>
                <w:szCs w:val="19"/>
                <w:color w:val="auto"/>
              </w:rPr>
            </w:pPr>
          </w:p>
        </w:tc>
        <w:tc>
          <w:tcPr>
            <w:tcW w:w="64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(Principal Executive Officer)</w:t>
            </w:r>
          </w:p>
        </w:tc>
        <w:tc>
          <w:tcPr>
            <w:tcW w:w="1980" w:type="dxa"/>
            <w:vAlign w:val="bottom"/>
          </w:tcPr>
          <w:p>
            <w:pPr>
              <w:spacing w:after="0"/>
              <w:rPr>
                <w:sz w:val="19"/>
                <w:szCs w:val="19"/>
                <w:color w:val="auto"/>
              </w:rPr>
            </w:pPr>
          </w:p>
        </w:tc>
      </w:tr>
      <w:tr>
        <w:trPr>
          <w:trHeight w:val="485"/>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Scott E. Burg</w:t>
            </w:r>
          </w:p>
        </w:tc>
        <w:tc>
          <w:tcPr>
            <w:tcW w:w="100" w:type="dxa"/>
            <w:vAlign w:val="bottom"/>
          </w:tcPr>
          <w:p>
            <w:pPr>
              <w:spacing w:after="0"/>
              <w:rPr>
                <w:sz w:val="24"/>
                <w:szCs w:val="24"/>
                <w:color w:val="auto"/>
              </w:rPr>
            </w:pPr>
          </w:p>
        </w:tc>
        <w:tc>
          <w:tcPr>
            <w:tcW w:w="64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Lead Independent 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March 11, 2021</w:t>
            </w:r>
          </w:p>
        </w:tc>
      </w:tr>
      <w:tr>
        <w:trPr>
          <w:trHeight w:val="224"/>
        </w:trPr>
        <w:tc>
          <w:tcPr>
            <w:tcW w:w="2720" w:type="dxa"/>
            <w:vAlign w:val="bottom"/>
          </w:tcPr>
          <w:p>
            <w:pPr>
              <w:ind w:left="20"/>
              <w:spacing w:after="0"/>
              <w:rPr>
                <w:sz w:val="20"/>
                <w:szCs w:val="20"/>
                <w:color w:val="auto"/>
              </w:rPr>
            </w:pPr>
            <w:r>
              <w:rPr>
                <w:rFonts w:ascii="Arial" w:cs="Arial" w:eastAsia="Arial" w:hAnsi="Arial"/>
                <w:sz w:val="18"/>
                <w:szCs w:val="18"/>
                <w:color w:val="auto"/>
              </w:rPr>
              <w:t>Scott E. Burg</w:t>
            </w:r>
          </w:p>
        </w:tc>
        <w:tc>
          <w:tcPr>
            <w:tcW w:w="10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85"/>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Joseph L. Morettini</w:t>
            </w:r>
          </w:p>
        </w:tc>
        <w:tc>
          <w:tcPr>
            <w:tcW w:w="100" w:type="dxa"/>
            <w:vAlign w:val="bottom"/>
          </w:tcPr>
          <w:p>
            <w:pPr>
              <w:spacing w:after="0"/>
              <w:rPr>
                <w:sz w:val="24"/>
                <w:szCs w:val="24"/>
                <w:color w:val="auto"/>
              </w:rPr>
            </w:pPr>
          </w:p>
        </w:tc>
        <w:tc>
          <w:tcPr>
            <w:tcW w:w="644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March 11, 2021</w:t>
            </w:r>
          </w:p>
        </w:tc>
      </w:tr>
      <w:tr>
        <w:trPr>
          <w:trHeight w:val="224"/>
        </w:trPr>
        <w:tc>
          <w:tcPr>
            <w:tcW w:w="2720" w:type="dxa"/>
            <w:vAlign w:val="bottom"/>
          </w:tcPr>
          <w:p>
            <w:pPr>
              <w:ind w:left="20"/>
              <w:spacing w:after="0"/>
              <w:rPr>
                <w:sz w:val="20"/>
                <w:szCs w:val="20"/>
                <w:color w:val="auto"/>
              </w:rPr>
            </w:pPr>
            <w:r>
              <w:rPr>
                <w:rFonts w:ascii="Arial" w:cs="Arial" w:eastAsia="Arial" w:hAnsi="Arial"/>
                <w:sz w:val="18"/>
                <w:szCs w:val="18"/>
                <w:color w:val="auto"/>
              </w:rPr>
              <w:t>Joseph L. Morettini</w:t>
            </w:r>
          </w:p>
        </w:tc>
        <w:tc>
          <w:tcPr>
            <w:tcW w:w="10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85"/>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Roland Müller-Ineichen</w:t>
            </w:r>
          </w:p>
        </w:tc>
        <w:tc>
          <w:tcPr>
            <w:tcW w:w="100" w:type="dxa"/>
            <w:vAlign w:val="bottom"/>
          </w:tcPr>
          <w:p>
            <w:pPr>
              <w:spacing w:after="0"/>
              <w:rPr>
                <w:sz w:val="24"/>
                <w:szCs w:val="24"/>
                <w:color w:val="auto"/>
              </w:rPr>
            </w:pPr>
          </w:p>
        </w:tc>
        <w:tc>
          <w:tcPr>
            <w:tcW w:w="644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March 11, 2021</w:t>
            </w:r>
          </w:p>
        </w:tc>
      </w:tr>
      <w:tr>
        <w:trPr>
          <w:trHeight w:val="224"/>
        </w:trPr>
        <w:tc>
          <w:tcPr>
            <w:tcW w:w="2720" w:type="dxa"/>
            <w:vAlign w:val="bottom"/>
          </w:tcPr>
          <w:p>
            <w:pPr>
              <w:ind w:left="20"/>
              <w:spacing w:after="0"/>
              <w:rPr>
                <w:sz w:val="20"/>
                <w:szCs w:val="20"/>
                <w:color w:val="auto"/>
              </w:rPr>
            </w:pPr>
            <w:r>
              <w:rPr>
                <w:rFonts w:ascii="Arial" w:cs="Arial" w:eastAsia="Arial" w:hAnsi="Arial"/>
                <w:sz w:val="18"/>
                <w:szCs w:val="18"/>
                <w:color w:val="auto"/>
              </w:rPr>
              <w:t>Roland Müller-Ineichen</w:t>
            </w:r>
          </w:p>
        </w:tc>
        <w:tc>
          <w:tcPr>
            <w:tcW w:w="10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85"/>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Michelle D. Esterman</w:t>
            </w:r>
          </w:p>
        </w:tc>
        <w:tc>
          <w:tcPr>
            <w:tcW w:w="100" w:type="dxa"/>
            <w:vAlign w:val="bottom"/>
          </w:tcPr>
          <w:p>
            <w:pPr>
              <w:spacing w:after="0"/>
              <w:rPr>
                <w:sz w:val="24"/>
                <w:szCs w:val="24"/>
                <w:color w:val="auto"/>
              </w:rPr>
            </w:pPr>
          </w:p>
        </w:tc>
        <w:tc>
          <w:tcPr>
            <w:tcW w:w="644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Chief Financial Officer</w:t>
            </w: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March 11, 2021</w:t>
            </w:r>
          </w:p>
        </w:tc>
      </w:tr>
      <w:tr>
        <w:trPr>
          <w:trHeight w:val="224"/>
        </w:trPr>
        <w:tc>
          <w:tcPr>
            <w:tcW w:w="2720" w:type="dxa"/>
            <w:vAlign w:val="bottom"/>
          </w:tcPr>
          <w:p>
            <w:pPr>
              <w:ind w:left="20"/>
              <w:spacing w:after="0"/>
              <w:rPr>
                <w:sz w:val="20"/>
                <w:szCs w:val="20"/>
                <w:color w:val="auto"/>
              </w:rPr>
            </w:pPr>
            <w:r>
              <w:rPr>
                <w:rFonts w:ascii="Arial" w:cs="Arial" w:eastAsia="Arial" w:hAnsi="Arial"/>
                <w:sz w:val="18"/>
                <w:szCs w:val="18"/>
                <w:color w:val="auto"/>
              </w:rPr>
              <w:t>Michelle D. Esterman</w:t>
            </w:r>
          </w:p>
        </w:tc>
        <w:tc>
          <w:tcPr>
            <w:tcW w:w="100" w:type="dxa"/>
            <w:vAlign w:val="bottom"/>
          </w:tcPr>
          <w:p>
            <w:pPr>
              <w:spacing w:after="0"/>
              <w:rPr>
                <w:sz w:val="19"/>
                <w:szCs w:val="19"/>
                <w:color w:val="auto"/>
              </w:rPr>
            </w:pPr>
          </w:p>
        </w:tc>
        <w:tc>
          <w:tcPr>
            <w:tcW w:w="644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(Principal Financial Officer and Principal Accounting Officer)</w:t>
            </w:r>
          </w:p>
        </w:tc>
        <w:tc>
          <w:tcPr>
            <w:tcW w:w="19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125"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21.1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SUBSIDIARIES</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are subsidiaries of Altisource Portfolio Solutions S.A. as of December 31, 2020 and the jurisdictions in which they are organized.</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960" w:type="dxa"/>
            <w:vAlign w:val="bottom"/>
          </w:tcPr>
          <w:p>
            <w:pPr>
              <w:ind w:left="80"/>
              <w:spacing w:after="0"/>
              <w:rPr>
                <w:sz w:val="20"/>
                <w:szCs w:val="20"/>
                <w:color w:val="auto"/>
              </w:rPr>
            </w:pPr>
            <w:r>
              <w:rPr>
                <w:rFonts w:ascii="Arial" w:cs="Arial" w:eastAsia="Arial" w:hAnsi="Arial"/>
                <w:sz w:val="14"/>
                <w:szCs w:val="14"/>
                <w:b w:val="1"/>
                <w:bCs w:val="1"/>
                <w:color w:val="auto"/>
                <w:w w:val="97"/>
              </w:rPr>
              <w:t>Jurisdiction of incorporation</w:t>
            </w:r>
          </w:p>
        </w:tc>
        <w:tc>
          <w:tcPr>
            <w:tcW w:w="0" w:type="dxa"/>
            <w:vAlign w:val="bottom"/>
          </w:tcPr>
          <w:p>
            <w:pPr>
              <w:spacing w:after="0"/>
              <w:rPr>
                <w:sz w:val="1"/>
                <w:szCs w:val="1"/>
                <w:color w:val="auto"/>
              </w:rPr>
            </w:pPr>
          </w:p>
        </w:tc>
      </w:tr>
      <w:tr>
        <w:trPr>
          <w:trHeight w:val="188"/>
        </w:trPr>
        <w:tc>
          <w:tcPr>
            <w:tcW w:w="9220" w:type="dxa"/>
            <w:vAlign w:val="bottom"/>
            <w:gridSpan w:val="2"/>
            <w:vMerge w:val="continue"/>
          </w:tcPr>
          <w:p>
            <w:pPr>
              <w:spacing w:after="0"/>
              <w:rPr>
                <w:sz w:val="16"/>
                <w:szCs w:val="16"/>
                <w:color w:val="auto"/>
              </w:rPr>
            </w:pPr>
          </w:p>
        </w:tc>
        <w:tc>
          <w:tcPr>
            <w:tcW w:w="1960" w:type="dxa"/>
            <w:vAlign w:val="bottom"/>
          </w:tcPr>
          <w:p>
            <w:pPr>
              <w:ind w:left="500"/>
              <w:spacing w:after="0"/>
              <w:rPr>
                <w:sz w:val="20"/>
                <w:szCs w:val="20"/>
                <w:color w:val="auto"/>
              </w:rPr>
            </w:pPr>
            <w:r>
              <w:rPr>
                <w:rFonts w:ascii="Arial" w:cs="Arial" w:eastAsia="Arial" w:hAnsi="Arial"/>
                <w:sz w:val="14"/>
                <w:szCs w:val="14"/>
                <w:b w:val="1"/>
                <w:bCs w:val="1"/>
                <w:color w:val="auto"/>
              </w:rPr>
              <w:t>or organization</w:t>
            </w:r>
          </w:p>
        </w:tc>
        <w:tc>
          <w:tcPr>
            <w:tcW w:w="0" w:type="dxa"/>
            <w:vAlign w:val="bottom"/>
          </w:tcPr>
          <w:p>
            <w:pPr>
              <w:spacing w:after="0"/>
              <w:rPr>
                <w:sz w:val="1"/>
                <w:szCs w:val="1"/>
                <w:color w:val="auto"/>
              </w:rPr>
            </w:pPr>
          </w:p>
        </w:tc>
      </w:tr>
      <w:tr>
        <w:trPr>
          <w:trHeight w:val="197"/>
        </w:trPr>
        <w:tc>
          <w:tcPr>
            <w:tcW w:w="90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Altisource S.à r.l.</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29"/>
        </w:trPr>
        <w:tc>
          <w:tcPr>
            <w:tcW w:w="9220" w:type="dxa"/>
            <w:vAlign w:val="bottom"/>
            <w:gridSpan w:val="2"/>
          </w:tcPr>
          <w:p>
            <w:pPr>
              <w:spacing w:after="0"/>
              <w:rPr>
                <w:sz w:val="20"/>
                <w:szCs w:val="20"/>
                <w:color w:val="auto"/>
              </w:rPr>
            </w:pPr>
            <w:r>
              <w:rPr>
                <w:rFonts w:ascii="Arial" w:cs="Arial" w:eastAsia="Arial" w:hAnsi="Arial"/>
                <w:sz w:val="18"/>
                <w:szCs w:val="18"/>
                <w:color w:val="auto"/>
              </w:rPr>
              <w:t>Absotech Solutions Private Limited</w:t>
            </w:r>
          </w:p>
        </w:tc>
        <w:tc>
          <w:tcPr>
            <w:tcW w:w="1960" w:type="dxa"/>
            <w:vAlign w:val="bottom"/>
          </w:tcPr>
          <w:p>
            <w:pPr>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30"/>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Altisource Access CA, Inc.</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9220" w:type="dxa"/>
            <w:vAlign w:val="bottom"/>
            <w:gridSpan w:val="2"/>
          </w:tcPr>
          <w:p>
            <w:pPr>
              <w:spacing w:after="0"/>
              <w:rPr>
                <w:sz w:val="20"/>
                <w:szCs w:val="20"/>
                <w:color w:val="auto"/>
              </w:rPr>
            </w:pPr>
            <w:r>
              <w:rPr>
                <w:rFonts w:ascii="Arial" w:cs="Arial" w:eastAsia="Arial" w:hAnsi="Arial"/>
                <w:sz w:val="18"/>
                <w:szCs w:val="18"/>
                <w:color w:val="auto"/>
              </w:rPr>
              <w:t>Altisource Access, Inc.</w:t>
            </w:r>
          </w:p>
        </w:tc>
        <w:tc>
          <w:tcPr>
            <w:tcW w:w="196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Altisource Asia Holdings Ltd. I</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Mauritius</w:t>
            </w:r>
          </w:p>
        </w:tc>
        <w:tc>
          <w:tcPr>
            <w:tcW w:w="0" w:type="dxa"/>
            <w:vAlign w:val="bottom"/>
          </w:tcPr>
          <w:p>
            <w:pPr>
              <w:spacing w:after="0"/>
              <w:rPr>
                <w:sz w:val="1"/>
                <w:szCs w:val="1"/>
                <w:color w:val="auto"/>
              </w:rPr>
            </w:pPr>
          </w:p>
        </w:tc>
      </w:tr>
      <w:tr>
        <w:trPr>
          <w:trHeight w:val="230"/>
        </w:trPr>
        <w:tc>
          <w:tcPr>
            <w:tcW w:w="9220" w:type="dxa"/>
            <w:vAlign w:val="bottom"/>
            <w:gridSpan w:val="2"/>
          </w:tcPr>
          <w:p>
            <w:pPr>
              <w:spacing w:after="0"/>
              <w:rPr>
                <w:sz w:val="20"/>
                <w:szCs w:val="20"/>
                <w:color w:val="auto"/>
              </w:rPr>
            </w:pPr>
            <w:r>
              <w:rPr>
                <w:rFonts w:ascii="Arial" w:cs="Arial" w:eastAsia="Arial" w:hAnsi="Arial"/>
                <w:sz w:val="18"/>
                <w:szCs w:val="18"/>
                <w:color w:val="auto"/>
              </w:rPr>
              <w:t>Altisource Business Solutions, Inc.</w:t>
            </w:r>
          </w:p>
        </w:tc>
        <w:tc>
          <w:tcPr>
            <w:tcW w:w="1960" w:type="dxa"/>
            <w:vAlign w:val="bottom"/>
          </w:tcPr>
          <w:p>
            <w:pPr>
              <w:spacing w:after="0"/>
              <w:rPr>
                <w:sz w:val="20"/>
                <w:szCs w:val="20"/>
                <w:color w:val="auto"/>
              </w:rPr>
            </w:pPr>
            <w:r>
              <w:rPr>
                <w:rFonts w:ascii="Arial" w:cs="Arial" w:eastAsia="Arial" w:hAnsi="Arial"/>
                <w:sz w:val="18"/>
                <w:szCs w:val="18"/>
                <w:color w:val="auto"/>
              </w:rPr>
              <w:t>Philippines</w:t>
            </w:r>
          </w:p>
        </w:tc>
        <w:tc>
          <w:tcPr>
            <w:tcW w:w="0" w:type="dxa"/>
            <w:vAlign w:val="bottom"/>
          </w:tcPr>
          <w:p>
            <w:pPr>
              <w:spacing w:after="0"/>
              <w:rPr>
                <w:sz w:val="1"/>
                <w:szCs w:val="1"/>
                <w:color w:val="auto"/>
              </w:rPr>
            </w:pPr>
          </w:p>
        </w:tc>
      </w:tr>
      <w:tr>
        <w:trPr>
          <w:trHeight w:val="229"/>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Altisource Business Solutions Private Limited</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30"/>
        </w:trPr>
        <w:tc>
          <w:tcPr>
            <w:tcW w:w="9220" w:type="dxa"/>
            <w:vAlign w:val="bottom"/>
            <w:gridSpan w:val="2"/>
          </w:tcPr>
          <w:p>
            <w:pPr>
              <w:spacing w:after="0"/>
              <w:rPr>
                <w:sz w:val="20"/>
                <w:szCs w:val="20"/>
                <w:color w:val="auto"/>
              </w:rPr>
            </w:pPr>
            <w:r>
              <w:rPr>
                <w:rFonts w:ascii="Arial" w:cs="Arial" w:eastAsia="Arial" w:hAnsi="Arial"/>
                <w:sz w:val="18"/>
                <w:szCs w:val="18"/>
                <w:color w:val="auto"/>
              </w:rPr>
              <w:t>Altisource Business Solutions S.à r.l.</w:t>
            </w:r>
          </w:p>
        </w:tc>
        <w:tc>
          <w:tcPr>
            <w:tcW w:w="1960" w:type="dxa"/>
            <w:vAlign w:val="bottom"/>
          </w:tcPr>
          <w:p>
            <w:pPr>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29"/>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Altisource Fulfillment Operations, Inc.</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9220" w:type="dxa"/>
            <w:vAlign w:val="bottom"/>
            <w:gridSpan w:val="2"/>
          </w:tcPr>
          <w:p>
            <w:pPr>
              <w:spacing w:after="0"/>
              <w:rPr>
                <w:sz w:val="20"/>
                <w:szCs w:val="20"/>
                <w:color w:val="auto"/>
              </w:rPr>
            </w:pPr>
            <w:r>
              <w:rPr>
                <w:rFonts w:ascii="Arial" w:cs="Arial" w:eastAsia="Arial" w:hAnsi="Arial"/>
                <w:sz w:val="18"/>
                <w:szCs w:val="18"/>
                <w:color w:val="auto"/>
              </w:rPr>
              <w:t>Altisource Holdings, LLC</w:t>
            </w:r>
          </w:p>
        </w:tc>
        <w:tc>
          <w:tcPr>
            <w:tcW w:w="196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Altisource Mortgage Solutions S.à r.l.</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29"/>
        </w:trPr>
        <w:tc>
          <w:tcPr>
            <w:tcW w:w="9220" w:type="dxa"/>
            <w:vAlign w:val="bottom"/>
            <w:gridSpan w:val="2"/>
          </w:tcPr>
          <w:p>
            <w:pPr>
              <w:spacing w:after="0"/>
              <w:rPr>
                <w:sz w:val="20"/>
                <w:szCs w:val="20"/>
                <w:color w:val="auto"/>
              </w:rPr>
            </w:pPr>
            <w:r>
              <w:rPr>
                <w:rFonts w:ascii="Arial" w:cs="Arial" w:eastAsia="Arial" w:hAnsi="Arial"/>
                <w:sz w:val="18"/>
                <w:szCs w:val="18"/>
                <w:color w:val="auto"/>
              </w:rPr>
              <w:t>Altisource Online Auction, Inc.</w:t>
            </w:r>
          </w:p>
        </w:tc>
        <w:tc>
          <w:tcPr>
            <w:tcW w:w="196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Altisource Outsourcing Solutions S.R.L.</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Uruguay</w:t>
            </w:r>
          </w:p>
        </w:tc>
        <w:tc>
          <w:tcPr>
            <w:tcW w:w="0" w:type="dxa"/>
            <w:vAlign w:val="bottom"/>
          </w:tcPr>
          <w:p>
            <w:pPr>
              <w:spacing w:after="0"/>
              <w:rPr>
                <w:sz w:val="1"/>
                <w:szCs w:val="1"/>
                <w:color w:val="auto"/>
              </w:rPr>
            </w:pPr>
          </w:p>
        </w:tc>
      </w:tr>
      <w:tr>
        <w:trPr>
          <w:trHeight w:val="230"/>
        </w:trPr>
        <w:tc>
          <w:tcPr>
            <w:tcW w:w="9220" w:type="dxa"/>
            <w:vAlign w:val="bottom"/>
            <w:gridSpan w:val="2"/>
          </w:tcPr>
          <w:p>
            <w:pPr>
              <w:spacing w:after="0"/>
              <w:rPr>
                <w:sz w:val="20"/>
                <w:szCs w:val="20"/>
                <w:color w:val="auto"/>
              </w:rPr>
            </w:pPr>
            <w:r>
              <w:rPr>
                <w:rFonts w:ascii="Arial" w:cs="Arial" w:eastAsia="Arial" w:hAnsi="Arial"/>
                <w:sz w:val="18"/>
                <w:szCs w:val="18"/>
                <w:color w:val="auto"/>
              </w:rPr>
              <w:t>Altisource Portfolio Solutions, Inc.</w:t>
            </w:r>
          </w:p>
        </w:tc>
        <w:tc>
          <w:tcPr>
            <w:tcW w:w="196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Altisource Real Estate Web Portal S.à r.l.</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30"/>
        </w:trPr>
        <w:tc>
          <w:tcPr>
            <w:tcW w:w="9220" w:type="dxa"/>
            <w:vAlign w:val="bottom"/>
            <w:gridSpan w:val="2"/>
          </w:tcPr>
          <w:p>
            <w:pPr>
              <w:spacing w:after="0"/>
              <w:rPr>
                <w:sz w:val="20"/>
                <w:szCs w:val="20"/>
                <w:color w:val="auto"/>
              </w:rPr>
            </w:pPr>
            <w:r>
              <w:rPr>
                <w:rFonts w:ascii="Arial" w:cs="Arial" w:eastAsia="Arial" w:hAnsi="Arial"/>
                <w:sz w:val="18"/>
                <w:szCs w:val="18"/>
                <w:color w:val="auto"/>
              </w:rPr>
              <w:t>Altisource Single Family, Inc.</w:t>
            </w:r>
          </w:p>
        </w:tc>
        <w:tc>
          <w:tcPr>
            <w:tcW w:w="196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Altisource Solutions B.V.</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29"/>
        </w:trPr>
        <w:tc>
          <w:tcPr>
            <w:tcW w:w="9220" w:type="dxa"/>
            <w:vAlign w:val="bottom"/>
            <w:gridSpan w:val="2"/>
          </w:tcPr>
          <w:p>
            <w:pPr>
              <w:spacing w:after="0"/>
              <w:rPr>
                <w:sz w:val="20"/>
                <w:szCs w:val="20"/>
                <w:color w:val="auto"/>
              </w:rPr>
            </w:pPr>
            <w:r>
              <w:rPr>
                <w:rFonts w:ascii="Arial" w:cs="Arial" w:eastAsia="Arial" w:hAnsi="Arial"/>
                <w:sz w:val="18"/>
                <w:szCs w:val="18"/>
                <w:color w:val="auto"/>
              </w:rPr>
              <w:t>Altisource Solutions, Inc.</w:t>
            </w:r>
          </w:p>
        </w:tc>
        <w:tc>
          <w:tcPr>
            <w:tcW w:w="196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Altisource Technology Solutions S.à r.l.</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30"/>
        </w:trPr>
        <w:tc>
          <w:tcPr>
            <w:tcW w:w="9220" w:type="dxa"/>
            <w:vAlign w:val="bottom"/>
            <w:gridSpan w:val="2"/>
          </w:tcPr>
          <w:p>
            <w:pPr>
              <w:spacing w:after="0"/>
              <w:rPr>
                <w:sz w:val="20"/>
                <w:szCs w:val="20"/>
                <w:color w:val="auto"/>
              </w:rPr>
            </w:pPr>
            <w:r>
              <w:rPr>
                <w:rFonts w:ascii="Arial" w:cs="Arial" w:eastAsia="Arial" w:hAnsi="Arial"/>
                <w:sz w:val="18"/>
                <w:szCs w:val="18"/>
                <w:color w:val="auto"/>
              </w:rPr>
              <w:t>Altisource US Data, Inc.</w:t>
            </w:r>
          </w:p>
        </w:tc>
        <w:tc>
          <w:tcPr>
            <w:tcW w:w="196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Association of Certified Mortgage Originators Risk Retention Group, Inc.</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30"/>
        </w:trPr>
        <w:tc>
          <w:tcPr>
            <w:tcW w:w="9220" w:type="dxa"/>
            <w:vAlign w:val="bottom"/>
            <w:gridSpan w:val="2"/>
          </w:tcPr>
          <w:p>
            <w:pPr>
              <w:spacing w:after="0"/>
              <w:rPr>
                <w:sz w:val="20"/>
                <w:szCs w:val="20"/>
                <w:color w:val="auto"/>
              </w:rPr>
            </w:pPr>
            <w:r>
              <w:rPr>
                <w:rFonts w:ascii="Arial" w:cs="Arial" w:eastAsia="Arial" w:hAnsi="Arial"/>
                <w:sz w:val="18"/>
                <w:szCs w:val="18"/>
                <w:color w:val="auto"/>
              </w:rPr>
              <w:t>Association of Certified Originators</w:t>
            </w:r>
          </w:p>
        </w:tc>
        <w:tc>
          <w:tcPr>
            <w:tcW w:w="1960" w:type="dxa"/>
            <w:vAlign w:val="bottom"/>
          </w:tcPr>
          <w:p>
            <w:pPr>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29"/>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Beltline Road Insurance Agency, Inc.</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Texas</w:t>
            </w:r>
          </w:p>
        </w:tc>
        <w:tc>
          <w:tcPr>
            <w:tcW w:w="0" w:type="dxa"/>
            <w:vAlign w:val="bottom"/>
          </w:tcPr>
          <w:p>
            <w:pPr>
              <w:spacing w:after="0"/>
              <w:rPr>
                <w:sz w:val="1"/>
                <w:szCs w:val="1"/>
                <w:color w:val="auto"/>
              </w:rPr>
            </w:pPr>
          </w:p>
        </w:tc>
      </w:tr>
      <w:tr>
        <w:trPr>
          <w:trHeight w:val="230"/>
        </w:trPr>
        <w:tc>
          <w:tcPr>
            <w:tcW w:w="9220" w:type="dxa"/>
            <w:vAlign w:val="bottom"/>
            <w:gridSpan w:val="2"/>
          </w:tcPr>
          <w:p>
            <w:pPr>
              <w:spacing w:after="0"/>
              <w:rPr>
                <w:sz w:val="20"/>
                <w:szCs w:val="20"/>
                <w:color w:val="auto"/>
              </w:rPr>
            </w:pPr>
            <w:r>
              <w:rPr>
                <w:rFonts w:ascii="Arial" w:cs="Arial" w:eastAsia="Arial" w:hAnsi="Arial"/>
                <w:sz w:val="18"/>
                <w:szCs w:val="18"/>
                <w:color w:val="auto"/>
              </w:rPr>
              <w:t>BRS Better Neighborhoods, Inc.</w:t>
            </w:r>
          </w:p>
        </w:tc>
        <w:tc>
          <w:tcPr>
            <w:tcW w:w="196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CastleLine Re, Inc.</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30"/>
        </w:trPr>
        <w:tc>
          <w:tcPr>
            <w:tcW w:w="9220" w:type="dxa"/>
            <w:vAlign w:val="bottom"/>
            <w:gridSpan w:val="2"/>
          </w:tcPr>
          <w:p>
            <w:pPr>
              <w:spacing w:after="0"/>
              <w:rPr>
                <w:sz w:val="20"/>
                <w:szCs w:val="20"/>
                <w:color w:val="auto"/>
              </w:rPr>
            </w:pPr>
            <w:r>
              <w:rPr>
                <w:rFonts w:ascii="Arial" w:cs="Arial" w:eastAsia="Arial" w:hAnsi="Arial"/>
                <w:sz w:val="18"/>
                <w:szCs w:val="18"/>
                <w:color w:val="auto"/>
              </w:rPr>
              <w:t>CastleLine Risk and Insurance Services, LLC</w:t>
            </w:r>
          </w:p>
        </w:tc>
        <w:tc>
          <w:tcPr>
            <w:tcW w:w="1960" w:type="dxa"/>
            <w:vAlign w:val="bottom"/>
          </w:tcPr>
          <w:p>
            <w:pPr>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29"/>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Correspondent One, LLC</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9220" w:type="dxa"/>
            <w:vAlign w:val="bottom"/>
            <w:gridSpan w:val="2"/>
          </w:tcPr>
          <w:p>
            <w:pPr>
              <w:spacing w:after="0"/>
              <w:rPr>
                <w:sz w:val="20"/>
                <w:szCs w:val="20"/>
                <w:color w:val="auto"/>
              </w:rPr>
            </w:pPr>
            <w:r>
              <w:rPr>
                <w:rFonts w:ascii="Arial" w:cs="Arial" w:eastAsia="Arial" w:hAnsi="Arial"/>
                <w:sz w:val="18"/>
                <w:szCs w:val="18"/>
                <w:color w:val="auto"/>
              </w:rPr>
              <w:t>Coolsol Solutions Private Limited</w:t>
            </w:r>
          </w:p>
        </w:tc>
        <w:tc>
          <w:tcPr>
            <w:tcW w:w="1960" w:type="dxa"/>
            <w:vAlign w:val="bottom"/>
          </w:tcPr>
          <w:p>
            <w:pPr>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30"/>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Equator, LLC</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30"/>
        </w:trPr>
        <w:tc>
          <w:tcPr>
            <w:tcW w:w="9220" w:type="dxa"/>
            <w:vAlign w:val="bottom"/>
            <w:gridSpan w:val="2"/>
          </w:tcPr>
          <w:p>
            <w:pPr>
              <w:spacing w:after="0"/>
              <w:rPr>
                <w:sz w:val="20"/>
                <w:szCs w:val="20"/>
                <w:color w:val="auto"/>
              </w:rPr>
            </w:pPr>
            <w:r>
              <w:rPr>
                <w:rFonts w:ascii="Arial" w:cs="Arial" w:eastAsia="Arial" w:hAnsi="Arial"/>
                <w:sz w:val="18"/>
                <w:szCs w:val="18"/>
                <w:color w:val="auto"/>
              </w:rPr>
              <w:t>Hubzu Notes, LLC</w:t>
            </w:r>
          </w:p>
        </w:tc>
        <w:tc>
          <w:tcPr>
            <w:tcW w:w="196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Hubzu USA, Inc.</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9220" w:type="dxa"/>
            <w:vAlign w:val="bottom"/>
            <w:gridSpan w:val="2"/>
          </w:tcPr>
          <w:p>
            <w:pPr>
              <w:spacing w:after="0"/>
              <w:rPr>
                <w:sz w:val="20"/>
                <w:szCs w:val="20"/>
                <w:color w:val="auto"/>
              </w:rPr>
            </w:pPr>
            <w:r>
              <w:rPr>
                <w:rFonts w:ascii="Arial" w:cs="Arial" w:eastAsia="Arial" w:hAnsi="Arial"/>
                <w:sz w:val="18"/>
                <w:szCs w:val="18"/>
                <w:color w:val="auto"/>
              </w:rPr>
              <w:t>Pointillist, Inc.</w:t>
            </w:r>
          </w:p>
        </w:tc>
        <w:tc>
          <w:tcPr>
            <w:tcW w:w="196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Power Default Services, Inc.</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9220" w:type="dxa"/>
            <w:vAlign w:val="bottom"/>
            <w:gridSpan w:val="2"/>
          </w:tcPr>
          <w:p>
            <w:pPr>
              <w:spacing w:after="0"/>
              <w:rPr>
                <w:sz w:val="20"/>
                <w:szCs w:val="20"/>
                <w:color w:val="auto"/>
              </w:rPr>
            </w:pPr>
            <w:r>
              <w:rPr>
                <w:rFonts w:ascii="Arial" w:cs="Arial" w:eastAsia="Arial" w:hAnsi="Arial"/>
                <w:sz w:val="18"/>
                <w:szCs w:val="18"/>
                <w:color w:val="auto"/>
              </w:rPr>
              <w:t>Premium Title Agency, Inc.</w:t>
            </w:r>
          </w:p>
        </w:tc>
        <w:tc>
          <w:tcPr>
            <w:tcW w:w="196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Premium Title Insurance Agency - UT, Inc.</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Utah</w:t>
            </w:r>
          </w:p>
        </w:tc>
        <w:tc>
          <w:tcPr>
            <w:tcW w:w="0" w:type="dxa"/>
            <w:vAlign w:val="bottom"/>
          </w:tcPr>
          <w:p>
            <w:pPr>
              <w:spacing w:after="0"/>
              <w:rPr>
                <w:sz w:val="1"/>
                <w:szCs w:val="1"/>
                <w:color w:val="auto"/>
              </w:rPr>
            </w:pPr>
          </w:p>
        </w:tc>
      </w:tr>
      <w:tr>
        <w:trPr>
          <w:trHeight w:val="230"/>
        </w:trPr>
        <w:tc>
          <w:tcPr>
            <w:tcW w:w="9220" w:type="dxa"/>
            <w:vAlign w:val="bottom"/>
            <w:gridSpan w:val="2"/>
          </w:tcPr>
          <w:p>
            <w:pPr>
              <w:spacing w:after="0"/>
              <w:rPr>
                <w:sz w:val="20"/>
                <w:szCs w:val="20"/>
                <w:color w:val="auto"/>
              </w:rPr>
            </w:pPr>
            <w:r>
              <w:rPr>
                <w:rFonts w:ascii="Arial" w:cs="Arial" w:eastAsia="Arial" w:hAnsi="Arial"/>
                <w:sz w:val="18"/>
                <w:szCs w:val="18"/>
                <w:color w:val="auto"/>
              </w:rPr>
              <w:t>Premium Title of California, Inc.</w:t>
            </w:r>
          </w:p>
        </w:tc>
        <w:tc>
          <w:tcPr>
            <w:tcW w:w="1960" w:type="dxa"/>
            <w:vAlign w:val="bottom"/>
          </w:tcPr>
          <w:p>
            <w:pPr>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30"/>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Premium Title Services - FL, Inc.</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9220" w:type="dxa"/>
            <w:vAlign w:val="bottom"/>
            <w:gridSpan w:val="2"/>
          </w:tcPr>
          <w:p>
            <w:pPr>
              <w:spacing w:after="0"/>
              <w:rPr>
                <w:sz w:val="20"/>
                <w:szCs w:val="20"/>
                <w:color w:val="auto"/>
              </w:rPr>
            </w:pPr>
            <w:r>
              <w:rPr>
                <w:rFonts w:ascii="Arial" w:cs="Arial" w:eastAsia="Arial" w:hAnsi="Arial"/>
                <w:sz w:val="18"/>
                <w:szCs w:val="18"/>
                <w:color w:val="auto"/>
              </w:rPr>
              <w:t>Premium Title Services - IL, Inc.</w:t>
            </w:r>
          </w:p>
        </w:tc>
        <w:tc>
          <w:tcPr>
            <w:tcW w:w="196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Premium Title Services, Inc.</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Florida</w:t>
            </w:r>
          </w:p>
        </w:tc>
        <w:tc>
          <w:tcPr>
            <w:tcW w:w="0" w:type="dxa"/>
            <w:vAlign w:val="bottom"/>
          </w:tcPr>
          <w:p>
            <w:pPr>
              <w:spacing w:after="0"/>
              <w:rPr>
                <w:sz w:val="1"/>
                <w:szCs w:val="1"/>
                <w:color w:val="auto"/>
              </w:rPr>
            </w:pPr>
          </w:p>
        </w:tc>
      </w:tr>
      <w:tr>
        <w:trPr>
          <w:trHeight w:val="230"/>
        </w:trPr>
        <w:tc>
          <w:tcPr>
            <w:tcW w:w="9220" w:type="dxa"/>
            <w:vAlign w:val="bottom"/>
            <w:gridSpan w:val="2"/>
          </w:tcPr>
          <w:p>
            <w:pPr>
              <w:spacing w:after="0"/>
              <w:rPr>
                <w:sz w:val="20"/>
                <w:szCs w:val="20"/>
                <w:color w:val="auto"/>
              </w:rPr>
            </w:pPr>
            <w:r>
              <w:rPr>
                <w:rFonts w:ascii="Arial" w:cs="Arial" w:eastAsia="Arial" w:hAnsi="Arial"/>
                <w:sz w:val="18"/>
                <w:szCs w:val="18"/>
                <w:color w:val="auto"/>
              </w:rPr>
              <w:t>Premium Title Services - Indiana, Inc.</w:t>
            </w:r>
          </w:p>
        </w:tc>
        <w:tc>
          <w:tcPr>
            <w:tcW w:w="196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Premium Title Services - MD, Inc.</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9220" w:type="dxa"/>
            <w:vAlign w:val="bottom"/>
            <w:gridSpan w:val="2"/>
          </w:tcPr>
          <w:p>
            <w:pPr>
              <w:spacing w:after="0"/>
              <w:rPr>
                <w:sz w:val="20"/>
                <w:szCs w:val="20"/>
                <w:color w:val="auto"/>
              </w:rPr>
            </w:pPr>
            <w:r>
              <w:rPr>
                <w:rFonts w:ascii="Arial" w:cs="Arial" w:eastAsia="Arial" w:hAnsi="Arial"/>
                <w:sz w:val="18"/>
                <w:szCs w:val="18"/>
                <w:color w:val="auto"/>
              </w:rPr>
              <w:t>Premium Title Services - MN, Inc.</w:t>
            </w:r>
          </w:p>
        </w:tc>
        <w:tc>
          <w:tcPr>
            <w:tcW w:w="196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Premium Title Services - MO, Inc.</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9220" w:type="dxa"/>
            <w:vAlign w:val="bottom"/>
            <w:gridSpan w:val="2"/>
          </w:tcPr>
          <w:p>
            <w:pPr>
              <w:spacing w:after="0"/>
              <w:rPr>
                <w:sz w:val="20"/>
                <w:szCs w:val="20"/>
                <w:color w:val="auto"/>
              </w:rPr>
            </w:pPr>
            <w:r>
              <w:rPr>
                <w:rFonts w:ascii="Arial" w:cs="Arial" w:eastAsia="Arial" w:hAnsi="Arial"/>
                <w:sz w:val="18"/>
                <w:szCs w:val="18"/>
                <w:color w:val="auto"/>
              </w:rPr>
              <w:t>Premium Title Services - NY, Inc.</w:t>
            </w:r>
          </w:p>
        </w:tc>
        <w:tc>
          <w:tcPr>
            <w:tcW w:w="196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Premium Title Services - VA, Inc.</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9220" w:type="dxa"/>
            <w:vAlign w:val="bottom"/>
            <w:gridSpan w:val="2"/>
          </w:tcPr>
          <w:p>
            <w:pPr>
              <w:spacing w:after="0"/>
              <w:rPr>
                <w:sz w:val="20"/>
                <w:szCs w:val="20"/>
                <w:color w:val="auto"/>
              </w:rPr>
            </w:pPr>
            <w:r>
              <w:rPr>
                <w:rFonts w:ascii="Arial" w:cs="Arial" w:eastAsia="Arial" w:hAnsi="Arial"/>
                <w:sz w:val="18"/>
                <w:szCs w:val="18"/>
                <w:color w:val="auto"/>
              </w:rPr>
              <w:t>PTS – Escrow, Inc.</w:t>
            </w:r>
          </w:p>
        </w:tc>
        <w:tc>
          <w:tcPr>
            <w:tcW w:w="196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PTS – Texas Title, Inc.</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9220" w:type="dxa"/>
            <w:vAlign w:val="bottom"/>
            <w:gridSpan w:val="2"/>
          </w:tcPr>
          <w:p>
            <w:pPr>
              <w:spacing w:after="0"/>
              <w:rPr>
                <w:sz w:val="20"/>
                <w:szCs w:val="20"/>
                <w:color w:val="auto"/>
              </w:rPr>
            </w:pPr>
            <w:r>
              <w:rPr>
                <w:rFonts w:ascii="Arial" w:cs="Arial" w:eastAsia="Arial" w:hAnsi="Arial"/>
                <w:sz w:val="18"/>
                <w:szCs w:val="18"/>
                <w:color w:val="auto"/>
              </w:rPr>
              <w:t>REALHome Services and Solutions – CT, Inc.</w:t>
            </w:r>
          </w:p>
        </w:tc>
        <w:tc>
          <w:tcPr>
            <w:tcW w:w="1960" w:type="dxa"/>
            <w:vAlign w:val="bottom"/>
          </w:tcPr>
          <w:p>
            <w:pPr>
              <w:spacing w:after="0"/>
              <w:rPr>
                <w:sz w:val="20"/>
                <w:szCs w:val="20"/>
                <w:color w:val="auto"/>
              </w:rPr>
            </w:pPr>
            <w:r>
              <w:rPr>
                <w:rFonts w:ascii="Arial" w:cs="Arial" w:eastAsia="Arial" w:hAnsi="Arial"/>
                <w:sz w:val="18"/>
                <w:szCs w:val="18"/>
                <w:color w:val="auto"/>
              </w:rPr>
              <w:t>Connecticut</w:t>
            </w:r>
          </w:p>
        </w:tc>
        <w:tc>
          <w:tcPr>
            <w:tcW w:w="0" w:type="dxa"/>
            <w:vAlign w:val="bottom"/>
          </w:tcPr>
          <w:p>
            <w:pPr>
              <w:spacing w:after="0"/>
              <w:rPr>
                <w:sz w:val="1"/>
                <w:szCs w:val="1"/>
                <w:color w:val="auto"/>
              </w:rPr>
            </w:pPr>
          </w:p>
        </w:tc>
      </w:tr>
      <w:tr>
        <w:trPr>
          <w:trHeight w:val="229"/>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REALHome Services and Solutions, Inc.</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Florida</w:t>
            </w:r>
          </w:p>
        </w:tc>
        <w:tc>
          <w:tcPr>
            <w:tcW w:w="0" w:type="dxa"/>
            <w:vAlign w:val="bottom"/>
          </w:tcPr>
          <w:p>
            <w:pPr>
              <w:spacing w:after="0"/>
              <w:rPr>
                <w:sz w:val="1"/>
                <w:szCs w:val="1"/>
                <w:color w:val="auto"/>
              </w:rPr>
            </w:pPr>
          </w:p>
        </w:tc>
      </w:tr>
      <w:tr>
        <w:trPr>
          <w:trHeight w:val="230"/>
        </w:trPr>
        <w:tc>
          <w:tcPr>
            <w:tcW w:w="9220" w:type="dxa"/>
            <w:vAlign w:val="bottom"/>
            <w:gridSpan w:val="2"/>
          </w:tcPr>
          <w:p>
            <w:pPr>
              <w:spacing w:after="0"/>
              <w:rPr>
                <w:sz w:val="20"/>
                <w:szCs w:val="20"/>
                <w:color w:val="auto"/>
              </w:rPr>
            </w:pPr>
            <w:r>
              <w:rPr>
                <w:rFonts w:ascii="Arial" w:cs="Arial" w:eastAsia="Arial" w:hAnsi="Arial"/>
                <w:sz w:val="18"/>
                <w:szCs w:val="18"/>
                <w:color w:val="auto"/>
              </w:rPr>
              <w:t>Springhouse, LLC</w:t>
            </w:r>
          </w:p>
        </w:tc>
        <w:tc>
          <w:tcPr>
            <w:tcW w:w="1960" w:type="dxa"/>
            <w:vAlign w:val="bottom"/>
          </w:tcPr>
          <w:p>
            <w:pPr>
              <w:spacing w:after="0"/>
              <w:rPr>
                <w:sz w:val="20"/>
                <w:szCs w:val="20"/>
                <w:color w:val="auto"/>
              </w:rPr>
            </w:pPr>
            <w:r>
              <w:rPr>
                <w:rFonts w:ascii="Arial" w:cs="Arial" w:eastAsia="Arial" w:hAnsi="Arial"/>
                <w:sz w:val="18"/>
                <w:szCs w:val="18"/>
                <w:color w:val="auto"/>
              </w:rPr>
              <w:t>Missouri</w:t>
            </w: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103" w:name="page104"/>
    <w:bookmarkEnd w:id="1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960" w:type="dxa"/>
            <w:vAlign w:val="bottom"/>
          </w:tcPr>
          <w:p>
            <w:pPr>
              <w:ind w:left="80"/>
              <w:spacing w:after="0"/>
              <w:rPr>
                <w:sz w:val="20"/>
                <w:szCs w:val="20"/>
                <w:color w:val="auto"/>
              </w:rPr>
            </w:pPr>
            <w:r>
              <w:rPr>
                <w:rFonts w:ascii="Arial" w:cs="Arial" w:eastAsia="Arial" w:hAnsi="Arial"/>
                <w:sz w:val="14"/>
                <w:szCs w:val="14"/>
                <w:b w:val="1"/>
                <w:bCs w:val="1"/>
                <w:color w:val="auto"/>
                <w:w w:val="97"/>
              </w:rPr>
              <w:t>Jurisdiction of incorporation</w:t>
            </w:r>
          </w:p>
        </w:tc>
        <w:tc>
          <w:tcPr>
            <w:tcW w:w="0" w:type="dxa"/>
            <w:vAlign w:val="bottom"/>
          </w:tcPr>
          <w:p>
            <w:pPr>
              <w:spacing w:after="0"/>
              <w:rPr>
                <w:sz w:val="1"/>
                <w:szCs w:val="1"/>
                <w:color w:val="auto"/>
              </w:rPr>
            </w:pPr>
          </w:p>
        </w:tc>
      </w:tr>
      <w:tr>
        <w:trPr>
          <w:trHeight w:val="188"/>
        </w:trPr>
        <w:tc>
          <w:tcPr>
            <w:tcW w:w="9220" w:type="dxa"/>
            <w:vAlign w:val="bottom"/>
            <w:gridSpan w:val="2"/>
            <w:vMerge w:val="continue"/>
          </w:tcPr>
          <w:p>
            <w:pPr>
              <w:spacing w:after="0"/>
              <w:rPr>
                <w:sz w:val="16"/>
                <w:szCs w:val="16"/>
                <w:color w:val="auto"/>
              </w:rPr>
            </w:pPr>
          </w:p>
        </w:tc>
        <w:tc>
          <w:tcPr>
            <w:tcW w:w="1960" w:type="dxa"/>
            <w:vAlign w:val="bottom"/>
          </w:tcPr>
          <w:p>
            <w:pPr>
              <w:ind w:left="500"/>
              <w:spacing w:after="0"/>
              <w:rPr>
                <w:sz w:val="20"/>
                <w:szCs w:val="20"/>
                <w:color w:val="auto"/>
              </w:rPr>
            </w:pPr>
            <w:r>
              <w:rPr>
                <w:rFonts w:ascii="Arial" w:cs="Arial" w:eastAsia="Arial" w:hAnsi="Arial"/>
                <w:sz w:val="14"/>
                <w:szCs w:val="14"/>
                <w:b w:val="1"/>
                <w:bCs w:val="1"/>
                <w:color w:val="auto"/>
              </w:rPr>
              <w:t>or organization</w:t>
            </w:r>
          </w:p>
        </w:tc>
        <w:tc>
          <w:tcPr>
            <w:tcW w:w="0" w:type="dxa"/>
            <w:vAlign w:val="bottom"/>
          </w:tcPr>
          <w:p>
            <w:pPr>
              <w:spacing w:after="0"/>
              <w:rPr>
                <w:sz w:val="1"/>
                <w:szCs w:val="1"/>
                <w:color w:val="auto"/>
              </w:rPr>
            </w:pPr>
          </w:p>
        </w:tc>
      </w:tr>
      <w:tr>
        <w:trPr>
          <w:trHeight w:val="197"/>
        </w:trPr>
        <w:tc>
          <w:tcPr>
            <w:tcW w:w="90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Mortgage Partnership of America, L.L.C.</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Missouri</w:t>
            </w:r>
          </w:p>
        </w:tc>
        <w:tc>
          <w:tcPr>
            <w:tcW w:w="0" w:type="dxa"/>
            <w:vAlign w:val="bottom"/>
          </w:tcPr>
          <w:p>
            <w:pPr>
              <w:spacing w:after="0"/>
              <w:rPr>
                <w:sz w:val="1"/>
                <w:szCs w:val="1"/>
                <w:color w:val="auto"/>
              </w:rPr>
            </w:pPr>
          </w:p>
        </w:tc>
      </w:tr>
      <w:tr>
        <w:trPr>
          <w:trHeight w:val="229"/>
        </w:trPr>
        <w:tc>
          <w:tcPr>
            <w:tcW w:w="9220" w:type="dxa"/>
            <w:vAlign w:val="bottom"/>
            <w:gridSpan w:val="2"/>
          </w:tcPr>
          <w:p>
            <w:pPr>
              <w:spacing w:after="0"/>
              <w:rPr>
                <w:sz w:val="20"/>
                <w:szCs w:val="20"/>
                <w:color w:val="auto"/>
              </w:rPr>
            </w:pPr>
            <w:r>
              <w:rPr>
                <w:rFonts w:ascii="Arial" w:cs="Arial" w:eastAsia="Arial" w:hAnsi="Arial"/>
                <w:sz w:val="18"/>
                <w:szCs w:val="18"/>
                <w:color w:val="auto"/>
              </w:rPr>
              <w:t>Techtruss Soltions Private Limited</w:t>
            </w:r>
          </w:p>
        </w:tc>
        <w:tc>
          <w:tcPr>
            <w:tcW w:w="1960" w:type="dxa"/>
            <w:vAlign w:val="bottom"/>
          </w:tcPr>
          <w:p>
            <w:pPr>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30"/>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Timidain Solutions Private Limited</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29"/>
        </w:trPr>
        <w:tc>
          <w:tcPr>
            <w:tcW w:w="9220" w:type="dxa"/>
            <w:vAlign w:val="bottom"/>
            <w:gridSpan w:val="2"/>
          </w:tcPr>
          <w:p>
            <w:pPr>
              <w:spacing w:after="0"/>
              <w:rPr>
                <w:sz w:val="20"/>
                <w:szCs w:val="20"/>
                <w:color w:val="auto"/>
              </w:rPr>
            </w:pPr>
            <w:r>
              <w:rPr>
                <w:rFonts w:ascii="Arial" w:cs="Arial" w:eastAsia="Arial" w:hAnsi="Arial"/>
                <w:sz w:val="18"/>
                <w:szCs w:val="18"/>
                <w:color w:val="auto"/>
              </w:rPr>
              <w:t>Western Progressive – Arizona, Inc.</w:t>
            </w:r>
          </w:p>
        </w:tc>
        <w:tc>
          <w:tcPr>
            <w:tcW w:w="196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Western Progressive – Nevada, Inc.</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9220" w:type="dxa"/>
            <w:vAlign w:val="bottom"/>
            <w:gridSpan w:val="2"/>
          </w:tcPr>
          <w:p>
            <w:pPr>
              <w:spacing w:after="0"/>
              <w:rPr>
                <w:sz w:val="20"/>
                <w:szCs w:val="20"/>
                <w:color w:val="auto"/>
              </w:rPr>
            </w:pPr>
            <w:r>
              <w:rPr>
                <w:rFonts w:ascii="Arial" w:cs="Arial" w:eastAsia="Arial" w:hAnsi="Arial"/>
                <w:sz w:val="18"/>
                <w:szCs w:val="18"/>
                <w:color w:val="auto"/>
              </w:rPr>
              <w:t>Western Progressive – Tennessee, Inc.</w:t>
            </w:r>
          </w:p>
        </w:tc>
        <w:tc>
          <w:tcPr>
            <w:tcW w:w="1960" w:type="dxa"/>
            <w:vAlign w:val="bottom"/>
          </w:tcPr>
          <w:p>
            <w:pPr>
              <w:spacing w:after="0"/>
              <w:rPr>
                <w:sz w:val="20"/>
                <w:szCs w:val="20"/>
                <w:color w:val="auto"/>
              </w:rPr>
            </w:pPr>
            <w:r>
              <w:rPr>
                <w:rFonts w:ascii="Arial" w:cs="Arial" w:eastAsia="Arial" w:hAnsi="Arial"/>
                <w:sz w:val="18"/>
                <w:szCs w:val="18"/>
                <w:color w:val="auto"/>
              </w:rPr>
              <w:t>Tennessee</w:t>
            </w:r>
          </w:p>
        </w:tc>
        <w:tc>
          <w:tcPr>
            <w:tcW w:w="0" w:type="dxa"/>
            <w:vAlign w:val="bottom"/>
          </w:tcPr>
          <w:p>
            <w:pPr>
              <w:spacing w:after="0"/>
              <w:rPr>
                <w:sz w:val="1"/>
                <w:szCs w:val="1"/>
                <w:color w:val="auto"/>
              </w:rPr>
            </w:pPr>
          </w:p>
        </w:tc>
      </w:tr>
      <w:tr>
        <w:trPr>
          <w:trHeight w:val="229"/>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Western Progressive Trustee, LLC</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9220" w:type="dxa"/>
            <w:vAlign w:val="bottom"/>
            <w:gridSpan w:val="2"/>
          </w:tcPr>
          <w:p>
            <w:pPr>
              <w:spacing w:after="0"/>
              <w:rPr>
                <w:sz w:val="20"/>
                <w:szCs w:val="20"/>
                <w:color w:val="auto"/>
              </w:rPr>
            </w:pPr>
            <w:r>
              <w:rPr>
                <w:rFonts w:ascii="Arial" w:cs="Arial" w:eastAsia="Arial" w:hAnsi="Arial"/>
                <w:sz w:val="18"/>
                <w:szCs w:val="18"/>
                <w:color w:val="auto"/>
              </w:rPr>
              <w:t>Western Progressive – Utah, Inc.</w:t>
            </w:r>
          </w:p>
        </w:tc>
        <w:tc>
          <w:tcPr>
            <w:tcW w:w="1960" w:type="dxa"/>
            <w:vAlign w:val="bottom"/>
          </w:tcPr>
          <w:p>
            <w:pPr>
              <w:spacing w:after="0"/>
              <w:rPr>
                <w:sz w:val="20"/>
                <w:szCs w:val="20"/>
                <w:color w:val="auto"/>
              </w:rPr>
            </w:pPr>
            <w:r>
              <w:rPr>
                <w:rFonts w:ascii="Arial" w:cs="Arial" w:eastAsia="Arial" w:hAnsi="Arial"/>
                <w:sz w:val="18"/>
                <w:szCs w:val="18"/>
                <w:color w:val="auto"/>
              </w:rPr>
              <w:t>Utah</w:t>
            </w:r>
          </w:p>
        </w:tc>
        <w:tc>
          <w:tcPr>
            <w:tcW w:w="0" w:type="dxa"/>
            <w:vAlign w:val="bottom"/>
          </w:tcPr>
          <w:p>
            <w:pPr>
              <w:spacing w:after="0"/>
              <w:rPr>
                <w:sz w:val="1"/>
                <w:szCs w:val="1"/>
                <w:color w:val="auto"/>
              </w:rPr>
            </w:pPr>
          </w:p>
        </w:tc>
      </w:tr>
      <w:tr>
        <w:trPr>
          <w:trHeight w:val="230"/>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Western Progressive Virginia, Inc.</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Virginia</w:t>
            </w:r>
          </w:p>
        </w:tc>
        <w:tc>
          <w:tcPr>
            <w:tcW w:w="0" w:type="dxa"/>
            <w:vAlign w:val="bottom"/>
          </w:tcPr>
          <w:p>
            <w:pPr>
              <w:spacing w:after="0"/>
              <w:rPr>
                <w:sz w:val="1"/>
                <w:szCs w:val="1"/>
                <w:color w:val="auto"/>
              </w:rPr>
            </w:pPr>
          </w:p>
        </w:tc>
      </w:tr>
      <w:tr>
        <w:trPr>
          <w:trHeight w:val="230"/>
        </w:trPr>
        <w:tc>
          <w:tcPr>
            <w:tcW w:w="9220" w:type="dxa"/>
            <w:vAlign w:val="bottom"/>
            <w:gridSpan w:val="2"/>
          </w:tcPr>
          <w:p>
            <w:pPr>
              <w:spacing w:after="0"/>
              <w:rPr>
                <w:sz w:val="20"/>
                <w:szCs w:val="20"/>
                <w:color w:val="auto"/>
              </w:rPr>
            </w:pPr>
            <w:r>
              <w:rPr>
                <w:rFonts w:ascii="Arial" w:cs="Arial" w:eastAsia="Arial" w:hAnsi="Arial"/>
                <w:sz w:val="18"/>
                <w:szCs w:val="18"/>
                <w:color w:val="auto"/>
              </w:rPr>
              <w:t>Western Progressive – Washington, Inc.</w:t>
            </w:r>
          </w:p>
        </w:tc>
        <w:tc>
          <w:tcPr>
            <w:tcW w:w="1960" w:type="dxa"/>
            <w:vAlign w:val="bottom"/>
          </w:tcPr>
          <w:p>
            <w:pPr>
              <w:spacing w:after="0"/>
              <w:rPr>
                <w:sz w:val="20"/>
                <w:szCs w:val="20"/>
                <w:color w:val="auto"/>
              </w:rPr>
            </w:pPr>
            <w:r>
              <w:rPr>
                <w:rFonts w:ascii="Arial" w:cs="Arial" w:eastAsia="Arial" w:hAnsi="Arial"/>
                <w:sz w:val="18"/>
                <w:szCs w:val="18"/>
                <w:color w:val="auto"/>
              </w:rPr>
              <w:t>Washington</w:t>
            </w:r>
          </w:p>
        </w:tc>
        <w:tc>
          <w:tcPr>
            <w:tcW w:w="0" w:type="dxa"/>
            <w:vAlign w:val="bottom"/>
          </w:tcPr>
          <w:p>
            <w:pPr>
              <w:spacing w:after="0"/>
              <w:rPr>
                <w:sz w:val="1"/>
                <w:szCs w:val="1"/>
                <w:color w:val="auto"/>
              </w:rPr>
            </w:pPr>
          </w:p>
        </w:tc>
      </w:tr>
    </w:tbl>
    <w:p>
      <w:pPr>
        <w:sectPr>
          <w:pgSz w:w="11900" w:h="16838" w:orient="portrait"/>
          <w:cols w:equalWidth="0" w:num="1">
            <w:col w:w="11180"/>
          </w:cols>
          <w:pgMar w:left="360" w:top="1004" w:right="35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consent to the incorporation by reference in Registration Statement No. 333-161175 on Form S-8 of our reports dated March 11, 2021, relating to the consolidated financial statements and financial statement schedule of Altisource Portfolio Solutions S.A. and subsidiaries (the “Company”) (which report expresses an unqualified opinion on the consolidated financial statements and includes an explanatory paragraph related to the change in the method of accounting for leases and an emphasis of matter paragraph related to the concentration of revenue and uncertainties with Ocwen Financial Corporation), and our report dated March 11, 2021, relating to internal control over financial reporting (which report expresses an unqualified opinion on the effectiveness of the Company’s internal control over financial reporting) appearing in this Annual Report on Form 10-K of the Company for the year ended December 31, 2020.</w:t>
      </w:r>
    </w:p>
    <w:p>
      <w:pPr>
        <w:spacing w:after="0" w:line="3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Mayer Hoffman McCann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199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40">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2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11, 2021</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Clearwater, Florida</w:t>
      </w:r>
    </w:p>
    <w:p>
      <w:pPr>
        <w:sectPr>
          <w:pgSz w:w="11900" w:h="16838" w:orient="portrait"/>
          <w:cols w:equalWidth="0" w:num="1">
            <w:col w:w="11240"/>
          </w:cols>
          <w:pgMar w:left="320" w:top="891"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EXECUTIVE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William B. Shepro, hereby certify that:</w:t>
      </w:r>
    </w:p>
    <w:p>
      <w:pPr>
        <w:spacing w:after="0" w:line="252" w:lineRule="exact"/>
        <w:rPr>
          <w:sz w:val="20"/>
          <w:szCs w:val="20"/>
          <w:color w:val="auto"/>
        </w:rPr>
      </w:pPr>
    </w:p>
    <w:p>
      <w:pPr>
        <w:ind w:left="640" w:hanging="308"/>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ending December 31, 2020 of Altisource Portfolio Solutions S.A.;</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7"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hanging="328"/>
        <w:spacing w:after="0" w:line="308" w:lineRule="auto"/>
        <w:tabs>
          <w:tab w:leader="none" w:pos="664"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702"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10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1119"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980" w:hanging="324"/>
        <w:spacing w:after="0" w:line="342" w:lineRule="auto"/>
        <w:tabs>
          <w:tab w:leader="none" w:pos="1131"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980" w:hanging="324"/>
        <w:spacing w:after="0" w:line="263" w:lineRule="auto"/>
        <w:tabs>
          <w:tab w:leader="none" w:pos="1048"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hanging="328"/>
        <w:spacing w:after="0" w:line="308" w:lineRule="auto"/>
        <w:tabs>
          <w:tab w:leader="none" w:pos="65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hanging="324"/>
        <w:spacing w:after="0" w:line="308" w:lineRule="auto"/>
        <w:tabs>
          <w:tab w:leader="none" w:pos="1176" w:val="left"/>
        </w:tabs>
        <w:numPr>
          <w:ilvl w:val="1"/>
          <w:numId w:val="5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80" w:hanging="324"/>
        <w:spacing w:after="0" w:line="277" w:lineRule="auto"/>
        <w:tabs>
          <w:tab w:leader="none" w:pos="11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Date: March 11, 2021</w:t>
            </w:r>
          </w:p>
        </w:tc>
        <w:tc>
          <w:tcPr>
            <w:tcW w:w="2580" w:type="dxa"/>
            <w:vAlign w:val="bottom"/>
          </w:tcPr>
          <w:p>
            <w:pPr>
              <w:ind w:left="1960"/>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William B. Shepro</w:t>
            </w:r>
          </w:p>
        </w:tc>
      </w:tr>
      <w:tr>
        <w:trPr>
          <w:trHeight w:val="222"/>
        </w:trPr>
        <w:tc>
          <w:tcPr>
            <w:tcW w:w="35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William B. Shepro</w:t>
            </w:r>
          </w:p>
        </w:tc>
      </w:tr>
      <w:tr>
        <w:trPr>
          <w:trHeight w:val="230"/>
        </w:trPr>
        <w:tc>
          <w:tcPr>
            <w:tcW w:w="35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Chairman and Chief Executive Officer</w:t>
            </w:r>
          </w:p>
        </w:tc>
      </w:tr>
      <w:tr>
        <w:trPr>
          <w:trHeight w:val="230"/>
        </w:trPr>
        <w:tc>
          <w:tcPr>
            <w:tcW w:w="35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91"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FINANCIAL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Michelle D. Esterman, hereby certify that:</w:t>
      </w:r>
    </w:p>
    <w:p>
      <w:pPr>
        <w:spacing w:after="0" w:line="252" w:lineRule="exact"/>
        <w:rPr>
          <w:sz w:val="20"/>
          <w:szCs w:val="20"/>
          <w:color w:val="auto"/>
        </w:rPr>
      </w:pPr>
    </w:p>
    <w:p>
      <w:pPr>
        <w:ind w:left="640" w:hanging="308"/>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ending December 31, 2020 of Altisource Portfolio Solutions S.A.;</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7"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hanging="328"/>
        <w:spacing w:after="0" w:line="308" w:lineRule="auto"/>
        <w:tabs>
          <w:tab w:leader="none" w:pos="664"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702"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10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1119"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980" w:hanging="324"/>
        <w:spacing w:after="0" w:line="342" w:lineRule="auto"/>
        <w:tabs>
          <w:tab w:leader="none" w:pos="1131"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980" w:hanging="324"/>
        <w:spacing w:after="0" w:line="263" w:lineRule="auto"/>
        <w:tabs>
          <w:tab w:leader="none" w:pos="1048"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hanging="328"/>
        <w:spacing w:after="0" w:line="308" w:lineRule="auto"/>
        <w:tabs>
          <w:tab w:leader="none" w:pos="65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hanging="324"/>
        <w:spacing w:after="0" w:line="308" w:lineRule="auto"/>
        <w:tabs>
          <w:tab w:leader="none" w:pos="1176" w:val="left"/>
        </w:tabs>
        <w:numPr>
          <w:ilvl w:val="1"/>
          <w:numId w:val="5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80" w:hanging="324"/>
        <w:spacing w:after="0" w:line="277" w:lineRule="auto"/>
        <w:tabs>
          <w:tab w:leader="none" w:pos="11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Date: March 11, 2021</w:t>
            </w:r>
          </w:p>
        </w:tc>
        <w:tc>
          <w:tcPr>
            <w:tcW w:w="2580" w:type="dxa"/>
            <w:vAlign w:val="bottom"/>
          </w:tcPr>
          <w:p>
            <w:pPr>
              <w:ind w:left="1960"/>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Michelle D. Esterman</w:t>
            </w:r>
          </w:p>
        </w:tc>
      </w:tr>
      <w:tr>
        <w:trPr>
          <w:trHeight w:val="222"/>
        </w:trPr>
        <w:tc>
          <w:tcPr>
            <w:tcW w:w="35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Michelle D. Esterman</w:t>
            </w:r>
          </w:p>
        </w:tc>
      </w:tr>
      <w:tr>
        <w:trPr>
          <w:trHeight w:val="230"/>
        </w:trPr>
        <w:tc>
          <w:tcPr>
            <w:tcW w:w="35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176"/>
        </w:trPr>
        <w:tc>
          <w:tcPr>
            <w:tcW w:w="35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4820" w:type="dxa"/>
            <w:vAlign w:val="bottom"/>
          </w:tcPr>
          <w:p>
            <w:pPr>
              <w:ind w:left="20"/>
              <w:spacing w:after="0" w:line="176" w:lineRule="exact"/>
              <w:rPr>
                <w:sz w:val="20"/>
                <w:szCs w:val="20"/>
                <w:color w:val="auto"/>
              </w:rPr>
            </w:pPr>
            <w:r>
              <w:rPr>
                <w:rFonts w:ascii="Arial" w:cs="Arial" w:eastAsia="Arial" w:hAnsi="Arial"/>
                <w:sz w:val="18"/>
                <w:szCs w:val="18"/>
                <w:color w:val="auto"/>
              </w:rPr>
              <w:t>(Principal Financial Officer and</w:t>
            </w:r>
          </w:p>
        </w:tc>
      </w:tr>
      <w:tr>
        <w:trPr>
          <w:trHeight w:val="230"/>
        </w:trPr>
        <w:tc>
          <w:tcPr>
            <w:tcW w:w="35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820" w:type="dxa"/>
            <w:vAlign w:val="bottom"/>
          </w:tcPr>
          <w:p>
            <w:pPr>
              <w:ind w:left="80"/>
              <w:spacing w:after="0"/>
              <w:rPr>
                <w:sz w:val="20"/>
                <w:szCs w:val="20"/>
                <w:color w:val="auto"/>
              </w:rPr>
            </w:pPr>
            <w:r>
              <w:rPr>
                <w:rFonts w:ascii="Arial" w:cs="Arial" w:eastAsia="Arial" w:hAnsi="Arial"/>
                <w:sz w:val="18"/>
                <w:szCs w:val="18"/>
                <w:color w:val="auto"/>
              </w:rPr>
              <w:t>Principal Accounting Officer)</w:t>
            </w:r>
          </w:p>
        </w:tc>
      </w:tr>
    </w:tbl>
    <w:p>
      <w:pPr>
        <w:sectPr>
          <w:pgSz w:w="11900" w:h="16838" w:orient="portrait"/>
          <w:cols w:equalWidth="0" w:num="1">
            <w:col w:w="11240"/>
          </w:cols>
          <w:pgMar w:left="320" w:top="891"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left="340" w:right="2180"/>
        <w:spacing w:after="0" w:line="259" w:lineRule="auto"/>
        <w:rPr>
          <w:sz w:val="20"/>
          <w:szCs w:val="20"/>
          <w:color w:val="auto"/>
        </w:rPr>
      </w:pPr>
      <w:r>
        <w:rPr>
          <w:rFonts w:ascii="Arial" w:cs="Arial" w:eastAsia="Arial" w:hAnsi="Arial"/>
          <w:sz w:val="18"/>
          <w:szCs w:val="18"/>
          <w:b w:val="1"/>
          <w:bCs w:val="1"/>
          <w:color w:val="auto"/>
        </w:rPr>
        <w:t>CERTIFICATION UNDER SECTION 906 OF THE SARBANES-OXLEY ACT OF 2002 (UNITED STATES CODE, TITLE 18, CHAPTER 63, SECTION 1350) ACCOMPANYING ANNUAL REPORT ON FORM 10-K OF ALTISOURCE PORTFOLIO SOLUTIONS S.A. FOR THE YEAR ENDED DECEMBER 31, 2020</w:t>
      </w:r>
    </w:p>
    <w:p>
      <w:pPr>
        <w:spacing w:after="0" w:line="200" w:lineRule="exact"/>
        <w:rPr>
          <w:sz w:val="20"/>
          <w:szCs w:val="20"/>
          <w:color w:val="auto"/>
        </w:rPr>
      </w:pPr>
    </w:p>
    <w:p>
      <w:pPr>
        <w:spacing w:after="0" w:line="20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Annual Report on Form 10-K of Altisource Portfolio Solutions S.A. (the “Company”) for the year ended December 31, 2020, as filed with the Securities and Exchange Commission on the date hereof (the “Report”), William B. Shepro, as Chairman and Chief Executive Officer of the Company, and Michelle D. Esterman, as Chief Financial Officer of the Company, each hereby certifies, pursuant to 18 U.S.C. Section 1350, that:</w:t>
      </w:r>
    </w:p>
    <w:p>
      <w:pPr>
        <w:spacing w:after="0" w:line="165" w:lineRule="exact"/>
        <w:rPr>
          <w:sz w:val="20"/>
          <w:szCs w:val="20"/>
          <w:color w:val="auto"/>
        </w:rPr>
      </w:pPr>
    </w:p>
    <w:p>
      <w:pPr>
        <w:ind w:left="720" w:hanging="388"/>
        <w:spacing w:after="0"/>
        <w:tabs>
          <w:tab w:leader="none" w:pos="7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and</w:t>
      </w:r>
    </w:p>
    <w:p>
      <w:pPr>
        <w:spacing w:after="0" w:line="236" w:lineRule="exact"/>
        <w:rPr>
          <w:rFonts w:ascii="Arial" w:cs="Arial" w:eastAsia="Arial" w:hAnsi="Arial"/>
          <w:sz w:val="17"/>
          <w:szCs w:val="17"/>
          <w:color w:val="auto"/>
        </w:rPr>
      </w:pPr>
    </w:p>
    <w:p>
      <w:pPr>
        <w:ind w:left="720" w:hanging="388"/>
        <w:spacing w:after="0"/>
        <w:tabs>
          <w:tab w:leader="none" w:pos="7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William B. Shepro</w:t>
            </w:r>
          </w:p>
        </w:tc>
        <w:tc>
          <w:tcPr>
            <w:tcW w:w="1000" w:type="dxa"/>
            <w:vAlign w:val="bottom"/>
          </w:tcPr>
          <w:p>
            <w:pPr>
              <w:ind w:left="48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Michelle D. Esterman</w:t>
            </w:r>
          </w:p>
        </w:tc>
      </w:tr>
      <w:tr>
        <w:trPr>
          <w:trHeight w:val="222"/>
        </w:trPr>
        <w:tc>
          <w:tcPr>
            <w:tcW w:w="52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Arial" w:cs="Arial" w:eastAsia="Arial" w:hAnsi="Arial"/>
                <w:sz w:val="18"/>
                <w:szCs w:val="18"/>
                <w:color w:val="auto"/>
              </w:rPr>
              <w:t>William B. Shepro</w:t>
            </w:r>
          </w:p>
        </w:tc>
        <w:tc>
          <w:tcPr>
            <w:tcW w:w="100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Michelle D. Esterman</w:t>
            </w:r>
          </w:p>
        </w:tc>
      </w:tr>
      <w:tr>
        <w:trPr>
          <w:trHeight w:val="229"/>
        </w:trPr>
        <w:tc>
          <w:tcPr>
            <w:tcW w:w="52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Arial" w:cs="Arial" w:eastAsia="Arial" w:hAnsi="Arial"/>
                <w:sz w:val="18"/>
                <w:szCs w:val="18"/>
                <w:color w:val="auto"/>
              </w:rPr>
              <w:t>Chairman and Chief Executive Officer</w:t>
            </w:r>
          </w:p>
        </w:tc>
        <w:tc>
          <w:tcPr>
            <w:tcW w:w="100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176"/>
        </w:trPr>
        <w:tc>
          <w:tcPr>
            <w:tcW w:w="520" w:type="dxa"/>
            <w:vAlign w:val="bottom"/>
          </w:tcPr>
          <w:p>
            <w:pPr>
              <w:spacing w:after="0"/>
              <w:rPr>
                <w:sz w:val="15"/>
                <w:szCs w:val="15"/>
                <w:color w:val="auto"/>
              </w:rPr>
            </w:pPr>
          </w:p>
        </w:tc>
        <w:tc>
          <w:tcPr>
            <w:tcW w:w="4720" w:type="dxa"/>
            <w:vAlign w:val="bottom"/>
          </w:tcPr>
          <w:p>
            <w:pPr>
              <w:ind w:left="20"/>
              <w:spacing w:after="0" w:line="176" w:lineRule="exact"/>
              <w:rPr>
                <w:sz w:val="20"/>
                <w:szCs w:val="20"/>
                <w:color w:val="auto"/>
              </w:rPr>
            </w:pPr>
            <w:r>
              <w:rPr>
                <w:rFonts w:ascii="Arial" w:cs="Arial" w:eastAsia="Arial" w:hAnsi="Arial"/>
                <w:sz w:val="18"/>
                <w:szCs w:val="18"/>
                <w:color w:val="auto"/>
              </w:rPr>
              <w:t>(Principal Executive Officer)</w:t>
            </w:r>
          </w:p>
        </w:tc>
        <w:tc>
          <w:tcPr>
            <w:tcW w:w="1000" w:type="dxa"/>
            <w:vAlign w:val="bottom"/>
          </w:tcPr>
          <w:p>
            <w:pPr>
              <w:spacing w:after="0"/>
              <w:rPr>
                <w:sz w:val="15"/>
                <w:szCs w:val="15"/>
                <w:color w:val="auto"/>
              </w:rPr>
            </w:pPr>
          </w:p>
        </w:tc>
        <w:tc>
          <w:tcPr>
            <w:tcW w:w="4940" w:type="dxa"/>
            <w:vAlign w:val="bottom"/>
          </w:tcPr>
          <w:p>
            <w:pPr>
              <w:ind w:left="20"/>
              <w:spacing w:after="0" w:line="176" w:lineRule="exact"/>
              <w:rPr>
                <w:sz w:val="20"/>
                <w:szCs w:val="20"/>
                <w:color w:val="auto"/>
              </w:rPr>
            </w:pPr>
            <w:r>
              <w:rPr>
                <w:rFonts w:ascii="Arial" w:cs="Arial" w:eastAsia="Arial" w:hAnsi="Arial"/>
                <w:sz w:val="18"/>
                <w:szCs w:val="18"/>
                <w:color w:val="auto"/>
              </w:rPr>
              <w:t>(Principal Financial Officer and</w:t>
            </w:r>
          </w:p>
        </w:tc>
      </w:tr>
      <w:tr>
        <w:trPr>
          <w:trHeight w:val="229"/>
        </w:trPr>
        <w:tc>
          <w:tcPr>
            <w:tcW w:w="5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r>
        <w:trPr>
          <w:trHeight w:val="230"/>
        </w:trPr>
        <w:tc>
          <w:tcPr>
            <w:tcW w:w="520" w:type="dxa"/>
            <w:vAlign w:val="bottom"/>
          </w:tcPr>
          <w:p>
            <w:pPr>
              <w:spacing w:after="0"/>
              <w:rPr>
                <w:sz w:val="20"/>
                <w:szCs w:val="20"/>
                <w:color w:val="auto"/>
              </w:rPr>
            </w:pPr>
          </w:p>
        </w:tc>
        <w:tc>
          <w:tcPr>
            <w:tcW w:w="4720" w:type="dxa"/>
            <w:vAlign w:val="bottom"/>
          </w:tcPr>
          <w:p>
            <w:pPr>
              <w:ind w:left="20"/>
              <w:spacing w:after="0"/>
              <w:rPr>
                <w:sz w:val="20"/>
                <w:szCs w:val="20"/>
                <w:color w:val="auto"/>
              </w:rPr>
            </w:pPr>
            <w:r>
              <w:rPr>
                <w:rFonts w:ascii="Arial" w:cs="Arial" w:eastAsia="Arial" w:hAnsi="Arial"/>
                <w:sz w:val="18"/>
                <w:szCs w:val="18"/>
                <w:color w:val="auto"/>
              </w:rPr>
              <w:t>March 11, 2021</w:t>
            </w:r>
          </w:p>
        </w:tc>
        <w:tc>
          <w:tcPr>
            <w:tcW w:w="100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March 11, 2021</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lvl w:ilvl="1">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lvl w:ilvl="1">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1)"/>
      <w:numFmt w:val="decimal"/>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1)"/>
      <w:numFmt w:val="decimal"/>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1)"/>
      <w:numFmt w:val="decimal"/>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1)"/>
      <w:numFmt w:val="decimal"/>
      <w:start w:val="1"/>
    </w:lvl>
  </w:abstractNum>
  <w:abstractNum w:abstractNumId="41">
    <w:nsid w:val="684A481A"/>
    <w:multiLevelType w:val="hybridMultilevel"/>
    <w:lvl w:ilvl="0">
      <w:lvlJc w:val="left"/>
      <w:lvlText w:val="(%1)"/>
      <w:numFmt w:val="lowerRoman"/>
      <w:start w:val="2"/>
    </w:lvl>
  </w:abstractNum>
  <w:abstractNum w:abstractNumId="42">
    <w:nsid w:val="579478FE"/>
    <w:multiLevelType w:val="hybridMultilevel"/>
    <w:lvl w:ilvl="0">
      <w:lvlJc w:val="left"/>
      <w:lvlText w:val="(%1)"/>
      <w:numFmt w:val="decimal"/>
      <w:start w:val="1"/>
    </w:lvl>
  </w:abstractNum>
  <w:abstractNum w:abstractNumId="43">
    <w:nsid w:val="749ABB43"/>
    <w:multiLevelType w:val="hybridMultilevel"/>
    <w:lvl w:ilvl="0">
      <w:lvlJc w:val="left"/>
      <w:lvlText w:val="•"/>
      <w:numFmt w:val="bullet"/>
      <w:start w:val="1"/>
    </w:lvl>
  </w:abstractNum>
  <w:abstractNum w:abstractNumId="44">
    <w:nsid w:val="3DC240FB"/>
    <w:multiLevelType w:val="hybridMultilevel"/>
    <w:lvl w:ilvl="0">
      <w:lvlJc w:val="left"/>
      <w:lvlText w:val="•"/>
      <w:numFmt w:val="bullet"/>
      <w:start w:val="1"/>
    </w:lvl>
  </w:abstractNum>
  <w:abstractNum w:abstractNumId="45">
    <w:nsid w:val="1BA026FA"/>
    <w:multiLevelType w:val="hybridMultilevel"/>
    <w:lvl w:ilvl="0">
      <w:lvlJc w:val="left"/>
      <w:lvlText w:val="(%1)"/>
      <w:numFmt w:val="decimal"/>
      <w:start w:val="1"/>
    </w:lvl>
  </w:abstractNum>
  <w:abstractNum w:abstractNumId="46">
    <w:nsid w:val="79A1DEAA"/>
    <w:multiLevelType w:val="hybridMultilevel"/>
    <w:lvl w:ilvl="0">
      <w:lvlJc w:val="left"/>
      <w:lvlText w:val="(%1)"/>
      <w:numFmt w:val="decimal"/>
      <w:start w:val="5"/>
    </w:lvl>
  </w:abstractNum>
  <w:abstractNum w:abstractNumId="47">
    <w:nsid w:val="75C6C33A"/>
    <w:multiLevelType w:val="hybridMultilevel"/>
    <w:lvl w:ilvl="0">
      <w:lvlJc w:val="left"/>
      <w:lvlText w:val="(%1)"/>
      <w:numFmt w:val="lowerLetter"/>
      <w:start w:val="1"/>
    </w:lvl>
  </w:abstractNum>
  <w:abstractNum w:abstractNumId="48">
    <w:nsid w:val="12E685FB"/>
    <w:multiLevelType w:val="hybridMultilevel"/>
    <w:lvl w:ilvl="0">
      <w:lvlJc w:val="left"/>
      <w:lvlText w:val="%1."/>
      <w:numFmt w:val="decimal"/>
      <w:start w:val="1"/>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
      <w:numFmt w:val="bullet"/>
      <w:start w:val="1"/>
    </w:lvl>
  </w:abstractNum>
  <w:abstractNum w:abstractNumId="51">
    <w:nsid w:val="374A3FE6"/>
    <w:multiLevelType w:val="hybridMultilevel"/>
    <w:lvl w:ilvl="0">
      <w:lvlJc w:val="left"/>
      <w:lvlText w:val="†"/>
      <w:numFmt w:val="bullet"/>
      <w:start w:val="1"/>
    </w:lvl>
  </w:abstractNum>
  <w:abstractNum w:abstractNumId="52">
    <w:nsid w:val="4F4EF005"/>
    <w:multiLevelType w:val="hybridMultilevel"/>
    <w:lvl w:ilvl="0">
      <w:lvlJc w:val="left"/>
      <w:lvlText w:val="(%1)"/>
      <w:numFmt w:val="decimal"/>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lvl w:ilvl="1">
      <w:lvlJc w:val="left"/>
      <w:lvlText w:val="(%2)"/>
      <w:numFmt w:val="lowerLetter"/>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52" Type="http://schemas.openxmlformats.org/officeDocument/2006/relationships/image" Target="media/image131.png"/><Relationship Id="rId153" Type="http://schemas.openxmlformats.org/officeDocument/2006/relationships/image" Target="media/image132.png"/><Relationship Id="rId172" Type="http://schemas.openxmlformats.org/officeDocument/2006/relationships/image" Target="media/image133.png"/><Relationship Id="rId173" Type="http://schemas.openxmlformats.org/officeDocument/2006/relationships/image" Target="media/image134.png"/><Relationship Id="rId192" Type="http://schemas.openxmlformats.org/officeDocument/2006/relationships/image" Target="media/image135.png"/><Relationship Id="rId193" Type="http://schemas.openxmlformats.org/officeDocument/2006/relationships/image" Target="media/image136.png"/><Relationship Id="rId214" Type="http://schemas.openxmlformats.org/officeDocument/2006/relationships/image" Target="media/image137.png"/><Relationship Id="rId215" Type="http://schemas.openxmlformats.org/officeDocument/2006/relationships/image" Target="media/image138.png"/><Relationship Id="rId234" Type="http://schemas.openxmlformats.org/officeDocument/2006/relationships/image" Target="media/image139.png"/><Relationship Id="rId235" Type="http://schemas.openxmlformats.org/officeDocument/2006/relationships/image" Target="media/image140.png"/><Relationship Id="rId236" Type="http://schemas.openxmlformats.org/officeDocument/2006/relationships/image" Target="media/image141.png"/><Relationship Id="rId237" Type="http://schemas.openxmlformats.org/officeDocument/2006/relationships/image" Target="media/image142.png"/><Relationship Id="rId238" Type="http://schemas.openxmlformats.org/officeDocument/2006/relationships/image" Target="media/image143.png"/><Relationship Id="rId239" Type="http://schemas.openxmlformats.org/officeDocument/2006/relationships/image" Target="media/image144.png"/><Relationship Id="rId240" Type="http://schemas.openxmlformats.org/officeDocument/2006/relationships/image" Target="media/image145.png"/><Relationship Id="rId138" Type="http://schemas.openxmlformats.org/officeDocument/2006/relationships/hyperlink" Target="http://www.sec.gov/Archives/edgar/data/1462418/000095012309018800/g19081a1exv2w1.htm" TargetMode="External"/><Relationship Id="rId139" Type="http://schemas.openxmlformats.org/officeDocument/2006/relationships/hyperlink" Target="http://www.sec.gov/Archives/edgar/data/1462418/000110465912086792/a12-30299_1ex2d1.htm" TargetMode="External"/><Relationship Id="rId140" Type="http://schemas.openxmlformats.org/officeDocument/2006/relationships/hyperlink" Target="http://www.sec.gov/Archives/edgar/data/1462418/000110465912086792/a12-30299_1ex2d2.htm" TargetMode="External"/><Relationship Id="rId141" Type="http://schemas.openxmlformats.org/officeDocument/2006/relationships/hyperlink" Target="http://www.sec.gov/Archives/edgar/data/1462418/000110465913027096/a13-9447_1ex2d1.htm" TargetMode="External"/><Relationship Id="rId142" Type="http://schemas.openxmlformats.org/officeDocument/2006/relationships/hyperlink" Target="http://www.sec.gov/Archives/edgar/data/1462418/000110465913065226/a13-18970_1ex2d1.htm" TargetMode="External"/><Relationship Id="rId143" Type="http://schemas.openxmlformats.org/officeDocument/2006/relationships/hyperlink" Target="http://www.sec.gov/Archives/edgar/data/1462418/000146241817000026/asps-6302017ex31.htm" TargetMode="External"/><Relationship Id="rId144" Type="http://schemas.openxmlformats.org/officeDocument/2006/relationships/hyperlink" Target="https://www.sec.gov/Archives/edgar/data/1462418/000146241820000016/asps-12312019xex41.htm" TargetMode="External"/><Relationship Id="rId145" Type="http://schemas.openxmlformats.org/officeDocument/2006/relationships/hyperlink" Target="http://www.sec.gov/Archives/edgar/data/1462418/000095012309034795/g20198exv10w1.htm" TargetMode="External"/><Relationship Id="rId146" Type="http://schemas.openxmlformats.org/officeDocument/2006/relationships/hyperlink" Target="http://www.sec.gov/Archives/edgar/data/1462418/000095012309034795/g20198exv10w2.htm" TargetMode="External"/><Relationship Id="rId147" Type="http://schemas.openxmlformats.org/officeDocument/2006/relationships/hyperlink" Target="http://www.sec.gov/Archives/edgar/data/1462418/000095012309034795/g20198exv10w3.htm" TargetMode="External"/><Relationship Id="rId148" Type="http://schemas.openxmlformats.org/officeDocument/2006/relationships/hyperlink" Target="http://www.sec.gov/Archives/edgar/data/1462418/000095012309034795/g20198exv10w4.htm" TargetMode="External"/><Relationship Id="rId149" Type="http://schemas.openxmlformats.org/officeDocument/2006/relationships/hyperlink" Target="http://www.sec.gov/Archives/edgar/data/1462418/000095012309034795/g20198exv10w5.htm" TargetMode="External"/><Relationship Id="rId150" Type="http://schemas.openxmlformats.org/officeDocument/2006/relationships/hyperlink" Target="http://www.sec.gov/Archives/edgar/data/1462418/000095012309034795/g20198exv10w6.htm" TargetMode="External"/><Relationship Id="rId151" Type="http://schemas.openxmlformats.org/officeDocument/2006/relationships/hyperlink" Target="http://www.sec.gov/Archives/edgar/data/1462418/000095012309034795/g20198exv10w7.htm" TargetMode="External"/><Relationship Id="rId154" Type="http://schemas.openxmlformats.org/officeDocument/2006/relationships/hyperlink" Target="http://www.sec.gov/Archives/edgar/data/1462418/000095012309034795/g20198exv10w8.htm" TargetMode="External"/><Relationship Id="rId155" Type="http://schemas.openxmlformats.org/officeDocument/2006/relationships/hyperlink" Target="http://www.sec.gov/Archives/edgar/data/1462418/000095012309018800/g19081a1exv10w9.htm" TargetMode="External"/><Relationship Id="rId156" Type="http://schemas.openxmlformats.org/officeDocument/2006/relationships/hyperlink" Target="http://www.sec.gov/Archives/edgar/data/1462418/000095012309018800/g19081a1exv10w11.htm" TargetMode="External"/><Relationship Id="rId157" Type="http://schemas.openxmlformats.org/officeDocument/2006/relationships/hyperlink" Target="http://www.sec.gov/Archives/edgar/data/1462418/000095012310025337/g22255exv10w12.htm" TargetMode="External"/><Relationship Id="rId158" Type="http://schemas.openxmlformats.org/officeDocument/2006/relationships/hyperlink" Target="http://www.sec.gov/Archives/edgar/data/1462418/000095012310025337/g22255exv10w13.htm" TargetMode="External"/><Relationship Id="rId159" Type="http://schemas.openxmlformats.org/officeDocument/2006/relationships/hyperlink" Target="http://www.sec.gov/Archives/edgar/data/1462418/000095012311015633/c12905exv10w14.htm" TargetMode="External"/><Relationship Id="rId160" Type="http://schemas.openxmlformats.org/officeDocument/2006/relationships/hyperlink" Target="http://www.sec.gov/Archives/edgar/data/1462418/000095012311077958/c21536exv10w1.htm" TargetMode="External"/><Relationship Id="rId161" Type="http://schemas.openxmlformats.org/officeDocument/2006/relationships/hyperlink" Target="http://www.sec.gov/Archives/edgar/data/1462418/000119312512119255/d316454dex101.htm" TargetMode="External"/><Relationship Id="rId162" Type="http://schemas.openxmlformats.org/officeDocument/2006/relationships/hyperlink" Target="http://www.sec.gov/Archives/edgar/data/1462418/000110465912058385/a12-18388_1ex10d1.htm" TargetMode="External"/><Relationship Id="rId163" Type="http://schemas.openxmlformats.org/officeDocument/2006/relationships/hyperlink" Target="http://www.sec.gov/Archives/edgar/data/1462418/000110465912058892/a12-18661_1ex10d1.htm" TargetMode="External"/><Relationship Id="rId164" Type="http://schemas.openxmlformats.org/officeDocument/2006/relationships/hyperlink" Target="http://www.sec.gov/Archives/edgar/data/1462418/000110465912058892/a12-18661_1ex10d2.htm" TargetMode="External"/><Relationship Id="rId165" Type="http://schemas.openxmlformats.org/officeDocument/2006/relationships/hyperlink" Target="http://www.sec.gov/Archives/edgar/data/1462418/000110465912067822/a12-23132_1ex10d1.htm" TargetMode="External"/><Relationship Id="rId166" Type="http://schemas.openxmlformats.org/officeDocument/2006/relationships/hyperlink" Target="http://www.sec.gov/Archives/edgar/data/1462418/000110465912067822/a12-23132_1ex10d2.htm" TargetMode="External"/><Relationship Id="rId167" Type="http://schemas.openxmlformats.org/officeDocument/2006/relationships/hyperlink" Target="http://www.sec.gov/Archives/edgar/data/1462418/000110465912067822/a12-23132_1ex10d3.htm" TargetMode="External"/><Relationship Id="rId168" Type="http://schemas.openxmlformats.org/officeDocument/2006/relationships/hyperlink" Target="http://www.sec.gov/Archives/edgar/data/1462418/000110465912067822/a12-23132_1ex10d4.htm" TargetMode="External"/><Relationship Id="rId169" Type="http://schemas.openxmlformats.org/officeDocument/2006/relationships/hyperlink" Target="http://www.sec.gov/Archives/edgar/data/1462418/000110465912067822/a12-23132_1ex10d5.htm" TargetMode="External"/><Relationship Id="rId170" Type="http://schemas.openxmlformats.org/officeDocument/2006/relationships/hyperlink" Target="http://www.sec.gov/Archives/edgar/data/1462418/000110465912067822/a12-23132_1ex10d6.htm" TargetMode="External"/><Relationship Id="rId171" Type="http://schemas.openxmlformats.org/officeDocument/2006/relationships/hyperlink" Target="http://www.sec.gov/Archives/edgar/data/1462418/000110465912067822/a12-23132_1ex10d7.htm" TargetMode="External"/><Relationship Id="rId174" Type="http://schemas.openxmlformats.org/officeDocument/2006/relationships/hyperlink" Target="http://www.sec.gov/Archives/edgar/data/1462418/000110465912067822/a12-23132_1ex10d8.htm" TargetMode="External"/><Relationship Id="rId175" Type="http://schemas.openxmlformats.org/officeDocument/2006/relationships/hyperlink" Target="http://www.sec.gov/Archives/edgar/data/1462418/000110465912067822/a12-23132_1ex10d9.htm" TargetMode="External"/><Relationship Id="rId176" Type="http://schemas.openxmlformats.org/officeDocument/2006/relationships/hyperlink" Target="http://www.sec.gov/Archives/edgar/data/1462418/000110465912086792/a12-30299_1ex10d1.htm" TargetMode="External"/><Relationship Id="rId177" Type="http://schemas.openxmlformats.org/officeDocument/2006/relationships/hyperlink" Target="http://www.sec.gov/Archives/edgar/data/1462418/000110465912086792/a12-30299_1ex10d2.htm" TargetMode="External"/><Relationship Id="rId178" Type="http://schemas.openxmlformats.org/officeDocument/2006/relationships/hyperlink" Target="http://www.sec.gov/Archives/edgar/data/1462418/000110465912086792/a12-30299_1ex10d3.htm" TargetMode="External"/><Relationship Id="rId179" Type="http://schemas.openxmlformats.org/officeDocument/2006/relationships/hyperlink" Target="http://www.sec.gov/Archives/edgar/data/1462418/000110465912086792/a12-30299_1ex10d4.htm" TargetMode="External"/><Relationship Id="rId180" Type="http://schemas.openxmlformats.org/officeDocument/2006/relationships/hyperlink" Target="http://www.sec.gov/Archives/edgar/data/1462418/000110465912086792/a12-30299_1ex10d5.htm" TargetMode="External"/><Relationship Id="rId181" Type="http://schemas.openxmlformats.org/officeDocument/2006/relationships/hyperlink" Target="http://www.sec.gov/Archives/edgar/data/1462418/000110465912086792/a12-30299_1ex10d6.htm" TargetMode="External"/><Relationship Id="rId182" Type="http://schemas.openxmlformats.org/officeDocument/2006/relationships/hyperlink" Target="http://www.sec.gov/Archives/edgar/data/1462418/000110465912086792/a12-30299_1ex10d7.htm" TargetMode="External"/><Relationship Id="rId183" Type="http://schemas.openxmlformats.org/officeDocument/2006/relationships/hyperlink" Target="http://www.sec.gov/Archives/edgar/data/1462418/000110465912086792/a12-30299_1ex10d8.htm" TargetMode="External"/><Relationship Id="rId184" Type="http://schemas.openxmlformats.org/officeDocument/2006/relationships/hyperlink" Target="http://www.sec.gov/Archives/edgar/data/1462418/000110465913027096/a13-9447_1ex10d1.htm" TargetMode="External"/><Relationship Id="rId185" Type="http://schemas.openxmlformats.org/officeDocument/2006/relationships/hyperlink" Target="http://www.sec.gov/Archives/edgar/data/1462418/000110465913027096/a13-9447_1ex10d2.htm" TargetMode="External"/><Relationship Id="rId186" Type="http://schemas.openxmlformats.org/officeDocument/2006/relationships/hyperlink" Target="http://www.sec.gov/Archives/edgar/data/1462418/000110465913027096/a13-9447_1ex10d3.htm" TargetMode="External"/><Relationship Id="rId187" Type="http://schemas.openxmlformats.org/officeDocument/2006/relationships/hyperlink" Target="http://www.sec.gov/Archives/edgar/data/1462418/000110465913027096/a13-9447_1ex10d4.htm" TargetMode="External"/><Relationship Id="rId188" Type="http://schemas.openxmlformats.org/officeDocument/2006/relationships/hyperlink" Target="http://www.sec.gov/Archives/edgar/data/1462418/000110465913027096/a13-9447_1ex10d5.htm" TargetMode="External"/><Relationship Id="rId189" Type="http://schemas.openxmlformats.org/officeDocument/2006/relationships/hyperlink" Target="http://www.sec.gov/Archives/edgar/data/1462418/000110465913027096/a13-9447_1ex10d6.htm" TargetMode="External"/><Relationship Id="rId190" Type="http://schemas.openxmlformats.org/officeDocument/2006/relationships/hyperlink" Target="http://www.sec.gov/Archives/edgar/data/1462418/000110465913027096/a13-9447_1ex10d7.htm" TargetMode="External"/><Relationship Id="rId191" Type="http://schemas.openxmlformats.org/officeDocument/2006/relationships/hyperlink" Target="http://www.sec.gov/Archives/edgar/data/1462418/000110465913027096/a13-9447_1ex10d8.htm" TargetMode="External"/><Relationship Id="rId194" Type="http://schemas.openxmlformats.org/officeDocument/2006/relationships/hyperlink" Target="http://www.sec.gov/Archives/edgar/data/1462418/000110465913030648/a13-10270_1ex10d1.htm" TargetMode="External"/><Relationship Id="rId195" Type="http://schemas.openxmlformats.org/officeDocument/2006/relationships/hyperlink" Target="http://www.sec.gov/Archives/edgar/data/1462418/000110465915029038/a15-9505_1ex10d1.htm" TargetMode="External"/><Relationship Id="rId196" Type="http://schemas.openxmlformats.org/officeDocument/2006/relationships/hyperlink" Target="http://www.sec.gov/Archives/edgar/data/1462418/000110465915029038/a15-9505_1ex10d2.htm" TargetMode="External"/><Relationship Id="rId197" Type="http://schemas.openxmlformats.org/officeDocument/2006/relationships/hyperlink" Target="http://www.sec.gov/Archives/edgar/data/1462418/000162828015005394/ex103formofnon-qualifiedst.htm" TargetMode="External"/><Relationship Id="rId198" Type="http://schemas.openxmlformats.org/officeDocument/2006/relationships/hyperlink" Target="http://www.sec.gov/Archives/edgar/data/1462418/000162828016012704/employmentagreementgritt.htm" TargetMode="External"/><Relationship Id="rId199" Type="http://schemas.openxmlformats.org/officeDocument/2006/relationships/hyperlink" Target="http://www.sec.gov/Archives/edgar/data/1462418/000146241816000015/asps-9302016xex101.htm" TargetMode="External"/><Relationship Id="rId200" Type="http://schemas.openxmlformats.org/officeDocument/2006/relationships/hyperlink" Target="http://www.sec.gov/Archives/edgar/data/1462418/000146241816000007/ex101formofdirectorrestric.htm" TargetMode="External"/><Relationship Id="rId201" Type="http://schemas.openxmlformats.org/officeDocument/2006/relationships/hyperlink" Target="http://www.sec.gov/Archives/edgar/data/1462418/000146241816000009/exhibit101agreementwithalt.htm" TargetMode="External"/><Relationship Id="rId202" Type="http://schemas.openxmlformats.org/officeDocument/2006/relationships/hyperlink" Target="http://www.sec.gov/Archives/edgar/data/1462418/000146241817000010/exhibit10-1.htm" TargetMode="External"/><Relationship Id="rId203" Type="http://schemas.openxmlformats.org/officeDocument/2006/relationships/hyperlink" Target="http://www.sec.gov/Archives/edgar/data/1462418/000146241817000010/exhibit10-2.htm" TargetMode="External"/><Relationship Id="rId204" Type="http://schemas.openxmlformats.org/officeDocument/2006/relationships/hyperlink" Target="http://www.sec.gov/Archives/edgar/data/1462418/000146241817000010/exhibit10-3.htm" TargetMode="External"/><Relationship Id="rId205" Type="http://schemas.openxmlformats.org/officeDocument/2006/relationships/hyperlink" Target="http://www.sec.gov/Archives/edgar/data/1462418/000146241817000010/exhibit10-4.htm" TargetMode="External"/><Relationship Id="rId206" Type="http://schemas.openxmlformats.org/officeDocument/2006/relationships/hyperlink" Target="http://www.sec.gov/Archives/edgar/data/1462418/000146241817000039/asps-9302017ex108.htm" TargetMode="External"/><Relationship Id="rId207" Type="http://schemas.openxmlformats.org/officeDocument/2006/relationships/hyperlink" Target="http://www.sec.gov/Archives/edgar/data/1462418/000146241817000039/asps-9302017ex109.htm" TargetMode="External"/><Relationship Id="rId208" Type="http://schemas.openxmlformats.org/officeDocument/2006/relationships/hyperlink" Target="http://www.sec.gov/Archives/edgar/data/1462418/000146241818000011/asps-12312017ex1071.htm" TargetMode="External"/><Relationship Id="rId209" Type="http://schemas.openxmlformats.org/officeDocument/2006/relationships/hyperlink" Target="http://www.sec.gov/Archives/edgar/data/1462418/000146241818000011/asps-12312017ex1072.htm" TargetMode="External"/><Relationship Id="rId210" Type="http://schemas.openxmlformats.org/officeDocument/2006/relationships/hyperlink" Target="http://www.sec.gov/Archives/edgar/data/1462418/000146241818000021/asps-3312018ex101.htm" TargetMode="External"/><Relationship Id="rId211" Type="http://schemas.openxmlformats.org/officeDocument/2006/relationships/hyperlink" Target="http://www.sec.gov/Archives/edgar/data/1462418/000146241818000021/asps-3312018ex102.htm" TargetMode="External"/><Relationship Id="rId212" Type="http://schemas.openxmlformats.org/officeDocument/2006/relationships/hyperlink" Target="http://www.sec.gov/Archives/edgar/data/1462418/000146241818000021/asps-3312018ex103.htm" TargetMode="External"/><Relationship Id="rId213" Type="http://schemas.openxmlformats.org/officeDocument/2006/relationships/hyperlink" Target="http://www.sec.gov/Archives/edgar/data/1462418/000146241818000016/exhibit101_432018.htm" TargetMode="External"/><Relationship Id="rId216" Type="http://schemas.openxmlformats.org/officeDocument/2006/relationships/hyperlink" Target="http://www.sec.gov/Archives/edgar/data/1462418/000146241818000033/asps-6302018ex101.htm" TargetMode="External"/><Relationship Id="rId217" Type="http://schemas.openxmlformats.org/officeDocument/2006/relationships/hyperlink" Target="http://www.sec.gov/Archives/edgar/data/1462418/000146241818000033/asps-6302018ex103.htm" TargetMode="External"/><Relationship Id="rId218" Type="http://schemas.openxmlformats.org/officeDocument/2006/relationships/hyperlink" Target="http://www.sec.gov/Archives/edgar/data/1462418/000146241818000036/ex101resiomnibusamendment.htm" TargetMode="External"/><Relationship Id="rId219" Type="http://schemas.openxmlformats.org/officeDocument/2006/relationships/hyperlink" Target="http://www.sec.gov/Archives/edgar/data/1462418/000146241818000055/asps-9302018ex104.htm" TargetMode="External"/><Relationship Id="rId220" Type="http://schemas.openxmlformats.org/officeDocument/2006/relationships/hyperlink" Target="http://www.sec.gov/Archives/edgar/data/1462418/000146241818000055/asps-9302018ex105.htm" TargetMode="External"/><Relationship Id="rId221" Type="http://schemas.openxmlformats.org/officeDocument/2006/relationships/hyperlink" Target="http://www.sec.gov/Archives/edgar/data/1462418/000146241819000009/asps-12312018xex1078.htm" TargetMode="External"/><Relationship Id="rId222" Type="http://schemas.openxmlformats.org/officeDocument/2006/relationships/hyperlink" Target="http://www.sec.gov/Archives/edgar/data/1462418/000146241819000009/asps-12312018xex1079.htm" TargetMode="External"/><Relationship Id="rId223" Type="http://schemas.openxmlformats.org/officeDocument/2006/relationships/hyperlink" Target="http://www.sec.gov/Archives/edgar/data/1462418/000146241819000009/aspa-12312018xex1080.htm" TargetMode="External"/><Relationship Id="rId224" Type="http://schemas.openxmlformats.org/officeDocument/2006/relationships/hyperlink" Target="http://www.sec.gov/Archives/edgar/data/1462418/000146241819000009/aspa-12312018xex1081.htm" TargetMode="External"/><Relationship Id="rId225" Type="http://schemas.openxmlformats.org/officeDocument/2006/relationships/hyperlink" Target="http://www.sec.gov/Archives/edgar/data/1462418/000146241819000009/asps-12312018xex1082.htm" TargetMode="External"/><Relationship Id="rId226" Type="http://schemas.openxmlformats.org/officeDocument/2006/relationships/hyperlink" Target="http://www.sec.gov/Archives/edgar/data/1462418/000146241819000024/asps-03312019xex101.htm" TargetMode="External"/><Relationship Id="rId227" Type="http://schemas.openxmlformats.org/officeDocument/2006/relationships/hyperlink" Target="http://www.sec.gov/Archives/edgar/data/1462418/000146241819000024/asps-03312019xex102.htm" TargetMode="External"/><Relationship Id="rId228" Type="http://schemas.openxmlformats.org/officeDocument/2006/relationships/hyperlink" Target="http://www.sec.gov/Archives/edgar/data/1462418/000146241819000024/asps-03312019xex103.htm" TargetMode="External"/><Relationship Id="rId229" Type="http://schemas.openxmlformats.org/officeDocument/2006/relationships/hyperlink" Target="http://www.sec.gov/Archives/edgar/data/1462418/000146241819000024/asps-03312019xex104.htm" TargetMode="External"/><Relationship Id="rId230" Type="http://schemas.openxmlformats.org/officeDocument/2006/relationships/hyperlink" Target="http://www.sec.gov/Archives/edgar/data/1462418/000146241819000024/asps-03312019xex105.htm" TargetMode="External"/><Relationship Id="rId231" Type="http://schemas.openxmlformats.org/officeDocument/2006/relationships/hyperlink" Target="http://www.sec.gov/Archives/edgar/data/1462418/000146241819000024/asps-03312019xex106.htm" TargetMode="External"/><Relationship Id="rId232" Type="http://schemas.openxmlformats.org/officeDocument/2006/relationships/hyperlink" Target="http://www.sec.gov/Archives/edgar/data/1462418/000146241819000037/asps-06302019xex101.htm" TargetMode="External"/><Relationship Id="rId233" Type="http://schemas.openxmlformats.org/officeDocument/2006/relationships/hyperlink" Target="http://www.sec.gov/Archives/edgar/data/1462418/000146241819000054/asps-09302019x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2021-03-11T06:09:13Z</dcterms:created>
  <dcterms:modified xsi:type="dcterms:W3CDTF">2021-03-11T06:09:13Z</dcterms:modified>
</cp:coreProperties>
</file>