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660" w:right="3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ALTISOURCE PORTFOLIO SOLUTIONS S.A.</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233"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Luxembourg</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060"/>
          </w:cols>
          <w:pgMar w:left="240" w:top="233" w:right="279" w:bottom="0" w:gutter="0" w:footer="0" w:header="0"/>
          <w:type w:val="continuous"/>
        </w:sectPr>
      </w:pP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291, route d’Arlon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L-1150 Luxembourg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+352 2469 7900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380"/>
          </w:cols>
          <w:pgMar w:left="240" w:top="233" w:right="279" w:bottom="0" w:gutter="0" w:footer="0" w:header="0"/>
          <w:type w:val="continuous"/>
        </w:sectPr>
      </w:pPr>
    </w:p>
    <w:p>
      <w:pPr>
        <w:spacing w:after="0" w:line="170"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420"/>
          </w:cols>
          <w:pgMar w:left="240" w:top="233" w:right="27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00"/>
          </w:cols>
          <w:pgMar w:left="240" w:top="233" w:right="27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right="320" w:firstLine="324"/>
        <w:spacing w:after="0" w:line="277" w:lineRule="auto"/>
        <w:rPr>
          <w:sz w:val="20"/>
          <w:szCs w:val="20"/>
          <w:color w:val="auto"/>
        </w:rPr>
      </w:pPr>
      <w:r>
        <w:rPr>
          <w:rFonts w:ascii="Arial" w:cs="Arial" w:eastAsia="Arial" w:hAnsi="Arial"/>
          <w:sz w:val="18"/>
          <w:szCs w:val="18"/>
          <w:color w:val="auto"/>
        </w:rPr>
        <w:t>As of October 15, 2012, there were 23,363,324 outstanding shares of the registrant’s shares of beneficial interest (excluding 2,049,424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type w:val="continuous"/>
        </w:sectPr>
      </w:pPr>
    </w:p>
    <w:bookmarkStart w:id="1" w:name="page2"/>
    <w:bookmarkEnd w:id="1"/>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gridSpan w:val="21"/>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 — Financial Information</w:t>
              </w:r>
            </w:hyperlink>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080" w:type="dxa"/>
            <w:vAlign w:val="bottom"/>
            <w:gridSpan w:val="21"/>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5860" w:type="dxa"/>
            <w:vAlign w:val="bottom"/>
            <w:gridSpan w:val="14"/>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Interim Condensed Consolidated Financial Statements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9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Condensed Consolidated Balance Sheets</w:t>
              </w:r>
            </w:hyperlink>
          </w:p>
        </w:tc>
        <w:tc>
          <w:tcPr>
            <w:tcW w:w="800" w:type="dxa"/>
            <w:vAlign w:val="bottom"/>
            <w:tcBorders>
              <w:top w:val="single" w:sz="8" w:color="0000EE"/>
            </w:tcBorders>
            <w:gridSpan w:val="4"/>
          </w:tcPr>
          <w:p>
            <w:pPr>
              <w:spacing w:after="0"/>
              <w:rPr>
                <w:sz w:val="17"/>
                <w:szCs w:val="17"/>
                <w:color w:val="auto"/>
              </w:rPr>
            </w:pPr>
          </w:p>
        </w:tc>
        <w:tc>
          <w:tcPr>
            <w:tcW w:w="192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w:t>
              </w:r>
            </w:hyperlink>
          </w:p>
        </w:tc>
        <w:tc>
          <w:tcPr>
            <w:tcW w:w="200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60" w:type="dxa"/>
            <w:vAlign w:val="bottom"/>
            <w:gridSpan w:val="1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Equity</w:t>
              </w:r>
            </w:hyperlink>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Cash Flows</w:t>
              </w:r>
            </w:hyperlink>
          </w:p>
        </w:tc>
        <w:tc>
          <w:tcPr>
            <w:tcW w:w="194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Notes to Condensed Consolidated Financial Statements</w:t>
              </w:r>
            </w:hyperlink>
          </w:p>
        </w:tc>
        <w:tc>
          <w:tcPr>
            <w:tcW w:w="16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2"/>
          </w:tcPr>
          <w:p>
            <w:pPr>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Item 2</w:t>
              </w:r>
            </w:hyperlink>
          </w:p>
        </w:tc>
        <w:tc>
          <w:tcPr>
            <w:tcW w:w="520" w:type="dxa"/>
            <w:vAlign w:val="bottom"/>
            <w:gridSpan w:val="2"/>
          </w:tcPr>
          <w:p>
            <w:pPr>
              <w:spacing w:after="0"/>
              <w:rPr>
                <w:sz w:val="24"/>
                <w:szCs w:val="24"/>
                <w:color w:val="auto"/>
              </w:rPr>
            </w:pPr>
          </w:p>
        </w:tc>
        <w:tc>
          <w:tcPr>
            <w:tcW w:w="7740" w:type="dxa"/>
            <w:vAlign w:val="bottom"/>
            <w:gridSpan w:val="19"/>
          </w:tcPr>
          <w:p>
            <w:pPr>
              <w:ind w:left="20"/>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40" w:type="dxa"/>
            <w:vAlign w:val="bottom"/>
            <w:gridSpan w:val="7"/>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2"/>
          </w:tcPr>
          <w:p>
            <w:pPr>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Item 3</w:t>
              </w:r>
            </w:hyperlink>
          </w:p>
        </w:tc>
        <w:tc>
          <w:tcPr>
            <w:tcW w:w="520" w:type="dxa"/>
            <w:vAlign w:val="bottom"/>
            <w:gridSpan w:val="2"/>
          </w:tcPr>
          <w:p>
            <w:pPr>
              <w:spacing w:after="0"/>
              <w:rPr>
                <w:sz w:val="24"/>
                <w:szCs w:val="24"/>
                <w:color w:val="auto"/>
              </w:rPr>
            </w:pPr>
          </w:p>
        </w:tc>
        <w:tc>
          <w:tcPr>
            <w:tcW w:w="5860" w:type="dxa"/>
            <w:vAlign w:val="bottom"/>
            <w:gridSpan w:val="14"/>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40" w:type="dxa"/>
            <w:vAlign w:val="bottom"/>
            <w:gridSpan w:val="7"/>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2"/>
          </w:tcPr>
          <w:p>
            <w:pPr>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Item 4</w:t>
              </w:r>
            </w:hyperlink>
          </w:p>
        </w:tc>
        <w:tc>
          <w:tcPr>
            <w:tcW w:w="520" w:type="dxa"/>
            <w:vAlign w:val="bottom"/>
            <w:gridSpan w:val="2"/>
          </w:tcPr>
          <w:p>
            <w:pPr>
              <w:spacing w:after="0"/>
              <w:rPr>
                <w:sz w:val="24"/>
                <w:szCs w:val="24"/>
                <w:color w:val="auto"/>
              </w:rPr>
            </w:pPr>
          </w:p>
        </w:tc>
        <w:tc>
          <w:tcPr>
            <w:tcW w:w="5860" w:type="dxa"/>
            <w:vAlign w:val="bottom"/>
            <w:gridSpan w:val="14"/>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20" w:type="dxa"/>
            <w:vAlign w:val="bottom"/>
            <w:gridSpan w:val="7"/>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PART II — Other Information</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gridSpan w:val="2"/>
          </w:tcPr>
          <w:p>
            <w:pPr>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Item 1</w:t>
              </w:r>
            </w:hyperlink>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860" w:type="dxa"/>
            <w:vAlign w:val="bottom"/>
            <w:gridSpan w:val="14"/>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2"/>
          </w:tcPr>
          <w:p>
            <w:pPr>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Item 6</w:t>
              </w:r>
            </w:hyperlink>
          </w:p>
        </w:tc>
        <w:tc>
          <w:tcPr>
            <w:tcW w:w="520" w:type="dxa"/>
            <w:vAlign w:val="bottom"/>
            <w:gridSpan w:val="2"/>
          </w:tcPr>
          <w:p>
            <w:pPr>
              <w:spacing w:after="0"/>
              <w:rPr>
                <w:sz w:val="24"/>
                <w:szCs w:val="24"/>
                <w:color w:val="auto"/>
              </w:rPr>
            </w:pPr>
          </w:p>
        </w:tc>
        <w:tc>
          <w:tcPr>
            <w:tcW w:w="5860" w:type="dxa"/>
            <w:vAlign w:val="bottom"/>
            <w:gridSpan w:val="14"/>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128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400" w:type="dxa"/>
            <w:vAlign w:val="bottom"/>
            <w:tcBorders>
              <w:top w:val="single" w:sz="8" w:color="0000EE"/>
            </w:tcBorders>
          </w:tcPr>
          <w:p>
            <w:pPr>
              <w:spacing w:after="0"/>
              <w:rPr>
                <w:sz w:val="24"/>
                <w:szCs w:val="24"/>
                <w:color w:val="auto"/>
              </w:rPr>
            </w:pPr>
          </w:p>
        </w:tc>
        <w:tc>
          <w:tcPr>
            <w:tcW w:w="5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68"/>
        </w:trPr>
        <w:tc>
          <w:tcPr>
            <w:tcW w:w="20" w:type="dxa"/>
            <w:vAlign w:val="bottom"/>
            <w:tcBorders>
              <w:bottom w:val="single" w:sz="8" w:color="010101"/>
            </w:tcBorders>
          </w:tcPr>
          <w:p>
            <w:pPr>
              <w:spacing w:after="0"/>
              <w:rPr>
                <w:sz w:val="24"/>
                <w:szCs w:val="24"/>
                <w:color w:val="auto"/>
              </w:rPr>
            </w:pPr>
          </w:p>
        </w:tc>
        <w:tc>
          <w:tcPr>
            <w:tcW w:w="1080" w:type="dxa"/>
            <w:vAlign w:val="bottom"/>
            <w:tcBorders>
              <w:top w:val="single" w:sz="8" w:color="0000EE"/>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2220" w:type="dxa"/>
            <w:vAlign w:val="bottom"/>
            <w:gridSpan w:val="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gridSpan w:val="3"/>
            <w:shd w:val="clear" w:color="auto" w:fill="0000EE"/>
          </w:tcPr>
          <w:p>
            <w:pPr>
              <w:spacing w:after="0" w:line="20" w:lineRule="exact"/>
              <w:rPr>
                <w:sz w:val="1"/>
                <w:szCs w:val="1"/>
                <w:color w:val="auto"/>
              </w:rPr>
            </w:pPr>
          </w:p>
        </w:tc>
        <w:tc>
          <w:tcPr>
            <w:tcW w:w="6800" w:type="dxa"/>
            <w:vAlign w:val="bottom"/>
            <w:gridSpan w:val="1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80" w:type="dxa"/>
            <w:vAlign w:val="bottom"/>
            <w:gridSpan w:val="21"/>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1"/>
          </w:tcPr>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0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99"/>
              </w:rPr>
              <w:t>ALTISOURCE PORTFOLIO SOLUTIONS S.A.</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40" w:type="dxa"/>
            <w:vAlign w:val="bottom"/>
            <w:gridSpan w:val="10"/>
          </w:tcPr>
          <w:p>
            <w:pPr>
              <w:jc w:val="center"/>
              <w:ind w:left="4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80" w:type="dxa"/>
            <w:vAlign w:val="bottom"/>
            <w:gridSpan w:val="8"/>
          </w:tcPr>
          <w:p>
            <w:pPr>
              <w:jc w:val="center"/>
              <w:ind w:right="660"/>
              <w:spacing w:after="0"/>
              <w:rPr>
                <w:sz w:val="20"/>
                <w:szCs w:val="20"/>
                <w:color w:val="auto"/>
              </w:rPr>
            </w:pPr>
            <w:r>
              <w:rPr>
                <w:rFonts w:ascii="Arial" w:cs="Arial" w:eastAsia="Arial" w:hAnsi="Arial"/>
                <w:sz w:val="18"/>
                <w:szCs w:val="18"/>
                <w:b w:val="1"/>
                <w:bCs w:val="1"/>
                <w:i w:val="1"/>
                <w:iCs w:val="1"/>
                <w:color w:val="auto"/>
                <w:w w:val="85"/>
              </w:rPr>
              <w:t>(in thousands, except per share data)</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3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500" w:type="dxa"/>
            <w:vAlign w:val="bottom"/>
            <w:gridSpan w:val="9"/>
            <w:shd w:val="clear" w:color="auto" w:fill="CCEEFF"/>
          </w:tcPr>
          <w:p>
            <w:pPr>
              <w:jc w:val="center"/>
              <w:ind w:right="3640"/>
              <w:spacing w:after="0"/>
              <w:rPr>
                <w:sz w:val="20"/>
                <w:szCs w:val="20"/>
                <w:color w:val="auto"/>
              </w:rPr>
            </w:pPr>
            <w:r>
              <w:rPr>
                <w:rFonts w:ascii="Arial" w:cs="Arial" w:eastAsia="Arial" w:hAnsi="Arial"/>
                <w:sz w:val="18"/>
                <w:szCs w:val="18"/>
                <w:color w:val="auto"/>
                <w:w w:val="92"/>
              </w:rPr>
              <w:t>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6"/>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3"/>
              </w:rPr>
              <w:t>Cash and 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84,429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6"/>
          </w:tcPr>
          <w:p>
            <w:pPr>
              <w:ind w:left="1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62,497</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52,005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9,060</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6"/>
          </w:tcPr>
          <w:p>
            <w:pPr>
              <w:ind w:left="160"/>
              <w:spacing w:after="0"/>
              <w:rPr>
                <w:sz w:val="20"/>
                <w:szCs w:val="20"/>
                <w:color w:val="auto"/>
              </w:rPr>
            </w:pPr>
            <w:r>
              <w:rPr>
                <w:rFonts w:ascii="Arial" w:cs="Arial" w:eastAsia="Arial" w:hAnsi="Arial"/>
                <w:sz w:val="18"/>
                <w:szCs w:val="18"/>
                <w:color w:val="auto"/>
              </w:rPr>
              <w:t>Deferred tax assets,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3,570</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Borders>
              <w:top w:val="single" w:sz="8" w:color="CCEEFF"/>
            </w:tcBorders>
            <w:gridSpan w:val="6"/>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159,556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90,265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Premises and equipment,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46,352</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6"/>
          </w:tcPr>
          <w:p>
            <w:pPr>
              <w:ind w:left="160"/>
              <w:spacing w:after="0"/>
              <w:rPr>
                <w:sz w:val="20"/>
                <w:szCs w:val="20"/>
                <w:color w:val="auto"/>
              </w:rPr>
            </w:pPr>
            <w:r>
              <w:rPr>
                <w:rFonts w:ascii="Arial" w:cs="Arial" w:eastAsia="Arial" w:hAnsi="Arial"/>
                <w:sz w:val="18"/>
                <w:szCs w:val="18"/>
                <w:color w:val="auto"/>
              </w:rPr>
              <w:t>Deferred tax assets,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4,460</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58,593</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6"/>
          </w:tcPr>
          <w:p>
            <w:pPr>
              <w:ind w:left="1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14,915</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14,915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Investment in equity affiliate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13,598</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6"/>
          </w:tcPr>
          <w:p>
            <w:pPr>
              <w:ind w:left="16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8,777</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9,586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Borders>
              <w:top w:val="single" w:sz="8" w:color="CCEEFF"/>
              <w:bottom w:val="single" w:sz="8" w:color="CCEEFF"/>
            </w:tcBorders>
            <w:gridSpan w:val="6"/>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306,251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224,159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40" w:type="dxa"/>
            <w:vAlign w:val="bottom"/>
            <w:gridSpan w:val="10"/>
            <w:shd w:val="clear" w:color="auto" w:fill="CCEEFF"/>
          </w:tcPr>
          <w:p>
            <w:pPr>
              <w:jc w:val="center"/>
              <w:ind w:right="2900"/>
              <w:spacing w:after="0"/>
              <w:rPr>
                <w:sz w:val="20"/>
                <w:szCs w:val="20"/>
                <w:color w:val="auto"/>
              </w:rPr>
            </w:pPr>
            <w:r>
              <w:rPr>
                <w:rFonts w:ascii="Arial" w:cs="Arial" w:eastAsia="Arial" w:hAnsi="Arial"/>
                <w:sz w:val="18"/>
                <w:szCs w:val="18"/>
                <w:color w:val="auto"/>
              </w:rPr>
              <w:t>LIABILITIES AND EQUITY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6"/>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61,264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tcPr>
          <w:p>
            <w:pPr>
              <w:ind w:left="160"/>
              <w:spacing w:after="0"/>
              <w:rPr>
                <w:sz w:val="20"/>
                <w:szCs w:val="20"/>
                <w:color w:val="auto"/>
              </w:rPr>
            </w:pPr>
            <w:r>
              <w:rPr>
                <w:rFonts w:ascii="Arial" w:cs="Arial" w:eastAsia="Arial" w:hAnsi="Arial"/>
                <w:sz w:val="18"/>
                <w:szCs w:val="18"/>
                <w:color w:val="auto"/>
              </w:rPr>
              <w:t>Capital lease obligations - current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9,806</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gridSpan w:val="6"/>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71,415</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55,440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0"/>
          </w:tcPr>
          <w:p>
            <w:pPr>
              <w:spacing w:after="0"/>
              <w:rPr>
                <w:sz w:val="20"/>
                <w:szCs w:val="20"/>
                <w:color w:val="auto"/>
              </w:rPr>
            </w:pPr>
            <w:r>
              <w:rPr>
                <w:rFonts w:ascii="Arial" w:cs="Arial" w:eastAsia="Arial" w:hAnsi="Arial"/>
                <w:sz w:val="18"/>
                <w:szCs w:val="18"/>
                <w:color w:val="auto"/>
              </w:rPr>
              <w:t>Capital lease obligations - non-current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2,441</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Commitment and contingencies (Note 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gridSpan w:val="20"/>
          </w:tcPr>
          <w:p>
            <w:pPr>
              <w:ind w:left="160"/>
              <w:spacing w:after="0" w:line="201" w:lineRule="exact"/>
              <w:rPr>
                <w:sz w:val="20"/>
                <w:szCs w:val="20"/>
                <w:color w:val="auto"/>
              </w:rPr>
            </w:pPr>
            <w:r>
              <w:rPr>
                <w:rFonts w:ascii="Arial" w:cs="Arial" w:eastAsia="Arial" w:hAnsi="Arial"/>
                <w:sz w:val="18"/>
                <w:szCs w:val="18"/>
                <w:color w:val="auto"/>
                <w:w w:val="94"/>
              </w:rPr>
              <w:t>Common stock ($1.00 par value; 100,000 shares authorized; 25,413 issued and 23,363 outstanding as of</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gridSpan w:val="20"/>
          </w:tcPr>
          <w:p>
            <w:pPr>
              <w:ind w:left="340"/>
              <w:spacing w:after="0"/>
              <w:rPr>
                <w:sz w:val="20"/>
                <w:szCs w:val="20"/>
                <w:color w:val="auto"/>
              </w:rPr>
            </w:pPr>
            <w:r>
              <w:rPr>
                <w:rFonts w:ascii="Arial" w:cs="Arial" w:eastAsia="Arial" w:hAnsi="Arial"/>
                <w:sz w:val="18"/>
                <w:szCs w:val="18"/>
                <w:color w:val="auto"/>
              </w:rPr>
              <w:t>September 30, 2012; 25,413 issued and 23,405 outstanding as of December 31, 2011)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25,413</w:t>
            </w:r>
          </w:p>
        </w:tc>
        <w:tc>
          <w:tcPr>
            <w:tcW w:w="18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25,413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Additional paid-in-capital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85,267</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00" w:type="dxa"/>
            <w:vAlign w:val="bottom"/>
            <w:tcBorders>
              <w:bottom w:val="single" w:sz="8" w:color="CCEEFF"/>
            </w:tcBorders>
            <w:gridSpan w:val="6"/>
          </w:tcPr>
          <w:p>
            <w:pPr>
              <w:ind w:left="160"/>
              <w:spacing w:after="0"/>
              <w:rPr>
                <w:sz w:val="20"/>
                <w:szCs w:val="20"/>
                <w:color w:val="auto"/>
              </w:rPr>
            </w:pPr>
            <w:r>
              <w:rPr>
                <w:rFonts w:ascii="Arial" w:cs="Arial" w:eastAsia="Arial" w:hAnsi="Arial"/>
                <w:sz w:val="18"/>
                <w:szCs w:val="18"/>
                <w:color w:val="auto"/>
              </w:rPr>
              <w:t>Retained earnings</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gridSpan w:val="3"/>
          </w:tcPr>
          <w:p>
            <w:pPr>
              <w:jc w:val="right"/>
              <w:ind w:right="280"/>
              <w:spacing w:after="0"/>
              <w:rPr>
                <w:sz w:val="20"/>
                <w:szCs w:val="20"/>
                <w:color w:val="auto"/>
              </w:rPr>
            </w:pPr>
            <w:r>
              <w:rPr>
                <w:rFonts w:ascii="Arial" w:cs="Arial" w:eastAsia="Arial" w:hAnsi="Arial"/>
                <w:sz w:val="18"/>
                <w:szCs w:val="18"/>
                <w:color w:val="auto"/>
              </w:rPr>
              <w:t>200,736</w:t>
            </w: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126,161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-6511925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-6511925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37"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Treasury stock, at cost (2,049 shares as of September 30, 2012 and 2,008 shares as of December 31, 2011)</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(80,451)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Altisource equity</w:t>
            </w: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230,965</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1,430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232,395</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306,251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143,988</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109,793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427,259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 of revenue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94,287</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73,339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278,785</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191,385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49,701</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36,454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148,474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18,452</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54,485</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31,249</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93,989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5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(939)</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9"/>
              </w:rPr>
              <w:t>Income before income taxes and non-controlling interests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30,982</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20,805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93,050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(2,898)</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28,084</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84,557</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(1,060)</w:t>
            </w:r>
          </w:p>
        </w:tc>
        <w:tc>
          <w:tcPr>
            <w:tcW w:w="5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(4,223)</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7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27,024</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17,171</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80,334</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45,381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Earnings per share: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7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4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300" w:type="dxa"/>
            <w:vAlign w:val="bottom"/>
            <w:tcBorders>
              <w:bottom w:val="single" w:sz="8" w:color="CCEEFF"/>
            </w:tcBorders>
            <w:vMerge w:val="continue"/>
          </w:tcPr>
          <w:p>
            <w:pPr>
              <w:spacing w:after="0"/>
              <w:rPr>
                <w:sz w:val="20"/>
                <w:szCs w:val="20"/>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0.67</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3.23</w:t>
            </w:r>
          </w:p>
        </w:tc>
        <w:tc>
          <w:tcPr>
            <w:tcW w:w="28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23,338</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23,347</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25,016</w:t>
            </w:r>
          </w:p>
        </w:tc>
        <w:tc>
          <w:tcPr>
            <w:tcW w:w="300" w:type="dxa"/>
            <w:vAlign w:val="bottom"/>
            <w:tcBorders>
              <w:bottom w:val="single" w:sz="8" w:color="CCEEFF"/>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25,489</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24,895</w:t>
            </w:r>
          </w:p>
        </w:tc>
        <w:tc>
          <w:tcPr>
            <w:tcW w:w="28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25,720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Transactions with related parties included above: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86,558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63,827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257,491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7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621</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506</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1,801</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Altisource Equity</w:t>
            </w: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50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rPr>
              <w:t>Common Stock</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controlling</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Paid-in Capital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at Cost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25,413</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25,413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79,297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58,546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(14,418)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45,381</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4,395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49,776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from non-controlling</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holders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rPr>
              <w:t>Distributions to non-controlling</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interest holders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(5,443)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(2,943)</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3,718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(35,471)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2"/>
          </w:tcPr>
          <w:p>
            <w:pPr>
              <w:spacing w:after="0" w:line="196" w:lineRule="exact"/>
              <w:rPr>
                <w:sz w:val="20"/>
                <w:szCs w:val="20"/>
                <w:color w:val="auto"/>
              </w:rPr>
            </w:pPr>
            <w:r>
              <w:rPr>
                <w:rFonts w:ascii="Arial" w:cs="Arial" w:eastAsia="Arial" w:hAnsi="Arial"/>
                <w:sz w:val="18"/>
                <w:szCs w:val="18"/>
                <w:color w:val="auto"/>
              </w:rPr>
              <w:t>Balance, September 30, 2011</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25,413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25,413</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81,406</w:t>
            </w:r>
          </w:p>
        </w:tc>
        <w:tc>
          <w:tcPr>
            <w:tcW w:w="36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100,984</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(46,171)</w:t>
            </w:r>
          </w:p>
        </w:tc>
        <w:tc>
          <w:tcPr>
            <w:tcW w:w="3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2,043</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163,675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Balance, December 31, 2011</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25,413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25,413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83,229</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126,161</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(72,048)</w:t>
            </w: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3,188</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165,943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80,334</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4,223</w:t>
            </w: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rPr>
              <w:t>Contributions from non-controlling</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interest holders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non-controlling</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holders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(6,008)</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2,038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(5,759)</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Repurchase of shares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(16,781)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200,736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232,395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income</w:t>
            </w:r>
          </w:p>
        </w:tc>
        <w:tc>
          <w:tcPr>
            <w:tcW w:w="2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84,557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9,038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losses of affiliate</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1,170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Loss on sale or disposal of fixed assets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401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(11,662)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809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10,405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Other current and non-current liabilities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2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97,137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Additions to premises and equipment</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(24,199)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business, net of cash acquired</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Investment in equity affiliate</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restricted cash</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flows used in investing activities</w:t>
            </w:r>
          </w:p>
        </w:tc>
        <w:tc>
          <w:tcPr>
            <w:tcW w:w="2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Proceeds from stock option exercises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treasury stock</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(16,781)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Contributions from non-controlling interests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flows used in financing activities</w:t>
            </w:r>
          </w:p>
        </w:tc>
        <w:tc>
          <w:tcPr>
            <w:tcW w:w="2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52,304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22,134</w:t>
            </w:r>
          </w:p>
        </w:tc>
        <w:tc>
          <w:tcPr>
            <w:tcW w:w="0" w:type="dxa"/>
            <w:vAlign w:val="bottom"/>
          </w:tcPr>
          <w:p>
            <w:pPr>
              <w:spacing w:after="0"/>
              <w:rPr>
                <w:sz w:val="1"/>
                <w:szCs w:val="1"/>
                <w:color w:val="auto"/>
              </w:rPr>
            </w:pPr>
          </w:p>
        </w:tc>
      </w:tr>
      <w:tr>
        <w:trPr>
          <w:trHeight w:val="250"/>
        </w:trPr>
        <w:tc>
          <w:tcPr>
            <w:tcW w:w="618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2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84,429</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2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Income taxes paid (refunded), net</w:t>
            </w:r>
          </w:p>
        </w:tc>
        <w:tc>
          <w:tcPr>
            <w:tcW w:w="2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2,252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tax-deductible goodwill</w:t>
            </w:r>
          </w:p>
        </w:tc>
        <w:tc>
          <w:tcPr>
            <w:tcW w:w="2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Premises and equipment purchased on account</w:t>
            </w:r>
          </w:p>
        </w:tc>
        <w:tc>
          <w:tcPr>
            <w:tcW w:w="2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5,992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40"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 global provider of services focused on high-value, technology-enabled, knowledge-based solutions principally related to real estate and mortgage portfolio management, asset recovery and customer relationship management.</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publicly traded on the NASDAQ Global Select market under the symbol ASPS. We were incorporated under the laws of Luxembourg on November 4, 1999 as Ocwen Luxembourg S.à r.l., renamed Altisource Portfolio Solutions S.à r.l. on May 12, 2009 and converted into Altisource Portfolio Solutions S.A. on June 5, 2009. We became a publicly traded company as of August 10, 2009 (the “Separation”). Prior to the Separation, our businesses were wholly-owned by Ocwen Financial Corporation (“Ocwen”).</w:t>
      </w:r>
    </w:p>
    <w:p>
      <w:pPr>
        <w:spacing w:after="0" w:line="18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April 2011, we acquired Springhouse, LLC (“Springhouse”), an appraisal management company that utilizes a nationwide panel of appraisers to provide real estate appraisals principally to mortgage originators, including the members of the Lenders One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mortgage cooperative (“Lenders One”) as described below, and real estate asset managers. In July 2011, we acquired the assembled workforce of a sub-contractor (“Tracmail”) in India that performs asset recovery services.</w:t>
      </w:r>
    </w:p>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conduct our operations through three reporting segments: Mortgage Services, Financial Services and Technology Services. In addition, we report our corporate related expenditures as a separate segment (see Note 16 for a description of our 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condensed consolidated financial statements include the assets, liabilities, revenues and expenses directly attributable to our operations. All significant inter-company and inter-segment transactions and accounts have been eliminated upon consolidation.</w:t>
      </w:r>
    </w:p>
    <w:p>
      <w:pPr>
        <w:spacing w:after="0" w:line="170"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The Mortgage Partnership of America, L.L.C. (“MPA”), a wholly owned subsidiary of Altisource</w:t>
      </w:r>
      <w:r>
        <w:rPr>
          <w:rFonts w:ascii="Arial" w:cs="Arial" w:eastAsia="Arial" w:hAnsi="Arial"/>
          <w:sz w:val="22"/>
          <w:szCs w:val="22"/>
          <w:color w:val="auto"/>
          <w:vertAlign w:val="superscript"/>
        </w:rPr>
        <w:t>™</w:t>
      </w:r>
      <w:r>
        <w:rPr>
          <w:rFonts w:ascii="Arial" w:cs="Arial" w:eastAsia="Arial" w:hAnsi="Arial"/>
          <w:sz w:val="17"/>
          <w:szCs w:val="17"/>
          <w:color w:val="auto"/>
        </w:rPr>
        <w:t>, is the manager of a national alliance of community mortgage bankers, correspondent lenders and suppliers of mortgage products and services that does business as Lenders One. The management agreement between MPA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Lenders One, pursuant to which MPA is the management company of Lenders One, represents a variable interest in a variable interest entity. MPA is the primary beneficiary of Lenders One as it has the power to direct the activities that most significantly impact Lenders One’s economic performance and the obligation to absorb losses or the right to receive benefits from Lenders One. As a result, Lenders One is presented in the accompanying condensed consolidated financial statements on a consolidated basis with the interests of the members reflected as non-controlling interests. As of September 30, 2012, Lenders One had total assets of $2.1 million and liabilities of less than $0.1 million.</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prepared our condensed consolidated financial statements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notes required by GAAP for complete consolidated financial statements. In the opinion of management, all normal recurring adjustments considered necessary to fairly state the results for the interim periods presented have been included. The preparation of condensed consolidated financial statements in conformity with GAAP requires management to make estimates and assumptions that affect the reported amounts of assets and liabilities and disclosure of contingent assets and liabilities at the date of our condensed consolidated financial statements, as well as the reported amounts of revenues and expenses during the reporting period. Actual results could differ from these estimates.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notes thereto contained in our Form 10-K for the year ended December 31, 2011, filed with the SEC on February 16, 2012, which contains a summary of our significant accounting policies. Certain footnote detail is also omitted from the condensed consolidated financial statements unless there is a material change from the information included in the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fair value of financial instruments, which primarily include cash and cash equivalents, accounts receivable, net, restricted cash and accounts payable and accrued expenses at September 30, 2012 and December 31, 2011, are carried at amounts that approximate their fair value due to the short-term nature of these instruments.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TRANSACTIONS WITH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r>
        <w:rPr>
          <w:rFonts w:ascii="Arial" w:cs="Arial" w:eastAsia="Arial" w:hAnsi="Arial"/>
          <w:sz w:val="23"/>
          <w:szCs w:val="23"/>
          <w:b w:val="1"/>
          <w:bCs w:val="1"/>
          <w:color w:val="auto"/>
          <w:vertAlign w:val="superscript"/>
        </w:rPr>
        <w:t>®</w:t>
      </w:r>
    </w:p>
    <w:p>
      <w:pPr>
        <w:spacing w:after="0" w:line="17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Ocwen is our largest customer. Ocwen and its wholly owned subsidiary, Ocwen Mortgage Servicing Inc. (“OMS”) are contractually obligated to purchase certain mortgage services and technology services from us under service agreements. On October 1, 2012, the Ocwen agreement was extended by three years through 2020. Separately, we signed a similar agreement on October 1, 2012 with OMS effective through 2020. Ocwen and OMS are not restricted from redeveloping these services. We settle amounts with Ocwen on a daily, weekly or monthly basis depending upon the nature of the services and when the service is completed.</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With respect to Ocwen, related party revenue consists of revenues earned directly from Ocwen and revenues earned from the loans serviced by Ocwen when Ocwen determines the service provider. We earn additional revenues on the loan portfolios serviced by Ocwen that are not considered related party revenues</w:t>
      </w:r>
    </w:p>
    <w:p>
      <w:pPr>
        <w:sectPr>
          <w:pgSz w:w="11900" w:h="16838" w:orient="portrait"/>
          <w:cols w:equalWidth="0" w:num="1">
            <w:col w:w="11420"/>
          </w:cols>
          <w:pgMar w:left="240" w:top="368" w:right="239" w:bottom="0" w:gutter="0" w:footer="0" w:header="0"/>
        </w:sectPr>
      </w:pPr>
    </w:p>
    <w:bookmarkStart w:id="5" w:name="page6"/>
    <w:bookmarkEnd w:id="5"/>
    <w:p>
      <w:pPr>
        <w:ind w:right="220"/>
        <w:spacing w:after="0" w:line="277" w:lineRule="auto"/>
        <w:rPr>
          <w:sz w:val="20"/>
          <w:szCs w:val="20"/>
          <w:color w:val="auto"/>
        </w:rPr>
      </w:pPr>
      <w:r>
        <w:rPr>
          <w:rFonts w:ascii="Arial" w:cs="Arial" w:eastAsia="Arial" w:hAnsi="Arial"/>
          <w:sz w:val="18"/>
          <w:szCs w:val="18"/>
          <w:color w:val="auto"/>
        </w:rPr>
        <w:t>when a party other than Ocwen selects the service provider. As a percentage of each of our segment revenues and as a percentage of consolidated revenues, related party revenue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84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w w:val="90"/>
              </w:rPr>
              <w:t>Nine months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gridSpan w:val="2"/>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4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6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Technology Services</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6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6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6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&lt;1%</w:t>
            </w:r>
          </w:p>
        </w:tc>
        <w:tc>
          <w:tcPr>
            <w:tcW w:w="6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&lt;1%</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&lt;1%</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&lt;1%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Consolidated revenue</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64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6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64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record revenues we earn from Ocwen under the various long-term servicing contracts at rates we believe to be market rates as they are consistent with one or more of the following: the fees we charge to other customers for comparable services; the rates Ocwen pays to other service providers; fees commensurate with market surveys prepared by unaffiliated firms; and prices charged by our competitors.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Support Services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August 10, 2012, Altisource entered into a five-year Support Services Agreement with OMS (the “Support Services Agreement”), setting forth certain services Altisource and OMS will provide to each other which are similar to the services Altisource and Ocwen provided to each other pursuant to a Transition Services Agreement. These services include such areas as human resources, vendor management, corporate services, six sigma, quality assurance, quantitative analytics, treasury, accounting, risk management, legal, strategic planning and compliance. Payment for the services provided is based on the fully-allocated cost of providing the service based on an estimate of the time and expense of providing the service. For the nine months ended September 30, 2012 and 2011, we billed Ocwen and OMS $2.0 million and $1.7 million, respectively ($0.6 million and $0.8 million for the third quarters of 2012 and 2011, respectively), and Ocwen and OMS billed us $1.8 million and $1.4 million, respectively ($0.6 million and $0.5 million for the third quarters of 2012 and 2011, respectively) for services provided under the Support Services Agreement and the Transition Services agreement. These amounts are reflected as components of selling, general and administrative expenses in the condensed consolidated statements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Correspondent One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and HLSS</w:t>
      </w:r>
      <w:r>
        <w:rPr>
          <w:rFonts w:ascii="Arial" w:cs="Arial" w:eastAsia="Arial" w:hAnsi="Arial"/>
          <w:sz w:val="23"/>
          <w:szCs w:val="23"/>
          <w:b w:val="1"/>
          <w:bCs w:val="1"/>
          <w:color w:val="auto"/>
          <w:vertAlign w:val="superscript"/>
        </w:rPr>
        <w:t>™</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July 2011, we acquired an equity interest in Correspondent One S.A. (“Correspondent One” - see Note 7). We provide Correspondent One certain finance, human resources, legal support, facilities, technology, vendor management and risk management services. For the nine months ended September 30, 2012 and 2011, we billed Correspondent One $0.2 million and $0.1 million, respectively, under this agreement ($0.1 million for each of the third quarters of 2012 and 2011).</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also provide certain origination related services to Correspondent One. We earned revenue of $0.2 million for the nine months ended September 30, 2012 ($0.2 million for the third quarter of 2012) from the provision of these services.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Home Loan Servicing Solutions, Ltd. (“HLSS”) is a public company whose primary objective is the acquisition of mortgage servicing rights and advances. In connection with the February 2012 HLSS initial public offering, HLSS acquired mortgage servicing related assets from Ocwen. Our Chairman is also the Chairman of HLSS. We provide HLSS certain finance, human resources and legal support services. For the nine months ended September 30, 2012, we billed HLSS $0.4 million under this agreement ($0.2 million for the third quarter).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These amounts are reflected as a component of selling, general and administrative expenses in the condensed consolidated statements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536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7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Billed</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ind w:left="160"/>
              <w:spacing w:after="0"/>
              <w:rPr>
                <w:sz w:val="20"/>
                <w:szCs w:val="20"/>
                <w:color w:val="auto"/>
              </w:rPr>
            </w:pPr>
            <w:r>
              <w:rPr>
                <w:rFonts w:ascii="Arial" w:cs="Arial" w:eastAsia="Arial" w:hAnsi="Arial"/>
                <w:sz w:val="18"/>
                <w:szCs w:val="18"/>
                <w:color w:val="auto"/>
              </w:rPr>
              <w:t>Third parties</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21,949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Ocwen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ind w:left="160"/>
              <w:spacing w:after="0"/>
              <w:rPr>
                <w:sz w:val="20"/>
                <w:szCs w:val="20"/>
                <w:color w:val="auto"/>
              </w:rPr>
            </w:pPr>
            <w:r>
              <w:rPr>
                <w:rFonts w:ascii="Arial" w:cs="Arial" w:eastAsia="Arial" w:hAnsi="Arial"/>
                <w:sz w:val="18"/>
                <w:szCs w:val="18"/>
                <w:color w:val="auto"/>
              </w:rPr>
              <w:t>Correspondent One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HLSS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ind w:left="16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40" w:type="dxa"/>
            <w:vAlign w:val="bottom"/>
            <w:gridSpan w:val="3"/>
          </w:tcPr>
          <w:p>
            <w:pPr>
              <w:spacing w:after="0" w:line="176" w:lineRule="exact"/>
              <w:rPr>
                <w:sz w:val="20"/>
                <w:szCs w:val="20"/>
                <w:color w:val="auto"/>
              </w:rPr>
            </w:pPr>
            <w:r>
              <w:rPr>
                <w:rFonts w:ascii="Arial" w:cs="Arial" w:eastAsia="Arial" w:hAnsi="Arial"/>
                <w:sz w:val="18"/>
                <w:szCs w:val="18"/>
                <w:color w:val="auto"/>
              </w:rPr>
              <w:t>Unbilled</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Third parties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ind w:left="160"/>
              <w:spacing w:after="0"/>
              <w:rPr>
                <w:sz w:val="20"/>
                <w:szCs w:val="20"/>
                <w:color w:val="auto"/>
              </w:rPr>
            </w:pPr>
            <w:r>
              <w:rPr>
                <w:rFonts w:ascii="Arial" w:cs="Arial" w:eastAsia="Arial" w:hAnsi="Arial"/>
                <w:sz w:val="18"/>
                <w:szCs w:val="18"/>
                <w:color w:val="auto"/>
              </w:rPr>
              <w:t>Ocwen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Correspondent One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62,497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Unbilled fees consist primarily of asset management and default management services for which we recognize revenues over the service delivery period but bill following completion of the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PREPAID EXPENSES AND OTHER CURRENT ASSETS</w:t>
      </w:r>
    </w:p>
    <w:p>
      <w:pPr>
        <w:sectPr>
          <w:pgSz w:w="11900" w:h="16838" w:orient="portrait"/>
          <w:cols w:equalWidth="0" w:num="1">
            <w:col w:w="11420"/>
          </w:cols>
          <w:pgMar w:left="240" w:top="125"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gridSpan w:val="2"/>
            <w:vMerge w:val="continue"/>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Maintenance agreements</w:t>
            </w:r>
          </w:p>
        </w:tc>
        <w:tc>
          <w:tcPr>
            <w:tcW w:w="2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Prepaid software license fees</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1,445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Prepaid facility costs</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prepaid expenses</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held for clients</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759</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5,002</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ind w:right="490"/>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40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PREMISES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which includes amounts recorded under capital leases, consists of the following:</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4"/>
                <w:szCs w:val="1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53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Office equipment and other</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16,799</w:t>
            </w: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15,068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10,570</w:t>
            </w: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94,658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(48,306)</w:t>
            </w:r>
          </w:p>
        </w:tc>
        <w:tc>
          <w:tcPr>
            <w:tcW w:w="18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(40,233)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46,352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25,600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Depreciation and amortization expense, inclusive of capital lease obligations, amounted to $9.0 million and $6.2 million for the nine months ended September 30, 2012 and 2011, respectively ($3.8 million and $2.1 million for the third quarters of 2012 and 2011, respectively), and is included in cost of revenue for operating assets and in selling, general and administrative expenses for non-operating assets in the accompanying condensed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goodwill during the nine months ended September 30, 2012. The following is a summary of goodwill by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Mortgage</w:t>
            </w:r>
          </w:p>
        </w:tc>
        <w:tc>
          <w:tcPr>
            <w:tcW w:w="26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Financial</w:t>
            </w: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Technology</w:t>
            </w:r>
          </w:p>
        </w:tc>
        <w:tc>
          <w:tcPr>
            <w:tcW w:w="320" w:type="dxa"/>
            <w:vAlign w:val="bottom"/>
          </w:tcPr>
          <w:p>
            <w:pPr>
              <w:spacing w:after="0"/>
              <w:rPr>
                <w:sz w:val="14"/>
                <w:szCs w:val="14"/>
                <w:color w:val="auto"/>
              </w:rPr>
            </w:pP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26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Services</w:t>
            </w:r>
          </w:p>
        </w:tc>
        <w:tc>
          <w:tcPr>
            <w:tcW w:w="3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September 30, 2012 and December 31, 2011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10,919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14,915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4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254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rPr>
              <w:t>Gross carrying amount</w:t>
            </w:r>
          </w:p>
        </w:tc>
        <w:tc>
          <w:tcPr>
            <w:tcW w:w="120" w:type="dxa"/>
            <w:vAlign w:val="bottom"/>
          </w:tcPr>
          <w:p>
            <w:pPr>
              <w:spacing w:after="0"/>
              <w:rPr>
                <w:sz w:val="12"/>
                <w:szCs w:val="12"/>
                <w:color w:val="auto"/>
              </w:rPr>
            </w:pPr>
          </w:p>
        </w:tc>
        <w:tc>
          <w:tcPr>
            <w:tcW w:w="2580" w:type="dxa"/>
            <w:vAlign w:val="bottom"/>
            <w:gridSpan w:val="6"/>
            <w:vMerge w:val="restart"/>
          </w:tcPr>
          <w:p>
            <w:pPr>
              <w:jc w:val="right"/>
              <w:ind w:right="600"/>
              <w:spacing w:after="0"/>
              <w:rPr>
                <w:sz w:val="20"/>
                <w:szCs w:val="20"/>
                <w:color w:val="auto"/>
              </w:rPr>
            </w:pPr>
            <w:r>
              <w:rPr>
                <w:rFonts w:ascii="Arial" w:cs="Arial" w:eastAsia="Arial" w:hAnsi="Arial"/>
                <w:sz w:val="14"/>
                <w:szCs w:val="14"/>
                <w:b w:val="1"/>
                <w:bCs w:val="1"/>
                <w:color w:val="auto"/>
              </w:rPr>
              <w:t>Accumulated amortization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6"/>
            <w:vMerge w:val="restart"/>
          </w:tcPr>
          <w:p>
            <w:pPr>
              <w:ind w:left="620"/>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estimated</w:t>
            </w:r>
          </w:p>
        </w:tc>
        <w:tc>
          <w:tcPr>
            <w:tcW w:w="100" w:type="dxa"/>
            <w:vAlign w:val="bottom"/>
          </w:tcPr>
          <w:p>
            <w:pPr>
              <w:spacing w:after="0"/>
              <w:rPr>
                <w:sz w:val="14"/>
                <w:szCs w:val="14"/>
                <w:color w:val="auto"/>
              </w:rPr>
            </w:pPr>
          </w:p>
        </w:tc>
        <w:tc>
          <w:tcPr>
            <w:tcW w:w="254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useful life</w:t>
            </w: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36"/>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6"/>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6"/>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3"/>
            <w:vMerge w:val="continue"/>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(years)</w:t>
            </w:r>
          </w:p>
        </w:tc>
        <w:tc>
          <w:tcPr>
            <w:tcW w:w="100" w:type="dxa"/>
            <w:vAlign w:val="bottom"/>
          </w:tcPr>
          <w:p>
            <w:pPr>
              <w:spacing w:after="0"/>
              <w:rPr>
                <w:sz w:val="14"/>
                <w:szCs w:val="14"/>
                <w:color w:val="auto"/>
              </w:rPr>
            </w:pPr>
          </w:p>
        </w:tc>
        <w:tc>
          <w:tcPr>
            <w:tcW w:w="1040" w:type="dxa"/>
            <w:vAlign w:val="bottom"/>
          </w:tcPr>
          <w:p>
            <w:pPr>
              <w:jc w:val="right"/>
              <w:ind w:right="33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296"/>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37"/>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96"/>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3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Definite-lived intangible</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Trademarks</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16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10,614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10,614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(3,942)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(3,353)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6,672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Customer lists</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38,366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(17,203)(a)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Operating agreement</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(4,667)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30,333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Non-compete agreement</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85,280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(26,687)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41" w:right="199" w:bottom="0" w:gutter="0" w:footer="0" w:header="0"/>
        </w:sectPr>
      </w:pPr>
    </w:p>
    <w:bookmarkStart w:id="7" w:name="page8"/>
    <w:bookmarkEnd w:id="7"/>
    <w:p>
      <w:pPr>
        <w:spacing w:after="0" w:line="45" w:lineRule="exact"/>
        <w:rPr>
          <w:sz w:val="20"/>
          <w:szCs w:val="20"/>
          <w:color w:val="auto"/>
        </w:rPr>
      </w:pPr>
    </w:p>
    <w:p>
      <w:pPr>
        <w:ind w:left="340" w:right="140" w:hanging="332"/>
        <w:spacing w:after="0" w:line="270" w:lineRule="auto"/>
        <w:tabs>
          <w:tab w:leader="none" w:pos="351" w:val="left"/>
        </w:tabs>
        <w:numPr>
          <w:ilvl w:val="0"/>
          <w:numId w:val="3"/>
        </w:numPr>
        <w:rPr>
          <w:rFonts w:ascii="Arial" w:cs="Arial" w:eastAsia="Arial" w:hAnsi="Arial"/>
          <w:sz w:val="17"/>
          <w:szCs w:val="17"/>
          <w:color w:val="auto"/>
        </w:rPr>
      </w:pPr>
      <w:r>
        <w:rPr>
          <w:rFonts w:ascii="Arial" w:cs="Arial" w:eastAsia="Arial" w:hAnsi="Arial"/>
          <w:sz w:val="17"/>
          <w:szCs w:val="17"/>
          <w:color w:val="auto"/>
        </w:rPr>
        <w:t>Prior to our acquisition of Nationwide Credit, Inc. (“NCI</w:t>
      </w:r>
      <w:r>
        <w:rPr>
          <w:rFonts w:ascii="Arial" w:cs="Arial" w:eastAsia="Arial" w:hAnsi="Arial"/>
          <w:sz w:val="17"/>
          <w:szCs w:val="17"/>
          <w:i w:val="1"/>
          <w:iCs w:val="1"/>
          <w:color w:val="auto"/>
        </w:rPr>
        <w:t>®</w:t>
      </w:r>
      <w:r>
        <w:rPr>
          <w:rFonts w:ascii="Arial" w:cs="Arial" w:eastAsia="Arial" w:hAnsi="Arial"/>
          <w:sz w:val="17"/>
          <w:szCs w:val="17"/>
          <w:color w:val="auto"/>
        </w:rPr>
        <w:t>”) in 2007, NCI completed an acquisition which created tax-deductible goodwill that amortizes for tax purposes over time. When we acquired NCI in 2007, we recorded a lesser amount of goodwill for financial reporting purposes than what had previously been recorded at NCI for tax purposes. This difference between the amount of goodwill recorded for financial reporting purposes and the amount recorded for taxes is referred to as “Component 2” goodwill and resulted in our recording periodic reductions first to our book goodwill balance in our consolidated financial statements. As our book goodwill balance was fully written off at December 31, 2010, we continue to amortize the remaining Component 2 goodwill for U.S. tax purposes by reducing certain intangible assets by the remaining tax benefits of the Component 2 goodwill as they are realized in our tax returns. The reduction in intangible assets was $2.5 million for each of the nine months ended September 30, 2012 and 2011, respectively. The balance of Component 2 goodwill remaining was $1.4 million as of September 30, 2012 which should generate $0.8 million of reductions of intangible assets when the benefit can be realized for U.S. tax purposes.</w:t>
      </w:r>
    </w:p>
    <w:p>
      <w:pPr>
        <w:spacing w:after="0" w:line="18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Amortization expense for definite lived intangible assets was $3.8 million and $4.0 million for the nine months ended September 30, 2012 and 2011, respectively ($1.2 million and $1.3 million for the third quarters of 2012 and 2011, respectively). Amortization expense is estimated to be $5.0 million for 2012, $4.8 million for 2013, $4.5 million for 2014, $4.4 million for 2015 and $4.3 million for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INVESTMENT IN EQUITY AFFILIATE</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Correspondent One purchases closed conforming and government guaranteed residential mortgages from approved mortgage bankers. Correspondent One provides members of Lenders One additional avenues to sell loans beyond Lenders One’s preferred investor arrangements and the members’ own network of loan buyers. We have significant influence over the general operations of Correspondent One consistent with our 49% ownership level and therefore account for our investment under the equity method. We have no funding commitments to Correspondent One as of September 30, 2012.</w:t>
      </w:r>
    </w:p>
    <w:p>
      <w:pPr>
        <w:spacing w:after="0" w:line="15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net loss on this investment using the equity method was $0.9 million and $0.4 million for the nine months ended September 30, 2012 and 2011, respectively (net loss of $0.3 million and $0.4 million for the third quarters of 2012 and 2011, respectively).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3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435"/>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7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Unbilled fees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8,777</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ACCOUNTS PAYABLE,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gridSpan w:val="2"/>
            <w:vMerge w:val="continue"/>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2012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2,974</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Accrued expenses - general</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18,485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Income taxes payable, net</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12,418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6,419</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61,264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44,867</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w:t>
            </w: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90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900" w:type="dxa"/>
            <w:vAlign w:val="bottom"/>
            <w:gridSpan w:val="2"/>
            <w:vMerge w:val="continue"/>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2012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4,581</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Facility closure cost accrual, current portion</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Collections due to clients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Overdrafts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3,501</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9,806</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9,939</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ind w:right="450"/>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92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ectPr>
          <w:pgSz w:w="11900" w:h="16883" w:orient="portrait"/>
          <w:cols w:equalWidth="0" w:num="1">
            <w:col w:w="11460"/>
          </w:cols>
          <w:pgMar w:left="240" w:top="125" w:right="199" w:bottom="0" w:gutter="0" w:footer="0" w:header="0"/>
        </w:sectPr>
      </w:pPr>
    </w:p>
    <w:bookmarkStart w:id="8" w:name="page9"/>
    <w:bookmarkEnd w:id="8"/>
    <w:p>
      <w:pPr>
        <w:ind w:right="540"/>
        <w:spacing w:after="0" w:line="286" w:lineRule="auto"/>
        <w:rPr>
          <w:sz w:val="20"/>
          <w:szCs w:val="20"/>
          <w:color w:val="auto"/>
        </w:rPr>
      </w:pPr>
      <w:r>
        <w:rPr>
          <w:rFonts w:ascii="Arial" w:cs="Arial" w:eastAsia="Arial" w:hAnsi="Arial"/>
          <w:sz w:val="17"/>
          <w:szCs w:val="17"/>
          <w:color w:val="auto"/>
        </w:rPr>
        <w:t>During 2009, we accrued facility closure costs (included in other current and other non-current liabilities in the condensed consolidated balance sheet) primarily consisting of lease exit costs (expected to be paid through 2014) and severance related to the closure of two facilities. The following table summarizes the activity, all recorded in our Financial Services segment, for the nine months ended September 30, 2012:</w:t>
      </w:r>
    </w:p>
    <w:p>
      <w:pPr>
        <w:spacing w:after="0" w:line="15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260" w:type="dxa"/>
            <w:vAlign w:val="bottom"/>
            <w:gridSpan w:val="3"/>
          </w:tcPr>
          <w:p>
            <w:pPr>
              <w:ind w:left="120"/>
              <w:spacing w:after="0"/>
              <w:rPr>
                <w:sz w:val="20"/>
                <w:szCs w:val="20"/>
                <w:color w:val="auto"/>
              </w:rPr>
            </w:pPr>
            <w:r>
              <w:rPr>
                <w:rFonts w:ascii="Arial" w:cs="Arial" w:eastAsia="Arial" w:hAnsi="Arial"/>
                <w:sz w:val="14"/>
                <w:szCs w:val="14"/>
                <w:b w:val="1"/>
                <w:bCs w:val="1"/>
                <w:color w:val="auto"/>
              </w:rPr>
              <w:t>Lease Costs</w:t>
            </w:r>
          </w:p>
        </w:tc>
      </w:tr>
      <w:tr>
        <w:trPr>
          <w:trHeight w:val="210"/>
        </w:trPr>
        <w:tc>
          <w:tcPr>
            <w:tcW w:w="6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r>
      <w:tr>
        <w:trPr>
          <w:trHeight w:val="210"/>
        </w:trPr>
        <w:tc>
          <w:tcPr>
            <w:tcW w:w="6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September 30, 2012</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Long-term portion</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Facility closure cost accrual, current portion</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significant additional costs related to the closure of these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issue share-based awards in the form of stock options for certain employees and officers. We recorded share-based compensation expense of $2.0 million and $2.1 million for the nine months ended September 30, 2012 and 2011, respectively ($1.1 million and $0.7 million for the third quarters of 2012 and 2011, respectively). The amount in 2012 includes the reversal of $0.8 million of share-based compensation expense in the first quarter related to the departure of an Executive Officer in March 2012.</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share-based compensation currently consists only of stock option grants that are a combination of service-based and market-based options.</w:t>
      </w:r>
    </w:p>
    <w:p>
      <w:pPr>
        <w:spacing w:after="0" w:line="248"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i w:val="1"/>
          <w:iCs w:val="1"/>
          <w:color w:val="auto"/>
        </w:rPr>
        <w:t xml:space="preserve">Service-based Options. </w:t>
      </w:r>
      <w:r>
        <w:rPr>
          <w:rFonts w:ascii="Arial" w:cs="Arial" w:eastAsia="Arial" w:hAnsi="Arial"/>
          <w:sz w:val="18"/>
          <w:szCs w:val="18"/>
          <w:color w:val="auto"/>
        </w:rPr>
        <w:t>These options are granted at fair value on the date of grant. The options generally vest over four years with equal annual cliff-vesting and expire on the earlier of 10 years after the date of grant or following termination of service. A total of 0.9 million service-based awards were outstanding at September 30, 2012.</w:t>
      </w:r>
    </w:p>
    <w:p>
      <w:pPr>
        <w:spacing w:after="0" w:line="181"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i w:val="1"/>
          <w:iCs w:val="1"/>
          <w:color w:val="auto"/>
        </w:rPr>
        <w:t>Market-based Options</w:t>
      </w:r>
      <w:r>
        <w:rPr>
          <w:rFonts w:ascii="Arial" w:cs="Arial" w:eastAsia="Arial" w:hAnsi="Arial"/>
          <w:sz w:val="18"/>
          <w:szCs w:val="18"/>
          <w:color w:val="auto"/>
        </w:rPr>
        <w:t>. These option grants have two components each of which vest only upon the achievement of certain criteria. The first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internally as “ordinary performance” grants, consists of two-thirds of the market-based grant and begins to vest if the stock price realizes a compounded annual gain of at least 20% over the exercise price, so long as the stock price is at least double the exercise price. The remaining third of the market-based options, which we refer to internally as “extraordinary performance” grants, begins to vest if the stock price realizes a compounded annual gain of at least 25% over the exercise price, so long as it is at least triple the exercise price. The vesting schedule for all market-based awards is 25% upon achievement of the criteria and the remaining 75% in three equal annual installments. A total of 2.2 million market-based awards were outstanding at September 30, 2012.</w:t>
      </w:r>
    </w:p>
    <w:p>
      <w:pPr>
        <w:spacing w:after="0" w:line="1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granted 0.3 million stock options (at a weighted average exercise price of $69.48 per share) and 0.2 million stock options (at a weighted average exercise price of $33.15 per share) during the nine months ended September 30, 2012 and 2011, respectively.</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fair value of the service-based options was determined using the Black-Scholes option pricing model while a lattice (binomial) model was used to determine the fair value of the market-based options using the following assumptions as of the grant date: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Nine months ended September 30, 2012</w:t>
            </w:r>
          </w:p>
        </w:tc>
        <w:tc>
          <w:tcPr>
            <w:tcW w:w="220" w:type="dxa"/>
            <w:vAlign w:val="bottom"/>
          </w:tcPr>
          <w:p>
            <w:pPr>
              <w:spacing w:after="0"/>
              <w:rPr>
                <w:sz w:val="14"/>
                <w:szCs w:val="14"/>
                <w:color w:val="auto"/>
              </w:rPr>
            </w:pPr>
          </w:p>
        </w:tc>
        <w:tc>
          <w:tcPr>
            <w:tcW w:w="34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 September 30,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Black-Scholes</w:t>
            </w:r>
          </w:p>
        </w:tc>
        <w:tc>
          <w:tcPr>
            <w:tcW w:w="2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Binominal</w:t>
            </w:r>
          </w:p>
        </w:tc>
        <w:tc>
          <w:tcPr>
            <w:tcW w:w="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Black-Scholes</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Binominal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0.87% — 1.17%</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 — 2.04%</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 — 1.93%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 — 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0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34.22% — 34.65%</w:t>
            </w:r>
          </w:p>
        </w:tc>
        <w:tc>
          <w:tcPr>
            <w:tcW w:w="22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34.20% — 34.60%</w:t>
            </w:r>
          </w:p>
        </w:tc>
        <w:tc>
          <w:tcPr>
            <w:tcW w:w="2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55.70 — 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20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Fair value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19.25 — $29.80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9.98 — $22.76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16.33 — $17.85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16.91 — $20.39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720"/>
        <w:spacing w:after="0" w:line="277" w:lineRule="auto"/>
        <w:rPr>
          <w:sz w:val="20"/>
          <w:szCs w:val="20"/>
          <w:color w:val="auto"/>
        </w:rPr>
      </w:pPr>
      <w:r>
        <w:rPr>
          <w:rFonts w:ascii="Arial" w:cs="Arial" w:eastAsia="Arial" w:hAnsi="Arial"/>
          <w:sz w:val="18"/>
          <w:szCs w:val="18"/>
          <w:color w:val="auto"/>
        </w:rPr>
        <w:t>The following table summarizes the weighted-average fair value of stock options granted and the total intrinsic value of stock options exercised: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Pr>
          <w:p>
            <w:pPr>
              <w:spacing w:after="0"/>
              <w:rPr>
                <w:sz w:val="14"/>
                <w:szCs w:val="14"/>
                <w:color w:val="auto"/>
              </w:rPr>
            </w:pPr>
          </w:p>
        </w:tc>
        <w:tc>
          <w:tcPr>
            <w:tcW w:w="28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7600" w:type="dxa"/>
            <w:vAlign w:val="bottom"/>
            <w:gridSpan w:val="2"/>
            <w:vMerge w:val="continue"/>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Weighted-average fair value at grant date per share</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Intrinsic value of options exercised</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11,535</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options vested</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1,491</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is recorded net of estimated forfeiture rates ranging from 1% to 10%.</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September 30, 2012, estimated unrecognized compensation costs related to share-based payments amounted to $5.5 million which we expect to recognize over a weighted-average remaining requisite service period of approximately 3.0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of our stock options:</w:t>
      </w:r>
    </w:p>
    <w:p>
      <w:pPr>
        <w:spacing w:after="0" w:line="204" w:lineRule="exact"/>
        <w:rPr>
          <w:sz w:val="20"/>
          <w:szCs w:val="20"/>
          <w:color w:val="auto"/>
        </w:rPr>
      </w:pPr>
    </w:p>
    <w:tbl>
      <w:tblPr>
        <w:tblLayout w:type="fixed"/>
        <w:tblInd w:w="4960" w:type="dxa"/>
        <w:tblCellMar>
          <w:top w:w="0" w:type="dxa"/>
          <w:left w:w="0" w:type="dxa"/>
          <w:bottom w:w="0" w:type="dxa"/>
          <w:right w:w="0" w:type="dxa"/>
        </w:tblCellMar>
      </w:tblPr>
      <w:tr>
        <w:trPr>
          <w:trHeight w:val="161"/>
        </w:trPr>
        <w:tc>
          <w:tcPr>
            <w:tcW w:w="1180" w:type="dxa"/>
            <w:vAlign w:val="bottom"/>
          </w:tcPr>
          <w:p>
            <w:pPr>
              <w:jc w:val="center"/>
              <w:ind w:right="448"/>
              <w:spacing w:after="0"/>
              <w:rPr>
                <w:sz w:val="20"/>
                <w:szCs w:val="20"/>
                <w:color w:val="auto"/>
              </w:rPr>
            </w:pPr>
            <w:r>
              <w:rPr>
                <w:rFonts w:ascii="Arial" w:cs="Arial" w:eastAsia="Arial" w:hAnsi="Arial"/>
                <w:sz w:val="14"/>
                <w:szCs w:val="14"/>
                <w:b w:val="1"/>
                <w:bCs w:val="1"/>
                <w:color w:val="auto"/>
                <w:w w:val="94"/>
              </w:rPr>
              <w:t>Number of</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20" w:type="dxa"/>
            <w:vAlign w:val="bottom"/>
          </w:tcPr>
          <w:p>
            <w:pPr>
              <w:jc w:val="center"/>
              <w:ind w:left="8"/>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tcPr>
          <w:p>
            <w:pPr>
              <w:jc w:val="center"/>
              <w:ind w:left="368"/>
              <w:spacing w:after="0"/>
              <w:rPr>
                <w:sz w:val="20"/>
                <w:szCs w:val="20"/>
                <w:color w:val="auto"/>
              </w:rPr>
            </w:pPr>
            <w:r>
              <w:rPr>
                <w:rFonts w:ascii="Arial" w:cs="Arial" w:eastAsia="Arial" w:hAnsi="Arial"/>
                <w:sz w:val="14"/>
                <w:szCs w:val="14"/>
                <w:b w:val="1"/>
                <w:bCs w:val="1"/>
                <w:color w:val="auto"/>
                <w:w w:val="89"/>
              </w:rPr>
              <w:t>Aggregate</w:t>
            </w:r>
          </w:p>
        </w:tc>
      </w:tr>
      <w:tr>
        <w:trPr>
          <w:trHeight w:val="149"/>
        </w:trPr>
        <w:tc>
          <w:tcPr>
            <w:tcW w:w="1180" w:type="dxa"/>
            <w:vAlign w:val="bottom"/>
          </w:tcPr>
          <w:p>
            <w:pPr>
              <w:jc w:val="center"/>
              <w:ind w:right="448"/>
              <w:spacing w:after="0" w:line="149" w:lineRule="exact"/>
              <w:rPr>
                <w:sz w:val="20"/>
                <w:szCs w:val="20"/>
                <w:color w:val="auto"/>
              </w:rPr>
            </w:pPr>
            <w:r>
              <w:rPr>
                <w:rFonts w:ascii="Arial" w:cs="Arial" w:eastAsia="Arial" w:hAnsi="Arial"/>
                <w:sz w:val="14"/>
                <w:szCs w:val="14"/>
                <w:b w:val="1"/>
                <w:bCs w:val="1"/>
                <w:color w:val="auto"/>
                <w:w w:val="90"/>
              </w:rPr>
              <w:t>options</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3"/>
              </w:rPr>
              <w:t>intrinsic value</w:t>
            </w:r>
          </w:p>
        </w:tc>
      </w:tr>
      <w:tr>
        <w:trPr>
          <w:trHeight w:val="149"/>
        </w:trPr>
        <w:tc>
          <w:tcPr>
            <w:tcW w:w="11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16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30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1"/>
              </w:rPr>
              <w:t>(in thousands)</w:t>
            </w:r>
          </w:p>
        </w:tc>
      </w:tr>
      <w:tr>
        <w:trPr>
          <w:trHeight w:val="186"/>
        </w:trPr>
        <w:tc>
          <w:tcPr>
            <w:tcW w:w="11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5"/>
              </w:rPr>
              <w:t>price</w:t>
            </w:r>
          </w:p>
        </w:tc>
        <w:tc>
          <w:tcPr>
            <w:tcW w:w="162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sectPr>
          <w:pgSz w:w="11900" w:h="16838" w:orient="portrait"/>
          <w:cols w:equalWidth="0" w:num="1">
            <w:col w:w="11360"/>
          </w:cols>
          <w:pgMar w:left="240" w:top="341" w:right="2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term</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(in years)</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3,243,958</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Granted</w:t>
            </w:r>
          </w:p>
        </w:tc>
        <w:tc>
          <w:tcPr>
            <w:tcW w:w="156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Arial" w:cs="Arial" w:eastAsia="Arial" w:hAnsi="Arial"/>
                <w:sz w:val="18"/>
                <w:szCs w:val="18"/>
                <w:color w:val="auto"/>
              </w:rPr>
              <w:t>278,500</w:t>
            </w: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280"/>
              <w:spacing w:after="0"/>
              <w:rPr>
                <w:sz w:val="20"/>
                <w:szCs w:val="20"/>
                <w:color w:val="auto"/>
              </w:rPr>
            </w:pPr>
            <w:r>
              <w:rPr>
                <w:rFonts w:ascii="Arial" w:cs="Arial" w:eastAsia="Arial" w:hAnsi="Arial"/>
                <w:sz w:val="18"/>
                <w:szCs w:val="18"/>
                <w:color w:val="auto"/>
              </w:rPr>
              <w:t>69.48</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580" w:type="dxa"/>
            <w:vAlign w:val="bottom"/>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(221,615)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(179,095)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28.35</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2012</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3,121,748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18.28</w:t>
            </w:r>
          </w:p>
        </w:tc>
        <w:tc>
          <w:tcPr>
            <w:tcW w:w="164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44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2012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1,936,789</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Stock Repurchase Authorization</w:t>
            </w: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May 2012, our shareholders approved a new stock repurchase program, which replaces the previous stock repurchase program. Under the new plan, we are authorized to purchase up to 3.5 million shares of our common stock in the open market in addition to amounts previously purchased under the prior plan. From authorization of the prior plan in May 2010 through September 30, 2012, we have purchased approximately 2.5 million shares of our common stock in the open market at an average price of $37.49 per share. During the nine months ended September 30, 2012, we purchased 0.3 million shares of common stock at an average price of $63.25 per share. Since no common stock was repurchased during the second and third quarters of 2012, 3.5 million shares of common stock remain available for repurchase under the plan.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COST OF REVENUE</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Cost of revenue principally includes payroll and employee benefits associated with personnel employed in customer service and operations roles, fees paid to external providers related to provision of services, reimbursable expenses, technology and telephony expenses as well as depreciation and amortization of operating assets. The components of cost of revenue were as follows for the three and nine months ended September 30, 2012 and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0"/>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ind w:right="473"/>
              <w:spacing w:after="0" w:line="142" w:lineRule="exact"/>
              <w:rPr>
                <w:sz w:val="20"/>
                <w:szCs w:val="20"/>
                <w:color w:val="auto"/>
              </w:rPr>
            </w:pPr>
            <w:r>
              <w:rPr>
                <w:rFonts w:ascii="Arial" w:cs="Arial" w:eastAsia="Arial" w:hAnsi="Arial"/>
                <w:sz w:val="14"/>
                <w:szCs w:val="14"/>
                <w:b w:val="1"/>
                <w:bCs w:val="1"/>
                <w:color w:val="auto"/>
                <w:w w:val="96"/>
              </w:rPr>
              <w:t>2011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28,840</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22,497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84,314</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31,084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21,528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91,494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24,326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21,834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77,846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6,900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5,904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17,890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94,287</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73,339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278,785</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SELLING, GENERAL AND ADMINISTRATIVE EXPENSES</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Selling, general and administrative expenses include payroll for personnel employed in executive, finance, legal, human resources, vendor management, risk and six sigma roles. This category also includes occupancy costs, professional fees and depreciation and amortization on non-operating assets. The components of selling, general and administrative expenses were as follows for the three and nine months ended September 30, 2012 and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91"/>
              </w:rPr>
              <w:t>Three months ended</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0"/>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left="456"/>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ind w:right="472"/>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5,212</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15,995</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5,550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6,641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19,308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3,833</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1,797</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2,608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8,002</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18,452</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15,329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54,485</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45,487</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13 — OTHER (EXPENSE) INCOME, NET</w:t>
            </w: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00" w:type="dxa"/>
            <w:vAlign w:val="bottom"/>
            <w:gridSpan w:val="2"/>
          </w:tcPr>
          <w:p>
            <w:pPr>
              <w:spacing w:after="0"/>
              <w:rPr>
                <w:sz w:val="20"/>
                <w:szCs w:val="20"/>
                <w:color w:val="auto"/>
              </w:rPr>
            </w:pPr>
            <w:r>
              <w:rPr>
                <w:rFonts w:ascii="Arial" w:cs="Arial" w:eastAsia="Arial" w:hAnsi="Arial"/>
                <w:sz w:val="18"/>
                <w:szCs w:val="18"/>
                <w:color w:val="auto"/>
                <w:w w:val="99"/>
              </w:rPr>
              <w:t>Other (expense) income, net consists of the following:</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91"/>
              </w:rPr>
              <w:t>Three months ended</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0"/>
              </w:rPr>
              <w:t>Nine 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left="456"/>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ind w:right="472"/>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Equity loss in affiliate</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Change in fair value of put option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104" w:right="279" w:bottom="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Equity in loss of affiliate represents our proportional share of the losses in Correspondent One (see Note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Basic earnings per share (“EPS”) is computed by dividing income available to common shareholders by the weighted average number of common shares outstanding for the period. Diluted EPS reflects the assumed conversion of all dilutive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for the three and nine months ended September 30, 2012 and 2011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ind w:right="473"/>
              <w:spacing w:after="0" w:line="142" w:lineRule="exact"/>
              <w:rPr>
                <w:sz w:val="20"/>
                <w:szCs w:val="20"/>
                <w:color w:val="auto"/>
              </w:rPr>
            </w:pPr>
            <w:r>
              <w:rPr>
                <w:rFonts w:ascii="Arial" w:cs="Arial" w:eastAsia="Arial" w:hAnsi="Arial"/>
                <w:sz w:val="14"/>
                <w:szCs w:val="14"/>
                <w:b w:val="1"/>
                <w:bCs w:val="1"/>
                <w:color w:val="auto"/>
                <w:w w:val="96"/>
              </w:rPr>
              <w:t>2011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common shares outstanding, basic</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23,338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23,347</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Dilutive effect of stock options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1,678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1,148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1,548</w:t>
            </w:r>
          </w:p>
        </w:tc>
        <w:tc>
          <w:tcPr>
            <w:tcW w:w="5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6"/>
              </w:rPr>
              <w:t>Weighted-average common shares outstanding, diluted</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25,016</w:t>
            </w: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25,489</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24,895</w:t>
            </w:r>
          </w:p>
        </w:tc>
        <w:tc>
          <w:tcPr>
            <w:tcW w:w="50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25,720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66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0.71</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0.67</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3.23</w:t>
            </w:r>
          </w:p>
        </w:tc>
        <w:tc>
          <w:tcPr>
            <w:tcW w:w="280" w:type="dxa"/>
            <w:vAlign w:val="bottom"/>
            <w:vMerge w:val="continue"/>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For each of the three and nine months ended September 30, 2012 and September 30, 2011, an immaterial amount of options that were anti-dilutive have been excluded from the computation of diluted EPS. These options were anti-dilutive because their exercise price was greater than the average market price of our common stock. Also excluded from the computation of diluted EPS for the nine months ended September 30, 2012 and 2011 are 0.3 million and 0.7 million options, respectively (0.2 million and 0.7 million for the three months ended September 30, 2012 and 2011, respectively), granted for shares that are issuable upon the achievement of certain market and performance criteria related to our common stock price and an annualized rate of return to investors that have not been met at this point.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record a liability for litigation if an unfavorable outcome is probable and the amount of loss can be reasonably estimated, including expected insurance coverage. For proceedings where a range of loss is determined, we record a best estimate of loss within the range. When legal proceedings are material, we disclose the nature of the litigation and to the extent possible the estimate of loss or range of loss. In the opinion of management, after consultation with legal counsel and considering insurance coverage where applicable, the outcome of current legal proceedings both individually and in the aggregate will not have a material impact on our financial condition,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Balances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hold customers’ assets in escrow at various financial institutions pending completion of certain real estate activities. These amounts are held in escrow for limited periods of time, generally consisting of a few days and are not included in the condensed consolidated balance sheets. Amounts held in escrow were $24.7 million and $17.7 million as of September 30, 2012 and December 31, 2011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REPORTING</w:t>
      </w:r>
    </w:p>
    <w:p>
      <w:pPr>
        <w:spacing w:after="0" w:line="22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Our business segments are based upon our organizational structure which focuses primarily on the services offered and are consistent with the internal reporting used by our Chief Executive Officer to evaluate operating performance and to assess the allocation of our resources.</w:t>
      </w:r>
    </w:p>
    <w:p>
      <w:pPr>
        <w:spacing w:after="0" w:line="14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We classify our businesses into three reportable segments. </w:t>
      </w:r>
      <w:r>
        <w:rPr>
          <w:rFonts w:ascii="Arial" w:cs="Arial" w:eastAsia="Arial" w:hAnsi="Arial"/>
          <w:sz w:val="18"/>
          <w:szCs w:val="18"/>
          <w:i w:val="1"/>
          <w:iCs w:val="1"/>
          <w:color w:val="auto"/>
        </w:rPr>
        <w:t>Mortgage Services</w:t>
      </w:r>
      <w:r>
        <w:rPr>
          <w:rFonts w:ascii="Arial" w:cs="Arial" w:eastAsia="Arial" w:hAnsi="Arial"/>
          <w:sz w:val="18"/>
          <w:szCs w:val="18"/>
          <w:color w:val="auto"/>
        </w:rPr>
        <w:t xml:space="preserve"> principally consists of mortgage portfolio management services that span the mortgage lifecycle.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principally consists of unsecured asset recovery and customer relationship management. </w:t>
      </w:r>
      <w:r>
        <w:rPr>
          <w:rFonts w:ascii="Arial" w:cs="Arial" w:eastAsia="Arial" w:hAnsi="Arial"/>
          <w:sz w:val="18"/>
          <w:szCs w:val="18"/>
          <w:i w:val="1"/>
          <w:iCs w:val="1"/>
          <w:color w:val="auto"/>
        </w:rPr>
        <w:t>Technology Services</w:t>
      </w:r>
      <w:r>
        <w:rPr>
          <w:rFonts w:ascii="Arial" w:cs="Arial" w:eastAsia="Arial" w:hAnsi="Arial"/>
          <w:sz w:val="18"/>
          <w:szCs w:val="18"/>
          <w:color w:val="auto"/>
        </w:rPr>
        <w:t xml:space="preserve"> principally consists of modular, comprehensive integrated technological solutions for loan servicing, vendor management and invoice presentment and payment as well as providing infrastructure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support. In addition, our </w:t>
      </w:r>
      <w:r>
        <w:rPr>
          <w:rFonts w:ascii="Arial" w:cs="Arial" w:eastAsia="Arial" w:hAnsi="Arial"/>
          <w:sz w:val="16"/>
          <w:szCs w:val="16"/>
          <w:i w:val="1"/>
          <w:iCs w:val="1"/>
          <w:color w:val="auto"/>
        </w:rPr>
        <w:t>Corporate Items and Eliminations</w:t>
      </w:r>
      <w:r>
        <w:rPr>
          <w:rFonts w:ascii="Arial" w:cs="Arial" w:eastAsia="Arial" w:hAnsi="Arial"/>
          <w:sz w:val="16"/>
          <w:szCs w:val="16"/>
          <w:color w:val="auto"/>
        </w:rPr>
        <w:t xml:space="preserve"> segment includes eliminations of transactions between the reporting segments and also includes costs recognized by us related to corporate support functions such as executive, finance, legal, human resources, vendor management, risk and six sigma.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rPr>
              <w:t>Three months ended September 30, 2012</w:t>
            </w: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Mortgage</w:t>
            </w: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Financial</w:t>
            </w: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Technology</w:t>
            </w:r>
          </w:p>
        </w:tc>
        <w:tc>
          <w:tcPr>
            <w:tcW w:w="14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Corporate</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vMerge w:val="restart"/>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Items and</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3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2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Eliminations</w:t>
            </w:r>
          </w:p>
        </w:tc>
        <w:tc>
          <w:tcPr>
            <w:tcW w:w="2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99770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1905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115,882</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15,394</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19,076</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143,988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72,774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11,784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(5,689)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94,287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43,108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49,701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18,452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36,953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31,249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gridSpan w:val="2"/>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Income before income taxes and non-controlling</w:t>
            </w:r>
          </w:p>
        </w:tc>
        <w:tc>
          <w:tcPr>
            <w:tcW w:w="4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780" w:type="dxa"/>
            <w:vAlign w:val="bottom"/>
            <w:gridSpan w:val="2"/>
            <w:vMerge w:val="continue"/>
            <w:shd w:val="clear" w:color="auto" w:fill="CCEEFF"/>
          </w:tcPr>
          <w:p>
            <w:pPr>
              <w:spacing w:after="0"/>
              <w:rPr>
                <w:sz w:val="15"/>
                <w:szCs w:val="15"/>
                <w:color w:val="auto"/>
              </w:rPr>
            </w:pPr>
          </w:p>
        </w:tc>
        <w:tc>
          <w:tcPr>
            <w:tcW w:w="320" w:type="dxa"/>
            <w:vAlign w:val="bottom"/>
            <w:tcBorders>
              <w:right w:val="single" w:sz="8" w:color="CCEEFF"/>
            </w:tcBorders>
            <w:gridSpan w:val="2"/>
            <w:vMerge w:val="restart"/>
            <w:shd w:val="clear" w:color="auto" w:fill="CCEEFF"/>
          </w:tcPr>
          <w:p>
            <w:pPr>
              <w:spacing w:after="0"/>
              <w:rPr>
                <w:sz w:val="15"/>
                <w:szCs w:val="15"/>
                <w:color w:val="auto"/>
              </w:rPr>
            </w:pPr>
          </w:p>
        </w:tc>
        <w:tc>
          <w:tcPr>
            <w:tcW w:w="160" w:type="dxa"/>
            <w:vAlign w:val="bottom"/>
            <w:vMerge w:val="restart"/>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36,663</w:t>
            </w:r>
          </w:p>
        </w:tc>
        <w:tc>
          <w:tcPr>
            <w:tcW w:w="16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8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280" w:type="dxa"/>
            <w:vAlign w:val="bottom"/>
            <w:tcBorders>
              <w:right w:val="single" w:sz="8" w:color="CCEEFF"/>
            </w:tcBorders>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(7,971)</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30,982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32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8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900" w:type="dxa"/>
            <w:vAlign w:val="bottom"/>
            <w:tcBorders>
              <w:right w:val="single" w:sz="8" w:color="CCEEFF"/>
            </w:tcBorders>
            <w:vMerge w:val="continue"/>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vMerge w:val="continue"/>
            <w:shd w:val="clear" w:color="auto" w:fill="CCEEFF"/>
          </w:tcPr>
          <w:p>
            <w:pPr>
              <w:spacing w:after="0"/>
              <w:rPr>
                <w:sz w:val="18"/>
                <w:szCs w:val="18"/>
                <w:color w:val="auto"/>
              </w:rPr>
            </w:pPr>
          </w:p>
        </w:tc>
        <w:tc>
          <w:tcPr>
            <w:tcW w:w="1000" w:type="dxa"/>
            <w:vAlign w:val="bottom"/>
            <w:tcBorders>
              <w:right w:val="single" w:sz="8" w:color="CCEEFF"/>
            </w:tcBorders>
            <w:vMerge w:val="continue"/>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120" w:type="dxa"/>
            <w:vAlign w:val="bottom"/>
            <w:tcBorders>
              <w:right w:val="single" w:sz="8" w:color="CCEEFF"/>
            </w:tcBorders>
            <w:vMerge w:val="continue"/>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Nine months ended September 30, 2012</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Mortgage</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5"/>
              </w:rPr>
              <w:t>Financial</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Technology</w:t>
            </w:r>
          </w:p>
        </w:tc>
        <w:tc>
          <w:tcPr>
            <w:tcW w:w="12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0"/>
              </w:rPr>
              <w:t>Consolidated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Items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Services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Altisource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341,446</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49,649</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53,984</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427,259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218,969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35,780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40,098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(16,062)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278,785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122,477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13,869</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148,474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54,485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105,019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93,989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gridSpan w:val="2"/>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Income before income taxes and non-controlling</w:t>
            </w:r>
          </w:p>
        </w:tc>
        <w:tc>
          <w:tcPr>
            <w:tcW w:w="4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780" w:type="dxa"/>
            <w:vAlign w:val="bottom"/>
            <w:gridSpan w:val="2"/>
            <w:vMerge w:val="continue"/>
            <w:shd w:val="clear" w:color="auto" w:fill="CCEEFF"/>
          </w:tcPr>
          <w:p>
            <w:pPr>
              <w:spacing w:after="0"/>
              <w:rPr>
                <w:sz w:val="15"/>
                <w:szCs w:val="15"/>
                <w:color w:val="auto"/>
              </w:rPr>
            </w:pPr>
          </w:p>
        </w:tc>
        <w:tc>
          <w:tcPr>
            <w:tcW w:w="320" w:type="dxa"/>
            <w:vAlign w:val="bottom"/>
            <w:tcBorders>
              <w:right w:val="single" w:sz="8" w:color="CCEEFF"/>
            </w:tcBorders>
            <w:gridSpan w:val="2"/>
            <w:vMerge w:val="restart"/>
            <w:shd w:val="clear" w:color="auto" w:fill="CCEEFF"/>
          </w:tcPr>
          <w:p>
            <w:pPr>
              <w:spacing w:after="0"/>
              <w:rPr>
                <w:sz w:val="15"/>
                <w:szCs w:val="15"/>
                <w:color w:val="auto"/>
              </w:rPr>
            </w:pPr>
          </w:p>
        </w:tc>
        <w:tc>
          <w:tcPr>
            <w:tcW w:w="160" w:type="dxa"/>
            <w:vAlign w:val="bottom"/>
            <w:vMerge w:val="restart"/>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104,162</w:t>
            </w:r>
          </w:p>
        </w:tc>
        <w:tc>
          <w:tcPr>
            <w:tcW w:w="16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28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280" w:type="dxa"/>
            <w:vAlign w:val="bottom"/>
            <w:tcBorders>
              <w:right w:val="single" w:sz="8" w:color="CCEEFF"/>
            </w:tcBorders>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(22,754)</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93,050</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32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8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900" w:type="dxa"/>
            <w:vAlign w:val="bottom"/>
            <w:tcBorders>
              <w:right w:val="single" w:sz="8" w:color="CCEEFF"/>
            </w:tcBorders>
            <w:vMerge w:val="continue"/>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vMerge w:val="continue"/>
            <w:shd w:val="clear" w:color="auto" w:fill="CCEEFF"/>
          </w:tcPr>
          <w:p>
            <w:pPr>
              <w:spacing w:after="0"/>
              <w:rPr>
                <w:sz w:val="18"/>
                <w:szCs w:val="18"/>
                <w:color w:val="auto"/>
              </w:rPr>
            </w:pPr>
          </w:p>
        </w:tc>
        <w:tc>
          <w:tcPr>
            <w:tcW w:w="1000" w:type="dxa"/>
            <w:vAlign w:val="bottom"/>
            <w:tcBorders>
              <w:right w:val="single" w:sz="8" w:color="CCEEFF"/>
            </w:tcBorders>
            <w:vMerge w:val="continue"/>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120" w:type="dxa"/>
            <w:vAlign w:val="bottom"/>
            <w:tcBorders>
              <w:right w:val="single" w:sz="8" w:color="CCEEFF"/>
            </w:tcBorders>
            <w:vMerge w:val="continue"/>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rPr>
              <w:t>Three months ended September 30, 2011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Technology</w:t>
            </w:r>
          </w:p>
        </w:tc>
        <w:tc>
          <w:tcPr>
            <w:tcW w:w="120" w:type="dxa"/>
            <w:vAlign w:val="bottom"/>
          </w:tcPr>
          <w:p>
            <w:pPr>
              <w:spacing w:after="0"/>
              <w:rPr>
                <w:sz w:val="10"/>
                <w:szCs w:val="10"/>
                <w:color w:val="auto"/>
              </w:rPr>
            </w:pPr>
          </w:p>
        </w:tc>
        <w:tc>
          <w:tcPr>
            <w:tcW w:w="11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2"/>
              </w:rPr>
              <w:t>Consolidated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Services</w:t>
            </w: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Altisource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82,170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17,303</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109,793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55,106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12,676</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9,700</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73,339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4,227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4,268</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6,078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15,329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gridSpan w:val="2"/>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Income before income taxes and non-controlling</w:t>
            </w:r>
          </w:p>
        </w:tc>
        <w:tc>
          <w:tcPr>
            <w:tcW w:w="4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780" w:type="dxa"/>
            <w:vAlign w:val="bottom"/>
            <w:gridSpan w:val="2"/>
            <w:vMerge w:val="continue"/>
            <w:shd w:val="clear" w:color="auto" w:fill="CCEEFF"/>
          </w:tcPr>
          <w:p>
            <w:pPr>
              <w:spacing w:after="0"/>
              <w:rPr>
                <w:sz w:val="15"/>
                <w:szCs w:val="15"/>
                <w:color w:val="auto"/>
              </w:rPr>
            </w:pPr>
          </w:p>
        </w:tc>
        <w:tc>
          <w:tcPr>
            <w:tcW w:w="320" w:type="dxa"/>
            <w:vAlign w:val="bottom"/>
            <w:tcBorders>
              <w:right w:val="single" w:sz="8" w:color="CCEEFF"/>
            </w:tcBorders>
            <w:gridSpan w:val="2"/>
            <w:vMerge w:val="restart"/>
            <w:shd w:val="clear" w:color="auto" w:fill="CCEEFF"/>
          </w:tcPr>
          <w:p>
            <w:pPr>
              <w:spacing w:after="0"/>
              <w:rPr>
                <w:sz w:val="15"/>
                <w:szCs w:val="15"/>
                <w:color w:val="auto"/>
              </w:rPr>
            </w:pPr>
          </w:p>
        </w:tc>
        <w:tc>
          <w:tcPr>
            <w:tcW w:w="160" w:type="dxa"/>
            <w:vAlign w:val="bottom"/>
            <w:vMerge w:val="restart"/>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160" w:type="dxa"/>
            <w:vAlign w:val="bottom"/>
            <w:vMerge w:val="restart"/>
            <w:shd w:val="clear" w:color="auto" w:fill="CCEEFF"/>
          </w:tcPr>
          <w:p>
            <w:pPr>
              <w:spacing w:after="0"/>
              <w:rPr>
                <w:sz w:val="15"/>
                <w:szCs w:val="15"/>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4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4,359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(6,458)</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20,805</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32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8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18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tcBorders>
              <w:left w:val="single" w:sz="8" w:color="CCEEFF"/>
            </w:tcBorders>
            <w:vMerge w:val="continue"/>
            <w:shd w:val="clear" w:color="auto" w:fill="CCEEFF"/>
          </w:tcPr>
          <w:p>
            <w:pPr>
              <w:spacing w:after="0"/>
              <w:rPr>
                <w:sz w:val="18"/>
                <w:szCs w:val="18"/>
                <w:color w:val="auto"/>
              </w:rPr>
            </w:pPr>
          </w:p>
        </w:tc>
        <w:tc>
          <w:tcPr>
            <w:tcW w:w="128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120" w:type="dxa"/>
            <w:vAlign w:val="bottom"/>
            <w:tcBorders>
              <w:right w:val="single" w:sz="8" w:color="CCEEFF"/>
            </w:tcBorders>
            <w:vMerge w:val="continue"/>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8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Nine months ended September 30, 2011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Technology</w:t>
            </w:r>
          </w:p>
        </w:tc>
        <w:tc>
          <w:tcPr>
            <w:tcW w:w="12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2"/>
              </w:rPr>
              <w:t>Consolidated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Services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Services</w:t>
            </w:r>
          </w:p>
        </w:tc>
        <w:tc>
          <w:tcPr>
            <w:tcW w:w="14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293"/>
              <w:spacing w:after="0"/>
              <w:rPr>
                <w:sz w:val="20"/>
                <w:szCs w:val="20"/>
                <w:color w:val="auto"/>
              </w:rPr>
            </w:pPr>
            <w:r>
              <w:rPr>
                <w:rFonts w:ascii="Arial" w:cs="Arial" w:eastAsia="Arial" w:hAnsi="Arial"/>
                <w:sz w:val="14"/>
                <w:szCs w:val="14"/>
                <w:b w:val="1"/>
                <w:bCs w:val="1"/>
                <w:color w:val="auto"/>
              </w:rPr>
              <w:t>Altisource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207,384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54,779</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41,115</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(11,547)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291,731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135,670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26,479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(10,502)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191,385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71,714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15,041</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14,636</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100,346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11,663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45,487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60,051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54,859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294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gridSpan w:val="2"/>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Income before income taxes and non-controlling</w:t>
            </w:r>
          </w:p>
        </w:tc>
        <w:tc>
          <w:tcPr>
            <w:tcW w:w="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780" w:type="dxa"/>
            <w:vAlign w:val="bottom"/>
            <w:gridSpan w:val="2"/>
            <w:vMerge w:val="continue"/>
            <w:shd w:val="clear" w:color="auto" w:fill="CCEEFF"/>
          </w:tcPr>
          <w:p>
            <w:pPr>
              <w:spacing w:after="0"/>
              <w:rPr>
                <w:sz w:val="15"/>
                <w:szCs w:val="15"/>
                <w:color w:val="auto"/>
              </w:rPr>
            </w:pPr>
          </w:p>
        </w:tc>
        <w:tc>
          <w:tcPr>
            <w:tcW w:w="480" w:type="dxa"/>
            <w:vAlign w:val="bottom"/>
            <w:gridSpan w:val="3"/>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60,391</w:t>
            </w:r>
          </w:p>
        </w:tc>
        <w:tc>
          <w:tcPr>
            <w:tcW w:w="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28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lef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11,108</w:t>
            </w:r>
          </w:p>
        </w:tc>
        <w:tc>
          <w:tcPr>
            <w:tcW w:w="280" w:type="dxa"/>
            <w:vAlign w:val="bottom"/>
            <w:tcBorders>
              <w:right w:val="single" w:sz="8" w:color="CCEEFF"/>
            </w:tcBorders>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(19,130)</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55,153</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480" w:type="dxa"/>
            <w:vAlign w:val="bottom"/>
            <w:gridSpan w:val="3"/>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900" w:type="dxa"/>
            <w:vAlign w:val="bottom"/>
            <w:tcBorders>
              <w:right w:val="single" w:sz="8" w:color="CCEEFF"/>
            </w:tcBorders>
            <w:vMerge w:val="continue"/>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vMerge w:val="continue"/>
            <w:shd w:val="clear" w:color="auto" w:fill="CCEEFF"/>
          </w:tcPr>
          <w:p>
            <w:pPr>
              <w:spacing w:after="0"/>
              <w:rPr>
                <w:sz w:val="18"/>
                <w:szCs w:val="18"/>
                <w:color w:val="auto"/>
              </w:rPr>
            </w:pPr>
          </w:p>
        </w:tc>
        <w:tc>
          <w:tcPr>
            <w:tcW w:w="1000" w:type="dxa"/>
            <w:vAlign w:val="bottom"/>
            <w:tcBorders>
              <w:right w:val="single" w:sz="8" w:color="CCEEFF"/>
            </w:tcBorders>
            <w:vMerge w:val="continue"/>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120" w:type="dxa"/>
            <w:vAlign w:val="bottom"/>
            <w:tcBorders>
              <w:right w:val="single" w:sz="8" w:color="CCEEFF"/>
            </w:tcBorders>
            <w:vMerge w:val="continue"/>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-2559050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-2559050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When we refer to “we”, “our”, “the Company” or “Altisource”, we mean Altisource Portfolio Solutions S.A. and its consolidated subsidiaries.</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2011. Significant sections of the MD&amp;A are as follows:</w:t>
      </w:r>
    </w:p>
    <w:p>
      <w:pPr>
        <w:spacing w:after="0" w:line="147" w:lineRule="exact"/>
        <w:rPr>
          <w:sz w:val="20"/>
          <w:szCs w:val="20"/>
          <w:color w:val="auto"/>
        </w:rPr>
      </w:pPr>
    </w:p>
    <w:p>
      <w:pPr>
        <w:ind w:left="340" w:right="160"/>
        <w:spacing w:after="0" w:line="28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This section, beginning on page 20, provides a description of recent developments we believe are important in understanding the results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financial condition or in understanding anticipated future trends. It also provides a brief description of significant transactions and events that affect the comparability of results and a discussion of the progress being made on our growth initiatives.</w:t>
      </w:r>
    </w:p>
    <w:p>
      <w:pPr>
        <w:spacing w:after="0" w:line="166"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beginning on page 24, provides an analysis of our consolidated results of operations for the three and</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2012 and 2011.</w:t>
      </w:r>
    </w:p>
    <w:p>
      <w:pPr>
        <w:sectPr>
          <w:pgSz w:w="11900" w:h="16838" w:orient="portrait"/>
          <w:cols w:equalWidth="0" w:num="1">
            <w:col w:w="11460"/>
          </w:cols>
          <w:pgMar w:left="240" w:top="140" w:right="199" w:bottom="0" w:gutter="0" w:footer="0" w:header="0"/>
        </w:sectPr>
      </w:pPr>
    </w:p>
    <w:bookmarkStart w:id="12" w:name="page13"/>
    <w:bookmarkEnd w:id="12"/>
    <w:p>
      <w:pPr>
        <w:jc w:val="both"/>
        <w:ind w:left="340" w:right="200"/>
        <w:spacing w:after="0" w:line="264" w:lineRule="auto"/>
        <w:rPr>
          <w:sz w:val="20"/>
          <w:szCs w:val="20"/>
          <w:color w:val="auto"/>
        </w:rPr>
      </w:pPr>
      <w:r>
        <w:rPr>
          <w:rFonts w:ascii="Arial" w:cs="Arial" w:eastAsia="Arial" w:hAnsi="Arial"/>
          <w:sz w:val="18"/>
          <w:szCs w:val="18"/>
          <w:i w:val="1"/>
          <w:iCs w:val="1"/>
          <w:color w:val="auto"/>
        </w:rPr>
        <w:t xml:space="preserve">Segment Results of Operations. </w:t>
      </w:r>
      <w:r>
        <w:rPr>
          <w:rFonts w:ascii="Arial" w:cs="Arial" w:eastAsia="Arial" w:hAnsi="Arial"/>
          <w:sz w:val="18"/>
          <w:szCs w:val="18"/>
          <w:color w:val="auto"/>
        </w:rPr>
        <w:t>This section, beginning on page 26, provides an analysis of each business segment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2012 and 2011. In addition, we discuss significant transactions, events and trends that may affect the comparability of the results being analyzed.</w:t>
      </w:r>
    </w:p>
    <w:p>
      <w:pPr>
        <w:spacing w:after="0" w:line="181"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beginning on page 34, provides an analysis of our cash flows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2012 and 2011. We also discuss restrictions on cash movements, future commitments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Certain statements in this Form 10-Q regarding anticipated financial outcomes, business and market conditions, outlook and other similar statements related to Altisource’s future financial and operational performance, are “forward looking statements” made pursuant to the safe harbor provisions of the Private Securities Litigation Reform Act of 1995 and other federal securities laws. These forward-looking statements may be identified by the use of terminology such as “may,” “will,” “should,” “expect,” “intend,” “plan,” “anticipate,” “believe,” “estimate,”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is not intended to be an all-inclusive list:</w:t>
      </w:r>
    </w:p>
    <w:p>
      <w:pPr>
        <w:spacing w:after="0" w:line="165"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regarding collection rates and placements in our Financial Services segment;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regarding the calculation of our effective tax rate;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Important factors that could cause actual results to differ materially from those suggested by the forward-looking statements include, but are not limited to, the risks discussed in the “Risk Factors” section of our Form 10-K for the year ended December 31, 2011 and include the following:</w:t>
      </w:r>
    </w:p>
    <w:p>
      <w:pPr>
        <w:spacing w:after="0" w:line="147"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and expand our existing customers and attract new customers;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dependent on the trend toward outsourcing;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and burdens imposed by changes in governmental regulations, taxes and policies.</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are a global provider of services focused on high-value, technology-enabled, knowledge-based solutions principally related to mortgage and real estate portfolio management, asset recovery and customer relationship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 into the following three reportable segments: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Mortgage Services: </w:t>
      </w:r>
      <w:r>
        <w:rPr>
          <w:rFonts w:ascii="Arial" w:cs="Arial" w:eastAsia="Arial" w:hAnsi="Arial"/>
          <w:sz w:val="16"/>
          <w:szCs w:val="16"/>
          <w:color w:val="auto"/>
        </w:rPr>
        <w:t>Provides services that span the mortgage lifecycle and are typically outsourced by loan servicers and originators. We provide these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primarily for loan portfolios serviced by Ocwen. We also have longstanding relationships with some of the leading capital markets firms, commercial banks, hedge funds, insurance companies and mortgage bankers. Within the Mortgage Services segment, we provide the following services:</w:t>
      </w:r>
    </w:p>
    <w:p>
      <w:pPr>
        <w:spacing w:after="0" w:line="147" w:lineRule="exact"/>
        <w:rPr>
          <w:sz w:val="20"/>
          <w:szCs w:val="20"/>
          <w:color w:val="auto"/>
        </w:rPr>
      </w:pPr>
    </w:p>
    <w:p>
      <w:pPr>
        <w:jc w:val="both"/>
        <w:ind w:left="340" w:right="580"/>
        <w:spacing w:after="0" w:line="312" w:lineRule="auto"/>
        <w:rPr>
          <w:sz w:val="20"/>
          <w:szCs w:val="20"/>
          <w:color w:val="auto"/>
        </w:rPr>
      </w:pPr>
      <w:r>
        <w:rPr>
          <w:rFonts w:ascii="Arial" w:cs="Arial" w:eastAsia="Arial" w:hAnsi="Arial"/>
          <w:sz w:val="16"/>
          <w:szCs w:val="16"/>
          <w:i w:val="1"/>
          <w:iCs w:val="1"/>
          <w:color w:val="auto"/>
        </w:rPr>
        <w:t xml:space="preserve">Asset management </w:t>
      </w:r>
      <w:r>
        <w:rPr>
          <w:rFonts w:ascii="Arial" w:cs="Arial" w:eastAsia="Arial" w:hAnsi="Arial"/>
          <w:sz w:val="16"/>
          <w:szCs w:val="16"/>
          <w:color w:val="auto"/>
        </w:rPr>
        <w:t>— Asset management services principally include property preservation, property inspection, real estate owned (“REO”) asset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our consumer real estate portal and REO brokerage operations. We plan to provide leasing, rehabilitation and property management services for single-family rental properties after Altisource Residential acquires rental properties as described in our growth initiatives below.</w:t>
      </w:r>
    </w:p>
    <w:p>
      <w:pPr>
        <w:spacing w:after="0" w:line="147" w:lineRule="exact"/>
        <w:rPr>
          <w:sz w:val="20"/>
          <w:szCs w:val="20"/>
          <w:color w:val="auto"/>
        </w:rPr>
      </w:pPr>
    </w:p>
    <w:p>
      <w:pPr>
        <w:jc w:val="both"/>
        <w:ind w:left="340" w:right="40"/>
        <w:spacing w:after="0" w:line="264" w:lineRule="auto"/>
        <w:rPr>
          <w:sz w:val="20"/>
          <w:szCs w:val="20"/>
          <w:color w:val="auto"/>
        </w:rPr>
      </w:pPr>
      <w:r>
        <w:rPr>
          <w:rFonts w:ascii="Arial" w:cs="Arial" w:eastAsia="Arial" w:hAnsi="Arial"/>
          <w:sz w:val="18"/>
          <w:szCs w:val="18"/>
          <w:i w:val="1"/>
          <w:iCs w:val="1"/>
          <w:color w:val="auto"/>
        </w:rPr>
        <w:t xml:space="preserve">Residential property valuation </w:t>
      </w:r>
      <w:r>
        <w:rPr>
          <w:rFonts w:ascii="Arial" w:cs="Arial" w:eastAsia="Arial" w:hAnsi="Arial"/>
          <w:sz w:val="18"/>
          <w:szCs w:val="18"/>
          <w:color w:val="auto"/>
        </w:rPr>
        <w:t>— Residential property valuation services principally include traditional appraisal products through our licensed appraisal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company and alternative valuation products primarily through our network of real estate professionals. We generally provide these services for loan servicers and mortgage bankers.</w:t>
      </w:r>
    </w:p>
    <w:p>
      <w:pPr>
        <w:spacing w:after="0" w:line="181"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i w:val="1"/>
          <w:iCs w:val="1"/>
          <w:color w:val="auto"/>
        </w:rPr>
        <w:t xml:space="preserve">Closing and insurance services </w:t>
      </w:r>
      <w:r>
        <w:rPr>
          <w:rFonts w:ascii="Arial" w:cs="Arial" w:eastAsia="Arial" w:hAnsi="Arial"/>
          <w:sz w:val="18"/>
          <w:szCs w:val="18"/>
          <w:color w:val="auto"/>
        </w:rPr>
        <w:t>— Closing and insurance services principally include an array of title search, closing and title agency services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preparation, pre-foreclosure and REO title searches, escrow and title insurance, and other insurance related services applicable to residential loan servicers. We also began to provide closing and title agency services on newly originated loans.</w:t>
      </w:r>
    </w:p>
    <w:p>
      <w:pPr>
        <w:sectPr>
          <w:pgSz w:w="11900" w:h="16838" w:orient="portrait"/>
          <w:cols w:equalWidth="0" w:num="1">
            <w:col w:w="11400"/>
          </w:cols>
          <w:pgMar w:left="240" w:top="125" w:right="259" w:bottom="56" w:gutter="0" w:footer="0" w:header="0"/>
        </w:sectPr>
      </w:pPr>
    </w:p>
    <w:bookmarkStart w:id="13" w:name="page14"/>
    <w:bookmarkEnd w:id="13"/>
    <w:p>
      <w:pPr>
        <w:spacing w:after="0" w:line="69" w:lineRule="exact"/>
        <w:rPr>
          <w:sz w:val="20"/>
          <w:szCs w:val="20"/>
          <w:color w:val="auto"/>
        </w:rPr>
      </w:pPr>
    </w:p>
    <w:p>
      <w:pPr>
        <w:ind w:left="340" w:right="720"/>
        <w:spacing w:after="0" w:line="27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Default management services principally provides foreclosure trustee services for loan servicers and non-legal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related services for and under the supervision of foreclosure, bankruptcy and eviction attorneys.</w:t>
      </w:r>
    </w:p>
    <w:p>
      <w:pPr>
        <w:spacing w:after="0" w:line="170" w:lineRule="exact"/>
        <w:rPr>
          <w:sz w:val="20"/>
          <w:szCs w:val="20"/>
          <w:color w:val="auto"/>
        </w:rPr>
      </w:pPr>
    </w:p>
    <w:p>
      <w:pPr>
        <w:ind w:left="340" w:right="240"/>
        <w:spacing w:after="0" w:line="276" w:lineRule="auto"/>
        <w:rPr>
          <w:sz w:val="20"/>
          <w:szCs w:val="20"/>
          <w:color w:val="auto"/>
        </w:rPr>
      </w:pPr>
      <w:r>
        <w:rPr>
          <w:rFonts w:ascii="Arial" w:cs="Arial" w:eastAsia="Arial" w:hAnsi="Arial"/>
          <w:sz w:val="17"/>
          <w:szCs w:val="17"/>
          <w:i w:val="1"/>
          <w:iCs w:val="1"/>
          <w:color w:val="auto"/>
        </w:rPr>
        <w:t xml:space="preserve">Origination management services </w:t>
      </w:r>
      <w:r>
        <w:rPr>
          <w:rFonts w:ascii="Arial" w:cs="Arial" w:eastAsia="Arial" w:hAnsi="Arial"/>
          <w:sz w:val="17"/>
          <w:szCs w:val="17"/>
          <w:color w:val="auto"/>
        </w:rPr>
        <w:t>- Origination management services principally includes MPA’s operations and our contract underwriting and quality</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business. MPA serves as the manager of Lenders One, a national alliance of independent mortgage bankers that provides its members with education and training along with revenue enhancing, cost reducing and market share expanding opportunities. We provide other origination related services in the residential property valuation business. In addition, some of the origination related reseller businesses, including the flood certification business, are included in the Technology Services REALSuite business.</w:t>
      </w:r>
    </w:p>
    <w:p>
      <w:pPr>
        <w:spacing w:after="0" w:line="17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 xml:space="preserve">Financial Services: </w:t>
      </w:r>
      <w:r>
        <w:rPr>
          <w:rFonts w:ascii="Arial" w:cs="Arial" w:eastAsia="Arial" w:hAnsi="Arial"/>
          <w:sz w:val="16"/>
          <w:szCs w:val="16"/>
          <w:color w:val="auto"/>
        </w:rPr>
        <w:t>Provides collection and customer relationship management services primarily to debt originators and servicers (e.g., credit card, auto</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retail credit, mortgages) and the utility and insurance industry. Within the Financial Services segment, we provide the following services:</w:t>
      </w:r>
    </w:p>
    <w:p>
      <w:pPr>
        <w:spacing w:after="0" w:line="124"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i w:val="1"/>
          <w:iCs w:val="1"/>
          <w:color w:val="auto"/>
        </w:rPr>
        <w:t xml:space="preserve">Asset recovery management </w:t>
      </w:r>
      <w:r>
        <w:rPr>
          <w:rFonts w:ascii="Arial" w:cs="Arial" w:eastAsia="Arial" w:hAnsi="Arial"/>
          <w:sz w:val="18"/>
          <w:szCs w:val="18"/>
          <w:color w:val="auto"/>
        </w:rPr>
        <w:t>— Asset recovery management principally provides post-charge-off consumer debt collection services on a contingency fee</w:t>
      </w:r>
      <w:r>
        <w:rPr>
          <w:rFonts w:ascii="Arial" w:cs="Arial" w:eastAsia="Arial" w:hAnsi="Arial"/>
          <w:sz w:val="18"/>
          <w:szCs w:val="18"/>
          <w:i w:val="1"/>
          <w:iCs w:val="1"/>
          <w:color w:val="auto"/>
        </w:rPr>
        <w:t xml:space="preserve"> </w:t>
      </w:r>
      <w:r>
        <w:rPr>
          <w:rFonts w:ascii="Arial" w:cs="Arial" w:eastAsia="Arial" w:hAnsi="Arial"/>
          <w:sz w:val="18"/>
          <w:szCs w:val="18"/>
          <w:color w:val="auto"/>
        </w:rPr>
        <w:t>basis.</w:t>
      </w:r>
    </w:p>
    <w:p>
      <w:pPr>
        <w:spacing w:after="0" w:line="170" w:lineRule="exact"/>
        <w:rPr>
          <w:sz w:val="20"/>
          <w:szCs w:val="20"/>
          <w:color w:val="auto"/>
        </w:rPr>
      </w:pPr>
    </w:p>
    <w:p>
      <w:pPr>
        <w:ind w:left="340" w:right="420"/>
        <w:spacing w:after="0" w:line="308" w:lineRule="auto"/>
        <w:rPr>
          <w:sz w:val="20"/>
          <w:szCs w:val="20"/>
          <w:color w:val="auto"/>
        </w:rPr>
      </w:pPr>
      <w:r>
        <w:rPr>
          <w:rFonts w:ascii="Arial" w:cs="Arial" w:eastAsia="Arial" w:hAnsi="Arial"/>
          <w:sz w:val="17"/>
          <w:szCs w:val="17"/>
          <w:i w:val="1"/>
          <w:iCs w:val="1"/>
          <w:color w:val="auto"/>
        </w:rPr>
        <w:t xml:space="preserve">Customer relationship management </w:t>
      </w:r>
      <w:r>
        <w:rPr>
          <w:rFonts w:ascii="Arial" w:cs="Arial" w:eastAsia="Arial" w:hAnsi="Arial"/>
          <w:sz w:val="17"/>
          <w:szCs w:val="17"/>
          <w:color w:val="auto"/>
        </w:rPr>
        <w:t>— Customer relationship management provides customer care and early stage collections services. In addition,</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relationship management provides insurance and claims processing, call center services and analytical support.</w:t>
      </w:r>
    </w:p>
    <w:p>
      <w:pPr>
        <w:spacing w:after="0" w:line="14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i w:val="1"/>
          <w:iCs w:val="1"/>
          <w:color w:val="auto"/>
        </w:rPr>
        <w:t>Technology Services</w:t>
      </w:r>
      <w:r>
        <w:rPr>
          <w:rFonts w:ascii="Arial" w:cs="Arial" w:eastAsia="Arial" w:hAnsi="Arial"/>
          <w:sz w:val="18"/>
          <w:szCs w:val="18"/>
          <w:color w:val="auto"/>
        </w:rPr>
        <w:t>: Comprises our REALSuite</w:t>
      </w:r>
      <w:r>
        <w:rPr>
          <w:rFonts w:ascii="Arial" w:cs="Arial" w:eastAsia="Arial" w:hAnsi="Arial"/>
          <w:sz w:val="18"/>
          <w:szCs w:val="18"/>
          <w:i w:val="1"/>
          <w:iCs w:val="1"/>
          <w:color w:val="auto"/>
        </w:rPr>
        <w:t xml:space="preserve"> </w:t>
      </w:r>
      <w:r>
        <w:rPr>
          <w:rFonts w:ascii="Arial" w:cs="Arial" w:eastAsia="Arial" w:hAnsi="Arial"/>
          <w:sz w:val="23"/>
          <w:szCs w:val="23"/>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of applications as well as our information technology (“IT”) infrastructure services. We only provide our</w:t>
      </w:r>
      <w:r>
        <w:rPr>
          <w:rFonts w:ascii="Arial" w:cs="Arial" w:eastAsia="Arial" w:hAnsi="Arial"/>
          <w:sz w:val="18"/>
          <w:szCs w:val="18"/>
          <w:i w:val="1"/>
          <w:iCs w:val="1"/>
          <w:color w:val="auto"/>
        </w:rPr>
        <w:t xml:space="preserve"> </w:t>
      </w:r>
      <w:r>
        <w:rPr>
          <w:rFonts w:ascii="Arial" w:cs="Arial" w:eastAsia="Arial" w:hAnsi="Arial"/>
          <w:sz w:val="18"/>
          <w:szCs w:val="18"/>
          <w:color w:val="auto"/>
        </w:rPr>
        <w:t>IT infrastructure services to Ocwen, Home Loan Servicing Solutions (“HLSS”), Correspondent One, our two recently formed subsidiaries, Altisource Residential and Altisource Asset Management, discussed below, and ourselves. The REALSuite platform provides a fully integrated set of software applications and technologies that manage the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end-to-end lifecycle for residential and commercial mortgage loan servicing including the automated management and payment of a distributed network of vendors. A brief description of the key REALSuite software products is below:</w:t>
      </w:r>
    </w:p>
    <w:p>
      <w:pPr>
        <w:spacing w:after="0" w:line="170" w:lineRule="exact"/>
        <w:rPr>
          <w:sz w:val="20"/>
          <w:szCs w:val="20"/>
          <w:color w:val="auto"/>
        </w:rPr>
      </w:pPr>
    </w:p>
    <w:p>
      <w:pPr>
        <w:ind w:left="340" w:right="140"/>
        <w:spacing w:after="0" w:line="259" w:lineRule="auto"/>
        <w:rPr>
          <w:sz w:val="20"/>
          <w:szCs w:val="20"/>
          <w:color w:val="auto"/>
        </w:rPr>
      </w:pPr>
      <w:r>
        <w:rPr>
          <w:rFonts w:ascii="Arial" w:cs="Arial" w:eastAsia="Arial" w:hAnsi="Arial"/>
          <w:sz w:val="18"/>
          <w:szCs w:val="18"/>
          <w:i w:val="1"/>
          <w:iCs w:val="1"/>
          <w:color w:val="auto"/>
        </w:rPr>
        <w:t xml:space="preserve">REALServicing® </w:t>
      </w:r>
      <w:r>
        <w:rPr>
          <w:rFonts w:ascii="Arial" w:cs="Arial" w:eastAsia="Arial" w:hAnsi="Arial"/>
          <w:sz w:val="18"/>
          <w:szCs w:val="18"/>
          <w:color w:val="auto"/>
        </w:rPr>
        <w:t>— an enterprise residential mortgage loan servicing product that offers an efficient and effective platform for loan servicing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administration. This technology solution features automated workflows, a dialogue engine and robust reporting capabilities. The solution spans the loan servicing lifecycle from loan boarding to satisfaction including all collections, payment processing and reporting. We also offer REALSynergy®, an enterprise commercial loan servicing system.</w:t>
      </w:r>
    </w:p>
    <w:p>
      <w:pPr>
        <w:spacing w:after="0" w:line="187" w:lineRule="exact"/>
        <w:rPr>
          <w:sz w:val="20"/>
          <w:szCs w:val="20"/>
          <w:color w:val="auto"/>
        </w:rPr>
      </w:pPr>
    </w:p>
    <w:p>
      <w:pPr>
        <w:ind w:left="340" w:right="40"/>
        <w:spacing w:after="0" w:line="286" w:lineRule="auto"/>
        <w:rPr>
          <w:sz w:val="20"/>
          <w:szCs w:val="20"/>
          <w:color w:val="auto"/>
        </w:rPr>
      </w:pPr>
      <w:r>
        <w:rPr>
          <w:rFonts w:ascii="Arial" w:cs="Arial" w:eastAsia="Arial" w:hAnsi="Arial"/>
          <w:sz w:val="17"/>
          <w:szCs w:val="17"/>
          <w:i w:val="1"/>
          <w:iCs w:val="1"/>
          <w:color w:val="auto"/>
        </w:rPr>
        <w:t xml:space="preserve">REALTrans® </w:t>
      </w:r>
      <w:r>
        <w:rPr>
          <w:rFonts w:ascii="Arial" w:cs="Arial" w:eastAsia="Arial" w:hAnsi="Arial"/>
          <w:sz w:val="17"/>
          <w:szCs w:val="17"/>
          <w:color w:val="auto"/>
        </w:rPr>
        <w:t>— a patented electronic business-to-business exchange that automates and simplifies the ordering, tracking and fulfilling of vendor</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services principally related to mortgages. This technology solution, whether web-based or integrated into a servicing system, connects multiple service providers through a single platform and forms an efficient method for managing a large scale network of vendors.</w:t>
      </w:r>
    </w:p>
    <w:p>
      <w:pPr>
        <w:spacing w:after="0" w:line="166"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i w:val="1"/>
          <w:iCs w:val="1"/>
          <w:color w:val="auto"/>
        </w:rPr>
        <w:t xml:space="preserve">REALRemit® </w:t>
      </w:r>
      <w:r>
        <w:rPr>
          <w:rFonts w:ascii="Arial" w:cs="Arial" w:eastAsia="Arial" w:hAnsi="Arial"/>
          <w:sz w:val="18"/>
          <w:szCs w:val="18"/>
          <w:color w:val="auto"/>
        </w:rPr>
        <w:t>— a patented electronic invoicing and payment system that provides vendors with the ability to submit invoices electronically for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to have invoice payments deposited directly to their respective bank accounts.</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Includes costs related to corporate support functions including executive, finance, legal, human resources, vendor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risk and six sigma and also includes eliminations of transactions between the reporting segments.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In evaluating our performance, we focus on service revenue which consists of amounts attributable to our fee based services. Reimbursable expenses and non-controlling interests are pass-through items for which we earn no margin. Reimbursable expenses consist of amounts that we incur on behalf of our customers in performing our fee based services, but we pass such costs directly on to our customers without any additional markup. Non-controlling interests represent the earnings of Lenders One, a consolidated entity that is not owned by Altisource. It is included in revenue and reduced from net income to arrive at net income attributable to Altisource.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May 2012, our shareholders approved a new stock repurchase program, which replaces the previous stock repurchase program. Under the new plan, we are authorized to purchase up to 3.5 million shares of our common stock in the open market in addition to amounts previously purchased under the prior plan. From authorization of the prior plan in May 2010 through September 30, 2012, we have purchased approximately 2.5 million shares of our common stock in the open market at an average price of $37.49 per share. During the nine months ended September 30, 2012, we purchased 0.3 million shares of common stock at an average price of $63.25 per share. Since no common stock was repurchased during the second and third quarters of 2012, 3.5 million shares of common stock remain available for repurchase under the plan. The distribution of Altisource Residential and Altisource Asset Management to our shareholders restricts our ability to repurchase shares for a period of time as Luxembourg law limits share repurchases to approximately the balance of Altisource Portfolio Solutions S.A.’s retained earnings less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initiatives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believe that Ocwen provides significant growth opportunities for Altisource. On October 3, 2012, Ocwen announced its agreement to acquire Homeward Residential Holdings Inc. (“Homeward Residential”) from WL Ross &amp; Co. LLC. We believe the acquisition will bring growth to Ocwen and Altisource, increasing the number of loans serviced by Ocwen by over 50%. Additionally, we believe the acquisition will expand Ocwen’s origination capacity providing a sustainable source of future growth for Ocwen and a new customer for our growing origination related services business.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October 24, 2012, Ocwen and Walter Investment Management Corp. announced they were jointly awarded the highest and best bid in the auction of Residential Capital LLC’s loan servicing portfolio. The transaction is subject to the completion of definitive acquisition documents and the approval of the bankruptcy court.</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believe the market opportunity for default related services will remain strong for the next three to five years, if not longer. However, we recognize that default related revenue will eventually peak. Our strategy for the future continues to include providing high quality mortgage servicing related services to</w:t>
      </w:r>
    </w:p>
    <w:p>
      <w:pPr>
        <w:sectPr>
          <w:pgSz w:w="11900" w:h="16908" w:orient="portrait"/>
          <w:cols w:equalWidth="0" w:num="1">
            <w:col w:w="11400"/>
          </w:cols>
          <w:pgMar w:left="240" w:top="125" w:right="259" w:bottom="0" w:gutter="0" w:footer="0" w:header="0"/>
        </w:sectPr>
      </w:pPr>
    </w:p>
    <w:bookmarkStart w:id="14" w:name="page15"/>
    <w:bookmarkEnd w:id="14"/>
    <w:p>
      <w:pPr>
        <w:spacing w:after="0" w:line="264" w:lineRule="auto"/>
        <w:rPr>
          <w:sz w:val="20"/>
          <w:szCs w:val="20"/>
          <w:color w:val="auto"/>
        </w:rPr>
      </w:pPr>
      <w:r>
        <w:rPr>
          <w:rFonts w:ascii="Arial" w:cs="Arial" w:eastAsia="Arial" w:hAnsi="Arial"/>
          <w:sz w:val="18"/>
          <w:szCs w:val="18"/>
          <w:color w:val="auto"/>
        </w:rPr>
        <w:t>Ocwen and others. In addition, we have developed four initiatives to expand and diversify our revenue and customer base in areas other than mortgage default in order to help meet our longer term earnings growth objective. Our core capabilities and technologies are the foundation of each initiative we are pursuing. The four initiatives are:</w:t>
      </w:r>
    </w:p>
    <w:p>
      <w:pPr>
        <w:spacing w:after="0" w:line="181"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the residential asset business for single-family home rentals;</w:t>
      </w:r>
    </w:p>
    <w:p>
      <w:pPr>
        <w:spacing w:after="0" w:line="225" w:lineRule="exact"/>
        <w:rPr>
          <w:rFonts w:ascii="Arial" w:cs="Arial" w:eastAsia="Arial" w:hAnsi="Arial"/>
          <w:sz w:val="18"/>
          <w:szCs w:val="18"/>
          <w:color w:val="auto"/>
        </w:rPr>
      </w:pPr>
    </w:p>
    <w:p>
      <w:pPr>
        <w:ind w:left="5620" w:right="1480" w:hanging="5288"/>
        <w:spacing w:after="0" w:line="528" w:lineRule="auto"/>
        <w:tabs>
          <w:tab w:leader="none" w:pos="616"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growing our origination related services by leveraging our acquisition of Lenders One and our investment in Correspondent One;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fully developing our consumer real estate portal for distressed and non-distressed home sales;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improving the Financial Services segment’s earnings and growing its revenue.</w:t>
      </w:r>
    </w:p>
    <w:p>
      <w:pPr>
        <w:spacing w:after="0" w:line="22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Residential asset businesses </w:t>
      </w:r>
      <w:r>
        <w:rPr>
          <w:rFonts w:ascii="Arial" w:cs="Arial" w:eastAsia="Arial" w:hAnsi="Arial"/>
          <w:sz w:val="18"/>
          <w:szCs w:val="18"/>
          <w:color w:val="auto"/>
        </w:rPr>
        <w:t>— We are in the process of establishing residential asset management related businesses to support the growing residential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single-family rental market as we believe there is a significant opportunity to leverage and extend our existing infrastructure and competencies to this market. The single-family residential rental market in the United States is a $3 trillion industry, accounting for 52% of all residential rental units in 2011. With the continued displacement of homeowners related to foreclosure and other economic circumstances, we believe the demand for single-family rentals will significantly increase.</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Because of the different capital considerations and the operating metrics associated with owning and renting single-family homes, we believe the entity that owns the residential assets is best suited to operate separate and apart from Altisource. In this regard, we have created two companies that we intend to separate and distribute to our shareholders. The first, Altisource Residential will acquire residential related assets and, the second, Altisource Asset Management, will provide asset management and advisory services to Altisource Residential. Altisource will provide construction management, rental property management and leasing brokerage services to Altisource Residential, creating a long-term, stable revenue stream for Altisource. Further, to the extent Altisource Residential acquires non-performing loans, Altisource Residential intends to retain Ocwen to service the loans who, in turn, will retain us to provide default related and technology services.</w:t>
      </w:r>
    </w:p>
    <w:p>
      <w:pPr>
        <w:spacing w:after="0" w:line="18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For Altisource, entering the construction management, rental property management and leasing brokerage rental markets are complementary extensions of our existing service offerings, leveraging our significant economies of scale. As a result, we believe our per unit operating costs will be substantially lower than others in the industry. With our operating cost advantage, we believe that we can provide these services to Altisource Residential at a cost similar to an apartment unit managed by a multi-family REIT.</w:t>
      </w:r>
    </w:p>
    <w:p>
      <w:pPr>
        <w:spacing w:after="0" w:line="18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the third quarter of 2012, we filed Form 10 registration statements to separate Altisource Residential and Altisource Asset Management from Altisource. We expect to complete the separation around the end of the year. At the same time, we continue to extend our internal residential asset management capabilities to the rehabilitation, leasing and management of single family homes. Altisource will be the exclusive service provider of these services to Altisource Residential. As Altisource Residential develops and grows its business, Altisource will establish an attractive, longer term revenue stream.</w:t>
      </w:r>
    </w:p>
    <w:p>
      <w:pPr>
        <w:spacing w:after="0" w:line="15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Mortgage origination related services </w:t>
      </w:r>
      <w:r>
        <w:rPr>
          <w:rFonts w:ascii="Arial" w:cs="Arial" w:eastAsia="Arial" w:hAnsi="Arial"/>
          <w:sz w:val="18"/>
          <w:szCs w:val="18"/>
          <w:color w:val="auto"/>
        </w:rPr>
        <w:t>— With an objective of long-term growth in the origination services market, we acquired the manager of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One mortgage cooperative in February 2010. In 2011, the members of Lenders One originated approximately $107 billion of loans. We estimate that in excess of $1.5 billion was spent on origination related services in connection with these loans. The manager of the cooperative leverages the size of Lenders One, 241 members strong as of September 30, 2012, to obtain better execution on the sale of closed loans with third parties and to achieve lower costs on origination related services from third parties.</w:t>
      </w:r>
    </w:p>
    <w:p>
      <w:pPr>
        <w:spacing w:after="0" w:line="18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Leveraging our vendor network, technology, scale, global workforce and lower sales costs, we have begun offering origination related services directly to the members at a price we believe is below the current market. Many of the services are in place and are similar to the services we provide in our default related business.</w:t>
      </w:r>
    </w:p>
    <w:p>
      <w:pPr>
        <w:spacing w:after="0" w:line="18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service revenue from origination related services grew to $10.1 million for the third quarter of 2012, an increase of 69% over the third quarter of 2011. We also sequentially grew our origination related services revenue by 23% over the second quarter of 2012. This is reflective of Lenders One membership growth, strong origination volume and an increasing number of the Lenders One members retaining Altisource to provide them with origination related services. When comparing the end of the third quarter of 2012 to the end of the second quarter of 2012, Lenders One membership increased from 232 to 241 and the number of signed agreements with the members increased from 108 to 128. During the third quarter of 2012, we also began a pilot of our initial bundle of origination related services with several of the Lenders One members. We hope to complete the pilot of our ordering and services delivery portal during the fourth quarter and roll-out our initial bundle of origination related services to the full complement of members beginning in 2013.</w:t>
      </w:r>
    </w:p>
    <w:p>
      <w:pPr>
        <w:spacing w:after="0" w:line="16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 xml:space="preserve">Consumer real estate portal </w:t>
      </w:r>
      <w:r>
        <w:rPr>
          <w:rFonts w:ascii="Arial" w:cs="Arial" w:eastAsia="Arial" w:hAnsi="Arial"/>
          <w:sz w:val="17"/>
          <w:szCs w:val="17"/>
          <w:color w:val="auto"/>
        </w:rPr>
        <w:t>— We are also continuing to fully develop our consumer real estate portal as we believe there are opportunities to benefit from</w:t>
      </w:r>
      <w:r>
        <w:rPr>
          <w:rFonts w:ascii="Arial" w:cs="Arial" w:eastAsia="Arial" w:hAnsi="Arial"/>
          <w:sz w:val="17"/>
          <w:szCs w:val="17"/>
          <w:b w:val="1"/>
          <w:bCs w:val="1"/>
          <w:color w:val="auto"/>
        </w:rPr>
        <w:t xml:space="preserve"> </w:t>
      </w:r>
      <w:r>
        <w:rPr>
          <w:rFonts w:ascii="Arial" w:cs="Arial" w:eastAsia="Arial" w:hAnsi="Arial"/>
          <w:sz w:val="17"/>
          <w:szCs w:val="17"/>
          <w:color w:val="auto"/>
        </w:rPr>
        <w:t>a shifting consumer preference for on-line transacting. The consumer real estate portal provides an automated, transparent and integrated on-line solution for buying and selling real estate and, eventually, related services. Like the residential rental business, the market for this business is immense. The 2012 forecast for home sales in the United States is approximately $780 billion. These sales will generate over $40 billion in brokerage commissions annually. Based on our observations, we believe the industry is beginning to see a shift in consumer behavior and attitudes toward on-line transacting for homes. For the nine months ended September 30, 2012, we sold more than 20,000 homes through our consumer real estate portal, and our revenue has grown to $40.3 million in the first nine months of 2012, compared to $22.3 million for the same period in 2011 (the consumer real estate portal is part of our asset management services business in our Mortgage Services segment).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82" w:lineRule="auto"/>
        <w:rPr>
          <w:sz w:val="20"/>
          <w:szCs w:val="20"/>
          <w:color w:val="auto"/>
        </w:rPr>
      </w:pPr>
      <w:r>
        <w:rPr>
          <w:rFonts w:ascii="Arial" w:cs="Arial" w:eastAsia="Arial" w:hAnsi="Arial"/>
          <w:sz w:val="16"/>
          <w:szCs w:val="16"/>
          <w:color w:val="auto"/>
        </w:rPr>
        <w:t xml:space="preserve">In the third quarter of 2012, we launched the business under the new Hubzu </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brand (“Hubzu”), with a significantly enhanced user experience. The new Hubzu website provides easier navigation and improved overall experience for our customers with enhanced content, tools and resources to guide our</w:t>
      </w:r>
    </w:p>
    <w:p>
      <w:pPr>
        <w:sectPr>
          <w:pgSz w:w="11900" w:h="16838" w:orient="portrait"/>
          <w:cols w:equalWidth="0" w:num="1">
            <w:col w:w="11400"/>
          </w:cols>
          <w:pgMar w:left="240" w:top="125" w:right="259" w:bottom="0" w:gutter="0" w:footer="0" w:header="0"/>
        </w:sectPr>
      </w:pPr>
    </w:p>
    <w:bookmarkStart w:id="15" w:name="page16"/>
    <w:bookmarkEnd w:id="15"/>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customers through the process. Hubzu also improves the auction and traditional sale process by providing more transparency on the buyers’ offers and detailed status updates and notifications.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the launch of Hubzu, we have initiated two efforts to grow the business. First, we are beginning to have conversations with servicers and financial institutions to add them to our marketplace and further extend our leadership position in REO home sales. We continue to believe our ability to accelerate the sales process at the right price will deliver significant value to these customers. In addition, we are in the final stages of preparing to open up Hubzu to individual listing agents and brokers. Over the past year, we have received interest from individual listing agents to utilize both our significant market reach and simple and transparent offer management system for their clients. We intend to leverage the launch of this new segment to lay the foundation for a broader entry into the non-distressed home sale market.</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 xml:space="preserve">Financial Services segment </w:t>
      </w:r>
      <w:r>
        <w:rPr>
          <w:rFonts w:ascii="Arial" w:cs="Arial" w:eastAsia="Arial" w:hAnsi="Arial"/>
          <w:sz w:val="17"/>
          <w:szCs w:val="17"/>
          <w:color w:val="auto"/>
        </w:rPr>
        <w:t>— This segment includes our receivables management and customer care businesses. We believe the Financial Services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has meaningful expansion opportunities but generates lower margins than we believe should be achieved. Therefore, we continue to build the foundation for higher margins. In 2012, we are simplifying the technology architecture, increasing automation and implementing borrower self-help programs. In the third quarter, we eliminated a legacy mainframe system, allowing us to leverage our dialogue engine and introduce borrower self help for all products while reducing costs. We expect our margin improvement initiatives to be complete by the end of the first half of 2013.</w:t>
      </w:r>
    </w:p>
    <w:p>
      <w:pPr>
        <w:spacing w:after="0" w:line="17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From a revenue perspective, we recently invested in a sales team and are developing a pipeline of new business. Looking to 2013, we intend to pursue growth from existing customers and deeper penetration of the industries we currently serve. In 2014, with our next generation technology in place, we plan to provide higher margin platform business process outsourcing solutions, similar to what is being used by Ocwen. These solutions include a suite of technologies, including dialogue engines and customized customer self-help programs, to improve performance and reduce variability in outcomes.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additional items may impact the comparability of our results:</w:t>
      </w:r>
    </w:p>
    <w:p>
      <w:pPr>
        <w:spacing w:after="0" w:line="225" w:lineRule="exact"/>
        <w:rPr>
          <w:sz w:val="20"/>
          <w:szCs w:val="20"/>
          <w:color w:val="auto"/>
        </w:rPr>
      </w:pPr>
    </w:p>
    <w:p>
      <w:pPr>
        <w:ind w:left="660" w:right="400" w:hanging="328"/>
        <w:spacing w:after="0" w:line="277"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average, Ocwen serviced 0.7 million loans for the nine months ended September 30, 2012 compared to 0.5 million loans for the nine months ended September 30, 2011.</w:t>
      </w:r>
    </w:p>
    <w:p>
      <w:pPr>
        <w:spacing w:after="0" w:line="170" w:lineRule="exact"/>
        <w:rPr>
          <w:rFonts w:ascii="Arial" w:cs="Arial" w:eastAsia="Arial" w:hAnsi="Arial"/>
          <w:sz w:val="18"/>
          <w:szCs w:val="18"/>
          <w:color w:val="auto"/>
        </w:rPr>
      </w:pPr>
    </w:p>
    <w:p>
      <w:pPr>
        <w:ind w:left="660" w:right="480" w:hanging="328"/>
        <w:spacing w:after="0" w:line="308" w:lineRule="auto"/>
        <w:tabs>
          <w:tab w:leader="none" w:pos="624"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April 2011, we acquired Springhouse, an appraisal management company that utilizes a nationwide panel of appraisers to provide real estate appraisals principally to mortgage originators, including the members of Lenders One, and real estate asset managers.</w:t>
      </w:r>
    </w:p>
    <w:p>
      <w:pPr>
        <w:spacing w:after="0" w:line="146" w:lineRule="exact"/>
        <w:rPr>
          <w:rFonts w:ascii="Arial" w:cs="Arial" w:eastAsia="Arial" w:hAnsi="Arial"/>
          <w:sz w:val="17"/>
          <w:szCs w:val="17"/>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July 2011, we acquired the assembled workforce of a sub-contractor in India that performs asset recovery services.</w:t>
      </w:r>
    </w:p>
    <w:p>
      <w:pPr>
        <w:spacing w:after="0" w:line="225" w:lineRule="exact"/>
        <w:rPr>
          <w:rFonts w:ascii="Arial" w:cs="Arial" w:eastAsia="Arial" w:hAnsi="Arial"/>
          <w:sz w:val="18"/>
          <w:szCs w:val="18"/>
          <w:color w:val="auto"/>
        </w:rPr>
      </w:pPr>
    </w:p>
    <w:p>
      <w:pPr>
        <w:ind w:left="660" w:right="240" w:hanging="328"/>
        <w:spacing w:after="0" w:line="342" w:lineRule="auto"/>
        <w:tabs>
          <w:tab w:leader="none" w:pos="6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Throughout 2011, we repurchased 1.6 million shares of our common stock under our stock repurchase program, and during the nine months ended September 30, 2012, we purchased 0.3 million shares of our common stock under the program (none during the third quarter of 2012).</w:t>
      </w:r>
    </w:p>
    <w:p>
      <w:pPr>
        <w:spacing w:after="0" w:line="123" w:lineRule="exact"/>
        <w:rPr>
          <w:rFonts w:ascii="Arial" w:cs="Arial" w:eastAsia="Arial" w:hAnsi="Arial"/>
          <w:sz w:val="16"/>
          <w:szCs w:val="16"/>
          <w:color w:val="auto"/>
        </w:rPr>
      </w:pPr>
    </w:p>
    <w:p>
      <w:pPr>
        <w:ind w:left="660" w:right="140" w:hanging="328"/>
        <w:spacing w:after="0" w:line="277"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first quarter of 2012, we increased our employee levels in anticipation of Ocwen boarding additional loans. Additional loans were boarded by Ocwen in April and June of 2012 (June was almost exclusively government-sponsored enterprise (“GSE”) loans).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discussion of our consolidated results of operations for the periods indicated.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our results of operations for the three and nine months ended September 30, 2012 and 2011: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60" w:type="dxa"/>
            <w:vAlign w:val="bottom"/>
            <w:gridSpan w:val="7"/>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8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1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51"/>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 Increase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51"/>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32"/>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 (decrease)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 (decrease)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Mortgage Services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90,607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58,915</w:t>
            </w:r>
          </w:p>
        </w:tc>
        <w:tc>
          <w:tcPr>
            <w:tcW w:w="900" w:type="dxa"/>
            <w:vAlign w:val="bottom"/>
          </w:tcPr>
          <w:p>
            <w:pPr>
              <w:ind w:left="720"/>
              <w:spacing w:after="0"/>
              <w:rPr>
                <w:sz w:val="20"/>
                <w:szCs w:val="20"/>
                <w:color w:val="auto"/>
              </w:rPr>
            </w:pPr>
            <w:r>
              <w:rPr>
                <w:rFonts w:ascii="Arial" w:cs="Arial" w:eastAsia="Arial" w:hAnsi="Arial"/>
                <w:sz w:val="18"/>
                <w:szCs w:val="18"/>
                <w:color w:val="auto"/>
                <w:w w:val="79"/>
              </w:rPr>
              <w:t>54</w:t>
            </w:r>
          </w:p>
        </w:tc>
        <w:tc>
          <w:tcPr>
            <w:tcW w:w="16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259,926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147,768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Financial Services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15,283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16,934</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53,067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Technology Services</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19,076</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14,827</w:t>
            </w:r>
          </w:p>
        </w:tc>
        <w:tc>
          <w:tcPr>
            <w:tcW w:w="900" w:type="dxa"/>
            <w:vAlign w:val="bottom"/>
          </w:tcPr>
          <w:p>
            <w:pPr>
              <w:ind w:left="720"/>
              <w:spacing w:after="0"/>
              <w:rPr>
                <w:sz w:val="20"/>
                <w:szCs w:val="20"/>
                <w:color w:val="auto"/>
              </w:rPr>
            </w:pPr>
            <w:r>
              <w:rPr>
                <w:rFonts w:ascii="Arial" w:cs="Arial" w:eastAsia="Arial" w:hAnsi="Arial"/>
                <w:sz w:val="18"/>
                <w:szCs w:val="18"/>
                <w:color w:val="auto"/>
                <w:w w:val="79"/>
              </w:rPr>
              <w:t>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53,984</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41,115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(6,364)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(4,507)</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(17,820)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(11,547)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118,602</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86,169</w:t>
            </w:r>
          </w:p>
        </w:tc>
        <w:tc>
          <w:tcPr>
            <w:tcW w:w="24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79"/>
              </w:rPr>
              <w:t>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345,190</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230,403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24,326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21,833</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77,846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56,933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1,060</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1,791</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4,223</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4,395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143,988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109,793</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79"/>
              </w:rPr>
              <w:t>31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427,259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291,731</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94,287</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73,339</w:t>
            </w:r>
          </w:p>
        </w:tc>
        <w:tc>
          <w:tcPr>
            <w:tcW w:w="900" w:type="dxa"/>
            <w:vAlign w:val="bottom"/>
          </w:tcPr>
          <w:p>
            <w:pPr>
              <w:ind w:left="720"/>
              <w:spacing w:after="0"/>
              <w:rPr>
                <w:sz w:val="20"/>
                <w:szCs w:val="20"/>
                <w:color w:val="auto"/>
              </w:rPr>
            </w:pPr>
            <w:r>
              <w:rPr>
                <w:rFonts w:ascii="Arial" w:cs="Arial" w:eastAsia="Arial" w:hAnsi="Arial"/>
                <w:sz w:val="18"/>
                <w:szCs w:val="18"/>
                <w:color w:val="auto"/>
                <w:w w:val="79"/>
              </w:rPr>
              <w:t>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278,785</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191,385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36,454</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79"/>
              </w:rPr>
              <w:t>36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148,474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100,346</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18,452</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15,329</w:t>
            </w:r>
          </w:p>
        </w:tc>
        <w:tc>
          <w:tcPr>
            <w:tcW w:w="900" w:type="dxa"/>
            <w:vAlign w:val="bottom"/>
          </w:tcPr>
          <w:p>
            <w:pPr>
              <w:ind w:left="720"/>
              <w:spacing w:after="0"/>
              <w:rPr>
                <w:sz w:val="20"/>
                <w:szCs w:val="20"/>
                <w:color w:val="auto"/>
              </w:rPr>
            </w:pPr>
            <w:r>
              <w:rPr>
                <w:rFonts w:ascii="Arial" w:cs="Arial" w:eastAsia="Arial" w:hAnsi="Arial"/>
                <w:sz w:val="18"/>
                <w:szCs w:val="18"/>
                <w:color w:val="auto"/>
                <w:w w:val="79"/>
              </w:rPr>
              <w:t>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54,485</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45,487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21,125</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48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900" w:type="dxa"/>
            <w:vAlign w:val="bottom"/>
          </w:tcPr>
          <w:p>
            <w:pPr>
              <w:ind w:left="720"/>
              <w:spacing w:after="0"/>
              <w:rPr>
                <w:sz w:val="20"/>
                <w:szCs w:val="20"/>
                <w:color w:val="auto"/>
              </w:rPr>
            </w:pPr>
            <w:r>
              <w:rPr>
                <w:rFonts w:ascii="Arial" w:cs="Arial" w:eastAsia="Arial" w:hAnsi="Arial"/>
                <w:sz w:val="18"/>
                <w:szCs w:val="18"/>
                <w:color w:val="auto"/>
                <w:w w:val="79"/>
              </w:rPr>
              <w:t>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(939)</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294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7"/>
              </w:rPr>
              <w:t>Income before income taxes and non-controlling</w:t>
            </w: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30,982</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20,805</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49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93,050</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55,153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(2,898)</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(1,843)</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(8,493)</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(5,377)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18,962</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79"/>
              </w:rPr>
              <w:t>48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84,557</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49,776</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(1,060)</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(1,791)</w:t>
            </w:r>
          </w:p>
        </w:tc>
        <w:tc>
          <w:tcPr>
            <w:tcW w:w="900" w:type="dxa"/>
            <w:vAlign w:val="bottom"/>
          </w:tcPr>
          <w:p>
            <w:pPr>
              <w:ind w:left="720"/>
              <w:spacing w:after="0"/>
              <w:rPr>
                <w:sz w:val="20"/>
                <w:szCs w:val="20"/>
                <w:color w:val="auto"/>
              </w:rPr>
            </w:pPr>
            <w:r>
              <w:rPr>
                <w:rFonts w:ascii="Arial" w:cs="Arial" w:eastAsia="Arial" w:hAnsi="Arial"/>
                <w:sz w:val="18"/>
                <w:szCs w:val="18"/>
                <w:color w:val="auto"/>
                <w:w w:val="79"/>
              </w:rPr>
              <w:t>41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(4,223)</w:t>
            </w:r>
          </w:p>
        </w:tc>
        <w:tc>
          <w:tcPr>
            <w:tcW w:w="2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(4,395)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27,024</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17,171</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80,334</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45,381</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Margins: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Gross profit/service revenue</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0.71</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3.44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1.84</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0.67</w:t>
            </w: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61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recognized service revenue of $345.2 million for the nine months ended September 30, 2012, a 50% increase when compared to the nine months ended September 30, 2011 ($118.6 million for the third quarter of 2012, a 38% increase over the third quarter of 2011). The continued growth in service revenue in both periods is due to the increase in Ocwen’s residential loan portfolio, impacting Mortgage Services and Technology Services, coupled with our ongoing expansion of mortgage and real estate portfolio management services. Partially offsetting our service revenue growth in Mortgage Services and Technology Services was a decline in the Financial Services segment in both periods. This is primarily due to the shift of existing services to a lower cost geography with corresponding lower fees from our customers for these services and a modest decline in total placements as a result of lower credit card delinquencies.</w:t>
      </w:r>
    </w:p>
    <w:p>
      <w:pPr>
        <w:spacing w:after="0" w:line="16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increase in revenue from reimbursable expenses in both periods is due primarily to the increase in our asset management business in our Mortgage Services segment.</w:t>
      </w:r>
    </w:p>
    <w:p>
      <w:pPr>
        <w:spacing w:after="0" w:line="17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Our revenues are seasonal. More specifically, Financial Services revenue tends to be higher in the first quarter and generally declines throughout the year. Mortgage Services revenue is impacted by REO sales which tend to be at their lowest level during the fall and winter months and highest during the spring and summer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telephony expenses as well as depreciation and amortization of operating assets.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recognized cost of revenue of $278.8 million for the nine months ended September 30, 2012, a 46% increase when compared to the nine months ended September 30, 2011 ($94.3 million for the third quarter of 2012, a 29% increase over the third quarter of 2011). Our gross margins can vary significantly from period to period. The most significant factors contributing to variability include seasonality, mix of services delivered, timing of investments in new services, hiring of staff in advance of new business and the timing of when loans are boarded by our customers. Gross profit margin as a percentage of service revenue decreased for the nine months ended September 30, 2012 compared to the nine months ended September 30, 2011 from higher costs in our Technology Services segment as we continue to invest in the development of our next generation technology.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Selling, general and administrative expenses (“SG&amp;A”) include payroll for personnel employed in executive, finance, legal, human resources, vendor management, risk and six sigma roles. This category also includes occupancy costs, professional fees, depreciation and amortization on non-operating assets.</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recognized SG&amp;A of $54.5 million for the nine months ended September 30, 2012, a 20% increase when compared to the nine months ended September 30, 2011 ($18.5 million for the third quarter of 2012, a 20% increase over the third quarter of 2011). On a consolidated basis, income from operations margins as a percentage of service revenue are improving as SG&amp;A is growing at a slower pace than service revenue. Income from operations as a percentage of service revenue improved to 27% for the nine months ended September 30, 2012 from 24% for the nine months ended September 30, 2011 (26% for the third quarter of 2012 and 25% for the third quarter of 2011).</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an absolute basis, the increase in SG&amp;A for the nine months ended September 30, 2012 was primarily due to a $7.3 million increase in occupancy related costs ($2.2 million increase in the third quarter of 2012 compared to the third quarter of 2011) primarily from the addition of new leased facilities and equipment to support our growth. In addition, other SG&amp;A for the nine months ended September 30, 2012 increased $2.1 million compared to nine months ended September 30, 2011 ($0.6 million increase in the third quarter of 2012 compared to the third quarter of 2011) from higher marketing costs related to the consumer real estate portal business and travel expenses primarily associated with the management of our global operations. Partially offsetting the year-to-date increase was lower compensation expense of $1.0 million in the first half of 2012 primarily due to the reversal in the first quarter of share-based compensation and incentive compensation expense related to the departure of an Executive Officer in March 2012.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recognized an income tax provision of $8.5 million for the nine months ended September 30, 2012. The effective tax rate differs from the Luxembourg statutory tax rate of 28.8% primarily because of the effect of a favorable tax ruling in Luxembourg and the mix of income and losses in multiple taxing jurisdictions. Adjusting for the impact of net income attributable to non-controlling interests, the effective tax rate for the nine months ended September 30, 2012 of 9.6% compared to</w:t>
      </w:r>
    </w:p>
    <w:p>
      <w:pPr>
        <w:sectPr>
          <w:pgSz w:w="11900" w:h="16838" w:orient="portrait"/>
          <w:cols w:equalWidth="0" w:num="1">
            <w:col w:w="11420"/>
          </w:cols>
          <w:pgMar w:left="240" w:top="140" w:right="239" w:bottom="217"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217"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10.6% for the nine months ended September 30, 2011. The lower effective tax rate in 2012 is due to higher relative taxable income in the current year in tax jurisdictions with a lower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for the three and nine months ended September 30, 2012 and 2011. Transactions between segments are accounted for as third-party arrangements for purposes of presenting Segment Results of Operations. Intercompany transactions primarily consist of IT infrastructure services and charges for the use of certain REALSuite applications from our Technology Service segment to our other two segments. Generally, we reflect these charges within technology and communication in the segment receiving the services, except for consulting services, which we reflect in professional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10"/>
          </w:tcPr>
          <w:p>
            <w:pPr>
              <w:jc w:val="center"/>
              <w:ind w:right="420"/>
              <w:spacing w:after="0"/>
              <w:rPr>
                <w:sz w:val="20"/>
                <w:szCs w:val="20"/>
                <w:color w:val="auto"/>
              </w:rPr>
            </w:pPr>
            <w:r>
              <w:rPr>
                <w:rFonts w:ascii="Arial" w:cs="Arial" w:eastAsia="Arial" w:hAnsi="Arial"/>
                <w:sz w:val="14"/>
                <w:szCs w:val="14"/>
                <w:b w:val="1"/>
                <w:bCs w:val="1"/>
                <w:color w:val="auto"/>
                <w:w w:val="91"/>
              </w:rPr>
              <w:t>Three months ended September 30, 2012</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90,607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15,283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19,076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(6,364)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118,602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24,215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115,882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15,394</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143,988</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72,774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11,784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15,418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(5,689)</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94,287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7,330</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36,953</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and non-controlling interests</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36,663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1,802</w:t>
            </w:r>
          </w:p>
        </w:tc>
        <w:tc>
          <w:tcPr>
            <w:tcW w:w="2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(7,971)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30,982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Margins: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profit/service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78,970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621</w:t>
            </w:r>
          </w:p>
        </w:tc>
        <w:tc>
          <w:tcPr>
            <w:tcW w:w="2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621</w:t>
            </w:r>
          </w:p>
        </w:tc>
        <w:tc>
          <w:tcPr>
            <w:tcW w:w="1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gridSpan w:val="3"/>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1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0"/>
          </w:tcPr>
          <w:p>
            <w:pPr>
              <w:jc w:val="center"/>
              <w:ind w:right="420"/>
              <w:spacing w:after="0"/>
              <w:rPr>
                <w:sz w:val="20"/>
                <w:szCs w:val="20"/>
                <w:color w:val="auto"/>
              </w:rPr>
            </w:pPr>
            <w:r>
              <w:rPr>
                <w:rFonts w:ascii="Arial" w:cs="Arial" w:eastAsia="Arial" w:hAnsi="Arial"/>
                <w:sz w:val="14"/>
                <w:szCs w:val="14"/>
                <w:b w:val="1"/>
                <w:bCs w:val="1"/>
                <w:color w:val="auto"/>
                <w:w w:val="91"/>
              </w:rPr>
              <w:t>Three months ended September 30, 2011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58,915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16,934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86,169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21,464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17,303</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109,793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55,106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12,676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(4,143)</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73,339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36,454</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6,078</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22,837</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Margins: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Gross profit/service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58,200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5,561</w:t>
            </w:r>
          </w:p>
        </w:tc>
        <w:tc>
          <w:tcPr>
            <w:tcW w:w="2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63,827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tcBorders>
              <w:top w:val="single" w:sz="8" w:color="CCEEFF"/>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-3775075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-3775075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460"/>
          </w:cols>
          <w:pgMar w:left="240" w:top="125" w:right="199" w:bottom="0" w:gutter="0" w:footer="0" w:header="0"/>
        </w:sectPr>
      </w:pPr>
    </w:p>
    <w:p>
      <w:pPr>
        <w:spacing w:after="0" w:line="217"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Nine months ended 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6350</wp:posOffset>
            </wp:positionV>
            <wp:extent cx="43053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jc w:val="right"/>
        <w:ind w:right="1840"/>
        <w:spacing w:after="0"/>
        <w:rPr>
          <w:sz w:val="20"/>
          <w:szCs w:val="20"/>
          <w:color w:val="auto"/>
        </w:rPr>
      </w:pPr>
      <w:r>
        <w:rPr>
          <w:rFonts w:ascii="Arial" w:cs="Arial" w:eastAsia="Arial" w:hAnsi="Arial"/>
          <w:sz w:val="14"/>
          <w:szCs w:val="14"/>
          <w:b w:val="1"/>
          <w:bCs w:val="1"/>
          <w:color w:val="auto"/>
        </w:rPr>
        <w:t>Corporate</w:t>
      </w:r>
    </w:p>
    <w:p>
      <w:pPr>
        <w:sectPr>
          <w:pgSz w:w="11900" w:h="16838" w:orient="portrait"/>
          <w:cols w:equalWidth="0" w:num="1">
            <w:col w:w="11460"/>
          </w:cols>
          <w:pgMar w:left="240" w:top="125" w:right="199" w:bottom="0" w:gutter="0" w:footer="0" w:header="0"/>
          <w:type w:val="continuous"/>
        </w:sectPr>
      </w:pPr>
    </w:p>
    <w:bookmarkStart w:id="18" w:name="page19"/>
    <w:bookmarkEnd w:id="1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5"/>
              </w:rPr>
              <w:t>Mortgage</w:t>
            </w:r>
          </w:p>
        </w:tc>
        <w:tc>
          <w:tcPr>
            <w:tcW w:w="16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Items and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Consolidated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Eliminations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Service revenue</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259,926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49,100</w:t>
            </w:r>
          </w:p>
        </w:tc>
        <w:tc>
          <w:tcPr>
            <w:tcW w:w="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53,984</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(17,820)</w:t>
            </w:r>
          </w:p>
        </w:tc>
        <w:tc>
          <w:tcPr>
            <w:tcW w:w="18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345,190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77,297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77,846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4,223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4,223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341,446</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53,984</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427,259</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218,969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35,780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40,098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(16,062)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278,785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122,477</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148,474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w w:val="92"/>
              </w:rPr>
              <w:t>Selling, general and administrative expenses</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17,458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10,550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5,519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20,958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54,485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105,019</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93,989</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(857)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7"/>
              </w:rPr>
              <w:t>Income before income taxes and non-controlling interests</w:t>
            </w: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104,162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Margins:</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Gross profit/service revenue</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56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Income from operations/service revenue</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235,933</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21,384</w:t>
            </w:r>
          </w:p>
        </w:tc>
        <w:tc>
          <w:tcPr>
            <w:tcW w:w="6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257,491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20" w:type="dxa"/>
            <w:vAlign w:val="bottom"/>
            <w:tcBorders>
              <w:top w:val="single" w:sz="8" w:color="CCEEFF"/>
              <w:bottom w:val="single" w:sz="8" w:color="CCEEFF"/>
            </w:tcBorders>
            <w:gridSpan w:val="4"/>
            <w:shd w:val="clear" w:color="auto" w:fill="CCEEFF"/>
          </w:tcPr>
          <w:p>
            <w:pPr>
              <w:ind w:left="160"/>
              <w:spacing w:after="0" w:line="196" w:lineRule="exact"/>
              <w:rPr>
                <w:sz w:val="20"/>
                <w:szCs w:val="20"/>
                <w:color w:val="auto"/>
              </w:rPr>
            </w:pPr>
            <w:r>
              <w:rPr>
                <w:rFonts w:ascii="Arial" w:cs="Arial" w:eastAsia="Arial" w:hAnsi="Arial"/>
                <w:sz w:val="18"/>
                <w:szCs w:val="18"/>
                <w:color w:val="auto"/>
                <w:w w:val="94"/>
              </w:rPr>
              <w:t>Selling, General and Administrative Expenses</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gridSpan w:val="4"/>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5"/>
          </w:tcPr>
          <w:p>
            <w:pPr>
              <w:jc w:val="center"/>
              <w:ind w:right="480"/>
              <w:spacing w:after="0"/>
              <w:rPr>
                <w:sz w:val="20"/>
                <w:szCs w:val="20"/>
                <w:color w:val="auto"/>
              </w:rPr>
            </w:pPr>
            <w:r>
              <w:rPr>
                <w:rFonts w:ascii="Arial" w:cs="Arial" w:eastAsia="Arial" w:hAnsi="Arial"/>
                <w:sz w:val="14"/>
                <w:szCs w:val="14"/>
                <w:b w:val="1"/>
                <w:bCs w:val="1"/>
                <w:color w:val="auto"/>
                <w:w w:val="91"/>
              </w:rPr>
              <w:t>Nine months ended September 30, 2011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5"/>
              </w:rPr>
              <w:t>Mortgage</w:t>
            </w:r>
          </w:p>
        </w:tc>
        <w:tc>
          <w:tcPr>
            <w:tcW w:w="160" w:type="dxa"/>
            <w:vAlign w:val="bottom"/>
          </w:tcPr>
          <w:p>
            <w:pPr>
              <w:spacing w:after="0"/>
              <w:rPr>
                <w:sz w:val="10"/>
                <w:szCs w:val="10"/>
                <w:color w:val="auto"/>
              </w:rPr>
            </w:pPr>
          </w:p>
        </w:tc>
        <w:tc>
          <w:tcPr>
            <w:tcW w:w="12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Corporate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Items and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Eliminations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Service revenue</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147,768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53,067</w:t>
            </w:r>
          </w:p>
        </w:tc>
        <w:tc>
          <w:tcPr>
            <w:tcW w:w="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41,115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(11,547)</w:t>
            </w:r>
          </w:p>
        </w:tc>
        <w:tc>
          <w:tcPr>
            <w:tcW w:w="18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230,403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55,221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56,933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207,384</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41,115</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291,731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135,670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39,738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26,479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(10,502)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191,385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71,714</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15,041</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14,636</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100,346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w w:val="92"/>
              </w:rPr>
              <w:t>Selling, general and administrative expenses</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11,663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12,230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18,105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45,487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60,051</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54,859</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7"/>
              </w:rPr>
              <w:t>Income before income taxes and non-controlling interests</w:t>
            </w: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60,391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55,153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Margins:</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Gross profit/service revenue</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56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Income from operations/service revenue</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150,483</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15,615</w:t>
            </w:r>
          </w:p>
        </w:tc>
        <w:tc>
          <w:tcPr>
            <w:tcW w:w="6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166,311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20" w:type="dxa"/>
            <w:vAlign w:val="bottom"/>
            <w:tcBorders>
              <w:top w:val="single" w:sz="8" w:color="CCEEFF"/>
              <w:bottom w:val="single" w:sz="8" w:color="CCEEFF"/>
            </w:tcBorders>
            <w:gridSpan w:val="4"/>
            <w:shd w:val="clear" w:color="auto" w:fill="CCEEFF"/>
          </w:tcPr>
          <w:p>
            <w:pPr>
              <w:ind w:left="160"/>
              <w:spacing w:after="0" w:line="196" w:lineRule="exact"/>
              <w:rPr>
                <w:sz w:val="20"/>
                <w:szCs w:val="20"/>
                <w:color w:val="auto"/>
              </w:rPr>
            </w:pPr>
            <w:r>
              <w:rPr>
                <w:rFonts w:ascii="Arial" w:cs="Arial" w:eastAsia="Arial" w:hAnsi="Arial"/>
                <w:sz w:val="18"/>
                <w:szCs w:val="18"/>
                <w:color w:val="auto"/>
                <w:w w:val="94"/>
              </w:rPr>
              <w:t>Selling, General and Administrative Expenses</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gridSpan w:val="4"/>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3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Mortgage Services</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gridSpan w:val="4"/>
          </w:tcPr>
          <w:p>
            <w:pPr>
              <w:spacing w:after="0"/>
              <w:rPr>
                <w:sz w:val="20"/>
                <w:szCs w:val="20"/>
                <w:color w:val="auto"/>
              </w:rPr>
            </w:pPr>
            <w:r>
              <w:rPr>
                <w:rFonts w:ascii="Arial" w:cs="Arial" w:eastAsia="Arial" w:hAnsi="Arial"/>
                <w:sz w:val="18"/>
                <w:szCs w:val="18"/>
                <w:i w:val="1"/>
                <w:iCs w:val="1"/>
                <w:color w:val="auto"/>
              </w:rPr>
              <w:t>Revenue</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gridSpan w:val="4"/>
          </w:tcPr>
          <w:p>
            <w:pPr>
              <w:spacing w:after="0"/>
              <w:rPr>
                <w:sz w:val="20"/>
                <w:szCs w:val="20"/>
                <w:color w:val="auto"/>
              </w:rPr>
            </w:pPr>
            <w:r>
              <w:rPr>
                <w:rFonts w:ascii="Arial" w:cs="Arial" w:eastAsia="Arial" w:hAnsi="Arial"/>
                <w:sz w:val="18"/>
                <w:szCs w:val="18"/>
                <w:color w:val="auto"/>
              </w:rPr>
              <w:t>Revenue by service line was as follows:</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00" w:type="dxa"/>
            <w:vAlign w:val="bottom"/>
            <w:gridSpan w:val="10"/>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20" w:type="dxa"/>
            <w:vAlign w:val="bottom"/>
            <w:gridSpan w:val="14"/>
          </w:tcPr>
          <w:p>
            <w:pPr>
              <w:jc w:val="right"/>
              <w:ind w:right="980"/>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 Increase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 (decrease)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ind w:left="140"/>
              <w:spacing w:after="0"/>
              <w:rPr>
                <w:sz w:val="20"/>
                <w:szCs w:val="20"/>
                <w:color w:val="auto"/>
              </w:rPr>
            </w:pPr>
            <w:r>
              <w:rPr>
                <w:rFonts w:ascii="Arial" w:cs="Arial" w:eastAsia="Arial" w:hAnsi="Arial"/>
                <w:sz w:val="14"/>
                <w:szCs w:val="14"/>
                <w:b w:val="1"/>
                <w:bCs w:val="1"/>
                <w:color w:val="auto"/>
              </w:rPr>
              <w:t>/ (decrease)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Asset management services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29,600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18,281</w:t>
            </w:r>
          </w:p>
        </w:tc>
        <w:tc>
          <w:tcPr>
            <w:tcW w:w="1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78,736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ind w:left="500"/>
              <w:spacing w:after="0"/>
              <w:rPr>
                <w:sz w:val="20"/>
                <w:szCs w:val="20"/>
                <w:color w:val="auto"/>
              </w:rPr>
            </w:pPr>
            <w:r>
              <w:rPr>
                <w:rFonts w:ascii="Arial" w:cs="Arial" w:eastAsia="Arial" w:hAnsi="Arial"/>
                <w:sz w:val="18"/>
                <w:szCs w:val="18"/>
                <w:color w:val="auto"/>
              </w:rPr>
              <w:t>45,122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Closing and insurance services</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15,013</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63,969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34,505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Residential property valuation</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20,356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13,188</w:t>
            </w:r>
          </w:p>
        </w:tc>
        <w:tc>
          <w:tcPr>
            <w:tcW w:w="1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61,784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500"/>
              <w:spacing w:after="0"/>
              <w:rPr>
                <w:sz w:val="20"/>
                <w:szCs w:val="20"/>
                <w:color w:val="auto"/>
              </w:rPr>
            </w:pPr>
            <w:r>
              <w:rPr>
                <w:rFonts w:ascii="Arial" w:cs="Arial" w:eastAsia="Arial" w:hAnsi="Arial"/>
                <w:sz w:val="18"/>
                <w:szCs w:val="18"/>
                <w:color w:val="auto"/>
              </w:rPr>
              <w:t>33,257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-6846570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-6846570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-2455545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-2455545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04" w:right="199" w:bottom="0" w:gutter="0" w:footer="0" w:header="0"/>
        </w:sectPr>
      </w:pPr>
    </w:p>
    <w:bookmarkStart w:id="19" w:name="page20"/>
    <w:bookmarkEnd w:id="19"/>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21,811</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Origination management services</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7,383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4,760</w:t>
            </w:r>
          </w:p>
        </w:tc>
        <w:tc>
          <w:tcPr>
            <w:tcW w:w="52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19,674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13,073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service revenue</w:t>
            </w: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58,915</w:t>
            </w:r>
          </w:p>
        </w:tc>
        <w:tc>
          <w:tcPr>
            <w:tcW w:w="5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147,768</w:t>
            </w: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Asset management services</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23,459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20,643</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75,319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52,288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821</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2,933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Closing and insurance services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reimbursable expenses</w:t>
            </w: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21,464</w:t>
            </w:r>
          </w:p>
        </w:tc>
        <w:tc>
          <w:tcPr>
            <w:tcW w:w="5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55,221</w:t>
            </w: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4,395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115,882</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82,170</w:t>
            </w:r>
          </w:p>
        </w:tc>
        <w:tc>
          <w:tcPr>
            <w:tcW w:w="52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41</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341,446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207,384</w:t>
            </w:r>
          </w:p>
        </w:tc>
        <w:tc>
          <w:tcPr>
            <w:tcW w:w="50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Transactions with related parties: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management services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47,192</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38,924</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141,363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97,410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Residential property valuation</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18,408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12,158</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56,666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31,358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Closing and insurance services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13,140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Default management services</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2,561</w:t>
            </w:r>
          </w:p>
        </w:tc>
        <w:tc>
          <w:tcPr>
            <w:tcW w:w="52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8,575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58,200</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150,483</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 growth in all of the business lines, except origination management services, reflects the increase in Ocwen’s servicing portfolio. Additionally, a portion of the growth in closing and insurance services is from an increased capture rate of Ocwen’s referrals as we have continued to expand our footprint. A portion of the growth in asset management services is from (1) a higher capture rate of REO sales through the time-limit bidding process, resulting in a higher percentage commission and (2) an increase in the average REO sales price.</w:t>
      </w:r>
    </w:p>
    <w:p>
      <w:pPr>
        <w:spacing w:after="0" w:line="18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higher origination management services revenue is from higher overall originations volume, the growth of Lenders One and the incremental roll-out of new origination related services to the members. For the nine months ended September 30, 2012, the Lenders One membership grew to 241 members, a net increase of 27 members.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and nine months ended September 30, 2012 and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60" w:type="dxa"/>
            <w:vAlign w:val="bottom"/>
            <w:gridSpan w:val="8"/>
          </w:tcPr>
          <w:p>
            <w:pPr>
              <w:ind w:left="6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4"/>
                <w:szCs w:val="14"/>
                <w:color w:val="auto"/>
              </w:rPr>
            </w:pPr>
          </w:p>
        </w:tc>
        <w:tc>
          <w:tcPr>
            <w:tcW w:w="37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1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155"/>
              <w:spacing w:after="0" w:line="119" w:lineRule="exact"/>
              <w:rPr>
                <w:sz w:val="20"/>
                <w:szCs w:val="20"/>
                <w:color w:val="auto"/>
              </w:rPr>
            </w:pPr>
            <w:r>
              <w:rPr>
                <w:rFonts w:ascii="Arial" w:cs="Arial" w:eastAsia="Arial" w:hAnsi="Arial"/>
                <w:sz w:val="13"/>
                <w:szCs w:val="13"/>
                <w:b w:val="1"/>
                <w:bCs w:val="1"/>
                <w:color w:val="auto"/>
              </w:rPr>
              <w:t>% Increase</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35"/>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(decrease)</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13,752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26,132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29,434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19,426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85,985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46,951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21,464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55,221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Technology and communications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3,092</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72,774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55,106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218,969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Cost of revenue increased in the third quarter and first nine months of 2012 due to investments in personnel and vendor costs to support the increase in Ocwen’s residential loan servicing portfolio, costs incurred in connection with the April and June 2012 boarding of loans by Ocwen as well as the development of new origination related services.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Gross profit as a percentage of service revenue declined from 49% for the nine months ended September 30, 2011 to 47% for the nine months ended September 30, 2012 (an increase from 46% in the third quarter of 2011 to 48% in the third quarter of 2012). The most significant factors impacting gross profit as a percent of service revenue were the mix of services provided; increased costs in the first quarter from higher employee levels in anticipation of loan boardings; use of outside providers to support the growth in residential property valuation services and a higher level of technology expenses to support our continued growth. Although we have been able to generally maintain our margins in a period of accelerated growth, over time we will seek to reduce employee and vendor costs as a percent of service revenue principally through deployment of our next generation vendor, process and payment management technologies which began in the second half of 2012 and will continue through 2013.</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margins can vary substantially depending upon when servicing is acquired by Ocwen. Typically, compensation and benefits will increase in anticipation of an acquisition as we hire and train personnel to deliver services in advance of the actual boarding of loans. Subsequently, as new loans are boarded, for the first couple of months post boarding, we tend to deliver an elevated level of valuations and pre-foreclosure services for which we incur substantially more outside fees and services when compared to asset management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SG&amp;A increased on an absolute basis in the third quarter and first nine months of 2012 principally due to segment growth which required an increase in leased facilities and related occupancy costs. Also contributing to the increase in both periods was higher marketing costs related to the consumer real estate portal business, travel expenses primarily associated with the management of our global operations and higher bad debt expense in line with our higher levels of revenue. SG&amp;A as a percentage of service revenue, however, declined from 8% for the nine months ended September 30, 2011 to 7% for the nine months ended September 30, 2012 as service revenue increased at a faster pace. Income from operations as a percentage of service revenue, however, declined from</w:t>
      </w:r>
    </w:p>
    <w:p>
      <w:pPr>
        <w:sectPr>
          <w:pgSz w:w="11900" w:h="16887" w:orient="portrait"/>
          <w:cols w:equalWidth="0" w:num="1">
            <w:col w:w="11420"/>
          </w:cols>
          <w:pgMar w:left="240" w:top="140" w:right="239" w:bottom="0" w:gutter="0" w:footer="0" w:header="0"/>
        </w:sectPr>
      </w:pPr>
    </w:p>
    <w:bookmarkStart w:id="20" w:name="page21"/>
    <w:bookmarkEnd w:id="20"/>
    <w:p>
      <w:pPr>
        <w:ind w:right="80"/>
        <w:spacing w:after="0" w:line="342" w:lineRule="auto"/>
        <w:rPr>
          <w:sz w:val="20"/>
          <w:szCs w:val="20"/>
          <w:color w:val="auto"/>
        </w:rPr>
      </w:pPr>
      <w:r>
        <w:rPr>
          <w:rFonts w:ascii="Arial" w:cs="Arial" w:eastAsia="Arial" w:hAnsi="Arial"/>
          <w:sz w:val="16"/>
          <w:szCs w:val="16"/>
          <w:color w:val="auto"/>
        </w:rPr>
        <w:t>41% for the nine months ended September 30, 2011 to 40% for the nine months ended September 30, 2012 (an increase from 39% in the third quarter of 2011 to 41% in the third quarter of 2012) due to the lower gross profit margins in 2012, partially offset by the stabilization of SG&amp;A on higher service revenue.</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60" w:type="dxa"/>
            <w:vAlign w:val="bottom"/>
            <w:gridSpan w:val="8"/>
          </w:tcPr>
          <w:p>
            <w:pPr>
              <w:jc w:val="right"/>
              <w:ind w:right="11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4"/>
                <w:szCs w:val="14"/>
                <w:color w:val="auto"/>
              </w:rPr>
            </w:pPr>
          </w:p>
        </w:tc>
        <w:tc>
          <w:tcPr>
            <w:tcW w:w="370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1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155"/>
              <w:spacing w:after="0" w:line="119" w:lineRule="exact"/>
              <w:rPr>
                <w:sz w:val="20"/>
                <w:szCs w:val="20"/>
                <w:color w:val="auto"/>
              </w:rPr>
            </w:pPr>
            <w:r>
              <w:rPr>
                <w:rFonts w:ascii="Arial" w:cs="Arial" w:eastAsia="Arial" w:hAnsi="Arial"/>
                <w:sz w:val="13"/>
                <w:szCs w:val="13"/>
                <w:b w:val="1"/>
                <w:bCs w:val="1"/>
                <w:color w:val="auto"/>
              </w:rPr>
              <w:t>% Increase</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35"/>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(decrease)</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Asset recovery management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6,705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8,778</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23,330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29,220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Customer relationship management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23,847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ind w:left="340"/>
              <w:spacing w:after="0"/>
              <w:rPr>
                <w:sz w:val="20"/>
                <w:szCs w:val="20"/>
                <w:color w:val="auto"/>
              </w:rPr>
            </w:pPr>
            <w:r>
              <w:rPr>
                <w:rFonts w:ascii="Arial" w:cs="Arial" w:eastAsia="Arial" w:hAnsi="Arial"/>
                <w:sz w:val="18"/>
                <w:szCs w:val="18"/>
                <w:color w:val="auto"/>
              </w:rPr>
              <w:t>Total service revenue</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16,934</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53,067</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reimbursable expenses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(70)</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15,394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17,303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49,649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54,779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9"/>
              </w:rPr>
              <w:t>Transactions with related parties included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above:</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Financial Services revenue declined in the third quarter and first nine months of 2012 due to a decline in revenue from asset recovery management services. The decline was primarily due to the shift of existing services for one of the segment’s largest customers to a lower cost geography with corresponding lower fees from our customers for these services and a modest decline in total placements as a result of lower credit card delinquencies. Partially offsetting this decline, we experienced growth in customer relationship management for the third quarter and first nine months of 2012. Our global delivery platform consists of highly trained specialists in various geographic regions. The use of specialists in certain countries may result in lower commission rates paid by clients but results in higher margins principally due to the lower employee cost structure.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Financial Services revenue tends to be higher in the first quarter as borrowers utilize tax refunds to pay debts.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and nine months ended September 30, 2012 and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60" w:type="dxa"/>
            <w:vAlign w:val="bottom"/>
            <w:gridSpan w:val="8"/>
          </w:tcPr>
          <w:p>
            <w:pPr>
              <w:jc w:val="right"/>
              <w:ind w:right="11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4"/>
                <w:szCs w:val="14"/>
                <w:color w:val="auto"/>
              </w:rPr>
            </w:pPr>
          </w:p>
        </w:tc>
        <w:tc>
          <w:tcPr>
            <w:tcW w:w="37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1"/>
              </w:rPr>
              <w:t>Nine months ended 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155"/>
              <w:spacing w:after="0" w:line="119" w:lineRule="exact"/>
              <w:rPr>
                <w:sz w:val="20"/>
                <w:szCs w:val="20"/>
                <w:color w:val="auto"/>
              </w:rPr>
            </w:pPr>
            <w:r>
              <w:rPr>
                <w:rFonts w:ascii="Arial" w:cs="Arial" w:eastAsia="Arial" w:hAnsi="Arial"/>
                <w:sz w:val="13"/>
                <w:szCs w:val="13"/>
                <w:b w:val="1"/>
                <w:bCs w:val="1"/>
                <w:color w:val="auto"/>
              </w:rPr>
              <w:t>% Increase</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35"/>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(decrease)</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(decrease)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24,639</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22,069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1,872</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9,785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Technology and communications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2,195</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6,167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39,738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40" w:type="dxa"/>
            <w:vAlign w:val="bottom"/>
            <w:gridSpan w:val="3"/>
            <w:vMerge w:val="restart"/>
          </w:tcPr>
          <w:p>
            <w:pPr>
              <w:spacing w:after="0"/>
              <w:rPr>
                <w:sz w:val="20"/>
                <w:szCs w:val="20"/>
                <w:color w:val="auto"/>
              </w:rPr>
            </w:pPr>
            <w:r>
              <w:rPr>
                <w:rFonts w:ascii="Arial" w:cs="Arial" w:eastAsia="Arial" w:hAnsi="Arial"/>
                <w:sz w:val="18"/>
                <w:szCs w:val="18"/>
                <w:color w:val="auto"/>
              </w:rPr>
              <w:t>N/M — not meaningful.</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0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July 2011, we purchased the assembled workforce of a sub-contractor in India that performs asset recovery services. For periods prior to the acquisition, the costs paid to the sub-contractor were included in outside fees and services ($4.2 million for the nine months ended September 30, 2011 and none for the third quarter of 2011). Since the acquisition, these costs have been recorded according to the nature of the expenses and included in compensation and benefits and technology and communications expenses (included in cost of revenue above) or occupancy related costs and other (included in SG&amp;A below).</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Gross profit as a percentage of service revenue remained consistent at 28% for the nine months ended September 30, 2012 compared to the nine months ended September 30, 2011. Gross profit as a percentage of service revenue decreased in the third quarter of 2012 compared to the third quarter of 2011 due to lower revenue in the asset recovery business from a decline in total placements as a result of lower credit card delinquencies without a corresponding reduction in costs. To capture a greater share of a contracting market and improve our margins, management is focused on simplifying the technology architecture, improving our borrower communication and implementing borrower self-help programs.</w:t>
      </w:r>
    </w:p>
    <w:p>
      <w:pPr>
        <w:sectPr>
          <w:pgSz w:w="11900" w:h="16838" w:orient="portrait"/>
          <w:cols w:equalWidth="0" w:num="1">
            <w:col w:w="11460"/>
          </w:cols>
          <w:pgMar w:left="240" w:top="125" w:right="199" w:bottom="0" w:gutter="0" w:footer="0" w:header="0"/>
        </w:sectPr>
      </w:pPr>
    </w:p>
    <w:bookmarkStart w:id="21" w:name="page22"/>
    <w:bookmarkEnd w:id="21"/>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SG&amp;A decreased in the third quarter and first nine months of 2012 principally from lower compensation costs as a result of shifting work in our global delivery platform as discussed in the revenue section above and as a result of decreased depreciation and amortization (related to assets no longer utilized by this segment).</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Income from operations as a percentage of service revenue for the three and nine months ended September 30, 2012 increased from the comparable 2011 periods due to these decreases in SG&amp;A.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40" w:type="dxa"/>
            <w:vAlign w:val="bottom"/>
            <w:gridSpan w:val="7"/>
          </w:tcPr>
          <w:p>
            <w:pPr>
              <w:ind w:left="6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gridSpan w:val="8"/>
          </w:tcPr>
          <w:p>
            <w:pPr>
              <w:ind w:lef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1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ind w:left="240"/>
              <w:spacing w:after="0" w:line="119" w:lineRule="exact"/>
              <w:rPr>
                <w:sz w:val="20"/>
                <w:szCs w:val="20"/>
                <w:color w:val="auto"/>
              </w:rPr>
            </w:pPr>
            <w:r>
              <w:rPr>
                <w:rFonts w:ascii="Arial" w:cs="Arial" w:eastAsia="Arial" w:hAnsi="Arial"/>
                <w:sz w:val="13"/>
                <w:szCs w:val="13"/>
                <w:b w:val="1"/>
                <w:bCs w:val="1"/>
                <w:color w:val="auto"/>
              </w:rPr>
              <w:t>% Increase</w:t>
            </w:r>
          </w:p>
        </w:tc>
        <w:tc>
          <w:tcPr>
            <w:tcW w:w="2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35"/>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ind w:left="240"/>
              <w:spacing w:after="0"/>
              <w:rPr>
                <w:sz w:val="20"/>
                <w:szCs w:val="20"/>
                <w:color w:val="auto"/>
              </w:rPr>
            </w:pPr>
            <w:r>
              <w:rPr>
                <w:rFonts w:ascii="Arial" w:cs="Arial" w:eastAsia="Arial" w:hAnsi="Arial"/>
                <w:sz w:val="14"/>
                <w:szCs w:val="14"/>
                <w:b w:val="1"/>
                <w:bCs w:val="1"/>
                <w:color w:val="auto"/>
                <w:w w:val="89"/>
              </w:rPr>
              <w:t>/ (decrease)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REALSuite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10,423</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8,964</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29,941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25,395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IT infrastructure services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14,827</w:t>
            </w:r>
          </w:p>
        </w:tc>
        <w:tc>
          <w:tcPr>
            <w:tcW w:w="2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w w:val="89"/>
              </w:rPr>
              <w:t>29</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53,984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41,115</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9"/>
              </w:rPr>
              <w:t>Transactions with related parties included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above:</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REALSuite</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IT infrastructure services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3,218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2,068</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56</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6,109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35</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increase in REALSuite revenue in the third quarter and first nine months of 2012 is primarily attributable to the growth in Ocwen’s residential loan servicing portfolio and an increase in flood certification services to Lenders One members. We began offering flood certification services in early 2011. To a lesser degree, we experienced growth in REALTrans and REALRemit revenue as we supported our growing Mortgage Services segment.</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increase in IT infrastructure services revenue in the third quarter and first nine months of 2012 is due to growth in operations for both us and Ocwen. Information Technology infrastructure services are billed on a cost plus basis. As such, the increase in cost to support headcount growth in both companies resulted in a corresponding increase in revenue in the Technology Services segment.</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services provided to our other segments are eliminated in consolidation but are included as revenue in Technology Services and as a component of technology and communications expense in our other segments for segment presentation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nine months ended September 30, 2012 and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60" w:type="dxa"/>
            <w:vAlign w:val="bottom"/>
            <w:gridSpan w:val="8"/>
          </w:tcPr>
          <w:p>
            <w:pPr>
              <w:ind w:left="6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4"/>
                <w:szCs w:val="14"/>
                <w:color w:val="auto"/>
              </w:rPr>
            </w:pPr>
          </w:p>
        </w:tc>
        <w:tc>
          <w:tcPr>
            <w:tcW w:w="3700" w:type="dxa"/>
            <w:vAlign w:val="bottom"/>
            <w:gridSpan w:val="7"/>
          </w:tcPr>
          <w:p>
            <w:pPr>
              <w:ind w:lef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1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156"/>
              <w:spacing w:after="0" w:line="119" w:lineRule="exact"/>
              <w:rPr>
                <w:sz w:val="20"/>
                <w:szCs w:val="20"/>
                <w:color w:val="auto"/>
              </w:rPr>
            </w:pPr>
            <w:r>
              <w:rPr>
                <w:rFonts w:ascii="Arial" w:cs="Arial" w:eastAsia="Arial" w:hAnsi="Arial"/>
                <w:sz w:val="13"/>
                <w:szCs w:val="13"/>
                <w:b w:val="1"/>
                <w:bCs w:val="1"/>
                <w:color w:val="auto"/>
              </w:rPr>
              <w:t>% Increase</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51"/>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(decrease)</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19,090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1,197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484</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and communications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10,791</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1,413</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5,874</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4,108</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Cost of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15,418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9,700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40,098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26,479</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 of revenue increased in the third quarter and first nine months of 2012 due to the hiring of more expensive personnel to support the development of our next generation REALSuite software and increased technology and communications costs from the addition of new facilities and the expansion of bandwidth at existing facilities. We expect cost of revenue in the Technology Services segment to increase as we continue to invest in personnel to support our development initiatives.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Outside fees and services increased in the third quarter and first nine months of 2012 associated with the increase in flood certification services provided as described in the revenue section above.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Gross profit margin declined in both periods presented as we experienced faster growth in lower margin IT infrastructure services and margins declined in our higher margin technology services as we continue to invest in the development of our next generation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SG&amp;A increased in the third quarter and first nine months of 2012 primarily due to an increase in occupancy costs. These fluctuations, along with the decline in the gross profit margin, resulted in a decrease in income from operations as a percentage of service revenue from 27% for the nine months ended September 30, 2011 to 15% for the nine months ended September 30, 2012 (29% in the third quarter of 2011 compared to 9% in 2012).</w:t>
      </w:r>
    </w:p>
    <w:p>
      <w:pPr>
        <w:sectPr>
          <w:pgSz w:w="11900" w:h="16893" w:orient="portrait"/>
          <w:cols w:equalWidth="0" w:num="1">
            <w:col w:w="11420"/>
          </w:cols>
          <w:pgMar w:left="240" w:top="125"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Corporate Items and Eliminations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Corporate segment includes costs related to corporate support functions such as finance, legal, human resources, compliance, risk and quality assurance.</w:t>
      </w:r>
    </w:p>
    <w:p>
      <w:pPr>
        <w:spacing w:after="0" w:line="2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Corporate costs increased in both periods in 2012 as compared to the same periods in 2011. The increase was primarily due to increased lease costs related to the build out of new facilities to support our growth. We reflect initial lease costs in our corporate segment until the facilities reach a certain level of occupancy by the business operations, at which time the cost is reflected in the respective business unit’s financial statements. Partially offsetting the year-to-date increase in 2012 was the reversal in the first quarter of share-based compensation and incentive compensation expense related to the departure of an Executive Officer in March 2012.</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amount of intercompany revenue eliminated upon consolidation increased in the third quarter and first nine months of 2012 due to growth in our operations year over year. These intercompany transactions primarily consisted of Information Technology infrastructure services as well as charges for the use of certain REALSuite applications from our Technology Service segment to our other two segments. While the expenses are recognized in the Mortgage Services and Financial Services segments above, the elimination of these expenses are reflected in Corporate Items and Eliminations.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seek to deploy excess cash generated in a disciplined manner. Principally, we will continue to reinvest excess cash in developing complementary services that we believe will generate attractive margins in line with our core capabilities. In addition, we may seek to acquire complementary companies that fit our strategic objectives. Finally, given the tax inefficiency of dividends and the low returns earned on cash held, we believe one of the best ways to return value to shareholders is a stock repurchase program to reduce the number of outstanding shares and to mitigate potential future dilution from the exercise of share based awards. We execute on our buyback plan when we believe the market price provides a good return on investment. Beginning in the second quarter of 2012, we temporarily halted our share buyback program in anticipation of the $100 million of capital we intend to invest in the residential asset business in the fourth quarter of 2012.</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May 2012, our shareholders approved a new stock repurchase program, which replaces the previous stock repurchase program. Under the new plan, we are authorized to purchase up to 3.5 million shares of our common stock in the open market in addition to amounts previously purchased under the prior plan. From authorization of the prior plan in May 2010 through September 30, 2012, we have purchased approximately 2.5 million shares of our common stock in the open market at an average price of $37.49 per share. During the nine months ended September 30, 2012, we purchased 0.3 million shares of common stock at an average price of $63.25 per share. Since no common stock was repurchased during the second and third quarters of 2012, 3.5 million shares of common stock remain available for repurchase under the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nine months ended September 30: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ind w:left="960"/>
              <w:spacing w:after="0"/>
              <w:rPr>
                <w:sz w:val="20"/>
                <w:szCs w:val="20"/>
                <w:color w:val="auto"/>
              </w:rPr>
            </w:pPr>
            <w:r>
              <w:rPr>
                <w:rFonts w:ascii="Arial" w:cs="Arial" w:eastAsia="Arial" w:hAnsi="Arial"/>
                <w:sz w:val="14"/>
                <w:szCs w:val="14"/>
                <w:b w:val="1"/>
                <w:bCs w:val="1"/>
                <w:color w:val="auto"/>
                <w:w w:val="96"/>
              </w:rPr>
              <w:t>Nine months ended September 30,</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0"/>
                <w:szCs w:val="10"/>
                <w:color w:val="auto"/>
              </w:rPr>
            </w:pPr>
          </w:p>
        </w:tc>
        <w:tc>
          <w:tcPr>
            <w:tcW w:w="10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254"/>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101,909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63,333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(4,772)</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97,137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Cash flow from investing activities</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(24,199)</w:t>
            </w:r>
          </w:p>
        </w:tc>
        <w:tc>
          <w:tcPr>
            <w:tcW w:w="3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(28,983)</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(20,634)</w:t>
            </w: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(40,652)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Net change in cash</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52,304</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32,125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22,134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6640" w:type="dxa"/>
            <w:vAlign w:val="bottom"/>
            <w:gridSpan w:val="3"/>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84,429</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21,250</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flows from operating activities are generally the cash effects of transactions and events that enter into the determination of net income. In 2012, we generated $97.1 million of positive cash flows from operations, or approximately $0.28 per every dollar of service revenue compared to $68.8 million of positive cash flows from operations or approximately $0.30 per every dollar of service revenue in 2011. The increase in cash flows from operating activities is primarily due to the increase in net income. The reduction in cash flows from operations per service revenue dollar when compared to 2011 is primarily from growth in working capital, not yet converted to cash.</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periods of growth, operating cash flows per service revenue dollar can be negatively impacted because of the nature of some of our services. Certain services are performed immediately following or shortly after the referral, but the collection of the receivable does not occur until a specific event occurs (i.e., the foreclosure is complete, the REO asset is sold, etc.). As we continue to grow, our receivables will also grow, and our cash flows from operations may be negatively impacted when comparing one interim period to another.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37" w:right="239" w:bottom="0" w:gutter="0" w:footer="0" w:header="0"/>
        </w:sectPr>
      </w:pPr>
    </w:p>
    <w:bookmarkStart w:id="23" w:name="page24"/>
    <w:bookmarkEnd w:id="23"/>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Cash flows from investing activities in 2012 reflect capital expenditures related to disaster recovery and capital expenditures to support our growth. We estimate our capital expenditures for the full year 2012 to be approximately $30 to $35 million. Of this amount, approximately $13 million is for the new disaster recovery center.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Cash flows from financing activities in the nine months ended September 30, 2012 and 2011 primarily include activity associated with stock option exercises, share repurchases and payments to non-controlling interests. We used less cash for financing activities in 2012 as we temporarily halted our share buyback program after the first quarter of 2012 (we spent $16.8 million and $35.5 million to repurchase our common stock in the first nine months of 2012 and 2011, respectively). Partially offsetting this use of cash was an increase in proceeds from stock option exercises in 2012 over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 after September 30, 2012</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began limiting our repurchase of outstanding shares in the first quarter and did not repurchase any shares during the second and third quarters of 2012 in anticipation of cash needed to execute on our growth plans (see “Growth Initiatives” in the overview section of this MD&amp;A). Assuming management concludes share repurchases remain an effective deployment of our capital, we expect to resume repurchases in 2013. We believe we have adequate access to both debt and equity capital markets to finance our capital needs.</w:t>
      </w:r>
    </w:p>
    <w:p>
      <w:pPr>
        <w:spacing w:after="0" w:line="18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intend to borrow approximately $200 million in the fourth quarter of 2012 to support Altisource’s growth opportunities and for general corporate purposes. One of these opportunities is the residential asset business and related management company. We expect to capitalize these businesses with $105 million and dividend our ownership in these businesses to our shareholders. We believe this investment not only benefits our shareholders through their ownership in these new businesses, but also provides a long tailed revenue stream for Altisource as a service provider to the residential asset business. We also plan to use the debt to invest in the services businesses associated with Ocwen’s acquisition of servicing rights and platforms. As Ocwen’s competitors have developed fee based businesses similar to Altisource, we believe our investment in the services businesses will support Ocwen’s ability to competitively address the market while also providing significant new revenue opportunities with attractive returns for Altisource. Going forward, we intend to use a portion of our excess cash flow to repay the debt. Notwithstanding our current intention to incur debt, separate the residential asset businesses or invest in service businesses, there can be no assurance that we will be able to complete these transactions on terms acceptable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2012, we expect to distribute $1.1 million to the Lenders One members representing non-controlling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 Commitments and Contingencies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the nine months ended September 30, 2012, there were no significant changes to our contractual obligations from those identified in our Form 10-K for the fiscal year ended December 31, 2011, other than those which occur in the normal course of business (primarily the addition of operating leases due to our growth). See also Note 15 to the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prepare our condensed consolidated financial statements in accordance with accounting principles generally accepted in the United States. In applying many of these accounting principles, we need to make assumptions, estimates and/or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and/or judgments, however, are often subjective. Actual results may be affected negatively based on changing circumstances. If actual amounts are ultimately different from our estimates, the revisions are included in our results of operations for the period in which the actual amounts become known.</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critical accounting policies are described in the MD&amp;A section in our Form 10-K for the year ended December 31, 2011. Such policies have not changed during the nine months ended September 30,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nine months ended September 30, 2012, we generated $235.9 million of Mortgage Services ($79.0 million for the third quarter of 2012), $0.2 million of Financial Services ($0.1 million for the third quarter of 2012) and $21.4 million of Technology Services ($7.5 million for the third quarter of 2012) segment revenue from Ocwen. Services provided to Ocwen during such periods included residential property valuation, real estate asset management and sales, trustee management services, property inspection and preservation, closing and insurance services, charge-off second mortgage collections, core technology back office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support and multiple business technologies including our REALSuite of products. We provided all services at rates we believe to be comparable to market rates.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 the nine months ended September 30, 2012 and 2011, we billed Ocwen and OMS $2.0 million and $1.7 million, respectively ($0.6 million and $0.8 million for the third quarters of 2012 and 2011, respectively), and Ocwen and OMS billed us $1.8 million and $1.4 million, respectively ($0.6 million and $0.5 million for the third quarters of 2012 and 2011, respectively) for services provided under the agreements described in Note 2 to the condensed consolidated financial statements. These amounts are reflected as components of selling, general and administrative expenses in the condensed consolidated statements of operations.</w:t>
      </w:r>
    </w:p>
    <w:p>
      <w:pPr>
        <w:sectPr>
          <w:pgSz w:w="11900" w:h="16843" w:orient="portrait"/>
          <w:cols w:equalWidth="0" w:num="1">
            <w:col w:w="11400"/>
          </w:cols>
          <w:pgMar w:left="240" w:top="341" w:right="259" w:bottom="0" w:gutter="0" w:footer="0" w:header="0"/>
        </w:sectPr>
      </w:pPr>
    </w:p>
    <w:bookmarkStart w:id="24" w:name="page25"/>
    <w:bookmarkEnd w:id="24"/>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Correspondent One and HLSS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nine months ended September 30, 2012 and 2011, we billed Correspondent One $0.2 million and $0.1 million, respectively ($0.1 million in each of the third quarters of 2012 and 2011) under a services agreement.</w:t>
      </w:r>
    </w:p>
    <w:p>
      <w:pPr>
        <w:spacing w:after="0" w:line="170"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For the nine months ended September 30, 2012, we billed HLSS</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$0.4 million ($0.2 million in the third quarter of 2012) under a services agreement (no comparative amounts in 2011).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These amounts are reflected as a component of SG&amp;A in the condensed consolidated statements of operations.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also provide certain origination related services to Correspondent One. We earned revenue of $0.2 million for the nine months ended September 30, 2012 ($0.2 million for the third quarter of 2012) from the provision of these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financial market risk consists primarily of foreign currency exchange risk. We are exposed to foreign currency exchange rate risk in connection with our investment in non-U.S. dollar functional currency operations, which are very limited, to the extent that our foreign exchange positions remain un-hedged.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Evaluation of Disclosure Controls and Procedures</w:t>
      </w:r>
    </w:p>
    <w:p>
      <w:pPr>
        <w:spacing w:after="0" w:line="225"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7"/>
          <w:szCs w:val="17"/>
          <w:color w:val="auto"/>
        </w:rPr>
        <w:t>Our Chief Executive Officer and Chief Financial Officer have evaluated the effectiveness of our disclosure controls and procedures (as defined in</w:t>
      </w:r>
    </w:p>
    <w:p>
      <w:pPr>
        <w:spacing w:after="0" w:line="34" w:lineRule="exact"/>
        <w:rPr>
          <w:rFonts w:ascii="Arial" w:cs="Arial" w:eastAsia="Arial" w:hAnsi="Arial"/>
          <w:sz w:val="18"/>
          <w:szCs w:val="18"/>
          <w:i w:val="1"/>
          <w:iCs w:val="1"/>
          <w:color w:val="auto"/>
        </w:rPr>
      </w:pPr>
    </w:p>
    <w:p>
      <w:pPr>
        <w:ind w:left="340" w:right="12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Rule 13a-15(e) or Rule 15a-15(e)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194" w:lineRule="exact"/>
        <w:rPr>
          <w:rFonts w:ascii="Arial" w:cs="Arial" w:eastAsia="Arial" w:hAnsi="Arial"/>
          <w:sz w:val="18"/>
          <w:szCs w:val="18"/>
          <w:i w:val="1"/>
          <w:iCs w:val="1"/>
          <w:color w:val="auto"/>
        </w:rPr>
      </w:pPr>
    </w:p>
    <w:p>
      <w:pPr>
        <w:ind w:left="320" w:hanging="312"/>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ind w:left="340" w:right="380"/>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September 30, 2012, that have materially affected, or are reasonably likely to materially affect, our internal control over financial reporting.</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are subject to routine litigation and administrative proceedings arising in the ordinary course of business. In the opinion of management, after consultation with legal counsel and considering insurance coverage where applicable, the outcome of current legal proceedings both individually and in the aggregate will not have a material impact on the Company’s financial condition, results of operations or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20" w:type="dxa"/>
            <w:vAlign w:val="bottom"/>
          </w:tcPr>
          <w:p>
            <w:pPr>
              <w:ind w:left="3580"/>
              <w:spacing w:after="0"/>
              <w:rPr>
                <w:sz w:val="20"/>
                <w:szCs w:val="20"/>
                <w:color w:val="auto"/>
              </w:rPr>
            </w:pPr>
            <w:r>
              <w:rPr>
                <w:rFonts w:ascii="Arial" w:cs="Arial" w:eastAsia="Arial" w:hAnsi="Arial"/>
                <w:sz w:val="18"/>
                <w:szCs w:val="18"/>
                <w:color w:val="auto"/>
              </w:rPr>
              <w:t>37</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9420" w:type="dxa"/>
            <w:vAlign w:val="bottom"/>
            <w:tcBorders>
              <w:bottom w:val="single" w:sz="8" w:color="010101"/>
            </w:tcBorders>
          </w:tcPr>
          <w:p>
            <w:pPr>
              <w:spacing w:after="0"/>
              <w:rPr>
                <w:sz w:val="11"/>
                <w:szCs w:val="11"/>
                <w:color w:val="auto"/>
              </w:rPr>
            </w:pPr>
          </w:p>
        </w:tc>
      </w:tr>
      <w:tr>
        <w:trPr>
          <w:trHeight w:val="523"/>
        </w:trPr>
        <w:tc>
          <w:tcPr>
            <w:tcW w:w="20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420" w:type="dxa"/>
            <w:vAlign w:val="bottom"/>
          </w:tcPr>
          <w:p>
            <w:pPr>
              <w:spacing w:after="0"/>
              <w:rPr>
                <w:sz w:val="24"/>
                <w:szCs w:val="24"/>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r>
      <w:tr>
        <w:trPr>
          <w:trHeight w:val="453"/>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Exhibits.</w:t>
            </w:r>
          </w:p>
        </w:tc>
        <w:tc>
          <w:tcPr>
            <w:tcW w:w="9420" w:type="dxa"/>
            <w:vAlign w:val="bottom"/>
          </w:tcPr>
          <w:p>
            <w:pPr>
              <w:spacing w:after="0"/>
              <w:rPr>
                <w:sz w:val="24"/>
                <w:szCs w:val="24"/>
                <w:color w:val="auto"/>
              </w:rPr>
            </w:pPr>
          </w:p>
        </w:tc>
      </w:tr>
      <w:tr>
        <w:trPr>
          <w:trHeight w:val="418"/>
        </w:trPr>
        <w:tc>
          <w:tcPr>
            <w:tcW w:w="78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w:t>
            </w:r>
          </w:p>
        </w:tc>
        <w:tc>
          <w:tcPr>
            <w:tcW w:w="9420" w:type="dxa"/>
            <w:vAlign w:val="bottom"/>
          </w:tcPr>
          <w:p>
            <w:pPr>
              <w:ind w:left="380"/>
              <w:spacing w:after="0"/>
              <w:rPr>
                <w:sz w:val="20"/>
                <w:szCs w:val="20"/>
                <w:color w:val="auto"/>
              </w:rPr>
            </w:pPr>
            <w:r>
              <w:rPr>
                <w:rFonts w:ascii="Arial" w:cs="Arial" w:eastAsia="Arial" w:hAnsi="Arial"/>
                <w:sz w:val="18"/>
                <w:szCs w:val="18"/>
                <w:color w:val="auto"/>
                <w:w w:val="91"/>
              </w:rPr>
              <w:t>Support Services Agreement, dated as of August 10, 2012, by and between Ocwen Mortgage Servicing, Inc. and Altisource</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20" w:type="dxa"/>
            <w:vAlign w:val="bottom"/>
          </w:tcPr>
          <w:p>
            <w:pPr>
              <w:ind w:left="380"/>
              <w:spacing w:after="0"/>
              <w:rPr>
                <w:sz w:val="20"/>
                <w:szCs w:val="20"/>
                <w:color w:val="auto"/>
              </w:rPr>
            </w:pPr>
            <w:r>
              <w:rPr>
                <w:rFonts w:ascii="Arial" w:cs="Arial" w:eastAsia="Arial" w:hAnsi="Arial"/>
                <w:sz w:val="18"/>
                <w:szCs w:val="18"/>
                <w:color w:val="auto"/>
              </w:rPr>
              <w:t>Solutions S.à r.l. (incorporated by reference to Exhibit 10.1 to the Company’s Form 8-K filed on August 16, 2012)</w:t>
            </w:r>
          </w:p>
        </w:tc>
      </w:tr>
      <w:tr>
        <w:trPr>
          <w:trHeight w:val="418"/>
        </w:trPr>
        <w:tc>
          <w:tcPr>
            <w:tcW w:w="78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10.2</w:t>
            </w:r>
          </w:p>
        </w:tc>
        <w:tc>
          <w:tcPr>
            <w:tcW w:w="9420" w:type="dxa"/>
            <w:vAlign w:val="bottom"/>
          </w:tcPr>
          <w:p>
            <w:pPr>
              <w:ind w:left="380"/>
              <w:spacing w:after="0"/>
              <w:rPr>
                <w:sz w:val="20"/>
                <w:szCs w:val="20"/>
                <w:color w:val="auto"/>
              </w:rPr>
            </w:pPr>
            <w:r>
              <w:rPr>
                <w:rFonts w:ascii="Arial" w:cs="Arial" w:eastAsia="Arial" w:hAnsi="Arial"/>
                <w:sz w:val="18"/>
                <w:szCs w:val="18"/>
                <w:color w:val="auto"/>
                <w:w w:val="97"/>
              </w:rPr>
              <w:t>First Amendment to the Employment Contract dated as of August 15, 2012 between Altisource Solutions S.à r.l. and</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20" w:type="dxa"/>
            <w:vAlign w:val="bottom"/>
          </w:tcPr>
          <w:p>
            <w:pPr>
              <w:ind w:left="380"/>
              <w:spacing w:after="0"/>
              <w:rPr>
                <w:sz w:val="20"/>
                <w:szCs w:val="20"/>
                <w:color w:val="auto"/>
              </w:rPr>
            </w:pPr>
            <w:r>
              <w:rPr>
                <w:rFonts w:ascii="Arial" w:cs="Arial" w:eastAsia="Arial" w:hAnsi="Arial"/>
                <w:sz w:val="18"/>
                <w:szCs w:val="18"/>
                <w:color w:val="auto"/>
                <w:w w:val="99"/>
              </w:rPr>
              <w:t>William B. Shepro (incorporated by reference to Exhibit 10.1 to the Company’s Form 8-K filed on August 20, 2012)</w:t>
            </w:r>
          </w:p>
        </w:tc>
      </w:tr>
      <w:tr>
        <w:trPr>
          <w:trHeight w:val="418"/>
        </w:trPr>
        <w:tc>
          <w:tcPr>
            <w:tcW w:w="78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10.3</w:t>
            </w:r>
          </w:p>
        </w:tc>
        <w:tc>
          <w:tcPr>
            <w:tcW w:w="9420" w:type="dxa"/>
            <w:vAlign w:val="bottom"/>
          </w:tcPr>
          <w:p>
            <w:pPr>
              <w:ind w:left="380"/>
              <w:spacing w:after="0"/>
              <w:rPr>
                <w:sz w:val="20"/>
                <w:szCs w:val="20"/>
                <w:color w:val="auto"/>
              </w:rPr>
            </w:pPr>
            <w:r>
              <w:rPr>
                <w:rFonts w:ascii="Arial" w:cs="Arial" w:eastAsia="Arial" w:hAnsi="Arial"/>
                <w:sz w:val="18"/>
                <w:szCs w:val="18"/>
                <w:color w:val="auto"/>
                <w:w w:val="92"/>
              </w:rPr>
              <w:t>First Amendment to the Employment Contract dated as of August 15, 2012 between Altisource Solutions S.à r.l. and Kevin</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20" w:type="dxa"/>
            <w:vAlign w:val="bottom"/>
          </w:tcPr>
          <w:p>
            <w:pPr>
              <w:ind w:left="380"/>
              <w:spacing w:after="0"/>
              <w:rPr>
                <w:sz w:val="20"/>
                <w:szCs w:val="20"/>
                <w:color w:val="auto"/>
              </w:rPr>
            </w:pPr>
            <w:r>
              <w:rPr>
                <w:rFonts w:ascii="Arial" w:cs="Arial" w:eastAsia="Arial" w:hAnsi="Arial"/>
                <w:sz w:val="18"/>
                <w:szCs w:val="18"/>
                <w:color w:val="auto"/>
              </w:rPr>
              <w:t>J. Wilcox (incorporated by reference to Exhibit 10.2 to the Company’s Form 8-K filed on August 20, 2012)</w:t>
            </w:r>
          </w:p>
        </w:tc>
      </w:tr>
      <w:tr>
        <w:trPr>
          <w:trHeight w:val="418"/>
        </w:trPr>
        <w:tc>
          <w:tcPr>
            <w:tcW w:w="78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10.4</w:t>
            </w:r>
          </w:p>
        </w:tc>
        <w:tc>
          <w:tcPr>
            <w:tcW w:w="9420" w:type="dxa"/>
            <w:vAlign w:val="bottom"/>
          </w:tcPr>
          <w:p>
            <w:pPr>
              <w:ind w:left="380"/>
              <w:spacing w:after="0"/>
              <w:rPr>
                <w:sz w:val="20"/>
                <w:szCs w:val="20"/>
                <w:color w:val="auto"/>
              </w:rPr>
            </w:pPr>
            <w:r>
              <w:rPr>
                <w:rFonts w:ascii="Arial" w:cs="Arial" w:eastAsia="Arial" w:hAnsi="Arial"/>
                <w:sz w:val="18"/>
                <w:szCs w:val="18"/>
                <w:color w:val="auto"/>
                <w:w w:val="91"/>
              </w:rPr>
              <w:t>Services Agreement, dated as of October 1, 2012, by and between Ocwen Mortgage Servicing, Inc. and Altisource Solutions</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20" w:type="dxa"/>
            <w:vAlign w:val="bottom"/>
          </w:tcPr>
          <w:p>
            <w:pPr>
              <w:ind w:left="380"/>
              <w:spacing w:after="0"/>
              <w:rPr>
                <w:sz w:val="20"/>
                <w:szCs w:val="20"/>
                <w:color w:val="auto"/>
              </w:rPr>
            </w:pPr>
            <w:r>
              <w:rPr>
                <w:rFonts w:ascii="Arial" w:cs="Arial" w:eastAsia="Arial" w:hAnsi="Arial"/>
                <w:sz w:val="18"/>
                <w:szCs w:val="18"/>
                <w:color w:val="auto"/>
              </w:rPr>
              <w:t>S.à r.l. (incorporated by reference to Exhibit 10.1 to the Company’s Form 8-K filed on October 1, 2012)</w:t>
            </w:r>
          </w:p>
        </w:tc>
      </w:tr>
      <w:tr>
        <w:trPr>
          <w:trHeight w:val="418"/>
        </w:trPr>
        <w:tc>
          <w:tcPr>
            <w:tcW w:w="78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10.5</w:t>
            </w:r>
          </w:p>
        </w:tc>
        <w:tc>
          <w:tcPr>
            <w:tcW w:w="9420" w:type="dxa"/>
            <w:vAlign w:val="bottom"/>
          </w:tcPr>
          <w:p>
            <w:pPr>
              <w:ind w:left="380"/>
              <w:spacing w:after="0"/>
              <w:rPr>
                <w:sz w:val="20"/>
                <w:szCs w:val="20"/>
                <w:color w:val="auto"/>
              </w:rPr>
            </w:pPr>
            <w:r>
              <w:rPr>
                <w:rFonts w:ascii="Arial" w:cs="Arial" w:eastAsia="Arial" w:hAnsi="Arial"/>
                <w:sz w:val="18"/>
                <w:szCs w:val="18"/>
                <w:color w:val="auto"/>
                <w:w w:val="93"/>
              </w:rPr>
              <w:t>Technology Products Services Agreement, dated as of October 1, 2012, by and between Ocwen Mortgage Servicing, Inc.</w:t>
            </w:r>
          </w:p>
        </w:tc>
      </w:tr>
      <w:tr>
        <w:trPr>
          <w:trHeight w:val="216"/>
        </w:trPr>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20" w:type="dxa"/>
            <w:vAlign w:val="bottom"/>
          </w:tcPr>
          <w:p>
            <w:pPr>
              <w:ind w:left="380"/>
              <w:spacing w:after="0"/>
              <w:rPr>
                <w:sz w:val="20"/>
                <w:szCs w:val="20"/>
                <w:color w:val="auto"/>
              </w:rPr>
            </w:pPr>
            <w:r>
              <w:rPr>
                <w:rFonts w:ascii="Arial" w:cs="Arial" w:eastAsia="Arial" w:hAnsi="Arial"/>
                <w:sz w:val="18"/>
                <w:szCs w:val="18"/>
                <w:color w:val="auto"/>
                <w:w w:val="93"/>
              </w:rPr>
              <w:t>and Altisource Solutions S.à r.l. (incorporated by reference to Exhibit 10.2 to the Company’s Form 8-K filed on October 1,</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20" w:type="dxa"/>
            <w:vAlign w:val="bottom"/>
          </w:tcPr>
          <w:p>
            <w:pPr>
              <w:ind w:left="380"/>
              <w:spacing w:after="0"/>
              <w:rPr>
                <w:sz w:val="20"/>
                <w:szCs w:val="20"/>
                <w:color w:val="auto"/>
              </w:rPr>
            </w:pPr>
            <w:r>
              <w:rPr>
                <w:rFonts w:ascii="Arial" w:cs="Arial" w:eastAsia="Arial" w:hAnsi="Arial"/>
                <w:sz w:val="18"/>
                <w:szCs w:val="18"/>
                <w:color w:val="auto"/>
              </w:rPr>
              <w:t>2012)</w:t>
            </w:r>
          </w:p>
        </w:tc>
      </w:tr>
      <w:tr>
        <w:trPr>
          <w:trHeight w:val="418"/>
        </w:trPr>
        <w:tc>
          <w:tcPr>
            <w:tcW w:w="78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10.6</w:t>
            </w:r>
          </w:p>
        </w:tc>
        <w:tc>
          <w:tcPr>
            <w:tcW w:w="9420" w:type="dxa"/>
            <w:vAlign w:val="bottom"/>
          </w:tcPr>
          <w:p>
            <w:pPr>
              <w:ind w:left="380"/>
              <w:spacing w:after="0"/>
              <w:rPr>
                <w:sz w:val="20"/>
                <w:szCs w:val="20"/>
                <w:color w:val="auto"/>
              </w:rPr>
            </w:pPr>
            <w:r>
              <w:rPr>
                <w:rFonts w:ascii="Arial" w:cs="Arial" w:eastAsia="Arial" w:hAnsi="Arial"/>
                <w:sz w:val="18"/>
                <w:szCs w:val="18"/>
                <w:color w:val="auto"/>
              </w:rPr>
              <w:t>Data Center and Disaster Recovery Agreement, dated as of October 1, 2012, by and between Ocwen Mortgage</w:t>
            </w:r>
          </w:p>
        </w:tc>
      </w:tr>
      <w:tr>
        <w:trPr>
          <w:trHeight w:val="216"/>
        </w:trPr>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20" w:type="dxa"/>
            <w:vAlign w:val="bottom"/>
          </w:tcPr>
          <w:p>
            <w:pPr>
              <w:ind w:left="380"/>
              <w:spacing w:after="0"/>
              <w:rPr>
                <w:sz w:val="20"/>
                <w:szCs w:val="20"/>
                <w:color w:val="auto"/>
              </w:rPr>
            </w:pPr>
            <w:r>
              <w:rPr>
                <w:rFonts w:ascii="Arial" w:cs="Arial" w:eastAsia="Arial" w:hAnsi="Arial"/>
                <w:sz w:val="18"/>
                <w:szCs w:val="18"/>
                <w:color w:val="auto"/>
                <w:w w:val="93"/>
              </w:rPr>
              <w:t>Servicing, Inc. and Altisource Solutions S.à r.l. (incorporated by reference to Exhibit 10.3 to the Company’s Form 8-K filed</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20" w:type="dxa"/>
            <w:vAlign w:val="bottom"/>
          </w:tcPr>
          <w:p>
            <w:pPr>
              <w:ind w:left="380"/>
              <w:spacing w:after="0"/>
              <w:rPr>
                <w:sz w:val="20"/>
                <w:szCs w:val="20"/>
                <w:color w:val="auto"/>
              </w:rPr>
            </w:pPr>
            <w:r>
              <w:rPr>
                <w:rFonts w:ascii="Arial" w:cs="Arial" w:eastAsia="Arial" w:hAnsi="Arial"/>
                <w:sz w:val="18"/>
                <w:szCs w:val="18"/>
                <w:color w:val="auto"/>
              </w:rPr>
              <w:t>on October 1,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-3406140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-3406140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341" w:right="199" w:bottom="0" w:gutter="0" w:footer="0" w:header="0"/>
        </w:sectPr>
      </w:pPr>
    </w:p>
    <w:bookmarkStart w:id="25" w:name="page26"/>
    <w:bookmarkEnd w:id="25"/>
    <w:tbl>
      <w:tblPr>
        <w:tblLayout w:type="fixed"/>
        <w:tblInd w:w="120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10.7</w:t>
            </w:r>
          </w:p>
        </w:tc>
        <w:tc>
          <w:tcPr>
            <w:tcW w:w="9420" w:type="dxa"/>
            <w:vAlign w:val="bottom"/>
          </w:tcPr>
          <w:p>
            <w:pPr>
              <w:ind w:left="420"/>
              <w:spacing w:after="0"/>
              <w:rPr>
                <w:sz w:val="20"/>
                <w:szCs w:val="20"/>
                <w:color w:val="auto"/>
              </w:rPr>
            </w:pPr>
            <w:r>
              <w:rPr>
                <w:rFonts w:ascii="Arial" w:cs="Arial" w:eastAsia="Arial" w:hAnsi="Arial"/>
                <w:sz w:val="18"/>
                <w:szCs w:val="18"/>
                <w:color w:val="auto"/>
                <w:w w:val="97"/>
              </w:rPr>
              <w:t>Intellectual Property Agreement, dated as of October 1, 2012, by and between Ocwen Mortgage Servicing, Inc. and</w:t>
            </w:r>
          </w:p>
        </w:tc>
      </w:tr>
      <w:tr>
        <w:trPr>
          <w:trHeight w:val="230"/>
        </w:trPr>
        <w:tc>
          <w:tcPr>
            <w:tcW w:w="800" w:type="dxa"/>
            <w:vAlign w:val="bottom"/>
          </w:tcPr>
          <w:p>
            <w:pPr>
              <w:spacing w:after="0"/>
              <w:rPr>
                <w:sz w:val="20"/>
                <w:szCs w:val="20"/>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w w:val="91"/>
              </w:rPr>
              <w:t>Altisource Solutions S.à r.l. (incorporated by reference to Exhibit 10.4 to the Company’s Form 8-K filed on October 1, 2012)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10.8</w:t>
            </w:r>
          </w:p>
        </w:tc>
        <w:tc>
          <w:tcPr>
            <w:tcW w:w="9420" w:type="dxa"/>
            <w:vAlign w:val="bottom"/>
          </w:tcPr>
          <w:p>
            <w:pPr>
              <w:ind w:left="420"/>
              <w:spacing w:after="0"/>
              <w:rPr>
                <w:sz w:val="20"/>
                <w:szCs w:val="20"/>
                <w:color w:val="auto"/>
              </w:rPr>
            </w:pPr>
            <w:r>
              <w:rPr>
                <w:rFonts w:ascii="Arial" w:cs="Arial" w:eastAsia="Arial" w:hAnsi="Arial"/>
                <w:sz w:val="18"/>
                <w:szCs w:val="18"/>
                <w:color w:val="auto"/>
                <w:w w:val="99"/>
              </w:rPr>
              <w:t>First Amendment to Support Services Agreement, dated as of October 1, 2012, by and between Ocwen Mortgage</w:t>
            </w:r>
          </w:p>
        </w:tc>
      </w:tr>
      <w:tr>
        <w:trPr>
          <w:trHeight w:val="216"/>
        </w:trPr>
        <w:tc>
          <w:tcPr>
            <w:tcW w:w="80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w w:val="92"/>
              </w:rPr>
              <w:t>Servicing, Inc. and Altisource Solutions S.à r.l. (incorporated by reference to Exhibit 10.5 to the Company’s Form 8-K filed</w:t>
            </w:r>
          </w:p>
        </w:tc>
      </w:tr>
      <w:tr>
        <w:trPr>
          <w:trHeight w:val="230"/>
        </w:trPr>
        <w:tc>
          <w:tcPr>
            <w:tcW w:w="800" w:type="dxa"/>
            <w:vAlign w:val="bottom"/>
          </w:tcPr>
          <w:p>
            <w:pPr>
              <w:spacing w:after="0"/>
              <w:rPr>
                <w:sz w:val="20"/>
                <w:szCs w:val="20"/>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on October 1, 2012)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10.9</w:t>
            </w:r>
          </w:p>
        </w:tc>
        <w:tc>
          <w:tcPr>
            <w:tcW w:w="9420" w:type="dxa"/>
            <w:vAlign w:val="bottom"/>
          </w:tcPr>
          <w:p>
            <w:pPr>
              <w:ind w:left="420"/>
              <w:spacing w:after="0"/>
              <w:rPr>
                <w:sz w:val="20"/>
                <w:szCs w:val="20"/>
                <w:color w:val="auto"/>
              </w:rPr>
            </w:pPr>
            <w:r>
              <w:rPr>
                <w:rFonts w:ascii="Arial" w:cs="Arial" w:eastAsia="Arial" w:hAnsi="Arial"/>
                <w:sz w:val="18"/>
                <w:szCs w:val="18"/>
                <w:color w:val="auto"/>
                <w:w w:val="92"/>
              </w:rPr>
              <w:t>First Amendment to Services Agreement, dated as of October 1, 2012, by and between Ocwen Financial Corporation and</w:t>
            </w:r>
          </w:p>
        </w:tc>
      </w:tr>
      <w:tr>
        <w:trPr>
          <w:trHeight w:val="230"/>
        </w:trPr>
        <w:tc>
          <w:tcPr>
            <w:tcW w:w="800" w:type="dxa"/>
            <w:vAlign w:val="bottom"/>
          </w:tcPr>
          <w:p>
            <w:pPr>
              <w:spacing w:after="0"/>
              <w:rPr>
                <w:sz w:val="20"/>
                <w:szCs w:val="20"/>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w w:val="91"/>
              </w:rPr>
              <w:t>Altisource Solutions S.à r.l. (incorporated by reference to Exhibit 10.6 to the Company’s Form 8-K filed on October 1, 2012)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10.10</w:t>
            </w:r>
          </w:p>
        </w:tc>
        <w:tc>
          <w:tcPr>
            <w:tcW w:w="9420" w:type="dxa"/>
            <w:vAlign w:val="bottom"/>
          </w:tcPr>
          <w:p>
            <w:pPr>
              <w:ind w:left="420"/>
              <w:spacing w:after="0"/>
              <w:rPr>
                <w:sz w:val="20"/>
                <w:szCs w:val="20"/>
                <w:color w:val="auto"/>
              </w:rPr>
            </w:pPr>
            <w:r>
              <w:rPr>
                <w:rFonts w:ascii="Arial" w:cs="Arial" w:eastAsia="Arial" w:hAnsi="Arial"/>
                <w:sz w:val="18"/>
                <w:szCs w:val="18"/>
                <w:color w:val="auto"/>
                <w:w w:val="93"/>
              </w:rPr>
              <w:t>First Amendment to Technology Products and Services Agreement, dated as of October 1, 2012, by and between Ocwen</w:t>
            </w:r>
          </w:p>
        </w:tc>
      </w:tr>
      <w:tr>
        <w:trPr>
          <w:trHeight w:val="216"/>
        </w:trPr>
        <w:tc>
          <w:tcPr>
            <w:tcW w:w="80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w w:val="92"/>
              </w:rPr>
              <w:t>Financial Corporation and Altisource Solutions S.à r.l. (incorporated by reference to Exhibit 10.7 to the Company’s Form 8-</w:t>
            </w:r>
          </w:p>
        </w:tc>
      </w:tr>
      <w:tr>
        <w:trPr>
          <w:trHeight w:val="230"/>
        </w:trPr>
        <w:tc>
          <w:tcPr>
            <w:tcW w:w="800" w:type="dxa"/>
            <w:vAlign w:val="bottom"/>
          </w:tcPr>
          <w:p>
            <w:pPr>
              <w:spacing w:after="0"/>
              <w:rPr>
                <w:sz w:val="20"/>
                <w:szCs w:val="20"/>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K filed on October 1, 2012)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10.11</w:t>
            </w:r>
          </w:p>
        </w:tc>
        <w:tc>
          <w:tcPr>
            <w:tcW w:w="9420" w:type="dxa"/>
            <w:vAlign w:val="bottom"/>
          </w:tcPr>
          <w:p>
            <w:pPr>
              <w:ind w:left="420"/>
              <w:spacing w:after="0"/>
              <w:rPr>
                <w:sz w:val="20"/>
                <w:szCs w:val="20"/>
                <w:color w:val="auto"/>
              </w:rPr>
            </w:pPr>
            <w:r>
              <w:rPr>
                <w:rFonts w:ascii="Arial" w:cs="Arial" w:eastAsia="Arial" w:hAnsi="Arial"/>
                <w:sz w:val="18"/>
                <w:szCs w:val="18"/>
                <w:color w:val="auto"/>
                <w:w w:val="92"/>
              </w:rPr>
              <w:t>First Amendment to Data Center and Disaster Recovery Agreement, dated as of October 1, 2012, by and between Ocwen</w:t>
            </w:r>
          </w:p>
        </w:tc>
      </w:tr>
      <w:tr>
        <w:trPr>
          <w:trHeight w:val="216"/>
        </w:trPr>
        <w:tc>
          <w:tcPr>
            <w:tcW w:w="80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w w:val="92"/>
              </w:rPr>
              <w:t>Financial Corporation and Altisource Solutions S.à r.l. (incorporated by reference to Exhibit 10.8 to the Company’s Form 8-</w:t>
            </w:r>
          </w:p>
        </w:tc>
      </w:tr>
      <w:tr>
        <w:trPr>
          <w:trHeight w:val="230"/>
        </w:trPr>
        <w:tc>
          <w:tcPr>
            <w:tcW w:w="800" w:type="dxa"/>
            <w:vAlign w:val="bottom"/>
          </w:tcPr>
          <w:p>
            <w:pPr>
              <w:spacing w:after="0"/>
              <w:rPr>
                <w:sz w:val="20"/>
                <w:szCs w:val="20"/>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K filed on October 1, 2012)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10.12</w:t>
            </w:r>
          </w:p>
        </w:tc>
        <w:tc>
          <w:tcPr>
            <w:tcW w:w="9420" w:type="dxa"/>
            <w:vAlign w:val="bottom"/>
          </w:tcPr>
          <w:p>
            <w:pPr>
              <w:ind w:left="420"/>
              <w:spacing w:after="0"/>
              <w:rPr>
                <w:sz w:val="20"/>
                <w:szCs w:val="20"/>
                <w:color w:val="auto"/>
              </w:rPr>
            </w:pPr>
            <w:r>
              <w:rPr>
                <w:rFonts w:ascii="Arial" w:cs="Arial" w:eastAsia="Arial" w:hAnsi="Arial"/>
                <w:sz w:val="18"/>
                <w:szCs w:val="18"/>
                <w:color w:val="auto"/>
                <w:w w:val="97"/>
              </w:rPr>
              <w:t>First Amendment to Intellectual Property Agreement, dated as of October 1, 2012, by and between Ocwen Financial</w:t>
            </w:r>
          </w:p>
        </w:tc>
      </w:tr>
      <w:tr>
        <w:trPr>
          <w:trHeight w:val="216"/>
        </w:trPr>
        <w:tc>
          <w:tcPr>
            <w:tcW w:w="80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w w:val="92"/>
              </w:rPr>
              <w:t>Corporation and Altisource Solutions S.à r.l. (incorporated by reference to Exhibit 10.9 to the Company’s Form 8-K filed on</w:t>
            </w:r>
          </w:p>
        </w:tc>
      </w:tr>
      <w:tr>
        <w:trPr>
          <w:trHeight w:val="230"/>
        </w:trPr>
        <w:tc>
          <w:tcPr>
            <w:tcW w:w="800" w:type="dxa"/>
            <w:vAlign w:val="bottom"/>
          </w:tcPr>
          <w:p>
            <w:pPr>
              <w:spacing w:after="0"/>
              <w:rPr>
                <w:sz w:val="20"/>
                <w:szCs w:val="20"/>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October 1, 2012)</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9420" w:type="dxa"/>
            <w:vAlign w:val="bottom"/>
          </w:tcPr>
          <w:p>
            <w:pPr>
              <w:ind w:left="420"/>
              <w:spacing w:after="0"/>
              <w:rPr>
                <w:sz w:val="20"/>
                <w:szCs w:val="20"/>
                <w:color w:val="auto"/>
              </w:rPr>
            </w:pPr>
            <w:r>
              <w:rPr>
                <w:rFonts w:ascii="Arial" w:cs="Arial" w:eastAsia="Arial" w:hAnsi="Arial"/>
                <w:sz w:val="18"/>
                <w:szCs w:val="18"/>
                <w:color w:val="auto"/>
                <w:w w:val="95"/>
              </w:rPr>
              <w:t>Certification by the Chief Executive Officer pursuant to Section 302 of the Sarbanes-Oxley Act of 2002 (filed herewith)</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9420" w:type="dxa"/>
            <w:vAlign w:val="bottom"/>
          </w:tcPr>
          <w:p>
            <w:pPr>
              <w:ind w:left="420"/>
              <w:spacing w:after="0"/>
              <w:rPr>
                <w:sz w:val="20"/>
                <w:szCs w:val="20"/>
                <w:color w:val="auto"/>
              </w:rPr>
            </w:pPr>
            <w:r>
              <w:rPr>
                <w:rFonts w:ascii="Arial" w:cs="Arial" w:eastAsia="Arial" w:hAnsi="Arial"/>
                <w:sz w:val="18"/>
                <w:szCs w:val="18"/>
                <w:color w:val="auto"/>
                <w:w w:val="96"/>
              </w:rPr>
              <w:t>Certification by the Chief Financial Officer pursuant to Section 302 of the Sarbanes-Oxley Act of 2002 (filed herewith)</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9420" w:type="dxa"/>
            <w:vAlign w:val="bottom"/>
          </w:tcPr>
          <w:p>
            <w:pPr>
              <w:ind w:left="420"/>
              <w:spacing w:after="0"/>
              <w:rPr>
                <w:sz w:val="20"/>
                <w:szCs w:val="20"/>
                <w:color w:val="auto"/>
              </w:rPr>
            </w:pPr>
            <w:r>
              <w:rPr>
                <w:rFonts w:ascii="Arial" w:cs="Arial" w:eastAsia="Arial" w:hAnsi="Arial"/>
                <w:sz w:val="18"/>
                <w:szCs w:val="18"/>
                <w:color w:val="auto"/>
                <w:w w:val="93"/>
              </w:rPr>
              <w:t>Certification by the Chief Executive Officer and Chief Financial Officer pursuant to Section 906 of the Sarbanes-Oxley Act</w:t>
            </w:r>
          </w:p>
        </w:tc>
      </w:tr>
      <w:tr>
        <w:trPr>
          <w:trHeight w:val="230"/>
        </w:trPr>
        <w:tc>
          <w:tcPr>
            <w:tcW w:w="800" w:type="dxa"/>
            <w:vAlign w:val="bottom"/>
          </w:tcPr>
          <w:p>
            <w:pPr>
              <w:spacing w:after="0"/>
              <w:rPr>
                <w:sz w:val="20"/>
                <w:szCs w:val="20"/>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of 2002 (filed herewith)</w:t>
            </w:r>
          </w:p>
        </w:tc>
      </w:tr>
    </w:tbl>
    <w:p>
      <w:pPr>
        <w:spacing w:after="0" w:line="202" w:lineRule="exact"/>
        <w:rPr>
          <w:sz w:val="20"/>
          <w:szCs w:val="20"/>
          <w:color w:val="auto"/>
        </w:rPr>
      </w:pPr>
    </w:p>
    <w:p>
      <w:pPr>
        <w:ind w:left="2420" w:right="80" w:hanging="1223"/>
        <w:spacing w:after="0" w:line="290" w:lineRule="auto"/>
        <w:tabs>
          <w:tab w:leader="none" w:pos="2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Pursuant to Rule 405 of Regulation S-T, the following financial information from the Company’s Quarterly Report on Form 10-Q for the period ended September 30, 2012, is formatted in XBRL interactive data files: (i) Condensed Consolidated Balance Sheets as of September 30, 2012 and December 31, 2011; (ii) Condensed Consolidated Statements of Operations for the three and nine months ended September 30, 2012 and 2011; (iii) Condensed Consolidated Statements of Equity for the nine months ended September 30, 2012 and 2011; (iv) Condensed Consolidated Statements of Cash Flows for the nine months ended September 30, 2012 and 2011; and (iv) Notes to Condensed Consolidated Financial Statements (As provided in Rule 406T of Regulation S-T, this information is furnished and not filed for purposes of Sections 11 and 12 of the Securities Act of 1933 and Section 18 of the Securities Act of 1934)</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8600" w:type="dxa"/>
            <w:vAlign w:val="bottom"/>
            <w:gridSpan w:val="2"/>
          </w:tcPr>
          <w:p>
            <w:pPr>
              <w:jc w:val="center"/>
              <w:ind w:right="2730"/>
              <w:spacing w:after="0"/>
              <w:rPr>
                <w:sz w:val="20"/>
                <w:szCs w:val="20"/>
                <w:color w:val="auto"/>
              </w:rPr>
            </w:pPr>
            <w:r>
              <w:rPr>
                <w:rFonts w:ascii="Arial" w:cs="Arial" w:eastAsia="Arial" w:hAnsi="Arial"/>
                <w:sz w:val="18"/>
                <w:szCs w:val="18"/>
                <w:color w:val="auto"/>
                <w:w w:val="95"/>
              </w:rPr>
              <w:t>ALTISOURCE PORTFOLIO SOLUTIONS S.A.</w:t>
            </w:r>
          </w:p>
        </w:tc>
        <w:tc>
          <w:tcPr>
            <w:tcW w:w="4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p>
        </w:tc>
        <w:tc>
          <w:tcPr>
            <w:tcW w:w="8600" w:type="dxa"/>
            <w:vAlign w:val="bottom"/>
            <w:gridSpan w:val="2"/>
          </w:tcPr>
          <w:p>
            <w:pPr>
              <w:jc w:val="center"/>
              <w:ind w:right="2730"/>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20"/>
                <w:szCs w:val="20"/>
                <w:color w:val="auto"/>
              </w:rPr>
            </w:pPr>
          </w:p>
        </w:tc>
      </w:tr>
      <w:tr>
        <w:trPr>
          <w:trHeight w:val="648"/>
        </w:trPr>
        <w:tc>
          <w:tcPr>
            <w:tcW w:w="2820" w:type="dxa"/>
            <w:vAlign w:val="bottom"/>
          </w:tcPr>
          <w:p>
            <w:pPr>
              <w:spacing w:after="0"/>
              <w:rPr>
                <w:sz w:val="20"/>
                <w:szCs w:val="20"/>
                <w:color w:val="auto"/>
              </w:rPr>
            </w:pPr>
            <w:r>
              <w:rPr>
                <w:rFonts w:ascii="Arial" w:cs="Arial" w:eastAsia="Arial" w:hAnsi="Arial"/>
                <w:sz w:val="18"/>
                <w:szCs w:val="18"/>
                <w:color w:val="auto"/>
              </w:rPr>
              <w:t>Date: October 25, 2012</w:t>
            </w:r>
          </w:p>
        </w:tc>
        <w:tc>
          <w:tcPr>
            <w:tcW w:w="8600" w:type="dxa"/>
            <w:vAlign w:val="bottom"/>
            <w:gridSpan w:val="2"/>
          </w:tcPr>
          <w:p>
            <w:pPr>
              <w:ind w:left="2900"/>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4"/>
                <w:szCs w:val="24"/>
                <w:color w:val="auto"/>
              </w:rPr>
            </w:pPr>
          </w:p>
        </w:tc>
      </w:tr>
      <w:tr>
        <w:trPr>
          <w:trHeight w:val="195"/>
        </w:trPr>
        <w:tc>
          <w:tcPr>
            <w:tcW w:w="28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28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(On behalf of the Registrant and as its principal financial officer)</w:t>
            </w:r>
          </w:p>
        </w:tc>
        <w:tc>
          <w:tcPr>
            <w:tcW w:w="40" w:type="dxa"/>
            <w:vAlign w:val="bottom"/>
          </w:tcPr>
          <w:p>
            <w:pPr>
              <w:spacing w:after="0"/>
              <w:rPr>
                <w:sz w:val="20"/>
                <w:szCs w:val="20"/>
                <w:color w:val="auto"/>
              </w:rPr>
            </w:pPr>
          </w:p>
        </w:tc>
      </w:tr>
      <w:tr>
        <w:trPr>
          <w:trHeight w:val="432"/>
        </w:trPr>
        <w:tc>
          <w:tcPr>
            <w:tcW w:w="2820" w:type="dxa"/>
            <w:vAlign w:val="bottom"/>
          </w:tcPr>
          <w:p>
            <w:pPr>
              <w:spacing w:after="0"/>
              <w:rPr>
                <w:sz w:val="24"/>
                <w:szCs w:val="24"/>
                <w:color w:val="auto"/>
              </w:rPr>
            </w:pPr>
          </w:p>
        </w:tc>
        <w:tc>
          <w:tcPr>
            <w:tcW w:w="3340" w:type="dxa"/>
            <w:vAlign w:val="bottom"/>
          </w:tcPr>
          <w:p>
            <w:pPr>
              <w:jc w:val="center"/>
              <w:ind w:left="2350"/>
              <w:spacing w:after="0"/>
              <w:rPr>
                <w:sz w:val="20"/>
                <w:szCs w:val="20"/>
                <w:color w:val="auto"/>
              </w:rPr>
            </w:pPr>
            <w:r>
              <w:rPr>
                <w:rFonts w:ascii="Arial" w:cs="Arial" w:eastAsia="Arial" w:hAnsi="Arial"/>
                <w:sz w:val="18"/>
                <w:szCs w:val="18"/>
                <w:color w:val="auto"/>
                <w:w w:val="89"/>
              </w:rPr>
              <w:t>39</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820" w:type="dxa"/>
            <w:vAlign w:val="bottom"/>
            <w:tcBorders>
              <w:bottom w:val="single" w:sz="8" w:color="010101"/>
            </w:tcBorders>
          </w:tcPr>
          <w:p>
            <w:pPr>
              <w:spacing w:after="0"/>
              <w:rPr>
                <w:sz w:val="11"/>
                <w:szCs w:val="11"/>
                <w:color w:val="auto"/>
              </w:rPr>
            </w:pPr>
          </w:p>
        </w:tc>
        <w:tc>
          <w:tcPr>
            <w:tcW w:w="334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6" w:name="page27"/>
    <w:bookmarkEnd w:id="26"/>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1480" w:hanging="629"/>
        <w:spacing w:after="0"/>
        <w:tabs>
          <w:tab w:leader="none" w:pos="1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September 30, 2012 of Altisource Portfolio Solutions S.A.:</w:t>
      </w:r>
    </w:p>
    <w:p>
      <w:pPr>
        <w:spacing w:after="0" w:line="236" w:lineRule="exact"/>
        <w:rPr>
          <w:rFonts w:ascii="Arial" w:cs="Arial" w:eastAsia="Arial" w:hAnsi="Arial"/>
          <w:sz w:val="17"/>
          <w:szCs w:val="17"/>
          <w:color w:val="auto"/>
        </w:rPr>
      </w:pPr>
    </w:p>
    <w:p>
      <w:pPr>
        <w:ind w:left="1480" w:right="220" w:hanging="629"/>
        <w:spacing w:after="0" w:line="264"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480" w:right="280" w:hanging="629"/>
        <w:spacing w:after="0" w:line="342" w:lineRule="auto"/>
        <w:tabs>
          <w:tab w:leader="none" w:pos="1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480" w:right="280" w:hanging="629"/>
        <w:spacing w:after="0" w:line="264"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80" w:right="400"/>
        <w:spacing w:after="0" w:line="286" w:lineRule="auto"/>
        <w:rPr>
          <w:rFonts w:ascii="Arial" w:cs="Arial" w:eastAsia="Arial" w:hAnsi="Arial"/>
          <w:sz w:val="18"/>
          <w:szCs w:val="18"/>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480" w:right="300"/>
        <w:spacing w:after="0" w:line="264" w:lineRule="auto"/>
        <w:rPr>
          <w:rFonts w:ascii="Arial" w:cs="Arial" w:eastAsia="Arial" w:hAnsi="Arial"/>
          <w:sz w:val="18"/>
          <w:szCs w:val="18"/>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80" w:right="300"/>
        <w:spacing w:after="0" w:line="264" w:lineRule="auto"/>
        <w:rPr>
          <w:rFonts w:ascii="Arial" w:cs="Arial" w:eastAsia="Arial" w:hAnsi="Arial"/>
          <w:sz w:val="18"/>
          <w:szCs w:val="18"/>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480" w:right="500"/>
        <w:spacing w:after="0" w:line="264" w:lineRule="auto"/>
        <w:rPr>
          <w:rFonts w:ascii="Arial" w:cs="Arial" w:eastAsia="Arial" w:hAnsi="Arial"/>
          <w:sz w:val="18"/>
          <w:szCs w:val="18"/>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1480" w:right="420" w:hanging="629"/>
        <w:spacing w:after="0" w:line="277"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480" w:right="240" w:hanging="8"/>
        <w:spacing w:after="0" w:line="342" w:lineRule="auto"/>
        <w:tabs>
          <w:tab w:leader="none" w:pos="18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80" w:right="500" w:hanging="8"/>
        <w:spacing w:after="0" w:line="277" w:lineRule="auto"/>
        <w:tabs>
          <w:tab w:leader="none" w:pos="18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ind w:left="1480"/>
              <w:spacing w:after="0"/>
              <w:rPr>
                <w:sz w:val="20"/>
                <w:szCs w:val="20"/>
                <w:color w:val="auto"/>
              </w:rPr>
            </w:pPr>
            <w:r>
              <w:rPr>
                <w:rFonts w:ascii="Arial" w:cs="Arial" w:eastAsia="Arial" w:hAnsi="Arial"/>
                <w:sz w:val="18"/>
                <w:szCs w:val="18"/>
                <w:color w:val="auto"/>
              </w:rPr>
              <w:t>Date: October 25, 2012</w:t>
            </w:r>
          </w:p>
        </w:tc>
        <w:tc>
          <w:tcPr>
            <w:tcW w:w="6640" w:type="dxa"/>
            <w:vAlign w:val="bottom"/>
            <w:gridSpan w:val="2"/>
          </w:tcPr>
          <w:p>
            <w:pPr>
              <w:ind w:left="1440"/>
              <w:spacing w:after="0"/>
              <w:rPr>
                <w:sz w:val="20"/>
                <w:szCs w:val="20"/>
                <w:color w:val="auto"/>
              </w:rPr>
            </w:pPr>
            <w:r>
              <w:rPr>
                <w:rFonts w:ascii="Arial" w:cs="Arial" w:eastAsia="Arial" w:hAnsi="Arial"/>
                <w:sz w:val="18"/>
                <w:szCs w:val="18"/>
                <w:color w:val="auto"/>
              </w:rPr>
              <w:t>By:  /s/ William B. Shepro</w:t>
            </w:r>
          </w:p>
        </w:tc>
        <w:tc>
          <w:tcPr>
            <w:tcW w:w="200" w:type="dxa"/>
            <w:vAlign w:val="bottom"/>
          </w:tcPr>
          <w:p>
            <w:pPr>
              <w:spacing w:after="0"/>
              <w:rPr>
                <w:sz w:val="20"/>
                <w:szCs w:val="20"/>
                <w:color w:val="auto"/>
              </w:rPr>
            </w:pPr>
          </w:p>
        </w:tc>
      </w:tr>
      <w:tr>
        <w:trPr>
          <w:trHeight w:val="195"/>
        </w:trPr>
        <w:tc>
          <w:tcPr>
            <w:tcW w:w="46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2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20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00" w:type="dxa"/>
            <w:vAlign w:val="bottom"/>
          </w:tcPr>
          <w:p>
            <w:pPr>
              <w:spacing w:after="0"/>
              <w:rPr>
                <w:sz w:val="20"/>
                <w:szCs w:val="20"/>
                <w:color w:val="auto"/>
              </w:rPr>
            </w:pPr>
          </w:p>
        </w:tc>
      </w:tr>
      <w:tr>
        <w:trPr>
          <w:trHeight w:val="348"/>
        </w:trPr>
        <w:tc>
          <w:tcPr>
            <w:tcW w:w="4620" w:type="dxa"/>
            <w:vAlign w:val="bottom"/>
            <w:tcBorders>
              <w:bottom w:val="single" w:sz="8" w:color="010101"/>
            </w:tcBorders>
          </w:tcPr>
          <w:p>
            <w:pPr>
              <w:spacing w:after="0"/>
              <w:rPr>
                <w:sz w:val="24"/>
                <w:szCs w:val="24"/>
                <w:color w:val="auto"/>
              </w:rPr>
            </w:pPr>
          </w:p>
        </w:tc>
        <w:tc>
          <w:tcPr>
            <w:tcW w:w="1880" w:type="dxa"/>
            <w:vAlign w:val="bottom"/>
            <w:tcBorders>
              <w:bottom w:val="single" w:sz="8" w:color="010101"/>
            </w:tcBorders>
          </w:tcPr>
          <w:p>
            <w:pPr>
              <w:spacing w:after="0"/>
              <w:rPr>
                <w:sz w:val="24"/>
                <w:szCs w:val="24"/>
                <w:color w:val="auto"/>
              </w:rPr>
            </w:pPr>
          </w:p>
        </w:tc>
        <w:tc>
          <w:tcPr>
            <w:tcW w:w="47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7" w:name="page28"/>
    <w:bookmarkEnd w:id="27"/>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1480" w:hanging="629"/>
        <w:spacing w:after="0"/>
        <w:tabs>
          <w:tab w:leader="none" w:pos="1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September 30, 2012 of Altisource Portfolio Solutions S.A.:</w:t>
      </w:r>
    </w:p>
    <w:p>
      <w:pPr>
        <w:spacing w:after="0" w:line="236" w:lineRule="exact"/>
        <w:rPr>
          <w:rFonts w:ascii="Arial" w:cs="Arial" w:eastAsia="Arial" w:hAnsi="Arial"/>
          <w:sz w:val="17"/>
          <w:szCs w:val="17"/>
          <w:color w:val="auto"/>
        </w:rPr>
      </w:pPr>
    </w:p>
    <w:p>
      <w:pPr>
        <w:ind w:left="1480" w:right="220" w:hanging="629"/>
        <w:spacing w:after="0" w:line="264"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480" w:right="280" w:hanging="629"/>
        <w:spacing w:after="0" w:line="342" w:lineRule="auto"/>
        <w:tabs>
          <w:tab w:leader="none" w:pos="1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480" w:right="280" w:hanging="629"/>
        <w:spacing w:after="0" w:line="264"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80" w:right="400"/>
        <w:spacing w:after="0" w:line="286" w:lineRule="auto"/>
        <w:rPr>
          <w:rFonts w:ascii="Arial" w:cs="Arial" w:eastAsia="Arial" w:hAnsi="Arial"/>
          <w:sz w:val="18"/>
          <w:szCs w:val="18"/>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480" w:right="300"/>
        <w:spacing w:after="0" w:line="264" w:lineRule="auto"/>
        <w:rPr>
          <w:rFonts w:ascii="Arial" w:cs="Arial" w:eastAsia="Arial" w:hAnsi="Arial"/>
          <w:sz w:val="18"/>
          <w:szCs w:val="18"/>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80" w:right="300"/>
        <w:spacing w:after="0" w:line="264" w:lineRule="auto"/>
        <w:rPr>
          <w:rFonts w:ascii="Arial" w:cs="Arial" w:eastAsia="Arial" w:hAnsi="Arial"/>
          <w:sz w:val="18"/>
          <w:szCs w:val="18"/>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480" w:right="500"/>
        <w:spacing w:after="0" w:line="264" w:lineRule="auto"/>
        <w:rPr>
          <w:rFonts w:ascii="Arial" w:cs="Arial" w:eastAsia="Arial" w:hAnsi="Arial"/>
          <w:sz w:val="18"/>
          <w:szCs w:val="18"/>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1480" w:right="420" w:hanging="629"/>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480" w:right="240" w:hanging="8"/>
        <w:spacing w:after="0" w:line="342" w:lineRule="auto"/>
        <w:tabs>
          <w:tab w:leader="none" w:pos="18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80" w:right="500" w:hanging="8"/>
        <w:spacing w:after="0" w:line="277" w:lineRule="auto"/>
        <w:tabs>
          <w:tab w:leader="none" w:pos="18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ind w:left="1480"/>
              <w:spacing w:after="0"/>
              <w:rPr>
                <w:sz w:val="20"/>
                <w:szCs w:val="20"/>
                <w:color w:val="auto"/>
              </w:rPr>
            </w:pPr>
            <w:r>
              <w:rPr>
                <w:rFonts w:ascii="Arial" w:cs="Arial" w:eastAsia="Arial" w:hAnsi="Arial"/>
                <w:sz w:val="18"/>
                <w:szCs w:val="18"/>
                <w:color w:val="auto"/>
              </w:rPr>
              <w:t>Date: October 25, 2012</w:t>
            </w:r>
          </w:p>
        </w:tc>
        <w:tc>
          <w:tcPr>
            <w:tcW w:w="6660" w:type="dxa"/>
            <w:vAlign w:val="bottom"/>
            <w:gridSpan w:val="2"/>
          </w:tcPr>
          <w:p>
            <w:pPr>
              <w:ind w:left="1460"/>
              <w:spacing w:after="0"/>
              <w:rPr>
                <w:sz w:val="20"/>
                <w:szCs w:val="20"/>
                <w:color w:val="auto"/>
              </w:rPr>
            </w:pPr>
            <w:r>
              <w:rPr>
                <w:rFonts w:ascii="Arial" w:cs="Arial" w:eastAsia="Arial" w:hAnsi="Arial"/>
                <w:sz w:val="18"/>
                <w:szCs w:val="18"/>
                <w:color w:val="auto"/>
              </w:rPr>
              <w:t>By:   /s/ Michelle D. Esterman</w:t>
            </w:r>
          </w:p>
        </w:tc>
        <w:tc>
          <w:tcPr>
            <w:tcW w:w="200" w:type="dxa"/>
            <w:vAlign w:val="bottom"/>
          </w:tcPr>
          <w:p>
            <w:pPr>
              <w:spacing w:after="0"/>
              <w:rPr>
                <w:sz w:val="20"/>
                <w:szCs w:val="20"/>
                <w:color w:val="auto"/>
              </w:rPr>
            </w:pPr>
          </w:p>
        </w:tc>
      </w:tr>
      <w:tr>
        <w:trPr>
          <w:trHeight w:val="195"/>
        </w:trPr>
        <w:tc>
          <w:tcPr>
            <w:tcW w:w="4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200" w:type="dxa"/>
            <w:vAlign w:val="bottom"/>
          </w:tcPr>
          <w:p>
            <w:pPr>
              <w:spacing w:after="0"/>
              <w:rPr>
                <w:sz w:val="16"/>
                <w:szCs w:val="16"/>
                <w:color w:val="auto"/>
              </w:rPr>
            </w:pPr>
          </w:p>
        </w:tc>
      </w:tr>
      <w:tr>
        <w:trPr>
          <w:trHeight w:val="216"/>
        </w:trPr>
        <w:tc>
          <w:tcPr>
            <w:tcW w:w="4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c>
          <w:tcPr>
            <w:tcW w:w="200" w:type="dxa"/>
            <w:vAlign w:val="bottom"/>
          </w:tcPr>
          <w:p>
            <w:pPr>
              <w:spacing w:after="0"/>
              <w:rPr>
                <w:sz w:val="18"/>
                <w:szCs w:val="18"/>
                <w:color w:val="auto"/>
              </w:rPr>
            </w:pPr>
          </w:p>
        </w:tc>
      </w:tr>
      <w:tr>
        <w:trPr>
          <w:trHeight w:val="230"/>
        </w:trPr>
        <w:tc>
          <w:tcPr>
            <w:tcW w:w="4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Accounting Officer)</w:t>
            </w:r>
          </w:p>
        </w:tc>
        <w:tc>
          <w:tcPr>
            <w:tcW w:w="200" w:type="dxa"/>
            <w:vAlign w:val="bottom"/>
          </w:tcPr>
          <w:p>
            <w:pPr>
              <w:spacing w:after="0"/>
              <w:rPr>
                <w:sz w:val="20"/>
                <w:szCs w:val="20"/>
                <w:color w:val="auto"/>
              </w:rPr>
            </w:pPr>
          </w:p>
        </w:tc>
      </w:tr>
      <w:tr>
        <w:trPr>
          <w:trHeight w:val="348"/>
        </w:trPr>
        <w:tc>
          <w:tcPr>
            <w:tcW w:w="4600" w:type="dxa"/>
            <w:vAlign w:val="bottom"/>
            <w:tcBorders>
              <w:bottom w:val="single" w:sz="8" w:color="010101"/>
            </w:tcBorders>
          </w:tcPr>
          <w:p>
            <w:pPr>
              <w:spacing w:after="0"/>
              <w:rPr>
                <w:sz w:val="24"/>
                <w:szCs w:val="24"/>
                <w:color w:val="auto"/>
              </w:rPr>
            </w:pPr>
          </w:p>
        </w:tc>
        <w:tc>
          <w:tcPr>
            <w:tcW w:w="1940" w:type="dxa"/>
            <w:vAlign w:val="bottom"/>
            <w:tcBorders>
              <w:bottom w:val="single" w:sz="8" w:color="010101"/>
            </w:tcBorders>
          </w:tcPr>
          <w:p>
            <w:pPr>
              <w:spacing w:after="0"/>
              <w:rPr>
                <w:sz w:val="24"/>
                <w:szCs w:val="24"/>
                <w:color w:val="auto"/>
              </w:rPr>
            </w:pPr>
          </w:p>
        </w:tc>
        <w:tc>
          <w:tcPr>
            <w:tcW w:w="47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8" w:name="page29"/>
    <w:bookmarkEnd w:id="28"/>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line="258"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SEPTEMBER 30, 2012</w:t>
      </w:r>
    </w:p>
    <w:p>
      <w:pPr>
        <w:spacing w:after="0" w:line="188"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for the quarterly period ending September 30, 2012, as filed with the Securities and Exchange Commission on the date hereof (the “Report”), William B. Shepro, as Chief Executive Officer of our Company, and Michelle D. Esterman, as Chief Financial Officer of our Company, each hereby certifies, pursuant to 18 U.S.C. Section 1350, that:</w:t>
      </w:r>
    </w:p>
    <w:p>
      <w:pPr>
        <w:spacing w:after="0" w:line="166" w:lineRule="exact"/>
        <w:rPr>
          <w:sz w:val="20"/>
          <w:szCs w:val="20"/>
          <w:color w:val="auto"/>
        </w:rPr>
      </w:pPr>
    </w:p>
    <w:p>
      <w:pPr>
        <w:ind w:left="960" w:hanging="628"/>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36" w:lineRule="exact"/>
        <w:rPr>
          <w:rFonts w:ascii="Arial" w:cs="Arial" w:eastAsia="Arial" w:hAnsi="Arial"/>
          <w:sz w:val="17"/>
          <w:szCs w:val="17"/>
          <w:color w:val="auto"/>
        </w:rPr>
      </w:pPr>
    </w:p>
    <w:p>
      <w:pPr>
        <w:ind w:left="960" w:right="800" w:hanging="628"/>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our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By:  /s/ William B. Shepro</w:t>
            </w: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0"/>
                <w:szCs w:val="20"/>
                <w:color w:val="auto"/>
              </w:rPr>
            </w:pPr>
          </w:p>
        </w:tc>
      </w:tr>
      <w:tr>
        <w:trPr>
          <w:trHeight w:val="195"/>
        </w:trPr>
        <w:tc>
          <w:tcPr>
            <w:tcW w:w="460" w:type="dxa"/>
            <w:vAlign w:val="bottom"/>
          </w:tcPr>
          <w:p>
            <w:pPr>
              <w:spacing w:after="0"/>
              <w:rPr>
                <w:sz w:val="16"/>
                <w:szCs w:val="16"/>
                <w:color w:val="auto"/>
              </w:rPr>
            </w:pPr>
          </w:p>
        </w:tc>
        <w:tc>
          <w:tcPr>
            <w:tcW w:w="4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86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5380" w:type="dxa"/>
            <w:vAlign w:val="bottom"/>
            <w:gridSpan w:val="2"/>
          </w:tcPr>
          <w:p>
            <w:pPr>
              <w:ind w:left="460"/>
              <w:spacing w:after="0"/>
              <w:rPr>
                <w:sz w:val="20"/>
                <w:szCs w:val="20"/>
                <w:color w:val="auto"/>
              </w:rPr>
            </w:pPr>
            <w:r>
              <w:rPr>
                <w:rFonts w:ascii="Arial" w:cs="Arial" w:eastAsia="Arial" w:hAnsi="Arial"/>
                <w:sz w:val="18"/>
                <w:szCs w:val="18"/>
                <w:color w:val="auto"/>
              </w:rPr>
              <w:t>Director and Chief Executive Officer</w:t>
            </w:r>
          </w:p>
        </w:tc>
        <w:tc>
          <w:tcPr>
            <w:tcW w:w="8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16"/>
        </w:trPr>
        <w:tc>
          <w:tcPr>
            <w:tcW w:w="5380" w:type="dxa"/>
            <w:vAlign w:val="bottom"/>
            <w:gridSpan w:val="2"/>
          </w:tcPr>
          <w:p>
            <w:pPr>
              <w:ind w:left="460"/>
              <w:spacing w:after="0"/>
              <w:rPr>
                <w:sz w:val="20"/>
                <w:szCs w:val="20"/>
                <w:color w:val="auto"/>
              </w:rPr>
            </w:pPr>
            <w:r>
              <w:rPr>
                <w:rFonts w:ascii="Arial" w:cs="Arial" w:eastAsia="Arial" w:hAnsi="Arial"/>
                <w:sz w:val="18"/>
                <w:szCs w:val="18"/>
                <w:color w:val="auto"/>
              </w:rPr>
              <w:t>(Principal Executive Officer)</w:t>
            </w:r>
          </w:p>
        </w:tc>
        <w:tc>
          <w:tcPr>
            <w:tcW w:w="8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Financial Officer and</w:t>
            </w:r>
          </w:p>
        </w:tc>
        <w:tc>
          <w:tcPr>
            <w:tcW w:w="40" w:type="dxa"/>
            <w:vAlign w:val="bottom"/>
          </w:tcPr>
          <w:p>
            <w:pPr>
              <w:spacing w:after="0"/>
              <w:rPr>
                <w:sz w:val="18"/>
                <w:szCs w:val="18"/>
                <w:color w:val="auto"/>
              </w:rPr>
            </w:pPr>
          </w:p>
        </w:tc>
      </w:tr>
      <w:tr>
        <w:trPr>
          <w:trHeight w:val="216"/>
        </w:trPr>
        <w:tc>
          <w:tcPr>
            <w:tcW w:w="5380" w:type="dxa"/>
            <w:vAlign w:val="bottom"/>
            <w:gridSpan w:val="2"/>
          </w:tcPr>
          <w:p>
            <w:pPr>
              <w:ind w:left="460"/>
              <w:spacing w:after="0"/>
              <w:rPr>
                <w:sz w:val="20"/>
                <w:szCs w:val="20"/>
                <w:color w:val="auto"/>
              </w:rPr>
            </w:pPr>
            <w:r>
              <w:rPr>
                <w:rFonts w:ascii="Arial" w:cs="Arial" w:eastAsia="Arial" w:hAnsi="Arial"/>
                <w:sz w:val="18"/>
                <w:szCs w:val="18"/>
                <w:color w:val="auto"/>
              </w:rPr>
              <w:t>October 25, 2012</w:t>
            </w:r>
          </w:p>
        </w:tc>
        <w:tc>
          <w:tcPr>
            <w:tcW w:w="8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October 25, 2012</w:t>
            </w:r>
          </w:p>
        </w:tc>
        <w:tc>
          <w:tcPr>
            <w:tcW w:w="40" w:type="dxa"/>
            <w:vAlign w:val="bottom"/>
          </w:tcPr>
          <w:p>
            <w:pPr>
              <w:spacing w:after="0"/>
              <w:rPr>
                <w:sz w:val="20"/>
                <w:szCs w:val="20"/>
                <w:color w:val="auto"/>
              </w:rPr>
            </w:pPr>
          </w:p>
        </w:tc>
      </w:tr>
      <w:tr>
        <w:trPr>
          <w:trHeight w:val="348"/>
        </w:trPr>
        <w:tc>
          <w:tcPr>
            <w:tcW w:w="46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0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2019-12-09T18:30:28Z</dcterms:created>
  <dcterms:modified xsi:type="dcterms:W3CDTF">2019-12-09T18:30:28Z</dcterms:modified>
</cp:coreProperties>
</file>