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5"/>
          <w:szCs w:val="15"/>
          <w:b w:val="1"/>
          <w:bCs w:val="1"/>
          <w:color w:val="auto"/>
        </w:rPr>
        <w:t>UNITED STATES</w:t>
      </w:r>
    </w:p>
    <w:p>
      <w:pPr>
        <w:spacing w:after="0" w:line="16"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SECURITIES AND EXCHANGE COMMISSION</w:t>
      </w:r>
    </w:p>
    <w:p>
      <w:pPr>
        <w:jc w:val="center"/>
        <w:ind w:right="-199"/>
        <w:spacing w:after="0"/>
        <w:rPr>
          <w:sz w:val="20"/>
          <w:szCs w:val="20"/>
          <w:color w:val="auto"/>
        </w:rPr>
      </w:pPr>
      <w:r>
        <w:rPr>
          <w:rFonts w:ascii="Arial" w:cs="Arial" w:eastAsia="Arial" w:hAnsi="Arial"/>
          <w:sz w:val="15"/>
          <w:szCs w:val="15"/>
          <w:b w:val="1"/>
          <w:bCs w:val="1"/>
          <w:color w:val="auto"/>
        </w:rPr>
        <w:t>Washington, D.C. 20549</w:t>
      </w:r>
    </w:p>
    <w:p>
      <w:pPr>
        <w:spacing w:after="0" w:line="151"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SCHEDULE 14A INFORMATION</w:t>
      </w:r>
    </w:p>
    <w:p>
      <w:pPr>
        <w:spacing w:after="0" w:line="201" w:lineRule="exact"/>
        <w:rPr>
          <w:sz w:val="24"/>
          <w:szCs w:val="24"/>
          <w:color w:val="auto"/>
        </w:rPr>
      </w:pPr>
    </w:p>
    <w:p>
      <w:pPr>
        <w:jc w:val="center"/>
        <w:ind w:right="-199"/>
        <w:spacing w:after="0"/>
        <w:rPr>
          <w:sz w:val="20"/>
          <w:szCs w:val="20"/>
          <w:color w:val="auto"/>
        </w:rPr>
      </w:pPr>
      <w:r>
        <w:rPr>
          <w:rFonts w:ascii="Arial" w:cs="Arial" w:eastAsia="Arial" w:hAnsi="Arial"/>
          <w:sz w:val="15"/>
          <w:szCs w:val="15"/>
          <w:color w:val="auto"/>
        </w:rPr>
        <w:t>Proxy Statement Pursuant to Section 14(a) of the</w:t>
      </w:r>
    </w:p>
    <w:p>
      <w:pPr>
        <w:jc w:val="center"/>
        <w:ind w:right="-199"/>
        <w:spacing w:after="0"/>
        <w:rPr>
          <w:sz w:val="20"/>
          <w:szCs w:val="20"/>
          <w:color w:val="auto"/>
        </w:rPr>
      </w:pPr>
      <w:r>
        <w:rPr>
          <w:rFonts w:ascii="Arial" w:cs="Arial" w:eastAsia="Arial" w:hAnsi="Arial"/>
          <w:sz w:val="15"/>
          <w:szCs w:val="15"/>
          <w:color w:val="auto"/>
        </w:rPr>
        <w:t>Securities Exchange Act of 1934</w:t>
      </w:r>
    </w:p>
    <w:p>
      <w:pPr>
        <w:spacing w:after="0" w:line="161" w:lineRule="exact"/>
        <w:rPr>
          <w:sz w:val="24"/>
          <w:szCs w:val="24"/>
          <w:color w:val="auto"/>
        </w:rPr>
      </w:pPr>
    </w:p>
    <w:p>
      <w:pPr>
        <w:spacing w:after="0"/>
        <w:rPr>
          <w:sz w:val="20"/>
          <w:szCs w:val="20"/>
          <w:color w:val="auto"/>
        </w:rPr>
      </w:pPr>
      <w:r>
        <w:rPr>
          <w:rFonts w:ascii="Arial" w:cs="Arial" w:eastAsia="Arial" w:hAnsi="Arial"/>
          <w:sz w:val="15"/>
          <w:szCs w:val="15"/>
          <w:color w:val="auto"/>
        </w:rPr>
        <w:t>Filed by the Registrant x</w:t>
      </w:r>
    </w:p>
    <w:p>
      <w:pPr>
        <w:spacing w:after="0" w:line="182"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191"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11" w:lineRule="exact"/>
        <w:rPr>
          <w:sz w:val="24"/>
          <w:szCs w:val="24"/>
          <w:color w:val="auto"/>
        </w:rPr>
      </w:pPr>
    </w:p>
    <w:p>
      <w:pPr>
        <w:ind w:left="580" w:hanging="578"/>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11" w:lineRule="exact"/>
        <w:rPr>
          <w:sz w:val="24"/>
          <w:szCs w:val="24"/>
          <w:color w:val="auto"/>
        </w:rPr>
      </w:pPr>
    </w:p>
    <w:p>
      <w:pPr>
        <w:ind w:left="580" w:hanging="578"/>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Pursuant to ss.240.14a-12</w:t>
      </w:r>
    </w:p>
    <w:p>
      <w:pPr>
        <w:spacing w:after="0" w:line="164" w:lineRule="exact"/>
        <w:rPr>
          <w:sz w:val="24"/>
          <w:szCs w:val="24"/>
          <w:color w:val="auto"/>
        </w:rPr>
      </w:pPr>
    </w:p>
    <w:p>
      <w:pPr>
        <w:ind w:left="4120"/>
        <w:spacing w:after="0"/>
        <w:rPr>
          <w:sz w:val="20"/>
          <w:szCs w:val="20"/>
          <w:color w:val="auto"/>
        </w:rPr>
      </w:pPr>
      <w:r>
        <w:rPr>
          <w:rFonts w:ascii="Arial" w:cs="Arial" w:eastAsia="Arial" w:hAnsi="Arial"/>
          <w:sz w:val="15"/>
          <w:szCs w:val="1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2675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5"/>
          <w:szCs w:val="15"/>
          <w:color w:val="auto"/>
        </w:rPr>
        <w:t>(Name of Registrant as Specified in its Charter)</w:t>
      </w:r>
    </w:p>
    <w:p>
      <w:pPr>
        <w:spacing w:after="0" w:line="153"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2675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6985"/>
                    </a:xfrm>
                    <a:prstGeom prst="rect">
                      <a:avLst/>
                    </a:prstGeom>
                    <a:noFill/>
                  </pic:spPr>
                </pic:pic>
              </a:graphicData>
            </a:graphic>
          </wp:anchor>
        </w:drawing>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70"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ind w:left="580" w:hanging="578"/>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11" w:lineRule="exact"/>
        <w:rPr>
          <w:sz w:val="24"/>
          <w:szCs w:val="24"/>
          <w:color w:val="auto"/>
        </w:rPr>
      </w:pPr>
    </w:p>
    <w:p>
      <w:pPr>
        <w:ind w:left="580" w:hanging="578"/>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182" w:lineRule="exact"/>
        <w:rPr>
          <w:sz w:val="24"/>
          <w:szCs w:val="24"/>
          <w:color w:val="auto"/>
        </w:rPr>
      </w:pPr>
    </w:p>
    <w:p>
      <w:pPr>
        <w:ind w:left="860" w:right="6620" w:hanging="858"/>
        <w:spacing w:after="0" w:line="246" w:lineRule="auto"/>
        <w:tabs>
          <w:tab w:leader="none" w:pos="585" w:val="left"/>
        </w:tabs>
        <w:numPr>
          <w:ilvl w:val="0"/>
          <w:numId w:val="6"/>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 N/A</w:t>
      </w:r>
    </w:p>
    <w:p>
      <w:pPr>
        <w:spacing w:after="0" w:line="1" w:lineRule="exact"/>
        <w:rPr>
          <w:rFonts w:ascii="Arial" w:cs="Arial" w:eastAsia="Arial" w:hAnsi="Arial"/>
          <w:sz w:val="15"/>
          <w:szCs w:val="15"/>
          <w:color w:val="auto"/>
        </w:rPr>
      </w:pPr>
    </w:p>
    <w:p>
      <w:pPr>
        <w:ind w:left="860" w:right="6320" w:hanging="858"/>
        <w:spacing w:after="0" w:line="246" w:lineRule="auto"/>
        <w:tabs>
          <w:tab w:leader="none" w:pos="585" w:val="left"/>
        </w:tabs>
        <w:numPr>
          <w:ilvl w:val="0"/>
          <w:numId w:val="6"/>
        </w:numPr>
        <w:rPr>
          <w:rFonts w:ascii="Arial" w:cs="Arial" w:eastAsia="Arial" w:hAnsi="Arial"/>
          <w:sz w:val="15"/>
          <w:szCs w:val="15"/>
          <w:color w:val="auto"/>
        </w:rPr>
      </w:pPr>
      <w:r>
        <w:rPr>
          <w:rFonts w:ascii="Arial" w:cs="Arial" w:eastAsia="Arial" w:hAnsi="Arial"/>
          <w:sz w:val="15"/>
          <w:szCs w:val="15"/>
          <w:color w:val="auto"/>
        </w:rPr>
        <w:t>Aggregate number of securities to which the transaction applies: N/A</w:t>
      </w:r>
    </w:p>
    <w:p>
      <w:pPr>
        <w:spacing w:after="0" w:line="1" w:lineRule="exact"/>
        <w:rPr>
          <w:rFonts w:ascii="Arial" w:cs="Arial" w:eastAsia="Arial" w:hAnsi="Arial"/>
          <w:sz w:val="15"/>
          <w:szCs w:val="15"/>
          <w:color w:val="auto"/>
        </w:rPr>
      </w:pPr>
    </w:p>
    <w:p>
      <w:pPr>
        <w:ind w:left="580" w:hanging="578"/>
        <w:spacing w:after="0" w:line="238"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5"/>
          <w:szCs w:val="15"/>
          <w:color w:val="auto"/>
        </w:rPr>
        <w:t>N/A</w:t>
      </w:r>
    </w:p>
    <w:p>
      <w:pPr>
        <w:spacing w:after="0" w:line="10" w:lineRule="exact"/>
        <w:rPr>
          <w:rFonts w:ascii="Arial" w:cs="Arial" w:eastAsia="Arial" w:hAnsi="Arial"/>
          <w:sz w:val="15"/>
          <w:szCs w:val="15"/>
          <w:color w:val="auto"/>
        </w:rPr>
      </w:pPr>
    </w:p>
    <w:p>
      <w:pPr>
        <w:ind w:left="580" w:hanging="578"/>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-115570</wp:posOffset>
            </wp:positionV>
            <wp:extent cx="68967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673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-450215</wp:posOffset>
            </wp:positionV>
            <wp:extent cx="68967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673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-675005</wp:posOffset>
            </wp:positionV>
            <wp:extent cx="68967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6735" cy="698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5"/>
          <w:szCs w:val="15"/>
          <w:color w:val="auto"/>
        </w:rPr>
        <w:t>N/A</w:t>
      </w:r>
    </w:p>
    <w:p>
      <w:pPr>
        <w:spacing w:after="0" w:line="10" w:lineRule="exact"/>
        <w:rPr>
          <w:sz w:val="24"/>
          <w:szCs w:val="24"/>
          <w:color w:val="auto"/>
        </w:rPr>
      </w:pPr>
    </w:p>
    <w:p>
      <w:pPr>
        <w:ind w:left="580" w:hanging="578"/>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Total fee paid:</w:t>
      </w:r>
    </w:p>
    <w:p>
      <w:pPr>
        <w:ind w:left="580"/>
        <w:spacing w:after="0"/>
        <w:rPr>
          <w:rFonts w:ascii="Arial" w:cs="Arial" w:eastAsia="Arial" w:hAnsi="Arial"/>
          <w:sz w:val="15"/>
          <w:szCs w:val="15"/>
          <w:color w:val="auto"/>
        </w:rPr>
      </w:pPr>
      <w:r>
        <w:rPr>
          <w:rFonts w:ascii="Arial" w:cs="Arial" w:eastAsia="Arial" w:hAnsi="Arial"/>
          <w:sz w:val="15"/>
          <w:szCs w:val="15"/>
          <w:color w:val="auto"/>
        </w:rPr>
        <w:t>o  Fee paid previously with preliminary materials.</w:t>
      </w:r>
    </w:p>
    <w:p>
      <w:pPr>
        <w:spacing w:after="0" w:line="10" w:lineRule="exact"/>
        <w:rPr>
          <w:rFonts w:ascii="Arial" w:cs="Arial" w:eastAsia="Arial" w:hAnsi="Arial"/>
          <w:sz w:val="15"/>
          <w:szCs w:val="15"/>
          <w:color w:val="auto"/>
        </w:rPr>
      </w:pPr>
    </w:p>
    <w:p>
      <w:pPr>
        <w:ind w:left="860" w:right="20" w:hanging="275"/>
        <w:spacing w:after="0" w:line="270" w:lineRule="auto"/>
        <w:rPr>
          <w:rFonts w:ascii="Arial" w:cs="Arial" w:eastAsia="Arial" w:hAnsi="Arial"/>
          <w:sz w:val="15"/>
          <w:szCs w:val="15"/>
          <w:color w:val="auto"/>
        </w:rPr>
      </w:pPr>
      <w:r>
        <w:rPr>
          <w:rFonts w:ascii="Arial" w:cs="Arial" w:eastAsia="Arial" w:hAnsi="Arial"/>
          <w:sz w:val="15"/>
          <w:szCs w:val="15"/>
          <w:color w:val="auto"/>
        </w:rPr>
        <w:t>o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-478155</wp:posOffset>
            </wp:positionV>
            <wp:extent cx="68967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6735" cy="6985"/>
                    </a:xfrm>
                    <a:prstGeom prst="rect">
                      <a:avLst/>
                    </a:prstGeom>
                    <a:noFill/>
                  </pic:spPr>
                </pic:pic>
              </a:graphicData>
            </a:graphic>
          </wp:anchor>
        </w:drawing>
      </w:r>
    </w:p>
    <w:p>
      <w:pPr>
        <w:spacing w:after="0" w:line="118" w:lineRule="exact"/>
        <w:rPr>
          <w:sz w:val="24"/>
          <w:szCs w:val="24"/>
          <w:color w:val="auto"/>
        </w:rPr>
      </w:pPr>
    </w:p>
    <w:p>
      <w:pPr>
        <w:ind w:left="860" w:right="9000" w:hanging="858"/>
        <w:spacing w:after="0" w:line="246" w:lineRule="auto"/>
        <w:tabs>
          <w:tab w:leader="none" w:pos="585" w:val="left"/>
        </w:tabs>
        <w:numPr>
          <w:ilvl w:val="0"/>
          <w:numId w:val="8"/>
        </w:numPr>
        <w:rPr>
          <w:rFonts w:ascii="Arial" w:cs="Arial" w:eastAsia="Arial" w:hAnsi="Arial"/>
          <w:sz w:val="15"/>
          <w:szCs w:val="15"/>
          <w:color w:val="auto"/>
        </w:rPr>
      </w:pPr>
      <w:r>
        <w:rPr>
          <w:rFonts w:ascii="Arial" w:cs="Arial" w:eastAsia="Arial" w:hAnsi="Arial"/>
          <w:sz w:val="15"/>
          <w:szCs w:val="15"/>
          <w:color w:val="auto"/>
        </w:rPr>
        <w:t>Amount Previously Paid: N/A</w:t>
      </w:r>
    </w:p>
    <w:p>
      <w:pPr>
        <w:spacing w:after="0" w:line="1" w:lineRule="exact"/>
        <w:rPr>
          <w:rFonts w:ascii="Arial" w:cs="Arial" w:eastAsia="Arial" w:hAnsi="Arial"/>
          <w:sz w:val="15"/>
          <w:szCs w:val="15"/>
          <w:color w:val="auto"/>
        </w:rPr>
      </w:pPr>
    </w:p>
    <w:p>
      <w:pPr>
        <w:ind w:left="860" w:right="7480" w:hanging="858"/>
        <w:spacing w:after="0" w:line="246" w:lineRule="auto"/>
        <w:tabs>
          <w:tab w:leader="none" w:pos="585" w:val="left"/>
        </w:tabs>
        <w:numPr>
          <w:ilvl w:val="0"/>
          <w:numId w:val="8"/>
        </w:numPr>
        <w:rPr>
          <w:rFonts w:ascii="Arial" w:cs="Arial" w:eastAsia="Arial" w:hAnsi="Arial"/>
          <w:sz w:val="15"/>
          <w:szCs w:val="15"/>
          <w:color w:val="auto"/>
        </w:rPr>
      </w:pPr>
      <w:r>
        <w:rPr>
          <w:rFonts w:ascii="Arial" w:cs="Arial" w:eastAsia="Arial" w:hAnsi="Arial"/>
          <w:sz w:val="15"/>
          <w:szCs w:val="15"/>
          <w:color w:val="auto"/>
        </w:rPr>
        <w:t>Form, Schedule or Registration Statement No.: N/A</w:t>
      </w:r>
    </w:p>
    <w:p>
      <w:pPr>
        <w:spacing w:after="0" w:line="1" w:lineRule="exact"/>
        <w:rPr>
          <w:rFonts w:ascii="Arial" w:cs="Arial" w:eastAsia="Arial" w:hAnsi="Arial"/>
          <w:sz w:val="15"/>
          <w:szCs w:val="15"/>
          <w:color w:val="auto"/>
        </w:rPr>
      </w:pPr>
    </w:p>
    <w:p>
      <w:pPr>
        <w:ind w:left="580" w:hanging="578"/>
        <w:spacing w:after="0"/>
        <w:tabs>
          <w:tab w:leader="none" w:pos="580" w:val="left"/>
        </w:tabs>
        <w:numPr>
          <w:ilvl w:val="0"/>
          <w:numId w:val="8"/>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-115570</wp:posOffset>
            </wp:positionV>
            <wp:extent cx="689673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673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-340995</wp:posOffset>
            </wp:positionV>
            <wp:extent cx="689673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6735" cy="698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5"/>
          <w:szCs w:val="15"/>
          <w:color w:val="auto"/>
        </w:rPr>
        <w:t>N/A</w:t>
      </w:r>
    </w:p>
    <w:p>
      <w:pPr>
        <w:spacing w:after="0" w:line="11" w:lineRule="exact"/>
        <w:rPr>
          <w:sz w:val="24"/>
          <w:szCs w:val="24"/>
          <w:color w:val="auto"/>
        </w:rPr>
      </w:pPr>
    </w:p>
    <w:p>
      <w:pPr>
        <w:ind w:left="860" w:right="9920" w:hanging="858"/>
        <w:spacing w:after="0" w:line="254" w:lineRule="auto"/>
        <w:tabs>
          <w:tab w:leader="none" w:pos="585" w:val="left"/>
        </w:tabs>
        <w:numPr>
          <w:ilvl w:val="0"/>
          <w:numId w:val="9"/>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-12700</wp:posOffset>
            </wp:positionV>
            <wp:extent cx="689673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6735" cy="698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-238125</wp:posOffset>
            </wp:positionV>
            <wp:extent cx="689673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6735"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158115</wp:posOffset>
            </wp:positionV>
            <wp:extent cx="728726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40"/>
          </w:cols>
          <w:pgMar w:left="240" w:top="384"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10480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0280" cy="10480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343535</wp:posOffset>
            </wp:positionV>
            <wp:extent cx="7320280" cy="5661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661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5007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20280" cy="50076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x"/>
      <w:numFmt w:val="bullet"/>
      <w:start w:val="1"/>
    </w:lvl>
  </w:abstractNum>
  <w:abstractNum w:abstractNumId="4">
    <w:nsid w:val="41B71EFB"/>
    <w:multiLevelType w:val="hybridMultilevel"/>
    <w:lvl w:ilvl="0">
      <w:lvlJc w:val="left"/>
      <w:lvlText w:val="o"/>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2019-12-08T19:04:53Z</dcterms:created>
  <dcterms:modified xsi:type="dcterms:W3CDTF">2019-12-08T19:04:53Z</dcterms:modified>
</cp:coreProperties>
</file>