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center"/>
        <w:ind w:right="-113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59"/>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jc w:val="center"/>
        <w:ind w:right="-1139"/>
        <w:spacing w:after="0"/>
        <w:rPr>
          <w:sz w:val="20"/>
          <w:szCs w:val="20"/>
          <w:color w:val="auto"/>
        </w:rPr>
      </w:pPr>
      <w:r>
        <w:rPr>
          <w:rFonts w:ascii="Arial" w:cs="Arial" w:eastAsia="Arial" w:hAnsi="Arial"/>
          <w:sz w:val="24"/>
          <w:szCs w:val="24"/>
          <w:b w:val="1"/>
          <w:bCs w:val="1"/>
          <w:color w:val="auto"/>
        </w:rPr>
        <w:t>SCHEDULE 14A INFORMATION</w:t>
      </w:r>
    </w:p>
    <w:p>
      <w:pPr>
        <w:spacing w:after="0" w:line="256" w:lineRule="exact"/>
        <w:rPr>
          <w:sz w:val="24"/>
          <w:szCs w:val="24"/>
          <w:color w:val="auto"/>
        </w:rPr>
      </w:pPr>
    </w:p>
    <w:p>
      <w:pPr>
        <w:jc w:val="center"/>
        <w:ind w:right="-1159"/>
        <w:spacing w:after="0"/>
        <w:rPr>
          <w:sz w:val="20"/>
          <w:szCs w:val="20"/>
          <w:color w:val="auto"/>
        </w:rPr>
      </w:pPr>
      <w:r>
        <w:rPr>
          <w:rFonts w:ascii="Arial" w:cs="Arial" w:eastAsia="Arial" w:hAnsi="Arial"/>
          <w:sz w:val="18"/>
          <w:szCs w:val="18"/>
          <w:color w:val="auto"/>
        </w:rPr>
        <w:t>Proxy Statement Pursuant to Section 14(a) of the</w:t>
      </w:r>
    </w:p>
    <w:p>
      <w:pPr>
        <w:jc w:val="center"/>
        <w:ind w:right="-1139"/>
        <w:spacing w:after="0"/>
        <w:rPr>
          <w:sz w:val="20"/>
          <w:szCs w:val="20"/>
          <w:color w:val="auto"/>
        </w:rPr>
      </w:pPr>
      <w:r>
        <w:rPr>
          <w:rFonts w:ascii="Arial" w:cs="Arial" w:eastAsia="Arial" w:hAnsi="Arial"/>
          <w:sz w:val="18"/>
          <w:szCs w:val="18"/>
          <w:color w:val="auto"/>
        </w:rPr>
        <w:t>Securities Exchange Act of 1934</w:t>
      </w:r>
    </w:p>
    <w:p>
      <w:pPr>
        <w:spacing w:after="0" w:line="168"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1560" w:hanging="411"/>
        <w:spacing w:after="0"/>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0" w:lineRule="exact"/>
        <w:rPr>
          <w:sz w:val="24"/>
          <w:szCs w:val="24"/>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rFonts w:ascii="Arial" w:cs="Arial" w:eastAsia="Arial" w:hAnsi="Arial"/>
          <w:sz w:val="18"/>
          <w:szCs w:val="18"/>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52" w:lineRule="exact"/>
        <w:rPr>
          <w:rFonts w:ascii="Arial" w:cs="Arial" w:eastAsia="Arial" w:hAnsi="Arial"/>
          <w:sz w:val="18"/>
          <w:szCs w:val="18"/>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of Registrant as Specified in its Charter)</w:t>
      </w:r>
    </w:p>
    <w:p>
      <w:pPr>
        <w:spacing w:after="0" w:line="217"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jc w:val="center"/>
        <w:ind w:right="-11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1560" w:hanging="411"/>
        <w:spacing w:after="0"/>
        <w:tabs>
          <w:tab w:leader="none" w:pos="1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60" w:hanging="411"/>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sz w:val="24"/>
          <w:szCs w:val="24"/>
          <w:color w:val="auto"/>
        </w:rPr>
      </w:pPr>
    </w:p>
    <w:p>
      <w:pPr>
        <w:ind w:left="1960" w:right="4080" w:hanging="811"/>
        <w:spacing w:after="0" w:line="239" w:lineRule="auto"/>
        <w:tabs>
          <w:tab w:leader="none" w:pos="1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 w:lineRule="exact"/>
        <w:rPr>
          <w:rFonts w:ascii="Arial" w:cs="Arial" w:eastAsia="Arial" w:hAnsi="Arial"/>
          <w:sz w:val="18"/>
          <w:szCs w:val="18"/>
          <w:color w:val="auto"/>
        </w:rPr>
      </w:pPr>
    </w:p>
    <w:p>
      <w:pPr>
        <w:ind w:left="1960" w:right="3720" w:hanging="811"/>
        <w:spacing w:after="0" w:line="239" w:lineRule="auto"/>
        <w:tabs>
          <w:tab w:leader="none" w:pos="1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 w:lineRule="exact"/>
        <w:rPr>
          <w:rFonts w:ascii="Arial" w:cs="Arial" w:eastAsia="Arial" w:hAnsi="Arial"/>
          <w:sz w:val="18"/>
          <w:szCs w:val="18"/>
          <w:color w:val="auto"/>
        </w:rPr>
      </w:pPr>
    </w:p>
    <w:p>
      <w:pPr>
        <w:ind w:left="1560" w:right="140" w:hanging="411"/>
        <w:spacing w:after="0" w:line="234" w:lineRule="auto"/>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4" w:lineRule="exact"/>
        <w:rPr>
          <w:rFonts w:ascii="Arial" w:cs="Arial" w:eastAsia="Arial" w:hAnsi="Arial"/>
          <w:sz w:val="18"/>
          <w:szCs w:val="18"/>
          <w:color w:val="auto"/>
        </w:rPr>
      </w:pPr>
    </w:p>
    <w:p>
      <w:pPr>
        <w:ind w:left="1560" w:hanging="411"/>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-798830</wp:posOffset>
            </wp:positionV>
            <wp:extent cx="5531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-532765</wp:posOffset>
            </wp:positionV>
            <wp:extent cx="5531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-138430</wp:posOffset>
            </wp:positionV>
            <wp:extent cx="5531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560" w:hanging="411"/>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7"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Fee paid previously with preliminary materials.</w:t>
      </w:r>
    </w:p>
    <w:p>
      <w:pPr>
        <w:spacing w:after="0" w:line="264" w:lineRule="exact"/>
        <w:rPr>
          <w:sz w:val="24"/>
          <w:szCs w:val="24"/>
          <w:color w:val="auto"/>
        </w:rPr>
      </w:pPr>
    </w:p>
    <w:p>
      <w:pPr>
        <w:ind w:left="1980" w:hanging="412"/>
        <w:spacing w:after="0" w:line="238" w:lineRule="auto"/>
        <w:tabs>
          <w:tab w:leader="none" w:pos="1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0" w:lineRule="exact"/>
        <w:rPr>
          <w:rFonts w:ascii="Arial" w:cs="Arial" w:eastAsia="Arial" w:hAnsi="Arial"/>
          <w:sz w:val="18"/>
          <w:szCs w:val="18"/>
          <w:color w:val="auto"/>
        </w:rPr>
      </w:pPr>
    </w:p>
    <w:p>
      <w:pPr>
        <w:ind w:left="1560" w:hanging="411"/>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right="5060" w:hanging="811"/>
        <w:spacing w:after="0" w:line="239" w:lineRule="auto"/>
        <w:tabs>
          <w:tab w:leader="none" w:pos="156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 w:lineRule="exact"/>
        <w:rPr>
          <w:rFonts w:ascii="Arial" w:cs="Arial" w:eastAsia="Arial" w:hAnsi="Arial"/>
          <w:sz w:val="18"/>
          <w:szCs w:val="18"/>
          <w:color w:val="auto"/>
        </w:rPr>
      </w:pPr>
    </w:p>
    <w:p>
      <w:pPr>
        <w:ind w:left="1560" w:hanging="411"/>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-138430</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right="7860" w:hanging="811"/>
        <w:spacing w:after="0" w:line="299" w:lineRule="auto"/>
        <w:tabs>
          <w:tab w:leader="none" w:pos="1569" w:val="left"/>
        </w:tabs>
        <w:numPr>
          <w:ilvl w:val="0"/>
          <w:numId w:val="9"/>
        </w:numPr>
        <w:rPr>
          <w:rFonts w:ascii="Arial" w:cs="Arial" w:eastAsia="Arial" w:hAnsi="Arial"/>
          <w:sz w:val="16"/>
          <w:szCs w:val="16"/>
          <w:color w:val="auto"/>
        </w:rPr>
      </w:pPr>
      <w:r>
        <w:rPr>
          <w:rFonts w:ascii="Arial" w:cs="Arial" w:eastAsia="Arial" w:hAnsi="Arial"/>
          <w:sz w:val="16"/>
          <w:szCs w:val="16"/>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-34925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0280"/>
          </w:cols>
          <w:pgMar w:left="240" w:top="710" w:right="1379" w:bottom="844"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132715</wp:posOffset>
            </wp:positionV>
            <wp:extent cx="1706880" cy="857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688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(the "Annual Meeting") which will be held at the registered office of the Company located at 40, avenue Monterey, L-2163 Luxembourg City, Grand Duchy of Luxembourg on Wednesday, May 17, 2017, at 9:00 a.m. Central European Time. We will also hold an Extraordinary Meeting of Shareholders (the "Extraordinary Meeting") at 10:00 a.m. Central European Time on the same day and in the same location. The Board of Directors is convening the Extraordinary Meeting in order to consider certain amendments to the Company's Articles of Incorporation, as more fully set forth in the accompanying materials. Further details regarding admission to the Annual Meeting and Extraordinary Meeting as well as the business to be conducted at each meeting are also more fully described in the accompanying materials.</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It is very important that you be represented at the Annual Meeting and the Extraordinary Meeting regardless of the number of shares you own or whether you are able to attend the meetings in person. </w:t>
      </w:r>
      <w:r>
        <w:rPr>
          <w:rFonts w:ascii="Arial" w:cs="Arial" w:eastAsia="Arial" w:hAnsi="Arial"/>
          <w:sz w:val="18"/>
          <w:szCs w:val="18"/>
          <w:b w:val="1"/>
          <w:bCs w:val="1"/>
          <w:color w:val="auto"/>
        </w:rPr>
        <w:t>IMPORTANT NOTE REGARDING PROXY CARDS:</w:t>
      </w:r>
      <w:r>
        <w:rPr>
          <w:rFonts w:ascii="Arial" w:cs="Arial" w:eastAsia="Arial" w:hAnsi="Arial"/>
          <w:sz w:val="18"/>
          <w:szCs w:val="18"/>
          <w:color w:val="auto"/>
        </w:rPr>
        <w:t xml:space="preserve"> If you are a shareholder of record (that is, you hold your shares in your name as a holder of record with our transfer agent), you will receive two proxy cards—one for the Annual Meeting and one for the Extraordinary Meeting. It is very important that you return all proxy cards to ensure that your vote is represented at the relevant meetings. Whether or not you plan to attend the meetings, please complete, date and sign the enclosed proxy cards and return them in the enclosed envelope as promptly as possible so that your shares may be represented at the relevant meetings and voted in accordance with your wishes. If your shares are held through a bank or broker, please follow the voting instructions you receive from your bank or broker. This will not prevent you from voting in person but will ensure that your vote is counted if you are unable to attend.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 and interest in Altisource Portfolio Solutions S.A.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Timo Vättö</w:t>
            </w:r>
          </w:p>
        </w:tc>
        <w:tc>
          <w:tcPr>
            <w:tcW w:w="8380" w:type="dxa"/>
            <w:vAlign w:val="bottom"/>
          </w:tcPr>
          <w:p>
            <w:pPr>
              <w:ind w:left="2680"/>
              <w:spacing w:after="0"/>
              <w:rPr>
                <w:sz w:val="20"/>
                <w:szCs w:val="20"/>
                <w:color w:val="auto"/>
              </w:rPr>
            </w:pPr>
            <w:r>
              <w:rPr>
                <w:rFonts w:ascii="Arial" w:cs="Arial" w:eastAsia="Arial" w:hAnsi="Arial"/>
                <w:sz w:val="18"/>
                <w:szCs w:val="18"/>
                <w:color w:val="auto"/>
              </w:rPr>
              <w:t>William B. Shepro</w:t>
            </w:r>
          </w:p>
        </w:tc>
      </w:tr>
      <w:tr>
        <w:trPr>
          <w:trHeight w:val="211"/>
        </w:trPr>
        <w:tc>
          <w:tcPr>
            <w:tcW w:w="30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8380" w:type="dxa"/>
            <w:vAlign w:val="bottom"/>
          </w:tcPr>
          <w:p>
            <w:pPr>
              <w:ind w:left="2680"/>
              <w:spacing w:after="0"/>
              <w:rPr>
                <w:sz w:val="20"/>
                <w:szCs w:val="20"/>
                <w:color w:val="auto"/>
              </w:rPr>
            </w:pPr>
            <w:r>
              <w:rPr>
                <w:rFonts w:ascii="Arial" w:cs="Arial" w:eastAsia="Arial" w:hAnsi="Arial"/>
                <w:sz w:val="18"/>
                <w:szCs w:val="18"/>
                <w:color w:val="auto"/>
              </w:rPr>
              <w:t>Chief Executive Officer and Director</w:t>
            </w:r>
          </w:p>
        </w:tc>
      </w:tr>
      <w:tr>
        <w:trPr>
          <w:trHeight w:val="702"/>
        </w:trPr>
        <w:tc>
          <w:tcPr>
            <w:tcW w:w="3040" w:type="dxa"/>
            <w:vAlign w:val="bottom"/>
          </w:tcPr>
          <w:p>
            <w:pPr>
              <w:spacing w:after="0"/>
              <w:rPr>
                <w:sz w:val="24"/>
                <w:szCs w:val="24"/>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40, avenue Monterey, L-2163 Luxembourg, +352 2469 7900</w:t>
            </w:r>
          </w:p>
        </w:tc>
      </w:tr>
      <w:tr>
        <w:trPr>
          <w:trHeight w:val="215"/>
        </w:trPr>
        <w:tc>
          <w:tcPr>
            <w:tcW w:w="3040" w:type="dxa"/>
            <w:vAlign w:val="bottom"/>
            <w:tcBorders>
              <w:bottom w:val="single" w:sz="8" w:color="808080"/>
            </w:tcBorders>
          </w:tcPr>
          <w:p>
            <w:pPr>
              <w:spacing w:after="0"/>
              <w:rPr>
                <w:sz w:val="18"/>
                <w:szCs w:val="18"/>
                <w:color w:val="auto"/>
              </w:rPr>
            </w:pPr>
          </w:p>
        </w:tc>
        <w:tc>
          <w:tcPr>
            <w:tcW w:w="83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132715</wp:posOffset>
            </wp:positionV>
            <wp:extent cx="1706880" cy="857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688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PROXY STATEMENT</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5"/>
          </w:tcPr>
          <w:p>
            <w:pPr>
              <w:ind w:left="20"/>
              <w:spacing w:after="0"/>
              <w:rPr>
                <w:sz w:val="20"/>
                <w:szCs w:val="20"/>
                <w:color w:val="auto"/>
              </w:rPr>
            </w:pPr>
            <w:r>
              <w:rPr>
                <w:rFonts w:ascii="Arial" w:cs="Arial" w:eastAsia="Arial" w:hAnsi="Arial"/>
                <w:sz w:val="14"/>
                <w:szCs w:val="14"/>
                <w:b w:val="1"/>
                <w:bCs w:val="1"/>
                <w:color w:val="auto"/>
              </w:rPr>
              <w:t>PAGE</w:t>
            </w:r>
          </w:p>
        </w:tc>
      </w:tr>
      <w:tr>
        <w:trPr>
          <w:trHeight w:val="169"/>
        </w:trPr>
        <w:tc>
          <w:tcPr>
            <w:tcW w:w="10780" w:type="dxa"/>
            <w:vAlign w:val="bottom"/>
            <w:gridSpan w:val="30"/>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NOTICE OF ANNUAL MEETING OF SHAREHOLDERS AND IMPORTANT NOTICE REGARDING THE AVAILABILITY OF PROXY</w:t>
              </w:r>
            </w:hyperlink>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760" w:type="dxa"/>
            <w:vAlign w:val="bottom"/>
            <w:tcBorders>
              <w:top w:val="single" w:sz="8" w:color="0000EE"/>
            </w:tcBorders>
            <w:gridSpan w:val="14"/>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MATERIALS FOR THE ANNUAL MEETING OF SHAREHOLDERS TO BE HELD ON MAY 17, 2017</w:t>
              </w:r>
            </w:hyperlink>
          </w:p>
        </w:tc>
        <w:tc>
          <w:tcPr>
            <w:tcW w:w="2260" w:type="dxa"/>
            <w:vAlign w:val="bottom"/>
            <w:tcBorders>
              <w:top w:val="single" w:sz="8" w:color="0000EE"/>
            </w:tcBorders>
            <w:gridSpan w:val="11"/>
          </w:tcPr>
          <w:p>
            <w:pPr>
              <w:spacing w:after="0"/>
              <w:rPr>
                <w:sz w:val="15"/>
                <w:szCs w:val="15"/>
                <w:color w:val="auto"/>
              </w:rPr>
            </w:pPr>
          </w:p>
        </w:tc>
        <w:tc>
          <w:tcPr>
            <w:tcW w:w="580" w:type="dxa"/>
            <w:vAlign w:val="bottom"/>
            <w:gridSpan w:val="4"/>
          </w:tcPr>
          <w:p>
            <w:pPr>
              <w:spacing w:after="0"/>
              <w:rPr>
                <w:sz w:val="15"/>
                <w:szCs w:val="15"/>
                <w:color w:val="auto"/>
              </w:rPr>
            </w:pPr>
          </w:p>
        </w:tc>
        <w:tc>
          <w:tcPr>
            <w:tcW w:w="280" w:type="dxa"/>
            <w:vAlign w:val="bottom"/>
            <w:gridSpan w:val="2"/>
          </w:tcPr>
          <w:p>
            <w:pPr>
              <w:spacing w:after="0"/>
              <w:rPr>
                <w:sz w:val="15"/>
                <w:szCs w:val="15"/>
                <w:color w:val="auto"/>
              </w:rPr>
            </w:pPr>
          </w:p>
        </w:tc>
        <w:tc>
          <w:tcPr>
            <w:tcW w:w="140" w:type="dxa"/>
            <w:vAlign w:val="bottom"/>
            <w:gridSpan w:val="2"/>
          </w:tcPr>
          <w:p>
            <w:pPr>
              <w:jc w:val="right"/>
              <w:ind w:right="40"/>
              <w:spacing w:after="0" w:line="18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078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NOTICE OF EXTRAORDINARY MEETING OF SHAREHOLDERS AND IMPORTANT NOTICE REGARDING THE AVAILABILITY OF</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01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PROXY MATERIALS FOR THE EXTRAORDINARY MEETING OF SHAREHOLDERS TO BE HELD ON MAY 17, 2017</w:t>
              </w:r>
            </w:hyperlink>
          </w:p>
        </w:tc>
        <w:tc>
          <w:tcPr>
            <w:tcW w:w="460" w:type="dxa"/>
            <w:vAlign w:val="bottom"/>
            <w:gridSpan w:val="3"/>
          </w:tcPr>
          <w:p>
            <w:pPr>
              <w:spacing w:after="0"/>
              <w:rPr>
                <w:sz w:val="15"/>
                <w:szCs w:val="15"/>
                <w:color w:val="auto"/>
              </w:rPr>
            </w:pPr>
          </w:p>
        </w:tc>
        <w:tc>
          <w:tcPr>
            <w:tcW w:w="4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0780" w:type="dxa"/>
            <w:vAlign w:val="bottom"/>
            <w:gridSpan w:val="3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ANNUAL MEETING OF SHAREHOLDERS AND EXTRAORDINARY MEETING OF SHAREHOLDERS</w:t>
              </w:r>
            </w:hyperlink>
          </w:p>
        </w:tc>
        <w:tc>
          <w:tcPr>
            <w:tcW w:w="42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2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780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ANNUAL MEETING OF SHAREHOLDERS</w:t>
              </w:r>
            </w:hyperlink>
          </w:p>
        </w:tc>
        <w:tc>
          <w:tcPr>
            <w:tcW w:w="2800" w:type="dxa"/>
            <w:vAlign w:val="bottom"/>
            <w:gridSpan w:val="14"/>
          </w:tcPr>
          <w:p>
            <w:pPr>
              <w:spacing w:after="0"/>
              <w:rPr>
                <w:sz w:val="24"/>
                <w:szCs w:val="24"/>
                <w:color w:val="auto"/>
              </w:rPr>
            </w:pPr>
          </w:p>
        </w:tc>
        <w:tc>
          <w:tcPr>
            <w:tcW w:w="420" w:type="dxa"/>
            <w:vAlign w:val="bottom"/>
            <w:gridSpan w:val="4"/>
          </w:tcPr>
          <w:p>
            <w:pPr>
              <w:jc w:val="right"/>
              <w:ind w:right="40"/>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7"/>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PROPOSAL ONE: ELECTION OF DIRECTORS</w:t>
              </w:r>
            </w:hyperlink>
          </w:p>
        </w:tc>
        <w:tc>
          <w:tcPr>
            <w:tcW w:w="6660" w:type="dxa"/>
            <w:vAlign w:val="bottom"/>
            <w:gridSpan w:val="21"/>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3"/>
          </w:tcPr>
          <w:p>
            <w:pPr>
              <w:jc w:val="right"/>
              <w:ind w:right="4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OF DIRECTORS AND CORPORATE GOVERNANCE</w:t>
              </w:r>
            </w:hyperlink>
          </w:p>
        </w:tc>
        <w:tc>
          <w:tcPr>
            <w:tcW w:w="420" w:type="dxa"/>
            <w:vAlign w:val="bottom"/>
            <w:gridSpan w:val="4"/>
          </w:tcPr>
          <w:p>
            <w:pPr>
              <w:jc w:val="right"/>
              <w:ind w:right="40"/>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BOARD OF DIRECTORS COMPENSATION</w:t>
              </w:r>
            </w:hyperlink>
          </w:p>
        </w:tc>
        <w:tc>
          <w:tcPr>
            <w:tcW w:w="5560" w:type="dxa"/>
            <w:vAlign w:val="bottom"/>
            <w:gridSpan w:val="18"/>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3"/>
          </w:tcPr>
          <w:p>
            <w:pPr>
              <w:jc w:val="right"/>
              <w:ind w:right="4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OFFICERS WHO ARE NOT DIRECTORS</w:t>
              </w:r>
            </w:hyperlink>
          </w:p>
        </w:tc>
        <w:tc>
          <w:tcPr>
            <w:tcW w:w="420" w:type="dxa"/>
            <w:vAlign w:val="bottom"/>
            <w:gridSpan w:val="4"/>
          </w:tcPr>
          <w:p>
            <w:pPr>
              <w:jc w:val="right"/>
              <w:ind w:right="4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SECURITY OWNERSHIP OF CERTAIN BENEFICIAL OWNERS AND RELATED SHAREHOLDER MATTERS</w:t>
              </w:r>
            </w:hyperlink>
          </w:p>
        </w:tc>
        <w:tc>
          <w:tcPr>
            <w:tcW w:w="420" w:type="dxa"/>
            <w:vAlign w:val="bottom"/>
            <w:gridSpan w:val="4"/>
          </w:tcPr>
          <w:p>
            <w:pPr>
              <w:jc w:val="right"/>
              <w:ind w:right="4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gridSpan w:val="8"/>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COMPENSATION DISCUSSION AND ANALYSIS</w:t>
              </w:r>
            </w:hyperlink>
          </w:p>
        </w:tc>
        <w:tc>
          <w:tcPr>
            <w:tcW w:w="4680" w:type="dxa"/>
            <w:vAlign w:val="bottom"/>
            <w:gridSpan w:val="8"/>
          </w:tcPr>
          <w:p>
            <w:pPr>
              <w:spacing w:after="0"/>
              <w:rPr>
                <w:sz w:val="24"/>
                <w:szCs w:val="24"/>
                <w:color w:val="auto"/>
              </w:rPr>
            </w:pPr>
          </w:p>
        </w:tc>
        <w:tc>
          <w:tcPr>
            <w:tcW w:w="186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3"/>
          </w:tcPr>
          <w:p>
            <w:pPr>
              <w:jc w:val="right"/>
              <w:ind w:right="4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6540" w:type="dxa"/>
            <w:vAlign w:val="bottom"/>
            <w:gridSpan w:val="20"/>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3"/>
          </w:tcPr>
          <w:p>
            <w:pPr>
              <w:jc w:val="right"/>
              <w:ind w:right="4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PROPOSAL TWO: APPOINTMENT OF INDEPENDENT REGISTERED CERTIFIED ACCOUNTING FIRM AND CERTIFIED</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4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AUDITOR (</w:t>
              </w:r>
              <w:r>
                <w:rPr>
                  <w:rFonts w:ascii="Arial" w:cs="Arial" w:eastAsia="Arial" w:hAnsi="Arial"/>
                  <w:sz w:val="18"/>
                  <w:szCs w:val="18"/>
                  <w:i w:val="1"/>
                  <w:iCs w:val="1"/>
                  <w:color w:val="0000EE"/>
                </w:rPr>
                <w:t>RÉVISEUR D'ENTREPRISES</w:t>
              </w:r>
              <w:r>
                <w:rPr>
                  <w:rFonts w:ascii="Arial" w:cs="Arial" w:eastAsia="Arial" w:hAnsi="Arial"/>
                  <w:sz w:val="18"/>
                  <w:szCs w:val="18"/>
                  <w:color w:val="0000EE"/>
                </w:rPr>
                <w:t>)</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4"/>
          </w:tcPr>
          <w:p>
            <w:pPr>
              <w:jc w:val="right"/>
              <w:ind w:right="40"/>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PROPOSAL THREE: APPOINTMENT OF SUPERVISORY AUDITOR (</w:t>
              </w:r>
              <w:r>
                <w:rPr>
                  <w:rFonts w:ascii="Arial" w:cs="Arial" w:eastAsia="Arial" w:hAnsi="Arial"/>
                  <w:sz w:val="18"/>
                  <w:szCs w:val="18"/>
                  <w:i w:val="1"/>
                  <w:iCs w:val="1"/>
                  <w:color w:val="0000EE"/>
                </w:rPr>
                <w:t>COMMISSAIRE AUX COMPTES</w:t>
              </w:r>
              <w:r>
                <w:rPr>
                  <w:rFonts w:ascii="Arial" w:cs="Arial" w:eastAsia="Arial" w:hAnsi="Arial"/>
                  <w:sz w:val="18"/>
                  <w:szCs w:val="18"/>
                  <w:color w:val="0000EE"/>
                </w:rPr>
                <w:t>)</w:t>
              </w:r>
            </w:hyperlink>
          </w:p>
        </w:tc>
        <w:tc>
          <w:tcPr>
            <w:tcW w:w="420" w:type="dxa"/>
            <w:vAlign w:val="bottom"/>
            <w:gridSpan w:val="4"/>
          </w:tcPr>
          <w:p>
            <w:pPr>
              <w:jc w:val="right"/>
              <w:ind w:right="40"/>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480" w:type="dxa"/>
            <w:vAlign w:val="bottom"/>
            <w:gridSpan w:val="9"/>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63">
              <w:r>
                <w:rPr>
                  <w:rFonts w:ascii="Arial" w:cs="Arial" w:eastAsia="Arial" w:hAnsi="Arial"/>
                  <w:sz w:val="18"/>
                  <w:szCs w:val="18"/>
                  <w:color w:val="0000EE"/>
                  <w:w w:val="97"/>
                </w:rPr>
                <w:t>PROPOSAL FOUR: APPROVAL OF THE COMPANY'S ANNUAL ACCOUNTS PREPARED IN ACCORDANCE WITH</w:t>
              </w:r>
            </w:hyperlink>
          </w:p>
        </w:tc>
        <w:tc>
          <w:tcPr>
            <w:tcW w:w="128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20" w:type="dxa"/>
            <w:vAlign w:val="bottom"/>
            <w:gridSpan w:val="27"/>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LUXEMBOURG GAAP FOR THE YEAR ENDED DECEMBER 31, 2016 AND ITS CONSOLIDATED FINANCIAL STATEMENTS</w:t>
              </w:r>
            </w:hyperlink>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4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PREPARED IN ACCORDANCE WITH U.S. GAAP INCLUDING A FOOTNOTE RECONCILIATION OF EQUITY AND NET</w:t>
              </w:r>
            </w:hyperlink>
          </w:p>
        </w:tc>
        <w:tc>
          <w:tcPr>
            <w:tcW w:w="440" w:type="dxa"/>
            <w:vAlign w:val="bottom"/>
            <w:tcBorders>
              <w:top w:val="single" w:sz="8" w:color="0000EE"/>
            </w:tcBorders>
            <w:gridSpan w:val="6"/>
          </w:tcPr>
          <w:p>
            <w:pPr>
              <w:spacing w:after="0"/>
              <w:rPr>
                <w:sz w:val="15"/>
                <w:szCs w:val="15"/>
                <w:color w:val="auto"/>
              </w:rPr>
            </w:pPr>
          </w:p>
        </w:tc>
        <w:tc>
          <w:tcPr>
            <w:tcW w:w="3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20" w:type="dxa"/>
            <w:vAlign w:val="bottom"/>
            <w:gridSpan w:val="27"/>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INCOME TO IFRS AS OF AND FOR THE YEAR ENDED DECEMBER 31, 2016</w:t>
              </w:r>
            </w:hyperlink>
          </w:p>
        </w:tc>
        <w:tc>
          <w:tcPr>
            <w:tcW w:w="420" w:type="dxa"/>
            <w:vAlign w:val="bottom"/>
            <w:gridSpan w:val="4"/>
          </w:tcPr>
          <w:p>
            <w:pPr>
              <w:jc w:val="right"/>
              <w:ind w:right="40"/>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480" w:type="dxa"/>
            <w:vAlign w:val="bottom"/>
            <w:gridSpan w:val="9"/>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PROPOSAL FIVE: RECEIPT AND APPROVAL OF THE DIRECTORS' REPORTS FOR THE LUXEMBOURG STATUTORY</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840" w:type="dxa"/>
            <w:vAlign w:val="bottom"/>
            <w:gridSpan w:val="10"/>
            <w:shd w:val="clear" w:color="auto" w:fill="0000EE"/>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0" w:type="dxa"/>
            <w:vAlign w:val="bottom"/>
            <w:gridSpan w:val="26"/>
          </w:tcPr>
          <w:p>
            <w:pPr>
              <w:spacing w:after="0" w:line="182"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ACCOUNTS AND RECEIPT OF THE SUPERVISORY AUDITOR'S REPORTS FOR THE LUXEMBOURG ANNUAL ACCOUNTS</w:t>
              </w:r>
            </w:hyperlink>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3"/>
          </w:tcPr>
          <w:p>
            <w:pPr>
              <w:jc w:val="right"/>
              <w:ind w:right="40"/>
              <w:spacing w:after="0" w:line="18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840" w:type="dxa"/>
            <w:vAlign w:val="bottom"/>
            <w:gridSpan w:val="10"/>
            <w:shd w:val="clear" w:color="auto" w:fill="0000EE"/>
          </w:tcPr>
          <w:p>
            <w:pPr>
              <w:spacing w:after="0" w:line="20" w:lineRule="exact"/>
              <w:rPr>
                <w:sz w:val="1"/>
                <w:szCs w:val="1"/>
                <w:color w:val="auto"/>
              </w:rPr>
            </w:pPr>
          </w:p>
        </w:tc>
        <w:tc>
          <w:tcPr>
            <w:tcW w:w="300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PROPOSAL SIX: ALLOCATION OF THE RESULTS IN THE LUXEMBOURG ANNUAL ACCOUNTS FOR THE YEAR ENDED</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720" w:type="dxa"/>
            <w:vAlign w:val="bottom"/>
            <w:tcBorders>
              <w:top w:val="single" w:sz="8" w:color="0000EE"/>
            </w:tcBorders>
          </w:tcPr>
          <w:p>
            <w:pPr>
              <w:spacing w:after="0" w:line="182"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DECEMBER 31, 2016</w:t>
              </w:r>
            </w:hyperlink>
          </w:p>
        </w:tc>
        <w:tc>
          <w:tcPr>
            <w:tcW w:w="7840" w:type="dxa"/>
            <w:vAlign w:val="bottom"/>
            <w:tcBorders>
              <w:top w:val="single" w:sz="8" w:color="0000EE"/>
            </w:tcBorders>
            <w:gridSpan w:val="20"/>
          </w:tcPr>
          <w:p>
            <w:pPr>
              <w:spacing w:after="0"/>
              <w:rPr>
                <w:sz w:val="15"/>
                <w:szCs w:val="15"/>
                <w:color w:val="auto"/>
              </w:rPr>
            </w:pPr>
          </w:p>
        </w:tc>
        <w:tc>
          <w:tcPr>
            <w:tcW w:w="66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3"/>
          </w:tcPr>
          <w:p>
            <w:pPr>
              <w:jc w:val="right"/>
              <w:ind w:right="40"/>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64</w:t>
              </w:r>
            </w:hyperlink>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PROPOSAL SEVEN: DISCHARGE OF EACH OF THE DIRECTORS AND THE SUPERVISORY AUDITOR OF ALTISOURCE</w:t>
              </w:r>
            </w:hyperlink>
          </w:p>
        </w:tc>
        <w:tc>
          <w:tcPr>
            <w:tcW w:w="6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20" w:type="dxa"/>
            <w:vAlign w:val="bottom"/>
            <w:gridSpan w:val="27"/>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PORTFOLIO SOLUTIONS S.A. FOR THE PERFORMANCE OF THEIR MANDATES</w:t>
              </w:r>
            </w:hyperlink>
          </w:p>
        </w:tc>
        <w:tc>
          <w:tcPr>
            <w:tcW w:w="420" w:type="dxa"/>
            <w:vAlign w:val="bottom"/>
            <w:gridSpan w:val="4"/>
          </w:tcPr>
          <w:p>
            <w:pPr>
              <w:jc w:val="right"/>
              <w:ind w:right="40"/>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c>
          <w:tcPr>
            <w:tcW w:w="220" w:type="dxa"/>
            <w:vAlign w:val="bottom"/>
          </w:tcPr>
          <w:p>
            <w:pPr>
              <w:spacing w:after="0"/>
              <w:rPr>
                <w:sz w:val="15"/>
                <w:szCs w:val="15"/>
                <w:color w:val="auto"/>
              </w:rPr>
            </w:pPr>
          </w:p>
        </w:tc>
      </w:tr>
      <w:tr>
        <w:trPr>
          <w:trHeight w:val="437"/>
        </w:trPr>
        <w:tc>
          <w:tcPr>
            <w:tcW w:w="560" w:type="dxa"/>
            <w:vAlign w:val="bottom"/>
            <w:gridSpan w:val="3"/>
          </w:tcPr>
          <w:p>
            <w:pPr>
              <w:spacing w:after="0"/>
              <w:rPr>
                <w:sz w:val="24"/>
                <w:szCs w:val="24"/>
                <w:color w:val="auto"/>
              </w:rPr>
            </w:pPr>
          </w:p>
        </w:tc>
        <w:tc>
          <w:tcPr>
            <w:tcW w:w="6200" w:type="dxa"/>
            <w:vAlign w:val="bottom"/>
            <w:tcBorders>
              <w:top w:val="single" w:sz="8" w:color="0000EE"/>
            </w:tcBorders>
            <w:gridSpan w:val="10"/>
          </w:tcPr>
          <w:p>
            <w:pPr>
              <w:jc w:val="right"/>
              <w:ind w:right="1000"/>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5"/>
        </w:trPr>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rPr>
              <w:t>PAGE</w:t>
            </w:r>
          </w:p>
        </w:tc>
      </w:tr>
      <w:tr>
        <w:trPr>
          <w:trHeight w:val="169"/>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20" w:type="dxa"/>
            <w:vAlign w:val="bottom"/>
            <w:gridSpan w:val="15"/>
          </w:tcPr>
          <w:p>
            <w:pPr>
              <w:spacing w:after="0" w:line="170" w:lineRule="exact"/>
              <w:rPr>
                <w:rFonts w:ascii="Arial" w:cs="Arial" w:eastAsia="Arial" w:hAnsi="Arial"/>
                <w:sz w:val="18"/>
                <w:szCs w:val="18"/>
                <w:color w:val="0000EE"/>
              </w:rPr>
            </w:pPr>
            <w:hyperlink w:anchor="page67">
              <w:r>
                <w:rPr>
                  <w:rFonts w:ascii="Arial" w:cs="Arial" w:eastAsia="Arial" w:hAnsi="Arial"/>
                  <w:sz w:val="18"/>
                  <w:szCs w:val="18"/>
                  <w:color w:val="0000EE"/>
                </w:rPr>
                <w:t>PROPOSAL EIGHT: RENEWAL OF OUR SHARE REPURCHASE PROGRAM</w:t>
              </w:r>
            </w:hyperlink>
          </w:p>
        </w:tc>
        <w:tc>
          <w:tcPr>
            <w:tcW w:w="420" w:type="dxa"/>
            <w:vAlign w:val="bottom"/>
            <w:tcBorders>
              <w:top w:val="single" w:sz="8" w:color="auto"/>
            </w:tcBorders>
            <w:gridSpan w:val="3"/>
          </w:tcPr>
          <w:p>
            <w:pPr>
              <w:jc w:val="right"/>
              <w:ind w:right="40"/>
              <w:spacing w:after="0" w:line="170"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2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PROPOSAL NINE: ADVISORY VOTE ON EXECUTIVE COMPENSATION ("SAY-ON-PAY")</w:t>
              </w:r>
            </w:hyperlink>
          </w:p>
        </w:tc>
        <w:tc>
          <w:tcPr>
            <w:tcW w:w="420" w:type="dxa"/>
            <w:vAlign w:val="bottom"/>
            <w:gridSpan w:val="3"/>
          </w:tcPr>
          <w:p>
            <w:pPr>
              <w:jc w:val="right"/>
              <w:ind w:right="4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PROPOSAL TEN: ADVISORY VOTE ON FREQUENCY OF EXECUTIVE COMPENSATION SHAREHOLDER ADVISORY VOTE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gridSpan w:val="2"/>
          </w:tcPr>
          <w:p>
            <w:pPr>
              <w:spacing w:after="0" w:line="182"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("SAY-ON-FREQUENCY")</w:t>
              </w:r>
            </w:hyperlink>
          </w:p>
        </w:tc>
        <w:tc>
          <w:tcPr>
            <w:tcW w:w="7760" w:type="dxa"/>
            <w:vAlign w:val="bottom"/>
            <w:tcBorders>
              <w:top w:val="single" w:sz="8" w:color="0000EE"/>
            </w:tcBorders>
            <w:gridSpan w:val="10"/>
          </w:tcPr>
          <w:p>
            <w:pPr>
              <w:spacing w:after="0"/>
              <w:rPr>
                <w:sz w:val="15"/>
                <w:szCs w:val="15"/>
                <w:color w:val="auto"/>
              </w:rPr>
            </w:pPr>
          </w:p>
        </w:tc>
        <w:tc>
          <w:tcPr>
            <w:tcW w:w="4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jc w:val="right"/>
              <w:ind w:right="40"/>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0600" w:type="dxa"/>
            <w:vAlign w:val="bottom"/>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EXTRAORDINARY MEETING OF SHAREHOLDERS</w:t>
              </w:r>
            </w:hyperlink>
          </w:p>
        </w:tc>
        <w:tc>
          <w:tcPr>
            <w:tcW w:w="420" w:type="dxa"/>
            <w:vAlign w:val="bottom"/>
            <w:gridSpan w:val="3"/>
          </w:tcPr>
          <w:p>
            <w:pPr>
              <w:jc w:val="right"/>
              <w:ind w:right="4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PROPOSAL ONE: AMEND THE COMPANY'S ARTICLES OF INCORPORATION TO RENEW AND EXTEND THE BOARD OF</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DIRECTORS' AUTHORIZATION TO ISSUE SHARES OF THE COMPANY'S COMMON STOCK, WITHIN THE LIMITS OF THE</w:t>
              </w:r>
            </w:hyperlink>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COMPANY'S AUTHORIZED SHARE CAPITAL</w:t>
              </w:r>
            </w:hyperlink>
          </w:p>
        </w:tc>
        <w:tc>
          <w:tcPr>
            <w:tcW w:w="360" w:type="dxa"/>
            <w:vAlign w:val="bottom"/>
          </w:tcPr>
          <w:p>
            <w:pPr>
              <w:spacing w:after="0"/>
              <w:rPr>
                <w:sz w:val="15"/>
                <w:szCs w:val="15"/>
                <w:color w:val="auto"/>
              </w:rPr>
            </w:pPr>
          </w:p>
        </w:tc>
        <w:tc>
          <w:tcPr>
            <w:tcW w:w="420" w:type="dxa"/>
            <w:vAlign w:val="bottom"/>
            <w:gridSpan w:val="3"/>
          </w:tcPr>
          <w:p>
            <w:pPr>
              <w:jc w:val="right"/>
              <w:ind w:right="40"/>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2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PROPOSAL TWO: AMEND THE COMPANY'S ARTICLES OF INCORPORATION TO EFFECTUATE RECENT CHANGES IN</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56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LUXEMBOURG COMPANY LAW</w:t>
              </w:r>
            </w:hyperlink>
          </w:p>
        </w:tc>
        <w:tc>
          <w:tcPr>
            <w:tcW w:w="680" w:type="dxa"/>
            <w:vAlign w:val="bottom"/>
            <w:gridSpan w:val="4"/>
          </w:tcPr>
          <w:p>
            <w:pPr>
              <w:spacing w:after="0"/>
              <w:rPr>
                <w:sz w:val="15"/>
                <w:szCs w:val="15"/>
                <w:color w:val="auto"/>
              </w:rPr>
            </w:pPr>
          </w:p>
        </w:tc>
        <w:tc>
          <w:tcPr>
            <w:tcW w:w="420" w:type="dxa"/>
            <w:vAlign w:val="bottom"/>
            <w:gridSpan w:val="3"/>
          </w:tcPr>
          <w:p>
            <w:pPr>
              <w:jc w:val="right"/>
              <w:ind w:right="40"/>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220" w:type="dxa"/>
            <w:vAlign w:val="bottom"/>
          </w:tcPr>
          <w:p>
            <w:pPr>
              <w:spacing w:after="0"/>
              <w:rPr>
                <w:sz w:val="15"/>
                <w:szCs w:val="15"/>
                <w:color w:val="auto"/>
              </w:rPr>
            </w:pPr>
          </w:p>
        </w:tc>
      </w:tr>
      <w:tr>
        <w:trPr>
          <w:trHeight w:val="20"/>
        </w:trPr>
        <w:tc>
          <w:tcPr>
            <w:tcW w:w="540" w:type="dxa"/>
            <w:vAlign w:val="bottom"/>
            <w:gridSpan w:val="3"/>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5820" w:type="dxa"/>
            <w:vAlign w:val="bottom"/>
            <w:gridSpan w:val="10"/>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BUSINESS RELATIONSHIPS AND RELATED PERSON TRANSACTIONS</w:t>
              </w:r>
            </w:hyperlink>
          </w:p>
        </w:tc>
        <w:tc>
          <w:tcPr>
            <w:tcW w:w="49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4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220" w:type="dxa"/>
            <w:vAlign w:val="bottom"/>
          </w:tcPr>
          <w:p>
            <w:pPr>
              <w:spacing w:after="0"/>
              <w:rPr>
                <w:sz w:val="24"/>
                <w:szCs w:val="24"/>
                <w:color w:val="auto"/>
              </w:rPr>
            </w:pPr>
          </w:p>
        </w:tc>
      </w:tr>
      <w:tr>
        <w:trPr>
          <w:trHeight w:val="20"/>
        </w:trPr>
        <w:tc>
          <w:tcPr>
            <w:tcW w:w="1500" w:type="dxa"/>
            <w:vAlign w:val="bottom"/>
            <w:gridSpan w:val="4"/>
            <w:shd w:val="clear" w:color="auto" w:fill="0000EE"/>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4560" w:type="dxa"/>
            <w:vAlign w:val="bottom"/>
            <w:gridSpan w:val="9"/>
          </w:tcPr>
          <w:p>
            <w:pPr>
              <w:spacing w:after="0"/>
              <w:rPr>
                <w:rFonts w:ascii="Arial" w:cs="Arial" w:eastAsia="Arial" w:hAnsi="Arial"/>
                <w:sz w:val="18"/>
                <w:szCs w:val="18"/>
                <w:color w:val="0000EE"/>
                <w:w w:val="97"/>
              </w:rPr>
            </w:pPr>
            <w:hyperlink w:anchor="page76">
              <w:r>
                <w:rPr>
                  <w:rFonts w:ascii="Arial" w:cs="Arial" w:eastAsia="Arial" w:hAnsi="Arial"/>
                  <w:sz w:val="18"/>
                  <w:szCs w:val="18"/>
                  <w:color w:val="0000EE"/>
                  <w:w w:val="97"/>
                </w:rPr>
                <w:t>SHAREHOLDER PROPOSALS AND ANNUAL REPORTS</w:t>
              </w:r>
            </w:hyperlink>
          </w:p>
        </w:tc>
        <w:tc>
          <w:tcPr>
            <w:tcW w:w="1260" w:type="dxa"/>
            <w:vAlign w:val="bottom"/>
          </w:tcPr>
          <w:p>
            <w:pPr>
              <w:spacing w:after="0"/>
              <w:rPr>
                <w:sz w:val="24"/>
                <w:szCs w:val="24"/>
                <w:color w:val="auto"/>
              </w:rPr>
            </w:pPr>
          </w:p>
        </w:tc>
        <w:tc>
          <w:tcPr>
            <w:tcW w:w="49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4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220" w:type="dxa"/>
            <w:vAlign w:val="bottom"/>
          </w:tcPr>
          <w:p>
            <w:pPr>
              <w:spacing w:after="0"/>
              <w:rPr>
                <w:sz w:val="24"/>
                <w:szCs w:val="24"/>
                <w:color w:val="auto"/>
              </w:rPr>
            </w:pPr>
          </w:p>
        </w:tc>
      </w:tr>
      <w:tr>
        <w:trPr>
          <w:trHeight w:val="20"/>
        </w:trPr>
        <w:tc>
          <w:tcPr>
            <w:tcW w:w="1500" w:type="dxa"/>
            <w:vAlign w:val="bottom"/>
            <w:gridSpan w:val="4"/>
            <w:shd w:val="clear" w:color="auto" w:fill="0000EE"/>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1500" w:type="dxa"/>
            <w:vAlign w:val="bottom"/>
            <w:gridSpan w:val="4"/>
          </w:tcPr>
          <w:p>
            <w:pPr>
              <w:spacing w:after="0"/>
              <w:rPr>
                <w:rFonts w:ascii="Arial" w:cs="Arial" w:eastAsia="Arial" w:hAnsi="Arial"/>
                <w:sz w:val="18"/>
                <w:szCs w:val="18"/>
                <w:color w:val="0000EE"/>
                <w:w w:val="96"/>
              </w:rPr>
            </w:pPr>
            <w:hyperlink w:anchor="page77">
              <w:r>
                <w:rPr>
                  <w:rFonts w:ascii="Arial" w:cs="Arial" w:eastAsia="Arial" w:hAnsi="Arial"/>
                  <w:sz w:val="18"/>
                  <w:szCs w:val="18"/>
                  <w:color w:val="0000EE"/>
                  <w:w w:val="96"/>
                </w:rPr>
                <w:t>OTHER MATTERS</w:t>
              </w:r>
            </w:hyperlink>
          </w:p>
        </w:tc>
        <w:tc>
          <w:tcPr>
            <w:tcW w:w="3060" w:type="dxa"/>
            <w:vAlign w:val="bottom"/>
            <w:gridSpan w:val="5"/>
          </w:tcPr>
          <w:p>
            <w:pPr>
              <w:spacing w:after="0"/>
              <w:rPr>
                <w:sz w:val="24"/>
                <w:szCs w:val="24"/>
                <w:color w:val="auto"/>
              </w:rPr>
            </w:pPr>
          </w:p>
        </w:tc>
        <w:tc>
          <w:tcPr>
            <w:tcW w:w="62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4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220" w:type="dxa"/>
            <w:vAlign w:val="bottom"/>
          </w:tcPr>
          <w:p>
            <w:pPr>
              <w:spacing w:after="0"/>
              <w:rPr>
                <w:sz w:val="24"/>
                <w:szCs w:val="24"/>
                <w:color w:val="auto"/>
              </w:rPr>
            </w:pPr>
          </w:p>
        </w:tc>
      </w:tr>
      <w:tr>
        <w:trPr>
          <w:trHeight w:val="20"/>
        </w:trPr>
        <w:tc>
          <w:tcPr>
            <w:tcW w:w="1500" w:type="dxa"/>
            <w:vAlign w:val="bottom"/>
            <w:gridSpan w:val="4"/>
            <w:shd w:val="clear" w:color="auto" w:fill="0000EE"/>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37"/>
        </w:trPr>
        <w:tc>
          <w:tcPr>
            <w:tcW w:w="10780" w:type="dxa"/>
            <w:vAlign w:val="bottom"/>
            <w:gridSpan w:val="17"/>
          </w:tcPr>
          <w:p>
            <w:pPr>
              <w:spacing w:after="0"/>
              <w:rPr>
                <w:sz w:val="20"/>
                <w:szCs w:val="20"/>
                <w:color w:val="auto"/>
              </w:rPr>
            </w:pPr>
            <w:r>
              <w:rPr>
                <w:rFonts w:ascii="Arial" w:cs="Arial" w:eastAsia="Arial" w:hAnsi="Arial"/>
                <w:sz w:val="18"/>
                <w:szCs w:val="18"/>
                <w:color w:val="auto"/>
              </w:rPr>
              <w:t>APPENDIX A: AMENDED AND RESTATED ARTICLES OF INCORPORATION</w:t>
            </w:r>
          </w:p>
        </w:tc>
        <w:tc>
          <w:tcPr>
            <w:tcW w:w="640" w:type="dxa"/>
            <w:vAlign w:val="bottom"/>
            <w:gridSpan w:val="4"/>
          </w:tcPr>
          <w:p>
            <w:pPr>
              <w:jc w:val="right"/>
              <w:ind w:right="260"/>
              <w:spacing w:after="0"/>
              <w:rPr>
                <w:sz w:val="20"/>
                <w:szCs w:val="20"/>
                <w:color w:val="auto"/>
              </w:rPr>
            </w:pPr>
            <w:r>
              <w:rPr>
                <w:rFonts w:ascii="Arial" w:cs="Arial" w:eastAsia="Arial" w:hAnsi="Arial"/>
                <w:sz w:val="18"/>
                <w:szCs w:val="18"/>
                <w:color w:val="auto"/>
              </w:rPr>
              <w:t>A-1</w:t>
            </w:r>
          </w:p>
        </w:tc>
      </w:tr>
      <w:tr>
        <w:trPr>
          <w:trHeight w:val="419"/>
        </w:trPr>
        <w:tc>
          <w:tcPr>
            <w:tcW w:w="5820" w:type="dxa"/>
            <w:vAlign w:val="bottom"/>
            <w:gridSpan w:val="10"/>
          </w:tcPr>
          <w:p>
            <w:pPr>
              <w:ind w:left="566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5"/>
        </w:trPr>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 avenue Monterey</w:t>
      </w:r>
    </w:p>
    <w:p>
      <w:pPr>
        <w:jc w:val="center"/>
        <w:ind w:right="-39"/>
        <w:spacing w:after="0" w:line="234" w:lineRule="auto"/>
        <w:rPr>
          <w:sz w:val="20"/>
          <w:szCs w:val="20"/>
          <w:color w:val="auto"/>
        </w:rPr>
      </w:pPr>
      <w:r>
        <w:rPr>
          <w:rFonts w:ascii="Arial" w:cs="Arial" w:eastAsia="Arial" w:hAnsi="Arial"/>
          <w:sz w:val="18"/>
          <w:szCs w:val="18"/>
          <w:b w:val="1"/>
          <w:bCs w:val="1"/>
          <w:color w:val="auto"/>
        </w:rPr>
        <w:t>L-2163 Luxembourg City</w:t>
      </w:r>
    </w:p>
    <w:p>
      <w:pPr>
        <w:jc w:val="center"/>
        <w:ind w:right="-39"/>
        <w:spacing w:after="0" w:line="235" w:lineRule="auto"/>
        <w:rPr>
          <w:sz w:val="20"/>
          <w:szCs w:val="20"/>
          <w:color w:val="auto"/>
        </w:rPr>
      </w:pPr>
      <w:r>
        <w:rPr>
          <w:rFonts w:ascii="Arial" w:cs="Arial" w:eastAsia="Arial" w:hAnsi="Arial"/>
          <w:sz w:val="18"/>
          <w:szCs w:val="18"/>
          <w:b w:val="1"/>
          <w:bCs w:val="1"/>
          <w:color w:val="auto"/>
        </w:rPr>
        <w:t>Grand Duchy of Luxembourg</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R.C.S. Luxembourg B 72 391</w:t>
      </w:r>
    </w:p>
    <w:p>
      <w:pPr>
        <w:spacing w:after="0" w:line="190" w:lineRule="exact"/>
        <w:rPr>
          <w:sz w:val="20"/>
          <w:szCs w:val="20"/>
          <w:color w:val="auto"/>
        </w:rPr>
      </w:pPr>
    </w:p>
    <w:p>
      <w:pPr>
        <w:jc w:val="center"/>
        <w:ind w:left="280" w:right="2280"/>
        <w:spacing w:after="0" w:line="249"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ANNUAL MEETING OF SHAREHOLDERS TO BE HELD ON MAY 17,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00" w:lineRule="exact"/>
        <w:rPr>
          <w:sz w:val="20"/>
          <w:szCs w:val="20"/>
          <w:color w:val="auto"/>
        </w:rPr>
      </w:pPr>
    </w:p>
    <w:p>
      <w:pPr>
        <w:spacing w:after="0" w:line="20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17, 2017</w:t>
      </w:r>
    </w:p>
    <w:p>
      <w:pPr>
        <w:spacing w:after="0" w:line="21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207"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40, avenue Monterey</w:t>
      </w:r>
    </w:p>
    <w:p>
      <w:pPr>
        <w:ind w:left="1380"/>
        <w:spacing w:after="0" w:line="234"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Grand Duchy of Luxembourg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3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elect six (6) Directors for a one (1) year term and/or until their successors are duly elected and qualified;</w:t>
      </w:r>
    </w:p>
    <w:p>
      <w:pPr>
        <w:spacing w:after="0" w:line="211"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the appointment of Mayer Hoffman McCann P.C. to be our independent registered certified public accounting firm for the year ending December 31, 2017 and the appointment of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same period;</w:t>
      </w:r>
    </w:p>
    <w:p>
      <w:pPr>
        <w:spacing w:after="0" w:line="194" w:lineRule="exact"/>
        <w:rPr>
          <w:rFonts w:ascii="Arial" w:cs="Arial" w:eastAsia="Arial" w:hAnsi="Arial"/>
          <w:sz w:val="18"/>
          <w:szCs w:val="18"/>
          <w:color w:val="auto"/>
        </w:rPr>
      </w:pPr>
    </w:p>
    <w:p>
      <w:pPr>
        <w:ind w:left="1080" w:right="20" w:hanging="532"/>
        <w:spacing w:after="0" w:line="23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the appointment of Michelle D. Esterman, Chief Financial Officer of the Company, to be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to report on Altisource Portfolio Solutions S.A.'s unconsolidated annual accounts prepared in accordance with accounting principles generally accepted in Luxembourg ("Luxembourg GAAP")(the "Luxembourg Annual Accounts") for the years ending December 31, 2017 through December 31, 2022, or until her successor is duly elected and qualified, and to ratify her appointment by the Board of Directors as our supervisory auditor to report on the Luxembourg Annual Accounts for the years ended December 31, 2009 through December 31, 2016;</w:t>
      </w:r>
    </w:p>
    <w:p>
      <w:pPr>
        <w:spacing w:after="0" w:line="196" w:lineRule="exact"/>
        <w:rPr>
          <w:rFonts w:ascii="Arial" w:cs="Arial" w:eastAsia="Arial" w:hAnsi="Arial"/>
          <w:sz w:val="18"/>
          <w:szCs w:val="18"/>
          <w:color w:val="auto"/>
        </w:rPr>
      </w:pPr>
    </w:p>
    <w:p>
      <w:pPr>
        <w:ind w:left="1080" w:right="60" w:hanging="532"/>
        <w:spacing w:after="0" w:line="23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the Luxembourg Annual Accounts for the year ended December 31, 2016 and Altisource Portfolio Solutions S.A.'s consolidated financial statements prepared in accordance with accounting principles generally accepted in the United States ("U.S. GAAP") including a footnote reconciliation of equity and net income to International Financial Reporting Standards ("IFRS") (the "Consolidated Accounts" and, together with the Luxembourg Annual Accounts, the "Luxembourg Statutory Accounts") as of and for the year ended December 31, 2016;</w:t>
      </w:r>
    </w:p>
    <w:p>
      <w:pPr>
        <w:spacing w:after="0" w:line="211" w:lineRule="exact"/>
        <w:rPr>
          <w:rFonts w:ascii="Arial" w:cs="Arial" w:eastAsia="Arial" w:hAnsi="Arial"/>
          <w:sz w:val="18"/>
          <w:szCs w:val="18"/>
          <w:color w:val="auto"/>
        </w:rPr>
      </w:pPr>
    </w:p>
    <w:p>
      <w:pPr>
        <w:jc w:val="both"/>
        <w:ind w:left="1080" w:right="60" w:hanging="532"/>
        <w:spacing w:after="0" w:line="23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receive and approve the Directors' reports for the Luxembourg Statutory Accounts for the year ended December 31, 2016 and to receive the reports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Luxembourg Annual Accounts for the years ended December 31, 2009 through December 31, 2016;</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2016;</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34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discharge each of the Directors of Altisource Portfolio Solutions S.A. for the performance of their mandates for the year ended December 31, 2016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performance of her mandate for the years ended December 31, 2009 through December 31, 2016;</w:t>
      </w:r>
    </w:p>
    <w:p>
      <w:pPr>
        <w:spacing w:after="0" w:line="208" w:lineRule="exact"/>
        <w:rPr>
          <w:rFonts w:ascii="Arial" w:cs="Arial" w:eastAsia="Arial" w:hAnsi="Arial"/>
          <w:sz w:val="18"/>
          <w:szCs w:val="18"/>
          <w:color w:val="auto"/>
        </w:rPr>
      </w:pPr>
    </w:p>
    <w:p>
      <w:pPr>
        <w:ind w:left="1080" w:right="60" w:hanging="532"/>
        <w:spacing w:after="0" w:line="23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renew our share repurchase program such that Altisource Portfolio Solutions S.A. is authorized, for a period of five years from the date of the Annual Meeting, to repurchase up to twenty-five percent (25%) of the outstanding shares of its common stock (as of the close of business on the date of the Annual Meeting) at a minimum price of one dollar ($1.00) per share and a maximum price of five hundred dollars ($500.00) per share;</w:t>
      </w:r>
    </w:p>
    <w:p>
      <w:pPr>
        <w:spacing w:after="0" w:line="195"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Altisource's named executive officers as disclosed in the joint proxy statement ("Say-on-Pay");</w:t>
      </w:r>
    </w:p>
    <w:p>
      <w:pPr>
        <w:spacing w:after="0" w:line="195" w:lineRule="exact"/>
        <w:rPr>
          <w:rFonts w:ascii="Arial" w:cs="Arial" w:eastAsia="Arial" w:hAnsi="Arial"/>
          <w:sz w:val="18"/>
          <w:szCs w:val="18"/>
          <w:color w:val="auto"/>
        </w:rPr>
      </w:pPr>
    </w:p>
    <w:p>
      <w:pPr>
        <w:ind w:left="1080" w:right="50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shareholder advisory votes on executive compensation ("Say-on-Frequency"); and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or postponement of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34" w:lineRule="exact"/>
        <w:rPr>
          <w:sz w:val="20"/>
          <w:szCs w:val="20"/>
          <w:color w:val="auto"/>
        </w:rPr>
      </w:pPr>
    </w:p>
    <w:p>
      <w:pPr>
        <w:ind w:left="1080" w:right="12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has fixed March 20, 2017 as the record date for the determination of shareholders entitled to notice of and to vote at the Annual Meeting.</w:t>
      </w:r>
    </w:p>
    <w:p>
      <w:pPr>
        <w:spacing w:after="0" w:line="195"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Only shareholders of record at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8"/>
          <w:szCs w:val="18"/>
          <w:b w:val="1"/>
          <w:bCs w:val="1"/>
          <w:color w:val="auto"/>
        </w:rPr>
        <w:t>Even if you plan to attend the Annual Meeting, we recommend that</w:t>
      </w:r>
      <w:r>
        <w:rPr>
          <w:rFonts w:ascii="Arial" w:cs="Arial" w:eastAsia="Arial" w:hAnsi="Arial"/>
          <w:sz w:val="18"/>
          <w:szCs w:val="18"/>
          <w:color w:val="auto"/>
        </w:rPr>
        <w:t xml:space="preserve"> </w:t>
      </w:r>
      <w:r>
        <w:rPr>
          <w:rFonts w:ascii="Arial" w:cs="Arial" w:eastAsia="Arial" w:hAnsi="Arial"/>
          <w:sz w:val="18"/>
          <w:szCs w:val="18"/>
          <w:b w:val="1"/>
          <w:bCs w:val="1"/>
          <w:color w:val="auto"/>
        </w:rPr>
        <w:t>you vote your shares in advance of the meeting pursuant to the instructions listed in the accompanying materials so that your vote will be counted if you are unable to attend the Annual Meeting.</w:t>
      </w:r>
    </w:p>
    <w:p>
      <w:pPr>
        <w:spacing w:after="0" w:line="210" w:lineRule="exact"/>
        <w:rPr>
          <w:rFonts w:ascii="Arial" w:cs="Arial" w:eastAsia="Arial" w:hAnsi="Arial"/>
          <w:sz w:val="18"/>
          <w:szCs w:val="18"/>
          <w:color w:val="auto"/>
        </w:rPr>
      </w:pPr>
    </w:p>
    <w:p>
      <w:pPr>
        <w:ind w:left="1080" w:right="40" w:hanging="532"/>
        <w:spacing w:after="0" w:line="22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joint proxy statement for our Annual Meeting and Extraordinary Meeting of Shareholders and our annual report to shareholders on Form 10-K for the year ended December 31, 2016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accordance with Securities and Exchange Commission ("SEC") rules, you may access our joint proxy statement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to the site, by entering the Control Number found on your Notice and Access Card or on your proxy card in the space provided. 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issued and outstanding shares of common stock able to be voted, represented in person or by proxy, will constitute a quorum for the transaction of business at the Annual Meeting.</w:t>
      </w:r>
    </w:p>
    <w:p>
      <w:pPr>
        <w:spacing w:after="0" w:line="201" w:lineRule="exact"/>
        <w:rPr>
          <w:rFonts w:ascii="Arial" w:cs="Arial" w:eastAsia="Arial" w:hAnsi="Arial"/>
          <w:sz w:val="18"/>
          <w:szCs w:val="18"/>
          <w:color w:val="auto"/>
        </w:rPr>
      </w:pPr>
    </w:p>
    <w:p>
      <w:pPr>
        <w:ind w:left="1080" w:right="60" w:hanging="532"/>
        <w:spacing w:after="0" w:line="23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Luxembourg Statutory Accounts, the Directors' reports for the Luxembourg Statutory Accounts, the statutory auditor's report on the Consolidated Accounts and the supervisory auditor's reports on the Luxembourg Annual Accounts will be available for inspection at the Company's registered office from May 8, 2017 until the conclusion of the Annual Meeting. Copies are also available to any shareholder who requests them by writing to our Corporate Secretary at Altisource Portfolio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Solutions S.A., 40, avenue Monterey, L-2163 Luxembourg City, Grand Duchy of Luxembourg after May 8,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rPr>
          <w:sz w:val="20"/>
          <w:szCs w:val="20"/>
          <w:color w:val="auto"/>
        </w:rPr>
      </w:pPr>
      <w:r>
        <w:rPr>
          <w:rFonts w:ascii="Arial" w:cs="Arial" w:eastAsia="Arial" w:hAnsi="Arial"/>
          <w:sz w:val="18"/>
          <w:szCs w:val="18"/>
          <w:color w:val="auto"/>
        </w:rPr>
        <w:t>Corporate Secretary</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2017</w:t>
      </w:r>
    </w:p>
    <w:p>
      <w:pPr>
        <w:spacing w:after="0"/>
        <w:rPr>
          <w:sz w:val="20"/>
          <w:szCs w:val="20"/>
          <w:color w:val="auto"/>
        </w:rPr>
      </w:pPr>
      <w:r>
        <w:rPr>
          <w:rFonts w:ascii="Arial" w:cs="Arial" w:eastAsia="Arial" w:hAnsi="Arial"/>
          <w:sz w:val="18"/>
          <w:szCs w:val="18"/>
          <w:color w:val="auto"/>
        </w:rPr>
        <w:t>Luxembourg City, Grand Duchy of Luxembourg</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 avenue Monterey</w:t>
      </w:r>
    </w:p>
    <w:p>
      <w:pPr>
        <w:jc w:val="center"/>
        <w:ind w:right="-19"/>
        <w:spacing w:after="0" w:line="234" w:lineRule="auto"/>
        <w:rPr>
          <w:sz w:val="20"/>
          <w:szCs w:val="20"/>
          <w:color w:val="auto"/>
        </w:rPr>
      </w:pPr>
      <w:r>
        <w:rPr>
          <w:rFonts w:ascii="Arial" w:cs="Arial" w:eastAsia="Arial" w:hAnsi="Arial"/>
          <w:sz w:val="18"/>
          <w:szCs w:val="18"/>
          <w:b w:val="1"/>
          <w:bCs w:val="1"/>
          <w:color w:val="auto"/>
        </w:rPr>
        <w:t>L-2163 Luxembourg City</w:t>
      </w:r>
    </w:p>
    <w:p>
      <w:pPr>
        <w:jc w:val="center"/>
        <w:ind w:right="-19"/>
        <w:spacing w:after="0" w:line="235" w:lineRule="auto"/>
        <w:rPr>
          <w:sz w:val="20"/>
          <w:szCs w:val="20"/>
          <w:color w:val="auto"/>
        </w:rPr>
      </w:pPr>
      <w:r>
        <w:rPr>
          <w:rFonts w:ascii="Arial" w:cs="Arial" w:eastAsia="Arial" w:hAnsi="Arial"/>
          <w:sz w:val="18"/>
          <w:szCs w:val="18"/>
          <w:b w:val="1"/>
          <w:bCs w:val="1"/>
          <w:color w:val="auto"/>
        </w:rPr>
        <w:t>Grand Duchy of Luxembourg</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R.C.S. Luxembourg B 72 391</w:t>
      </w:r>
    </w:p>
    <w:p>
      <w:pPr>
        <w:spacing w:after="0" w:line="190"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NOTICE OF EXTRAORDINARY MEETING OF SHAREHOLDERS AND IMPORTANT NOTICE REGARDING THE AVAILABILITY OF PROXY MATERIALS FOR THE EXTRAORDINARY MEETING OF SHAREHOLDERS TO BE HELD ON MAY 17,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Extraordinary Meeting of Shareholders ("Extraordinary Meeting") will be held:</w:t>
      </w:r>
    </w:p>
    <w:p>
      <w:pPr>
        <w:spacing w:after="0" w:line="200" w:lineRule="exact"/>
        <w:rPr>
          <w:sz w:val="20"/>
          <w:szCs w:val="20"/>
          <w:color w:val="auto"/>
        </w:rPr>
      </w:pPr>
    </w:p>
    <w:p>
      <w:pPr>
        <w:spacing w:after="0" w:line="20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17, 2017</w:t>
      </w:r>
    </w:p>
    <w:p>
      <w:pPr>
        <w:spacing w:after="0" w:line="21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10:00 a.m. Central European Time</w:t>
      </w:r>
    </w:p>
    <w:p>
      <w:pPr>
        <w:spacing w:after="0" w:line="207"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40, avenue Monterey</w:t>
      </w:r>
    </w:p>
    <w:p>
      <w:pPr>
        <w:ind w:left="1380"/>
        <w:spacing w:after="0" w:line="234"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Grand Duchy of Luxembourg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34" w:lineRule="exact"/>
        <w:rPr>
          <w:sz w:val="20"/>
          <w:szCs w:val="20"/>
          <w:color w:val="auto"/>
        </w:rPr>
      </w:pPr>
    </w:p>
    <w:p>
      <w:pPr>
        <w:ind w:left="1080" w:right="20" w:hanging="532"/>
        <w:spacing w:after="0" w:line="23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amend the Company's Articles of Incorporation to (i) renew and extend the authorization of the Board of Directors to issue shares of the Company's common stock, within the limits of the Company's authorized share capital of one hundred million dollars ($100,000,000) and, in connection with any such issuance, to limit or cancel the preferential subscription rights of shareholders, each for a period of five (5) years, as set forth in the proposed Amended and Restated Articles of Incorporation and (ii) receive the report issued by the Board of Directors pursuant to article 32 -3 (5) of the Luxembourg Law of 10 August 1915 on commercial companies, as amended (the "Luxembourg Company Law");</w:t>
      </w:r>
    </w:p>
    <w:p>
      <w:pPr>
        <w:spacing w:after="0" w:line="210"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amend the Company's Articles of Incorporation to effectuate recent changes in the Luxembourg Company Law, as the Company is required to do pursuant to the Luxembourg Law of 10 August 2016 and to make certain other administrative changes as set forth in the proposed Amended and Restated Articles of Incorporation; and</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or postponement of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34" w:lineRule="exact"/>
        <w:rPr>
          <w:sz w:val="20"/>
          <w:szCs w:val="20"/>
          <w:color w:val="auto"/>
        </w:rPr>
      </w:pPr>
    </w:p>
    <w:p>
      <w:pPr>
        <w:ind w:left="1080" w:right="12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has fixed March 20, 2017 as the record date for the determination of shareholders entitled to notice of and to vote at the Extraordinary Meeting.</w:t>
      </w:r>
    </w:p>
    <w:p>
      <w:pPr>
        <w:spacing w:after="0" w:line="208" w:lineRule="exact"/>
        <w:rPr>
          <w:rFonts w:ascii="Arial" w:cs="Arial" w:eastAsia="Arial" w:hAnsi="Arial"/>
          <w:sz w:val="18"/>
          <w:szCs w:val="18"/>
          <w:color w:val="auto"/>
        </w:rPr>
      </w:pPr>
    </w:p>
    <w:p>
      <w:pPr>
        <w:ind w:left="1080" w:right="120" w:hanging="532"/>
        <w:spacing w:after="0" w:line="23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Only shareholders of record at the close of business on the record date will be entitled to vote at the Extraordinary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8"/>
          <w:szCs w:val="18"/>
          <w:b w:val="1"/>
          <w:bCs w:val="1"/>
          <w:color w:val="auto"/>
        </w:rPr>
        <w:t>Even if you plan to attend the Extraordinary Meeting, we</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 that you vote your shares in advance of the meeting in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1080" w:right="140"/>
        <w:spacing w:after="0" w:line="264" w:lineRule="auto"/>
        <w:rPr>
          <w:sz w:val="20"/>
          <w:szCs w:val="20"/>
          <w:color w:val="auto"/>
        </w:rPr>
      </w:pPr>
      <w:r>
        <w:rPr>
          <w:rFonts w:ascii="Arial" w:cs="Arial" w:eastAsia="Arial" w:hAnsi="Arial"/>
          <w:sz w:val="18"/>
          <w:szCs w:val="18"/>
          <w:b w:val="1"/>
          <w:bCs w:val="1"/>
          <w:color w:val="auto"/>
        </w:rPr>
        <w:t>one of the manners listed in the accompanying materials so that your vote will be counted if you later are unable to attend the Extraordinary Meeting.</w:t>
      </w:r>
    </w:p>
    <w:p>
      <w:pPr>
        <w:spacing w:after="0" w:line="188" w:lineRule="exact"/>
        <w:rPr>
          <w:sz w:val="20"/>
          <w:szCs w:val="20"/>
          <w:color w:val="auto"/>
        </w:rPr>
      </w:pPr>
    </w:p>
    <w:p>
      <w:pPr>
        <w:ind w:left="1080" w:right="20" w:hanging="532"/>
        <w:spacing w:after="0" w:line="23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joint proxy statement for our Annual Meeting and Extraordinary Meeting, including the Company's proposed Amended and Restated Articles of Incorporation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accordance with Securities and Exchange Commission ("SEC") rules, you may access our joint proxy statement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of the site, by entering the Control Number found on your Notice and Access Card or on your proxy card in the space provided.</w:t>
      </w:r>
    </w:p>
    <w:p>
      <w:pPr>
        <w:spacing w:after="0" w:line="193" w:lineRule="exact"/>
        <w:rPr>
          <w:rFonts w:ascii="Arial" w:cs="Arial" w:eastAsia="Arial" w:hAnsi="Arial"/>
          <w:sz w:val="18"/>
          <w:szCs w:val="18"/>
          <w:color w:val="auto"/>
        </w:rPr>
      </w:pPr>
    </w:p>
    <w:p>
      <w:pPr>
        <w:ind w:left="1080" w:right="100" w:hanging="532"/>
        <w:spacing w:after="0" w:line="22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Luxembourg law, the Extraordinary Meeting will validly deliberate on its agenda,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quorum representing fifty percent (50%) of our issued and outstanding shares of common stock able to be voted is reached. Under Luxembourg law, if a quorum is not reached at an extraordinary meeting for the purpose of resolving on the agenda thereof, the meeting may be adjourned or postponed to a later date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issued and outstanding shares of common stock able to be voted for the transaction of business. The resolutions concerning the agenda of the Extraordinary Meeting, or any adjournment or postponement thereof, will be approved by the affirmative vote of the holders of at least two-thirds of the shares validly voted.</w:t>
      </w:r>
    </w:p>
    <w:p>
      <w:pPr>
        <w:spacing w:after="0" w:line="19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copy of the proposed Amended and Restated Articles of Incorporation and the report of the Board of Directors pursuant to</w:t>
      </w:r>
    </w:p>
    <w:p>
      <w:pPr>
        <w:ind w:left="1080"/>
        <w:spacing w:after="0" w:line="237" w:lineRule="auto"/>
        <w:rPr>
          <w:rFonts w:ascii="Arial" w:cs="Arial" w:eastAsia="Arial" w:hAnsi="Arial"/>
          <w:sz w:val="18"/>
          <w:szCs w:val="18"/>
          <w:color w:val="auto"/>
        </w:rPr>
      </w:pPr>
      <w:r>
        <w:rPr>
          <w:rFonts w:ascii="Arial" w:cs="Arial" w:eastAsia="Arial" w:hAnsi="Arial"/>
          <w:sz w:val="18"/>
          <w:szCs w:val="18"/>
          <w:color w:val="auto"/>
        </w:rPr>
        <w:t>article 32-3 (5) of the Luxembourg Company Law will be available for inspection at the Company's registered office from May 8, 2017 until the conclusion of the Extraordinary Meeting. Copies are also available to any shareholder who requests them by writing to our Corporate Secretary at Altisource Portfolio Solutions S.A., 40, avenue Monterey, L-2163 Luxembourg City, Grand Duchy of Luxembourg.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rPr>
          <w:sz w:val="20"/>
          <w:szCs w:val="20"/>
          <w:color w:val="auto"/>
        </w:rPr>
      </w:pPr>
      <w:r>
        <w:rPr>
          <w:rFonts w:ascii="Arial" w:cs="Arial" w:eastAsia="Arial" w:hAnsi="Arial"/>
          <w:sz w:val="18"/>
          <w:szCs w:val="18"/>
          <w:color w:val="auto"/>
        </w:rPr>
        <w:t>Corporate Secretary</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2017</w:t>
      </w:r>
    </w:p>
    <w:p>
      <w:pPr>
        <w:spacing w:after="0"/>
        <w:rPr>
          <w:sz w:val="20"/>
          <w:szCs w:val="20"/>
          <w:color w:val="auto"/>
        </w:rPr>
      </w:pPr>
      <w:r>
        <w:rPr>
          <w:rFonts w:ascii="Arial" w:cs="Arial" w:eastAsia="Arial" w:hAnsi="Arial"/>
          <w:sz w:val="18"/>
          <w:szCs w:val="18"/>
          <w:color w:val="auto"/>
        </w:rPr>
        <w:t>Luxembourg City, Grand Duchy of Luxembourg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JOINT PROXY STATEMENT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SHAREHOLDERS AND EXTRAORDINARY MEETING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We have made this joint proxy statement available to you on or about April [</w:t>
      </w:r>
      <w:r>
        <w:rPr>
          <w:sz w:val="20"/>
          <w:szCs w:val="20"/>
          <w:color w:val="auto"/>
        </w:rPr>
        <w:tab/>
      </w:r>
      <w:r>
        <w:rPr>
          <w:rFonts w:ascii="Arial" w:cs="Arial" w:eastAsia="Arial" w:hAnsi="Arial"/>
          <w:sz w:val="16"/>
          <w:szCs w:val="16"/>
          <w:color w:val="auto"/>
        </w:rPr>
        <w:t>], 2017 as a holder of common stock of Altisource Portfolio</w:t>
      </w:r>
    </w:p>
    <w:p>
      <w:pPr>
        <w:spacing w:after="0"/>
        <w:rPr>
          <w:sz w:val="20"/>
          <w:szCs w:val="20"/>
          <w:color w:val="auto"/>
        </w:rPr>
      </w:pPr>
      <w:r>
        <w:rPr>
          <w:rFonts w:ascii="Arial" w:cs="Arial" w:eastAsia="Arial" w:hAnsi="Arial"/>
          <w:sz w:val="16"/>
          <w:szCs w:val="16"/>
          <w:color w:val="auto"/>
        </w:rPr>
        <w:t>Solutions S.A. ("Altisource" or the "Company") because our Board of Directors is soliciting your proxy to be used at our 2017 Annual Meeting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Extraordinary Meeting, and any adjournment or postponement thereof. The Annual Meeting will be held on Wednesday, May 17, 2017, at</w:t>
      </w:r>
    </w:p>
    <w:p>
      <w:pPr>
        <w:spacing w:after="0"/>
        <w:rPr>
          <w:sz w:val="20"/>
          <w:szCs w:val="20"/>
          <w:color w:val="auto"/>
        </w:rPr>
      </w:pPr>
      <w:r>
        <w:rPr>
          <w:rFonts w:ascii="Arial" w:cs="Arial" w:eastAsia="Arial" w:hAnsi="Arial"/>
          <w:sz w:val="16"/>
          <w:szCs w:val="16"/>
          <w:color w:val="auto"/>
        </w:rPr>
        <w:t>9:00 a.m. Central European Time for the purposes listed in the Notice of Annual Meeting of Shareholders. The Extraordinary Meeting will be held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 the same day at 10:00 a.m. Central European Time for the purposes listed in the Notice of Extraordinary Meeting of Shareholders. Both</w:t>
      </w:r>
    </w:p>
    <w:p>
      <w:pPr>
        <w:spacing w:after="0"/>
        <w:rPr>
          <w:sz w:val="20"/>
          <w:szCs w:val="20"/>
          <w:color w:val="auto"/>
        </w:rPr>
      </w:pPr>
      <w:r>
        <w:rPr>
          <w:rFonts w:ascii="Arial" w:cs="Arial" w:eastAsia="Arial" w:hAnsi="Arial"/>
          <w:sz w:val="18"/>
          <w:szCs w:val="18"/>
          <w:color w:val="auto"/>
        </w:rPr>
        <w:t>meetings will be held at our registered office located at 40, avenue Monterey, L-2163 Luxembourg City, Grand Duchy of Luxembourg.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are entitled to vote at the Annual Meeting and the Extraordinary Meeting, and any adjournment or postponement thereof, if you are a holder of our common stock at the close of business on March 20, 2017. At the close of business on March 20, 2017, there were 18,426,969 shares of common stock issued, outstanding and able to be voted and no other class of equity securities outstanding. Each share of our common stock is entitled to one (1) vote at the Annual Meeting and one (1) vote at the Extraordinary Meeting on all matters presented for a vote at such meetings.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you are a shareholder of record, you will receive two proxy cards, one for the Annual Meeting and one for the Extraordinary Meeting. You must return the proxy cards by mail or vote by attending the meetings. The proxy cards will tell you how to vote your shares.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the shares you own are held in "street name" by a bank or broker, you will need to follow the directions such bank or broker provides to you. As in prior years, we have elected to provide access to our proxy materials over the Internet by mailing a Notice of Internet Availability of Proxy Materials (the "Notice") to the majority of our shareholders. Shareholders may access the proxy materials on the website referred to in the Notice or request a printed set of the proxy materials. Instructions on how to access the proxy materials over the Internet or to request a printed copy may be found in the Notice.</w:t>
      </w:r>
    </w:p>
    <w:p>
      <w:pPr>
        <w:spacing w:after="0" w:line="21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order to comply with Luxembourg legal requirements, our shareholders of record (shareholders who own our shares in their own name through our transfer agent) will not be able to vote their shares over the Internet or by telephone; however, shareholders who own our shares through a bank or broker will be authorized to vote their shares in any manner authorized by their bank or broker.</w:t>
      </w:r>
    </w:p>
    <w:p>
      <w:pPr>
        <w:spacing w:after="0" w:line="208"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Shareholders may also vote in person at the meetings. All shareholders must present valid government-issued photo identification to vote at the meeting. If your shares are held by a bank or broker, you will also need to obtain a "legal proxy" from the holder of record to vote at the meeting. For specific instructions, please refer to the proxy card or Notice you receive.</w:t>
      </w:r>
    </w:p>
    <w:p>
      <w:pPr>
        <w:spacing w:after="0" w:line="18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Even if you plan to attend the meetings, we recommend that you vote your shares in advance of the meetings in one of the manners available to you so that your vote will be counted if you are unable to attend.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for the Annual Meeting will be voted "FOR" each of the nominees for Director named in this joint proxy statement and "FOR" each of the other proposals identified in the agenda for the Annual Meeting; each proxy received for the Extraordinary Meeting will be voted "FOR" the proposals identified in the agenda for the Extraordinary Meeting; and, with regard to any other business that properly comes before either meeting, each proxy will be voted in accordance with the discretion of the persons appointed as proxies.</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 to approve the appointment of our independent registered certified accounting firm and certified auditor are expected to be "non-routine" proposals and, therefore, if you do not instruct your bank or broker how to vote your shares with respect to these proposals, your shares will not be counted.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Your proxies may be used only at the relevant meetings and any adjournment or postponement thereof, and will not be used for any other meeting.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You have the power to revoke your proxy at any time before it is exercised by:</w:t>
      </w:r>
    </w:p>
    <w:p>
      <w:pPr>
        <w:spacing w:after="0" w:line="21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filing written notice with our Corporate Secretary at the following address:</w:t>
      </w: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Kevin J. Wilcox, Corporate Secretary</w:t>
      </w:r>
    </w:p>
    <w:p>
      <w:pPr>
        <w:ind w:left="1620"/>
        <w:spacing w:after="0" w:line="234" w:lineRule="auto"/>
        <w:rPr>
          <w:sz w:val="20"/>
          <w:szCs w:val="20"/>
          <w:color w:val="auto"/>
        </w:rPr>
      </w:pPr>
      <w:r>
        <w:rPr>
          <w:rFonts w:ascii="Arial" w:cs="Arial" w:eastAsia="Arial" w:hAnsi="Arial"/>
          <w:sz w:val="18"/>
          <w:szCs w:val="18"/>
          <w:color w:val="auto"/>
        </w:rPr>
        <w:t>Altisource Portfolio Solutions S.A.</w:t>
      </w:r>
    </w:p>
    <w:p>
      <w:pPr>
        <w:ind w:left="1620"/>
        <w:spacing w:after="0" w:line="235" w:lineRule="auto"/>
        <w:rPr>
          <w:sz w:val="20"/>
          <w:szCs w:val="20"/>
          <w:color w:val="auto"/>
        </w:rPr>
      </w:pPr>
      <w:r>
        <w:rPr>
          <w:rFonts w:ascii="Arial" w:cs="Arial" w:eastAsia="Arial" w:hAnsi="Arial"/>
          <w:sz w:val="18"/>
          <w:szCs w:val="18"/>
          <w:color w:val="auto"/>
        </w:rPr>
        <w:t>40, avenue Monterey</w:t>
      </w:r>
    </w:p>
    <w:p>
      <w:pPr>
        <w:ind w:left="1620"/>
        <w:spacing w:after="0" w:line="235"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Grand Duchy of Luxembourg</w:t>
      </w:r>
    </w:p>
    <w:p>
      <w:pPr>
        <w:spacing w:after="0" w:line="225"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appearing at the relevant meeting and giving the Corporate Secretary notice of your intention to vote in 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4"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w:t>
      </w:r>
    </w:p>
    <w:p>
      <w:pPr>
        <w:spacing w:after="0" w:line="1" w:lineRule="exact"/>
        <w:rPr>
          <w:sz w:val="20"/>
          <w:szCs w:val="20"/>
          <w:color w:val="auto"/>
        </w:rPr>
      </w:pPr>
    </w:p>
    <w:p>
      <w:pPr>
        <w:ind w:right="80"/>
        <w:spacing w:after="0" w:line="201" w:lineRule="auto"/>
        <w:rPr>
          <w:sz w:val="20"/>
          <w:szCs w:val="20"/>
          <w:color w:val="auto"/>
        </w:rPr>
      </w:pPr>
      <w:r>
        <w:rPr>
          <w:rFonts w:ascii="Arial" w:cs="Arial" w:eastAsia="Arial" w:hAnsi="Arial"/>
          <w:sz w:val="18"/>
          <w:szCs w:val="18"/>
          <w:color w:val="auto"/>
        </w:rPr>
        <w:t>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issued and outstanding shares of common stock able to be voted, represented in person or by proxy, will constitute a quorum for the transaction of business at the Annual Meeting.</w:t>
      </w:r>
    </w:p>
    <w:p>
      <w:pPr>
        <w:spacing w:after="0" w:line="21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For the transaction of business at the Extraordinary Meeting, the presence of holders of at least fifty percent (50%) of our issued and outstanding shares of common stock able to be voted will constitute a quorum in accordance with Luxembourg law. Under Luxembourg law, if a quorum is not reached at an extraordinary meeting for the purpose of resolving on the agenda thereof, the meeting may be adjourned or postponed to a later date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issued and outstanding shares of common stock able to</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be voted for the transaction of business. Abstentions and "broker non-votes" will be treated as present for purposes of a quorum.</w:t>
      </w:r>
    </w:p>
    <w:p>
      <w:pPr>
        <w:spacing w:after="0" w:line="21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Pursuant to Luxembourg law and assuming a quorum, the six (6) nominees for Director will be elected as Directors of Altisource at the Annual Meeting so long as the votes cast in favor of each such person exceed the votes cast against such person. You may vote for, against or abstain from voting for one (1) or more nominees for Director. 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2016 and Atwell S.à r.l. ("Atwell") (</w:t>
      </w:r>
      <w:r>
        <w:rPr>
          <w:rFonts w:ascii="Arial" w:cs="Arial" w:eastAsia="Arial" w:hAnsi="Arial"/>
          <w:sz w:val="16"/>
          <w:szCs w:val="16"/>
          <w:i w:val="1"/>
          <w:iCs w:val="1"/>
          <w:color w:val="auto"/>
        </w:rPr>
        <w:t>Réviseur</w:t>
      </w:r>
      <w:r>
        <w:rPr>
          <w:rFonts w:ascii="Arial" w:cs="Arial" w:eastAsia="Arial" w:hAnsi="Arial"/>
          <w:sz w:val="16"/>
          <w:szCs w:val="16"/>
          <w:color w:val="auto"/>
        </w:rPr>
        <w:t xml:space="preserve"> </w:t>
      </w:r>
      <w:r>
        <w:rPr>
          <w:rFonts w:ascii="Arial" w:cs="Arial" w:eastAsia="Arial" w:hAnsi="Arial"/>
          <w:sz w:val="16"/>
          <w:szCs w:val="16"/>
          <w:i w:val="1"/>
          <w:iCs w:val="1"/>
          <w:color w:val="auto"/>
        </w:rPr>
        <w:t>d'Entreprises</w:t>
      </w:r>
      <w:r>
        <w:rPr>
          <w:rFonts w:ascii="Arial" w:cs="Arial" w:eastAsia="Arial" w:hAnsi="Arial"/>
          <w:sz w:val="16"/>
          <w:szCs w:val="16"/>
          <w:color w:val="auto"/>
        </w:rPr>
        <w:t>) to be our certified auditor for all statutory accounts as required by Luxembourg law for the same period; the proposal to approve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of Michelle D. Esterman, Chief Financial Officer of the Company, to be our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to report on the Luxembourg Annual Accounts for the years ending December 31, 2017 through December 31, 2022, or until her successor is duly elected and qualified, and to ratify her appointment by the Board of Directors as our supervisory auditor to report on the Luxembourg Annual Accounts for the years ended December 31, 2009 through December 31, 2016; the proposal to approve the Luxembourg Statutory Accounts as of and for the year ended December 31, 2016; the proposal to receive and approve the Directors' reports for the Luxembourg Statutory Accounts for the year ended December 31, 2016 and to receive the reports of the supervisory auditor for the Luxembourg Annual Accounts for the years ended December 31, 2009 through December 31, 2016; the proposal to allocate the results in the Luxembourg Annual Accounts for the year ended December 31, 2016; the proposal to approve the discharge of each of the Directors of Altisource Portfolio Solutions S.A. for the performance of their mandate during the year ended December 31, 2016 and the supervisory auditor for the performance of her mandate for the years ended December 31, 2009 through December 31, 2016; the proposal to approve the renewal of our share repurchase program whereby Altisource Portfolio Solutions S.A. is authorized, for a period of five years, to repurchase up to twenty-five percent (25%) of the outstanding shares of its common stock (as of the close of business on the date of the Annual Meeting) at a minimum price of one dollar ($1) per share and a maximum price of five hundred dollars ($500) per share; the advisory vote to approve the compensation of Altisource's named executive officers as disclosed in the Proxy Statement ("Say-on-Pay"); and any other matter properly submitted for your consideration at the Annual Meeting. The approval of the advisory vote on the frequency of future shareholder advisory votes on executive compensation ("Say-On-Frequency") will be determined based on the frequency that receives the most votes. While our Board of Directors intends to carefully consider the shareholder votes resulting from the Say-On-Pay and Say-On-Frequency proposals, the final votes will not be binding on us and are advisory in nature.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Luxembourg law and assuming a quorum, the following Extraordinary Meeting proposals will be approved if the votes cast in favor of the action exceed two-thirds of the shares validly voted: the proposal to amend the Company's Articles of Incorporation to (i) renew and extend the authorization of the Board of Directors to issue shares of the Company's common stock, within the limits of the Company's authorized share capital of one hundred million dollars ($100,000,000) and, in connection with any such issuance, to limit or cancel the preferential subscription rights of shareholders, each for a period of five (5) years, as set forth in the proposed Amended and Restated Articles of Incorporation and (ii) receive the report issued by the Board of Directors pursuant to article 32 -3 (5) of the Luxembourg Company Law; the proposal to amend the Company's Articles of Incorporation to effectuate recent changes in the Luxembourg Company Law, as the Company is required to do pursuant to the Luxembourg Law of 10 August 2016 and to make certain other administrative changes as set forth in the proposed Amended and Restated Articles of Incorporation; and any other matter properly submitted for your consideration at the Extraordinary Meeting.</w:t>
      </w:r>
    </w:p>
    <w:p>
      <w:pPr>
        <w:spacing w:after="0" w:line="190"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Any other matter properly submitted for your consideration will be approved with such vote as required by Luxembourg law. Abstentions will not be counted in determining the votes cast in connection with the proposals in the agendas of the Annual Meeting and Extraordinary Meeting.</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CONSIDERED AT THE ANNUAL MEETING OF SHAREHOLDERS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20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are proposing the six (6) nominees listed below for election as Directors at the Annual Meeting for a one (1) year term and/or until their successors are duly elected and qualified.</w:t>
      </w:r>
    </w:p>
    <w:p>
      <w:pPr>
        <w:spacing w:after="0" w:line="2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All nominees other than Mr. Morettini currently serve as our Directors. There are no arrangements or understandings between any nominee and any other person for selection as a nominee.</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nominees for Director: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Nomination/</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Age</w:t>
            </w:r>
            <w:r>
              <w:rPr>
                <w:rFonts w:ascii="Arial" w:cs="Arial" w:eastAsia="Arial" w:hAnsi="Arial"/>
                <w:sz w:val="29"/>
                <w:szCs w:val="29"/>
                <w:b w:val="1"/>
                <w:bCs w:val="1"/>
                <w:color w:val="auto"/>
                <w:w w:val="86"/>
                <w:vertAlign w:val="superscript"/>
              </w:rPr>
              <w:t>(1)</w:t>
            </w:r>
          </w:p>
        </w:tc>
        <w:tc>
          <w:tcPr>
            <w:tcW w:w="1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Executive</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Audit</w:t>
            </w:r>
          </w:p>
        </w:tc>
        <w:tc>
          <w:tcPr>
            <w:tcW w:w="120" w:type="dxa"/>
            <w:vAlign w:val="bottom"/>
          </w:tcPr>
          <w:p>
            <w:pPr>
              <w:spacing w:after="0"/>
              <w:rPr>
                <w:sz w:val="17"/>
                <w:szCs w:val="17"/>
                <w:color w:val="auto"/>
              </w:rPr>
            </w:pPr>
          </w:p>
        </w:tc>
        <w:tc>
          <w:tcPr>
            <w:tcW w:w="1220" w:type="dxa"/>
            <w:vAlign w:val="bottom"/>
          </w:tcPr>
          <w:p>
            <w:pPr>
              <w:spacing w:after="0" w:line="202" w:lineRule="exact"/>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7"/>
                <w:szCs w:val="17"/>
                <w:color w:val="auto"/>
              </w:rPr>
            </w:pPr>
          </w:p>
        </w:tc>
        <w:tc>
          <w:tcPr>
            <w:tcW w:w="980" w:type="dxa"/>
            <w:vAlign w:val="bottom"/>
          </w:tcPr>
          <w:p>
            <w:pPr>
              <w:spacing w:after="0" w:line="202" w:lineRule="exact"/>
              <w:rPr>
                <w:sz w:val="20"/>
                <w:szCs w:val="20"/>
                <w:color w:val="auto"/>
              </w:rPr>
            </w:pPr>
            <w:r>
              <w:rPr>
                <w:rFonts w:ascii="Arial" w:cs="Arial" w:eastAsia="Arial" w:hAnsi="Arial"/>
                <w:sz w:val="18"/>
                <w:szCs w:val="18"/>
                <w:b w:val="1"/>
                <w:bCs w:val="1"/>
                <w:color w:val="auto"/>
                <w:w w:val="94"/>
              </w:rPr>
              <w:t>Compliance</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Governance</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Since</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20" w:type="dxa"/>
            <w:vAlign w:val="bottom"/>
          </w:tcPr>
          <w:p>
            <w:pPr>
              <w:spacing w:after="0"/>
              <w:rPr>
                <w:sz w:val="19"/>
                <w:szCs w:val="19"/>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Committee</w:t>
            </w:r>
          </w:p>
        </w:tc>
        <w:tc>
          <w:tcPr>
            <w:tcW w:w="120" w:type="dxa"/>
            <w:vAlign w:val="bottom"/>
          </w:tcPr>
          <w:p>
            <w:pPr>
              <w:spacing w:after="0"/>
              <w:rPr>
                <w:sz w:val="19"/>
                <w:szCs w:val="19"/>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Committee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Orin S. Kramer</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71</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2016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540"/>
              <w:spacing w:after="0" w:line="236"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420"/>
              <w:spacing w:after="0" w:line="236"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(2)</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440"/>
              <w:spacing w:after="0" w:line="236"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W. Michael Linn</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68</w:t>
            </w:r>
          </w:p>
        </w:tc>
        <w:tc>
          <w:tcPr>
            <w:tcW w:w="80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1"/>
                <w:szCs w:val="21"/>
                <w:color w:val="auto"/>
              </w:rPr>
            </w:pPr>
          </w:p>
        </w:tc>
        <w:tc>
          <w:tcPr>
            <w:tcW w:w="1220" w:type="dxa"/>
            <w:vAlign w:val="bottom"/>
          </w:tcPr>
          <w:p>
            <w:pPr>
              <w:ind w:left="54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980" w:type="dxa"/>
            <w:vAlign w:val="bottom"/>
          </w:tcPr>
          <w:p>
            <w:pPr>
              <w:ind w:left="42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240" w:type="dxa"/>
            <w:vAlign w:val="bottom"/>
            <w:gridSpan w:val="2"/>
          </w:tcPr>
          <w:p>
            <w:pPr>
              <w:ind w:left="44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56</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40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44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William B. Shepro</w:t>
            </w:r>
          </w:p>
        </w:tc>
        <w:tc>
          <w:tcPr>
            <w:tcW w:w="620" w:type="dxa"/>
            <w:vAlign w:val="bottom"/>
            <w:gridSpan w:val="2"/>
          </w:tcPr>
          <w:p>
            <w:pPr>
              <w:jc w:val="center"/>
              <w:ind w:left="32"/>
              <w:spacing w:after="0" w:line="202" w:lineRule="exact"/>
              <w:rPr>
                <w:sz w:val="20"/>
                <w:szCs w:val="20"/>
                <w:color w:val="auto"/>
              </w:rPr>
            </w:pPr>
            <w:r>
              <w:rPr>
                <w:rFonts w:ascii="Arial" w:cs="Arial" w:eastAsia="Arial" w:hAnsi="Arial"/>
                <w:sz w:val="18"/>
                <w:szCs w:val="18"/>
                <w:color w:val="auto"/>
                <w:w w:val="89"/>
              </w:rPr>
              <w:t>48</w:t>
            </w:r>
          </w:p>
        </w:tc>
        <w:tc>
          <w:tcPr>
            <w:tcW w:w="800" w:type="dxa"/>
            <w:vAlign w:val="bottom"/>
            <w:gridSpan w:val="2"/>
          </w:tcPr>
          <w:p>
            <w:pPr>
              <w:jc w:val="center"/>
              <w:ind w:left="12"/>
              <w:spacing w:after="0" w:line="202" w:lineRule="exact"/>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Timo Vättö</w:t>
            </w:r>
            <w:r>
              <w:rPr>
                <w:rFonts w:ascii="Arial" w:cs="Arial" w:eastAsia="Arial" w:hAnsi="Arial"/>
                <w:sz w:val="28"/>
                <w:szCs w:val="28"/>
                <w:color w:val="auto"/>
                <w:vertAlign w:val="superscript"/>
              </w:rPr>
              <w:t>(5)</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52</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38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4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(4)</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ind w:left="42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(3)</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78"/>
        </w:trPr>
        <w:tc>
          <w:tcPr>
            <w:tcW w:w="4160" w:type="dxa"/>
            <w:vAlign w:val="bottom"/>
          </w:tcPr>
          <w:p>
            <w:pPr>
              <w:spacing w:after="0"/>
              <w:rPr>
                <w:sz w:val="20"/>
                <w:szCs w:val="20"/>
                <w:color w:val="auto"/>
              </w:rPr>
            </w:pPr>
            <w:r>
              <w:rPr>
                <w:rFonts w:ascii="Arial" w:cs="Arial" w:eastAsia="Arial" w:hAnsi="Arial"/>
                <w:sz w:val="18"/>
                <w:szCs w:val="18"/>
                <w:color w:val="auto"/>
              </w:rPr>
              <w:t>Joseph L. Morettini</w:t>
            </w:r>
            <w:r>
              <w:rPr>
                <w:rFonts w:ascii="Arial" w:cs="Arial" w:eastAsia="Arial" w:hAnsi="Arial"/>
                <w:sz w:val="29"/>
                <w:szCs w:val="29"/>
                <w:color w:val="auto"/>
                <w:vertAlign w:val="superscript"/>
              </w:rPr>
              <w:t>(6)</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40" w:hanging="532"/>
        <w:spacing w:after="0" w:line="212" w:lineRule="auto"/>
        <w:tabs>
          <w:tab w:leader="none" w:pos="5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As of March 20, 2017</w:t>
      </w:r>
    </w:p>
    <w:p>
      <w:pPr>
        <w:spacing w:after="0" w:line="6" w:lineRule="exact"/>
        <w:rPr>
          <w:rFonts w:ascii="Arial" w:cs="Arial" w:eastAsia="Arial" w:hAnsi="Arial"/>
          <w:sz w:val="29"/>
          <w:szCs w:val="29"/>
          <w:color w:val="auto"/>
          <w:vertAlign w:val="superscript"/>
        </w:rPr>
      </w:pPr>
    </w:p>
    <w:p>
      <w:pPr>
        <w:ind w:left="540" w:hanging="532"/>
        <w:spacing w:after="0" w:line="183" w:lineRule="auto"/>
        <w:tabs>
          <w:tab w:leader="none" w:pos="540"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color w:val="auto"/>
        </w:rPr>
        <w:t>Committee member effective November 15, 2016</w:t>
      </w:r>
    </w:p>
    <w:p>
      <w:pPr>
        <w:ind w:left="540" w:hanging="532"/>
        <w:spacing w:after="0" w:line="183" w:lineRule="auto"/>
        <w:tabs>
          <w:tab w:leader="none" w:pos="540"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color w:val="auto"/>
        </w:rPr>
        <w:t>Committee member through November 14, 2016</w:t>
      </w:r>
    </w:p>
    <w:p>
      <w:pPr>
        <w:ind w:left="540" w:hanging="532"/>
        <w:spacing w:after="0" w:line="183" w:lineRule="auto"/>
        <w:tabs>
          <w:tab w:leader="none" w:pos="5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Committee Chairman for 2016</w:t>
      </w:r>
    </w:p>
    <w:p>
      <w:pPr>
        <w:spacing w:after="0" w:line="5" w:lineRule="exact"/>
        <w:rPr>
          <w:rFonts w:ascii="Arial" w:cs="Arial" w:eastAsia="Arial" w:hAnsi="Arial"/>
          <w:sz w:val="24"/>
          <w:szCs w:val="24"/>
          <w:color w:val="auto"/>
          <w:vertAlign w:val="superscript"/>
        </w:rPr>
      </w:pPr>
    </w:p>
    <w:p>
      <w:pPr>
        <w:ind w:left="540" w:hanging="532"/>
        <w:spacing w:after="0" w:line="183" w:lineRule="auto"/>
        <w:tabs>
          <w:tab w:leader="none" w:pos="540"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color w:val="auto"/>
        </w:rPr>
        <w:t>Chairman of the Board of Directors</w:t>
      </w:r>
    </w:p>
    <w:p>
      <w:pPr>
        <w:ind w:left="540" w:hanging="532"/>
        <w:spacing w:after="0" w:line="183" w:lineRule="auto"/>
        <w:tabs>
          <w:tab w:leader="none" w:pos="5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Mr. Morettini will be appointed to one or more Committees after the Annual Meeting if he is elected to our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(5) years and additional biographical information of each nominee for Director are set forth below.</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All nominees for Director bring a wealth of leadership experience derived from their service in executive and managerial roles as well as extensive board experience.</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b w:val="1"/>
          <w:bCs w:val="1"/>
          <w:i w:val="1"/>
          <w:iCs w:val="1"/>
          <w:color w:val="auto"/>
        </w:rPr>
        <w:t xml:space="preserve">Orin S. Kramer. </w:t>
      </w:r>
      <w:r>
        <w:rPr>
          <w:rFonts w:ascii="Arial" w:cs="Arial" w:eastAsia="Arial" w:hAnsi="Arial"/>
          <w:sz w:val="16"/>
          <w:szCs w:val="16"/>
          <w:color w:val="auto"/>
        </w:rPr>
        <w:t>Mr. Kramer was appointed to the Board of Directors of Altisource in August 2016. Mr. Kramer manages Boston Provident, 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private investment fund founded in 1992. He has served as Chairman of the New Jersey State Investment Council from 2002 to 2010, Chairman of the Robert F. Kennedy Center from 2009 to 2013, and in his region as Chairman of the Community Chest from 1998 to 2007. Mr. Kramer chairs the Investment Committee of the National Park Foundation and has served on the Board of the Climate Reality Project, chaired by former Vice President Gore, since 2004. Mr. Kramer has also served on the boards of a number of financial services firms, both public and private.</w:t>
      </w:r>
    </w:p>
    <w:p>
      <w:pPr>
        <w:spacing w:after="0" w:line="180"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In 2011, Mr. Kramer was appointed to the New York State Council of Economic and Fiscal Advisors by Governor Cuomo. In 2007, he was appointed by the Pennsylvania State Treasurer as a member of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132715</wp:posOffset>
            </wp:positionV>
            <wp:extent cx="113220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22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Financial Asset Management Commission, which reviewed the State's investment practices. In 1995, he was designated by the Secretary of Treasury to serve as a member of the Advisory Commission on Financial Services. He was named by President Clinton as a member of the Commission to Study Capital Budgeting. In 1992, he served as a coordinator of President-elect Clinton's transition team on financial services issues. In 1990, he was appointed by the Governor of California as Executive Director of the California Commission on Ratemaking for Workers Compensation Insurance. In 1986, he served as Vice-chairman and Executive Director of a special commission appointed by Governor Cuomo to study the liability insurance crisis and civil justice reform and he co-authored the New York DeWind Commission report on product deregulation for banks. Mr. Kramer has published two books and a number of studies on the financial services industry. He has taught financial institutions law at Columbia Law School.</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From 1981 to 1983, Mr. Kramer was a member of the Financial Institutions group at the management-consulting firm of McKinsey &amp; Co. From 1977 to 1981, he served as Associate Director of the White House Domestic Policy Staff. Previously, Mr. Kramer had been an associate with the law firm of Simpson Thacher &amp; Bartlett and Executive Director of the New York State Commission on Living Costs and the Economy. He received a Bachelor of Arts from Yale College and a Juris Doctorate from Columbia Law School.</w:t>
      </w:r>
    </w:p>
    <w:p>
      <w:pPr>
        <w:spacing w:after="0" w:line="20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Kramer has over thirty-five years of experience in various public sector roles in the financial services industry. With his extensive experience in business advisory services and investment activity and his deep knowledge of the financial services industry, Mr. Kramer offers both financial expertise and a valuable perspective on government, regulation and risk management.</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i w:val="1"/>
          <w:iCs w:val="1"/>
          <w:color w:val="auto"/>
        </w:rPr>
        <w:t xml:space="preserve">W. Michael Linn. </w:t>
      </w:r>
      <w:r>
        <w:rPr>
          <w:rFonts w:ascii="Arial" w:cs="Arial" w:eastAsia="Arial" w:hAnsi="Arial"/>
          <w:sz w:val="16"/>
          <w:szCs w:val="16"/>
          <w:color w:val="auto"/>
        </w:rPr>
        <w:t>Mr. Linn was appointed to the Board of Directors of Altisource in May 2011. Mr. Linn also serves as a Board member of Panua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in Hope, a charitable organization dedicated to demonstrating a cost effective methodology for eliminating multigenerational poverty. In addition, Mr. Linn is a private investor in energy-related industries. Mr. Linn previously served as President and Chief Executive Officer of Greensleeves, LLC from January 2010 to April 2014. He also served on the Board of Directors of National Lime and Stone from 1994 through 2012. Mr. Linn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9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defined by NASDAQ listing standards and SEC rules. Through his five plus years of service on our Board of Directors, Mr. Linn has developed a thorough understanding of our business and industry.</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Roland Müller-Ineichen. </w:t>
      </w:r>
      <w:r>
        <w:rPr>
          <w:rFonts w:ascii="Arial" w:cs="Arial" w:eastAsia="Arial" w:hAnsi="Arial"/>
          <w:sz w:val="18"/>
          <w:szCs w:val="18"/>
          <w:color w:val="auto"/>
        </w:rPr>
        <w:t>Mr. Müller-Ineichen was appointed to the Board of Directors of Altisource in July 2009. He also serves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Bank 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trading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132715</wp:posOffset>
            </wp:positionV>
            <wp:extent cx="113220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22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21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defined by NASDAQ listing standards and SEC rules. Through his seven plus years of service on our Board of Directors, Mr. Müller-Ineichen has developed a thorough understanding of our business and industry.</w:t>
      </w:r>
    </w:p>
    <w:p>
      <w:pPr>
        <w:spacing w:after="0" w:line="18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of its subsidiaries. He holds a Bachelor of Science in Business from Skidmore College and a Juris Doctorate from the Florida State University College of Law.</w:t>
      </w:r>
    </w:p>
    <w:p>
      <w:pPr>
        <w:spacing w:after="0" w:line="18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b w:val="1"/>
          <w:bCs w:val="1"/>
          <w:i w:val="1"/>
          <w:iCs w:val="1"/>
          <w:color w:val="auto"/>
        </w:rPr>
        <w:t xml:space="preserve">Timo Vättö. </w:t>
      </w:r>
      <w:r>
        <w:rPr>
          <w:rFonts w:ascii="Arial" w:cs="Arial" w:eastAsia="Arial" w:hAnsi="Arial"/>
          <w:sz w:val="16"/>
          <w:szCs w:val="16"/>
          <w:color w:val="auto"/>
        </w:rPr>
        <w:t>Mr. Vättö was appointed to the Board of Directors of Altisource in August 2009, as Lead Independent Director in May 2014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of Directors in January 2015. He is the founder and owner of Cundo Management AG, a provider of independent corporate advisory services, which was founded in November 2008. Mr. Vättö serves as Chairman of the Board of Directors of Evalueserve Ltd, a privately held global professional services provider offering research, analytics and data management services. He also serves on the Board of Directors of IHAG Holding AG, a family-owned company that holds a diversified portfolio of majority and minority shareholdings in a variety of sectors, on the Board of Directors of Rettig Group, a privately held investment company, and as Chairman of the Board of Directors of KYC Exchange Net AG, a privately held company that provides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 member of the Board of Directors, including as a member of the Audit Committee, of Citibank (Switzerland) AG, part of Citigroup's Wealth Management Business. Mr. Vättö holds a Master of Science in Economics and Business Administration from the University of Tampere in Finland.</w:t>
      </w:r>
    </w:p>
    <w:p>
      <w:pPr>
        <w:spacing w:after="0" w:line="18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Mr. Vättö's experience with Cundo Management AG and Citigroup makes him financially literate and qualifies him as a financial expert as defined by NASDAQ listing standards and SEC rules, and his knowledge of the financial services industry provides the Board of Directors with subject matter expertise. Through his seven plus years of service on our Board of Directors, Mr. Vättö has developed a thorough understanding of our business and industry.</w:t>
      </w:r>
    </w:p>
    <w:p>
      <w:pPr>
        <w:spacing w:after="0" w:line="18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served as Partner of Deloitte &amp; Touche LLP ("Deloitte") from 1989 until his retirement in 2015, and in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with Deloitte from 1984 to 1989. During his tenure at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132715</wp:posOffset>
            </wp:positionV>
            <wp:extent cx="113220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22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Deloitte, his client responsibilities included companies in the financial services and mortgage servicing industries in addition to various public companies from small cap to large cap.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Morettini was selected to serve on our Board based on his extensive experience with other large financial institutions and public corporations in the financial services and mortgage servicing industries. Additionally, as a Certified Public Accountant with over thirty years of experience at Deloitte, Mr. Morettini offers valuable insight from an accounting and audit perspective.</w:t>
      </w:r>
    </w:p>
    <w:p>
      <w:pPr>
        <w:spacing w:after="0" w:line="38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Board of Directors plays an active role in overseeing the Company's business and representing the interests of the shareholders. Directors generally attend all meetings of the Board of Directors and all meetings of committees on which they serve. Directors are also consulted for advice and counsel between formal meetings.</w:t>
      </w:r>
    </w:p>
    <w:p>
      <w:pPr>
        <w:spacing w:after="0" w:line="2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Board of Directors met twelve (12) times and took action pursuant to written consent one (1) time in 2016. Each incumbent Director attended at least seventy-five percent (75%) of these meetings as well as the meetings held by all Committees of our Board of Directors on which he served during the period.</w:t>
      </w:r>
    </w:p>
    <w:p>
      <w:pPr>
        <w:spacing w:after="0" w:line="208"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Although we do not have a formal policy regarding Director attendance at the Annual Meeting, our Directors are expected to attend. Each incumbent Director attended our 2016 Annual Meeting of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4"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NASDAQ listing standards and applicable law.</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209"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The Board of Directors has determined that all of our current Directors other than Mr. Shepro are independent under the rules of NASDAQ listing standards. Mr. Shepro is deemed not to be independent because he serves as the Chief Executive Officer of Altisource. Upon his election, the Board of Directors has determined that Mr. Morettini will also qualify as independent. In making this determination, the Board of Directors considered the fact that Mr. Morettini is a former partner of Deloitte, who previously served as the Company's independent registered public accountants and concluded that such service did not impair his independence pursuant to the requirements of the NASDAQ listing standards.</w:t>
      </w:r>
    </w:p>
    <w:p>
      <w:pPr>
        <w:spacing w:after="0" w:line="18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Corporate Governance Guidelines also provide that the Board may appoint a lead independent director unless the Chairman of the Board is an independent director, in which case the Chairman of the Board will perform the functions of a lead independent director. Mr. Vättö, an independent director, is the Chairman and, as a result, we do not currently have a lead independent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Directors met in executive session of the Board of Directors without management four (4) times in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4"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The Board of Directors currently believes that separating the positions of Chief Executive Officer and Chairman is the best structure for the Company's needs. The Board periodically reviews the leadership</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132715</wp:posOffset>
            </wp:positionV>
            <wp:extent cx="332740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structure and may make changes in the future as it deems to be in the best interests of the Company and our shareholders at such time.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 We believe that the current leadership structure best serves the Board's ability to carry out its roles and responsibilities on behalf of the shareholders and allows the Chief Executive Officer to focus his time and energy on operating and managing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23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Altisource has a practice of directly engaging with significant shareholders throughout the year to obtain their input. Such discussions typically include our Chief Executive Officer, our Chief Financial Officer and/or the Chairman of the Board of Directors. In addition to input on capital allocation, current governance and executive compensation topics specific to Altisource, we invite discussion on any other topics or trends shareholders wish to share with us. Relevant feedback is shared with the Board and any Committees, as appropriate.</w:t>
      </w:r>
    </w:p>
    <w:p>
      <w:pPr>
        <w:spacing w:after="0" w:line="20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In 2016 and in the early part of 2017, we had discussions, either by phone or in person, with shareholders owning more than a majority of our issued and outstanding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certified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with "Related Persons," as defined by SEC Regulation S-K in accordance with the Company's Related Person Transactions Policy;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w:t>
      </w:r>
    </w:p>
    <w:p>
      <w:pPr>
        <w:spacing w:after="0" w:line="215"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The members of the Audit Committee for 2016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Committee.</w:t>
      </w:r>
    </w:p>
    <w:p>
      <w:pPr>
        <w:spacing w:after="0" w:line="185"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132715</wp:posOffset>
            </wp:positionV>
            <wp:extent cx="332740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2017. The Audit Committee met twenty-one (21) times and took action pursuant to written consent one (1) time in 2016. The Audit Committee met in executive session with both the Company's internal and external auditors five (5) times, solely with the Company's internal auditors two (2) times and solely with the Company's external auditors five (5) times in 2016.</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 oversees our compensation and employee benefit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practices. Our Compensation Committee also evaluates and makes recommendations to our Board of Directors for human resource and compensation matters 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is responsible for reviewing Director compensation and recommending changes, subject to the approval of our shareholders. The Compensation Committee also has the power to review our other compensation plans, including the goals and objectives thereof and to recommend changes to these plans to our Board of Directors. The Compensation Committee has the authority to administer awards under the 2009 Equity Incentive Plan. The Compensation Committee may request that any of our Directors,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Exequity LLP ("Exequity") is independent and that the engagement of Exequity by the Company as its compensation consultant raises no conflict of interest.</w:t>
      </w:r>
    </w:p>
    <w:p>
      <w:pPr>
        <w:spacing w:after="0" w:line="221"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In 2016, our Compensation Committee engaged Exequity to review the compensation levels for our Chief Executive Officer, Chief Administration and Risk Officer and Chief Financial Officer. Exequity reviewed the pay levels compared to pay levels among our peer companies to help identify the competitive positioning of our pay practices. Please see "Role of Compensation Consultant" in our Compensation Discussion and Analysis for further information.</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members of the Compensation Committee during 2016 were Messrs. Vättö, Linn, Müller-Ineichen and Kramer, with Mr. Vättö serving as the Chairman. In line with the Board's belief that it is in the best interests of the Company that the membership of the Committees of the Board change from time to time, Mr. Linn resigned as a member of the Compensation Committee and Mr. Kramer was appointed to the Compensation Committee, effective November 15, 2016.</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132715</wp:posOffset>
            </wp:positionV>
            <wp:extent cx="332740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2017. The Compensation Committee met eight (8) times and took action pursuant to written consent three (3) times in 2016.</w:t>
      </w:r>
    </w:p>
    <w:p>
      <w:pPr>
        <w:spacing w:after="0" w:line="163"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current member of the Compensation Committee has ever been an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employee of the Company, and no member has ever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2016 fiscal year.</w:t>
      </w:r>
    </w:p>
    <w:p>
      <w:pPr>
        <w:spacing w:after="0" w:line="15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with the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monitoring and evaluation of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2016 were Messrs. Linn, Müller-Ineichen, Vättö and Kramer, with Mr. Linn serving as the Chairman. In line with the Board's belief that it is in the best interests of the Company that the membership of the Committees of the Board change from time to time, Mr. Vättö resigned as a member of the Compliance Committee and Mr. Kramer was appointed to the Compliance Committee effective November 15, 2016. Each member of the Compliance Committee is independent as defined by NASDAQ listing standards.</w:t>
      </w:r>
    </w:p>
    <w:p>
      <w:pPr>
        <w:spacing w:after="0" w:line="18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February 2017. The Compliance Committee met four (4) times in 2016.</w:t>
      </w:r>
    </w:p>
    <w:p>
      <w:pPr>
        <w:spacing w:after="0" w:line="19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w:t>
      </w:r>
    </w:p>
    <w:p>
      <w:pPr>
        <w:spacing w:after="0" w:line="205"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The members of the Nomination/Governance Committee during 2016 were Messrs. Linn, Müller-Ineichen, Vättö and Kramer, with Mr. Linn serving as the Chairman. In line with the Board's belief that it is in the best interests of the Company that the membership of the Committees of the Board change from time to time, Mr. Müller-Ineichen resigned as a member of the Nomination/Governance Committee and Mr. Kramer was appointed to the Nomination/Governance Committee effective November 15, 2016. Each member of the Nomination/Governance Committee is independent as defined by NASDAQ listing standards.</w:t>
      </w:r>
    </w:p>
    <w:p>
      <w:pPr>
        <w:spacing w:after="0" w:line="21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2017. The Nomination/Governance Committee met five (5) times in 2016.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132715</wp:posOffset>
            </wp:positionV>
            <wp:extent cx="332740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20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In evaluating candidates for nomination to the Board,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Pursuant to the Company's Diversity Policy, the Nomination/Governance Committee will consider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Directors should have individual backgrounds that, when combined, provide a portfolio of experience and knowledge that will serve the Company's governance and strategic needs. The Nomination/Governance Committee does not discriminate against candidates for the Board of Directors based on race, color, religion, sex, sexual orientation, national origin, or any other personal attribute that does not speak to a person's ability to serve as a Director.</w:t>
      </w:r>
    </w:p>
    <w:p>
      <w:pPr>
        <w:spacing w:after="0" w:line="18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2016, in conducting its assessment of the size and makeup of our Board of Directors, our Nomination/Governance Committee determined to recruit one or more additional Board members with relevant skills, experience and industry knowledge. In June 2016, following the recommendation of the Nomination/Governance Committee, the Board nominated Mr. Kramer for election to the Board of Directors. Mr. Kramer was elected to the Board by our shareholders on August 18, 2016 and the size of the Board was increased to five (5) Directors. In February 2017, following the recommendation of the Nomination/Governance Committee, the Board of Directors nominated Mr. Joseph L. Morettini for election at the Annual Meeting which would further increase the size of the Board of Directors to six (6) Directors. In selecting Messrs. Kramer and Morettini to serve on our Board, the Board determined that their qualifications, experience and abilities would bring valuable insights to our Board.</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132715</wp:posOffset>
            </wp:positionV>
            <wp:extent cx="332740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recommendation should also include a written statement from the proposed nominee consenting to be named as a nominee and, if nominated and elected, to serve as a Director. To date, we have not received any shareholder proposals relating to Director nominees for the Annual Meeting. Please see the "Shareholder Proposals" section for additional information regarding shareholder proposals.</w:t>
      </w:r>
    </w:p>
    <w:p>
      <w:pPr>
        <w:spacing w:after="0" w:line="188"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meetings of our Board and to otherwise assist the Board in fulfilling its oversight responsibilities within the limits set forth in its charter. The Executive Committee was re-established in November 2016. The members of the Executive Committee during 2016 were Messrs. Vättö and Shepro, with Mr. Vättö serving as the Chairman.</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2017. The Executive Committee took no formal actions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reviews of the Board of Directors.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February 2017. Our Corporate Governance Guidelines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Relevant communications received in writing are distributed to our Board of Directors or to individual Directors, as appropriate, depending on the facts and circumstances outlined in the communication received.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and Chief Accounting Officer. The Code of Business Conduct and Ethics and the Code of Ethics for Senior Financial Officers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132715</wp:posOffset>
            </wp:positionV>
            <wp:extent cx="332740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February 2017.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www.altisource.com or otherwise disclosed in accordance with such rules.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each of its committees play a key role in the oversight of the Company's risk management.</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role of the Board of Directors in risk oversight is consistent with the Company's leadership structure, with the Chief Executive Officer, the Chief Administration and Risk Officer and other members of management having responsibility for assessing and managing the Company's risk exposure, and our Chairman, the Board of Directors and its committees providing oversight in connection with these efforts.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 COMPENSATION</w:t>
      </w:r>
    </w:p>
    <w:p>
      <w:pPr>
        <w:spacing w:after="0" w:line="234"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The following table discloses compensation earned by each non-management member of our Board of Directors who served as a Director during 2016. Our management Director does not receive an annual retainer or any other compensation for his service on the Board of Directors.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b w:val="1"/>
                <w:bCs w:val="1"/>
                <w:color w:val="auto"/>
              </w:rPr>
              <w:t>Fees Earned</w:t>
            </w:r>
          </w:p>
        </w:tc>
        <w:tc>
          <w:tcPr>
            <w:tcW w:w="176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29"/>
                <w:szCs w:val="29"/>
                <w:b w:val="1"/>
                <w:bCs w:val="1"/>
                <w:color w:val="auto"/>
                <w:vertAlign w:val="superscript"/>
              </w:rPr>
              <w:t>(2)</w:t>
            </w:r>
          </w:p>
        </w:tc>
        <w:tc>
          <w:tcPr>
            <w:tcW w:w="2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62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Arial" w:cs="Arial" w:eastAsia="Arial" w:hAnsi="Arial"/>
                <w:sz w:val="17"/>
                <w:szCs w:val="17"/>
                <w:b w:val="1"/>
                <w:bCs w:val="1"/>
                <w:color w:val="auto"/>
                <w:w w:val="98"/>
              </w:rPr>
              <w:t>or Paid in Cash</w:t>
            </w:r>
            <w:r>
              <w:rPr>
                <w:rFonts w:ascii="Arial" w:cs="Arial" w:eastAsia="Arial" w:hAnsi="Arial"/>
                <w:sz w:val="28"/>
                <w:szCs w:val="28"/>
                <w:b w:val="1"/>
                <w:bCs w:val="1"/>
                <w:color w:val="auto"/>
                <w:w w:val="98"/>
                <w:vertAlign w:val="superscript"/>
              </w:rPr>
              <w:t>(1)</w:t>
            </w:r>
          </w:p>
        </w:tc>
        <w:tc>
          <w:tcPr>
            <w:tcW w:w="1760" w:type="dxa"/>
            <w:vAlign w:val="bottom"/>
            <w:gridSpan w:val="3"/>
            <w:vMerge w:val="continue"/>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Compensation</w:t>
            </w:r>
          </w:p>
        </w:tc>
        <w:tc>
          <w:tcPr>
            <w:tcW w:w="22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7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Orin S. Kramer</w:t>
            </w:r>
            <w:r>
              <w:rPr>
                <w:rFonts w:ascii="Arial" w:cs="Arial" w:eastAsia="Arial" w:hAnsi="Arial"/>
                <w:sz w:val="27"/>
                <w:szCs w:val="27"/>
                <w:color w:val="auto"/>
                <w:vertAlign w:val="superscript"/>
              </w:rPr>
              <w:t>(3)</w:t>
            </w:r>
          </w:p>
        </w:tc>
        <w:tc>
          <w:tcPr>
            <w:tcW w:w="17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$22,683</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700"/>
              <w:spacing w:after="0" w:line="236" w:lineRule="exact"/>
              <w:rPr>
                <w:sz w:val="20"/>
                <w:szCs w:val="20"/>
                <w:color w:val="auto"/>
              </w:rPr>
            </w:pPr>
            <w:r>
              <w:rPr>
                <w:rFonts w:ascii="Arial" w:cs="Arial" w:eastAsia="Arial" w:hAnsi="Arial"/>
                <w:sz w:val="17"/>
                <w:szCs w:val="17"/>
                <w:color w:val="auto"/>
                <w:w w:val="98"/>
              </w:rPr>
              <w:t>$15,768</w:t>
            </w:r>
            <w:r>
              <w:rPr>
                <w:rFonts w:ascii="Arial" w:cs="Arial" w:eastAsia="Arial" w:hAnsi="Arial"/>
                <w:sz w:val="27"/>
                <w:szCs w:val="27"/>
                <w:color w:val="auto"/>
                <w:w w:val="98"/>
                <w:vertAlign w:val="superscript"/>
              </w:rPr>
              <w:t>(4)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gridSpan w:val="2"/>
          </w:tcPr>
          <w:p>
            <w:pPr>
              <w:spacing w:after="0" w:line="202" w:lineRule="exact"/>
              <w:rPr>
                <w:sz w:val="20"/>
                <w:szCs w:val="20"/>
                <w:color w:val="auto"/>
              </w:rPr>
            </w:pPr>
            <w:r>
              <w:rPr>
                <w:rFonts w:ascii="Arial" w:cs="Arial" w:eastAsia="Arial" w:hAnsi="Arial"/>
                <w:sz w:val="18"/>
                <w:szCs w:val="18"/>
                <w:color w:val="auto"/>
              </w:rPr>
              <w:t>W. Michael Linn</w:t>
            </w:r>
          </w:p>
        </w:tc>
        <w:tc>
          <w:tcPr>
            <w:tcW w:w="3160" w:type="dxa"/>
            <w:vAlign w:val="bottom"/>
            <w:gridSpan w:val="2"/>
          </w:tcPr>
          <w:p>
            <w:pPr>
              <w:jc w:val="right"/>
              <w:ind w:right="233"/>
              <w:spacing w:after="0" w:line="202" w:lineRule="exact"/>
              <w:rPr>
                <w:sz w:val="20"/>
                <w:szCs w:val="20"/>
                <w:color w:val="auto"/>
              </w:rPr>
            </w:pPr>
            <w:r>
              <w:rPr>
                <w:rFonts w:ascii="Arial" w:cs="Arial" w:eastAsia="Arial" w:hAnsi="Arial"/>
                <w:sz w:val="18"/>
                <w:szCs w:val="18"/>
                <w:color w:val="auto"/>
              </w:rPr>
              <w:t>$92,905</w:t>
            </w:r>
          </w:p>
        </w:tc>
        <w:tc>
          <w:tcPr>
            <w:tcW w:w="1560" w:type="dxa"/>
            <w:vAlign w:val="bottom"/>
            <w:gridSpan w:val="2"/>
          </w:tcPr>
          <w:p>
            <w:pPr>
              <w:ind w:left="920"/>
              <w:spacing w:after="0" w:line="202" w:lineRule="exact"/>
              <w:rPr>
                <w:sz w:val="20"/>
                <w:szCs w:val="20"/>
                <w:color w:val="auto"/>
              </w:rPr>
            </w:pPr>
            <w:r>
              <w:rPr>
                <w:rFonts w:ascii="Arial" w:cs="Arial" w:eastAsia="Arial" w:hAnsi="Arial"/>
                <w:sz w:val="18"/>
                <w:szCs w:val="18"/>
                <w:color w:val="auto"/>
                <w:w w:val="95"/>
              </w:rPr>
              <w:t>$70,689</w:t>
            </w:r>
          </w:p>
        </w:tc>
        <w:tc>
          <w:tcPr>
            <w:tcW w:w="2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$163,594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Roland Müller-</w:t>
            </w:r>
          </w:p>
        </w:tc>
        <w:tc>
          <w:tcPr>
            <w:tcW w:w="17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760" w:type="dxa"/>
            <w:vAlign w:val="bottom"/>
            <w:shd w:val="clear" w:color="auto" w:fill="CCEEFF"/>
          </w:tcPr>
          <w:p>
            <w:pPr>
              <w:ind w:left="160"/>
              <w:spacing w:after="0" w:line="240" w:lineRule="exact"/>
              <w:rPr>
                <w:sz w:val="20"/>
                <w:szCs w:val="20"/>
                <w:color w:val="auto"/>
              </w:rPr>
            </w:pPr>
            <w:r>
              <w:rPr>
                <w:rFonts w:ascii="Arial" w:cs="Arial" w:eastAsia="Arial" w:hAnsi="Arial"/>
                <w:sz w:val="17"/>
                <w:szCs w:val="17"/>
                <w:color w:val="auto"/>
              </w:rPr>
              <w:t>Ineichen</w:t>
            </w:r>
            <w:r>
              <w:rPr>
                <w:rFonts w:ascii="Arial" w:cs="Arial" w:eastAsia="Arial" w:hAnsi="Arial"/>
                <w:sz w:val="27"/>
                <w:szCs w:val="27"/>
                <w:color w:val="auto"/>
                <w:vertAlign w:val="superscript"/>
              </w:rPr>
              <w:t>(5)</w:t>
            </w:r>
          </w:p>
        </w:tc>
        <w:tc>
          <w:tcPr>
            <w:tcW w:w="31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$92,269</w:t>
            </w: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5"/>
              </w:rPr>
              <w:t>$70,689</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$162,958</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80" w:type="dxa"/>
            <w:vAlign w:val="bottom"/>
            <w:gridSpan w:val="2"/>
          </w:tcPr>
          <w:p>
            <w:pPr>
              <w:spacing w:after="0"/>
              <w:rPr>
                <w:sz w:val="20"/>
                <w:szCs w:val="20"/>
                <w:color w:val="auto"/>
              </w:rPr>
            </w:pPr>
            <w:r>
              <w:rPr>
                <w:rFonts w:ascii="Arial" w:cs="Arial" w:eastAsia="Arial" w:hAnsi="Arial"/>
                <w:sz w:val="18"/>
                <w:szCs w:val="18"/>
                <w:color w:val="auto"/>
              </w:rPr>
              <w:t>Timo Vättö</w:t>
            </w:r>
            <w:r>
              <w:rPr>
                <w:rFonts w:ascii="Arial" w:cs="Arial" w:eastAsia="Arial" w:hAnsi="Arial"/>
                <w:sz w:val="29"/>
                <w:szCs w:val="29"/>
                <w:color w:val="auto"/>
                <w:vertAlign w:val="superscript"/>
              </w:rPr>
              <w:t>(6)</w:t>
            </w:r>
          </w:p>
        </w:tc>
        <w:tc>
          <w:tcPr>
            <w:tcW w:w="3160" w:type="dxa"/>
            <w:vAlign w:val="bottom"/>
            <w:gridSpan w:val="2"/>
          </w:tcPr>
          <w:p>
            <w:pPr>
              <w:jc w:val="right"/>
              <w:ind w:right="233"/>
              <w:spacing w:after="0"/>
              <w:rPr>
                <w:sz w:val="20"/>
                <w:szCs w:val="20"/>
                <w:color w:val="auto"/>
              </w:rPr>
            </w:pPr>
            <w:r>
              <w:rPr>
                <w:rFonts w:ascii="Arial" w:cs="Arial" w:eastAsia="Arial" w:hAnsi="Arial"/>
                <w:sz w:val="18"/>
                <w:szCs w:val="18"/>
                <w:color w:val="auto"/>
              </w:rPr>
              <w:t>$185,085</w:t>
            </w:r>
          </w:p>
        </w:tc>
        <w:tc>
          <w:tcPr>
            <w:tcW w:w="1560" w:type="dxa"/>
            <w:vAlign w:val="bottom"/>
            <w:gridSpan w:val="2"/>
          </w:tcPr>
          <w:p>
            <w:pPr>
              <w:ind w:left="920"/>
              <w:spacing w:after="0"/>
              <w:rPr>
                <w:sz w:val="20"/>
                <w:szCs w:val="20"/>
                <w:color w:val="auto"/>
              </w:rPr>
            </w:pPr>
            <w:r>
              <w:rPr>
                <w:rFonts w:ascii="Arial" w:cs="Arial" w:eastAsia="Arial" w:hAnsi="Arial"/>
                <w:sz w:val="18"/>
                <w:szCs w:val="18"/>
                <w:color w:val="auto"/>
                <w:w w:val="95"/>
              </w:rPr>
              <w:t>$70,689</w:t>
            </w:r>
          </w:p>
        </w:tc>
        <w:tc>
          <w:tcPr>
            <w:tcW w:w="2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$255,774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80" w:right="60" w:hanging="531"/>
        <w:spacing w:after="0" w:line="219" w:lineRule="auto"/>
        <w:tabs>
          <w:tab w:leader="none" w:pos="16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2016, including amounts earned for service in the fourth quarter of 2016 and paid in the first quarter of 2017. Please see the "Cash Compensation" section below for additional information regarding cash compensation paid to our non-management Directors.</w:t>
      </w:r>
    </w:p>
    <w:p>
      <w:pPr>
        <w:spacing w:after="0" w:line="210" w:lineRule="exact"/>
        <w:rPr>
          <w:rFonts w:ascii="Arial" w:cs="Arial" w:eastAsia="Arial" w:hAnsi="Arial"/>
          <w:sz w:val="29"/>
          <w:szCs w:val="29"/>
          <w:color w:val="auto"/>
          <w:vertAlign w:val="superscript"/>
        </w:rPr>
      </w:pPr>
    </w:p>
    <w:p>
      <w:pPr>
        <w:ind w:left="1680" w:right="220" w:hanging="531"/>
        <w:spacing w:after="0" w:line="226" w:lineRule="auto"/>
        <w:tabs>
          <w:tab w:leader="none" w:pos="168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Non-management Directors who attended at least 75% of all meetings of the Board of Directors and committees on which they served for the 2015 to 2016 service year were entitled to receive an award of Altisource common stock at the end of such service year. The number of shares of common stock was determined by dividing $75,000 by the average of the high and low prices of the common stock as reported on the NASDAQ Global Select Market on the first day of the service year. This table shows the aggregate award date fair value of such shares on the date received in May 2016. Please see the "Equity Compensation" section below for additional information regarding non-management Director stock awards.</w:t>
      </w:r>
    </w:p>
    <w:p>
      <w:pPr>
        <w:spacing w:after="0" w:line="194" w:lineRule="exact"/>
        <w:rPr>
          <w:rFonts w:ascii="Arial" w:cs="Arial" w:eastAsia="Arial" w:hAnsi="Arial"/>
          <w:sz w:val="28"/>
          <w:szCs w:val="28"/>
          <w:color w:val="auto"/>
          <w:vertAlign w:val="superscript"/>
        </w:rPr>
      </w:pPr>
    </w:p>
    <w:p>
      <w:pPr>
        <w:ind w:left="1680" w:right="160" w:hanging="531"/>
        <w:spacing w:after="0" w:line="197" w:lineRule="auto"/>
        <w:tabs>
          <w:tab w:leader="none" w:pos="16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Mr. Kramer joined the Board of Directors effective August 19, 2016 and was appointed by the Board of Directors to the Compensation Committee, Compliance Committee and Nomination/Governance Committee, effective November 15, 2016. These amounts reflect compensation for service from those dates.</w:t>
      </w:r>
    </w:p>
    <w:p>
      <w:pPr>
        <w:spacing w:after="0" w:line="196" w:lineRule="exact"/>
        <w:rPr>
          <w:rFonts w:ascii="Arial" w:cs="Arial" w:eastAsia="Arial" w:hAnsi="Arial"/>
          <w:sz w:val="29"/>
          <w:szCs w:val="29"/>
          <w:color w:val="auto"/>
          <w:vertAlign w:val="superscript"/>
        </w:rPr>
      </w:pPr>
    </w:p>
    <w:p>
      <w:pPr>
        <w:ind w:left="1680" w:hanging="531"/>
        <w:spacing w:after="0" w:line="207" w:lineRule="auto"/>
        <w:tabs>
          <w:tab w:leader="none" w:pos="168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On the date of his initial election, Mr. Kramer received a one-time grant of 500 shares of common stock, with an aggregate fair market value of $15,768. This award vests in four (4) equal installments beginning on the date of the Annual Meeting and continuing on the dates of the next three (3) annual meeting of shareholders, subject to his continued service on the Board.</w:t>
      </w:r>
    </w:p>
    <w:p>
      <w:pPr>
        <w:spacing w:after="0" w:line="208" w:lineRule="exact"/>
        <w:rPr>
          <w:rFonts w:ascii="Arial" w:cs="Arial" w:eastAsia="Arial" w:hAnsi="Arial"/>
          <w:sz w:val="28"/>
          <w:szCs w:val="28"/>
          <w:color w:val="auto"/>
          <w:vertAlign w:val="superscript"/>
        </w:rPr>
      </w:pPr>
    </w:p>
    <w:p>
      <w:pPr>
        <w:ind w:left="1680" w:hanging="531"/>
        <w:spacing w:after="0" w:line="214" w:lineRule="auto"/>
        <w:tabs>
          <w:tab w:leader="none" w:pos="16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Mr. Müller-Ineichen's cash compensation was paid in Swiss francs for the first, second and fourth quarters, using the following exchange rates that were in effect on the 15th day of the last month of the quarter for which payment was made: for the first quarter, an exchange rate of 0.98523 Swiss francs to the U.S. dollar; for the second quarter, an exchange rate of 0.96388 Swiss francs to the U.S. dollar; and for the fourth quarter, an exchange rate of 1.02602 Swiss francs to the U.S. dollar. The amounts reported in the table above are the U.S. dollar amounts prior to conversion to Swiss francs. Mr. Müller-Ineichen's cash compensation was paid in U.S. dollars in the third quarter.</w:t>
      </w:r>
    </w:p>
    <w:p>
      <w:pPr>
        <w:spacing w:after="0" w:line="197" w:lineRule="exact"/>
        <w:rPr>
          <w:rFonts w:ascii="Arial" w:cs="Arial" w:eastAsia="Arial" w:hAnsi="Arial"/>
          <w:sz w:val="29"/>
          <w:szCs w:val="29"/>
          <w:color w:val="auto"/>
          <w:vertAlign w:val="superscript"/>
        </w:rPr>
      </w:pPr>
    </w:p>
    <w:p>
      <w:pPr>
        <w:ind w:left="1680" w:right="120" w:hanging="531"/>
        <w:spacing w:after="0" w:line="211" w:lineRule="auto"/>
        <w:tabs>
          <w:tab w:leader="none" w:pos="16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Mr. Vättö's cash compensation was paid in euros, using the following exchange rates that were in effect on the 15th day of the last month of the quarter for which payment was made: for the first quarter, an exchange rate of 0.89836 euros to the U.S. dollar; for the second quarter, an exchange rate of 0.88893 euros to the U.S. dollar; for the third quarter, an exchange rate of 0.89032 euros to the U.S. dollar and for the fourth quarter, an exchange rate of 0.95521 euros to the U.S. dollar. The amounts reported in the table above are the U.S. dollar amounts prior to conversion to euros.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132715</wp:posOffset>
            </wp:positionV>
            <wp:extent cx="240093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9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4"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For the 2015 to 2016 service year, we provided the following annual cash compensation to our non-management Directors in quarterly installments:</w:t>
      </w:r>
    </w:p>
    <w:p>
      <w:pPr>
        <w:spacing w:after="0" w:line="20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$85,000 to the Chairman of the Board of Directors;</w:t>
      </w:r>
    </w:p>
    <w:p>
      <w:pPr>
        <w:ind w:left="1080" w:hanging="532"/>
        <w:spacing w:after="0" w:line="23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$20,000 to the Audit Committee chairman;</w:t>
      </w: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$12,500 to the Compliance Committee chairman;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$7,500 to each of the Compensation Committee and Nomination/Governance Committee chairmen;</w:t>
      </w:r>
    </w:p>
    <w:p>
      <w:pPr>
        <w:ind w:left="1080" w:hanging="532"/>
        <w:spacing w:after="0" w:line="23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$7,500 to all Audit Committee members (other than the Audit Committee chairman);</w:t>
      </w: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$5,000 to all Compliance Committee members (other than the Compliance Committee chairman); 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$15,000 to the Executive Committee chairman.</w:t>
      </w:r>
    </w:p>
    <w:p>
      <w:pPr>
        <w:spacing w:after="0" w:line="21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As approved by our shareholders at our 2016 Annual Meeting of Shareholders, beginning in the 2016 to 2017 service year, we provide the following annual cash compensation to our non-management Directors in quarterly installments:</w:t>
      </w:r>
    </w:p>
    <w:p>
      <w:pPr>
        <w:spacing w:after="0" w:line="205"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retainer of $54,000;</w:t>
      </w: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$100,000 to the Chairman of the Board of Directors;</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$25,000 to the Audit Committee chairman;</w:t>
      </w:r>
    </w:p>
    <w:p>
      <w:pPr>
        <w:ind w:left="1080" w:hanging="532"/>
        <w:spacing w:after="0" w:line="23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chairman;</w:t>
      </w: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chairman;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chairman;</w:t>
      </w: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chairman);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chairman);</w:t>
      </w:r>
    </w:p>
    <w:p>
      <w:pPr>
        <w:ind w:left="1080" w:hanging="532"/>
        <w:spacing w:after="0" w:line="23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chairman); and</w:t>
      </w:r>
    </w:p>
    <w:p>
      <w:pPr>
        <w:ind w:left="1080" w:right="62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Nomination/Governance Committee chairman).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Non-management Directors who attend at least seventy-five percent (75%) of all meetings of the Board of Directors and committees on which they serve are entitled to receive an award of shares of our common stock at the end of the applicable service year. We determine the number of shares to be granted by dividing the dollar amount of the award approved by our shareholders (the "Award Value") by the average of the high and low prices of our common stock as reported on the NASDAQ Global Select Market on the first day of the service year.</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the 2015 to 2016 service year, all of our non-management Directors attended at least seventy-five percent (75%) of all meetings of the Board of Directors and committees on which they served and received an award of 2,596 shares of our common stock at the end of the service year, based on an Award Value of $75,000 divided by the average of the high and low prices of the common stock as reported on the NASDAQ Global Select Market on the first day of the service year.</w:t>
      </w:r>
    </w:p>
    <w:p>
      <w:pPr>
        <w:spacing w:after="0" w:line="20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For the 2016 to 2017 service year, our non-management Directors who have served on the Board of Directors for the full service year and have attended at least seventy-five percent (75%) of all meetings of the Board of Directors and committees on which they serve will receive 4,126 shares of our common stock at the end of the service year, based on an Award Value of $110,000 divided by the average of the high and low prices of the common stock as reported on the NASDAQ Global Select Market on the first day of</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132715</wp:posOffset>
            </wp:positionV>
            <wp:extent cx="240093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9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2016 to 2017 service year. For the 2016 to 2017 service year, our non-management Director who has served on the Board of Directors less than a full service year, Mr. Kramer will receive 2,627 shares at the end of the service year if he attends seventy-five percent (75%) of all meetings of the Board of Directors and committees on which he served from his date of joining to the end of the service year based on an award value of $81,972 ($110,000 prorated to his date of joining).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new non-management Directors are granted a one-time award of 500 shares of common stock, which are scheduled to vest in four</w:t>
      </w:r>
    </w:p>
    <w:p>
      <w:pPr>
        <w:ind w:right="120" w:firstLine="8"/>
        <w:spacing w:after="0" w:line="237"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equal installments beginning on the date of the annual meeting following the award and continuing on the dates of the next three (3) annual meeting of shareholders. If elected, Mr. Morettini will receive a one-time grant of 500 shares of common stock on the date of the Annual Meeting which will vest in four (4) equal installments beginning on the date of the 2018 annual meeting of shareholders and continuing on the dates of the next three (3) annual meeting of shareholders, subject to his continued service.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Directors are reimbursed for reasonable travel and other expenses incurred in connection with attending meetings of the Board of Directors and its Committees.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and/or executive officers is related to any other Director and/or executive officer of Altisource by blood, marriage or adoption.</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448"/>
        </w:trPr>
        <w:tc>
          <w:tcPr>
            <w:tcW w:w="20" w:type="dxa"/>
            <w:vAlign w:val="bottom"/>
          </w:tcPr>
          <w:p>
            <w:pPr>
              <w:spacing w:after="0"/>
              <w:rPr>
                <w:sz w:val="24"/>
                <w:szCs w:val="24"/>
                <w:color w:val="auto"/>
              </w:rPr>
            </w:pPr>
          </w:p>
        </w:tc>
        <w:tc>
          <w:tcPr>
            <w:tcW w:w="27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35"/>
                <w:szCs w:val="35"/>
                <w:b w:val="1"/>
                <w:bCs w:val="1"/>
                <w:color w:val="auto"/>
                <w:w w:val="83"/>
                <w:vertAlign w:val="subscript"/>
              </w:rPr>
              <w:t>Age</w:t>
            </w:r>
            <w:r>
              <w:rPr>
                <w:rFonts w:ascii="Arial" w:cs="Arial" w:eastAsia="Arial" w:hAnsi="Arial"/>
                <w:sz w:val="15"/>
                <w:szCs w:val="15"/>
                <w:b w:val="1"/>
                <w:bCs w:val="1"/>
                <w:color w:val="auto"/>
                <w:w w:val="83"/>
              </w:rPr>
              <w:t>(1)</w:t>
            </w:r>
          </w:p>
        </w:tc>
        <w:tc>
          <w:tcPr>
            <w:tcW w:w="220" w:type="dxa"/>
            <w:vAlign w:val="bottom"/>
          </w:tcPr>
          <w:p>
            <w:pPr>
              <w:spacing w:after="0"/>
              <w:rPr>
                <w:sz w:val="24"/>
                <w:szCs w:val="24"/>
                <w:color w:val="auto"/>
              </w:rPr>
            </w:pPr>
          </w:p>
        </w:tc>
        <w:tc>
          <w:tcPr>
            <w:tcW w:w="538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Kevin J. Wilcox</w:t>
            </w:r>
          </w:p>
        </w:tc>
        <w:tc>
          <w:tcPr>
            <w:tcW w:w="80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9"/>
              </w:rPr>
              <w:t>53</w:t>
            </w:r>
          </w:p>
        </w:tc>
        <w:tc>
          <w:tcPr>
            <w:tcW w:w="56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Administration and Risk Officer</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Michelle D. Esterman</w:t>
            </w:r>
          </w:p>
        </w:tc>
        <w:tc>
          <w:tcPr>
            <w:tcW w:w="80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44</w:t>
            </w:r>
          </w:p>
        </w:tc>
        <w:tc>
          <w:tcPr>
            <w:tcW w:w="5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Joseph A. Davila</w:t>
            </w:r>
          </w:p>
        </w:tc>
        <w:tc>
          <w:tcPr>
            <w:tcW w:w="80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47</w:t>
            </w:r>
          </w:p>
        </w:tc>
        <w:tc>
          <w:tcPr>
            <w:tcW w:w="5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President, Servicer Solutions</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Gregory J. Ritts</w:t>
            </w:r>
          </w:p>
        </w:tc>
        <w:tc>
          <w:tcPr>
            <w:tcW w:w="80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48</w:t>
            </w:r>
          </w:p>
        </w:tc>
        <w:tc>
          <w:tcPr>
            <w:tcW w:w="5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General Counsel</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Vivek Bhandari</w:t>
            </w:r>
          </w:p>
        </w:tc>
        <w:tc>
          <w:tcPr>
            <w:tcW w:w="80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41</w:t>
            </w:r>
          </w:p>
        </w:tc>
        <w:tc>
          <w:tcPr>
            <w:tcW w:w="5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President, Real Estate Investor Solutions</w:t>
            </w:r>
          </w:p>
        </w:tc>
      </w:tr>
    </w:tbl>
    <w:p>
      <w:pPr>
        <w:spacing w:after="0" w:line="97" w:lineRule="exact"/>
        <w:rPr>
          <w:sz w:val="20"/>
          <w:szCs w:val="20"/>
          <w:color w:val="auto"/>
        </w:rPr>
      </w:pPr>
    </w:p>
    <w:p>
      <w:pPr>
        <w:ind w:left="1680" w:hanging="531"/>
        <w:spacing w:after="0"/>
        <w:tabs>
          <w:tab w:leader="none" w:pos="16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As of March 20, 2017</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is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Kevin J. Wilcox. </w:t>
      </w:r>
      <w:r>
        <w:rPr>
          <w:rFonts w:ascii="Arial" w:cs="Arial" w:eastAsia="Arial" w:hAnsi="Arial"/>
          <w:sz w:val="18"/>
          <w:szCs w:val="18"/>
          <w:color w:val="auto"/>
        </w:rPr>
        <w:t>Mr. Wilcox serves as Chief Administration and Risk Officer of Altisource. Mr. Wilcox has served as Chief Administration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2009 and as General Counsel from August 2009 through October 2014. Before joining Altisource, he served as Executive Vice President, Chief Administration Officer and Corporate Secretary for Ocwen since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serves as Chief Financial Officer of Altisource. Before joining Altisource in March 2012,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Manager, Audit &amp; Enterprise Risk Services for Deloitte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9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 xml:space="preserve">Joseph A. Davila. </w:t>
      </w:r>
      <w:r>
        <w:rPr>
          <w:rFonts w:ascii="Arial" w:cs="Arial" w:eastAsia="Arial" w:hAnsi="Arial"/>
          <w:sz w:val="18"/>
          <w:szCs w:val="18"/>
          <w:color w:val="auto"/>
        </w:rPr>
        <w:t>Mr. Davila serves as President, Servicer Solutions of Altisource. Mr. Davila previously served as President,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from February 2013 to May 2016 and as Senior Vice President, Real Estate Services from July 2011 to February 2013. Before joining Altisource, he served as Vice President of Operations of Capital One Financial Corporation beginning in 2007. Mr. Davila began his career as a consultant with Price Waterhouse and, subsequently, Bain &amp; Company. He holds a Bachelor of Science from Southern Methodist University and a Master of Business Administration from the Kellogg School of Management at Northwestern University.</w:t>
      </w:r>
    </w:p>
    <w:p>
      <w:pPr>
        <w:spacing w:after="0" w:line="190"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auto"/>
        </w:rPr>
        <w:t xml:space="preserve">Gregory J. Ritts. </w:t>
      </w:r>
      <w:r>
        <w:rPr>
          <w:rFonts w:ascii="Arial" w:cs="Arial" w:eastAsia="Arial" w:hAnsi="Arial"/>
          <w:sz w:val="18"/>
          <w:szCs w:val="18"/>
          <w:color w:val="auto"/>
        </w:rPr>
        <w:t>Mr. Ritts serves as General Counsel of Altisource. Before joining Altisource in October 2014, he served 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Deputy General Counsel of Publicis Groupe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Doctorate from the University of Michigan Law School.</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132715</wp:posOffset>
            </wp:positionV>
            <wp:extent cx="296735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735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Vivek Bhandari. </w:t>
      </w:r>
      <w:r>
        <w:rPr>
          <w:rFonts w:ascii="Arial" w:cs="Arial" w:eastAsia="Arial" w:hAnsi="Arial"/>
          <w:sz w:val="18"/>
          <w:szCs w:val="18"/>
          <w:color w:val="auto"/>
        </w:rPr>
        <w:t>Mr. Bhandari serves as President, Real Estate Investor Solutions of Altisource since May 2016 and as head of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business since July 2013. He also led our Technology Infrastructure division from January 2015 to May 2016 and served as Vice President, Operations, Financial Services from August 2009 to July 2013. Before joining Altisource, he served as Vice President, Collections at Ocwen and in various other positions within Ocwen from 2005. Mr. Bhandari began his career with Tata Technologies India Ltd. as a systems consultant. He subsequently worked with ICICI Bank in its mortgage and retail finance business. He holds a Bachelor of Technology and Manufacturing Science and Engineering from the Indian Institute of Technology, Delhi and a Master of Business Administration from the Indian Institute of Management, Calcutta.</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RELATED SHAREHOLDER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1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persons known by Altisource to own beneficially five (5%) or more of the outstanding common stock;</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Director and Named Executive Officer (as defined in "Compensation Discussion and Analysis") of Altisource; and</w:t>
      </w: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Directors and executive officers of Altisource as a group.</w:t>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Exchange Act and is based on an aggregate of 18,426,969 shares issued and outstanding as of March 20, 2017. Unless otherwise indicated in the corresponding footnotes, the address of all persons below is: Altisource, 40, avenue Monterey, L-2163 Luxembourg City, Grand Duchy of Luxembourg.</w:t>
      </w:r>
    </w:p>
    <w:p>
      <w:pPr>
        <w:spacing w:after="0" w:line="362"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0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 Beneficially Owned as of March 20, 2017</w:t>
            </w:r>
            <w:r>
              <w:rPr>
                <w:rFonts w:ascii="Arial" w:cs="Arial" w:eastAsia="Arial" w:hAnsi="Arial"/>
                <w:sz w:val="29"/>
                <w:szCs w:val="29"/>
                <w:b w:val="1"/>
                <w:bCs w:val="1"/>
                <w:color w:val="auto"/>
                <w:vertAlign w:val="superscript"/>
              </w:rPr>
              <w:t>(1)</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Name of Beneficial Owner:</w:t>
            </w: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Percent</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(2)</w:t>
            </w:r>
          </w:p>
        </w:tc>
        <w:tc>
          <w:tcPr>
            <w:tcW w:w="4700" w:type="dxa"/>
            <w:vAlign w:val="bottom"/>
            <w:gridSpan w:val="2"/>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6,000,709</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20" w:type="dxa"/>
            <w:vAlign w:val="bottom"/>
            <w:shd w:val="clear" w:color="auto" w:fill="CCEEFF"/>
          </w:tcPr>
          <w:p>
            <w:pPr>
              <w:spacing w:after="0"/>
              <w:rPr>
                <w:sz w:val="20"/>
                <w:szCs w:val="20"/>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Putnam Investments, LLC</w:t>
            </w:r>
            <w:r>
              <w:rPr>
                <w:rFonts w:ascii="Arial" w:cs="Arial" w:eastAsia="Arial" w:hAnsi="Arial"/>
                <w:sz w:val="28"/>
                <w:szCs w:val="28"/>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3,041,994</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1,806,865</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20" w:type="dxa"/>
            <w:vAlign w:val="bottom"/>
            <w:shd w:val="clear" w:color="auto" w:fill="CCEEFF"/>
          </w:tcPr>
          <w:p>
            <w:pPr>
              <w:spacing w:after="0"/>
              <w:rPr>
                <w:sz w:val="21"/>
                <w:szCs w:val="21"/>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Deer Park Road Management Company, LP</w:t>
            </w:r>
            <w:r>
              <w:rPr>
                <w:rFonts w:ascii="Arial" w:cs="Arial" w:eastAsia="Arial" w:hAnsi="Arial"/>
                <w:sz w:val="28"/>
                <w:szCs w:val="28"/>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1,003,609</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The Vanguard Group, Inc.</w:t>
            </w:r>
            <w:r>
              <w:rPr>
                <w:rFonts w:ascii="Arial" w:cs="Arial" w:eastAsia="Arial" w:hAnsi="Arial"/>
                <w:sz w:val="28"/>
                <w:szCs w:val="28"/>
                <w:color w:val="auto"/>
                <w:vertAlign w:val="superscript"/>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958,438</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21"/>
                <w:szCs w:val="21"/>
                <w:color w:val="auto"/>
              </w:rPr>
            </w:pPr>
          </w:p>
        </w:tc>
      </w:tr>
      <w:tr>
        <w:trPr>
          <w:trHeight w:val="224"/>
        </w:trPr>
        <w:tc>
          <w:tcPr>
            <w:tcW w:w="6940" w:type="dxa"/>
            <w:vAlign w:val="bottom"/>
            <w:gridSpan w:val="5"/>
          </w:tcPr>
          <w:p>
            <w:pPr>
              <w:spacing w:after="0" w:line="225" w:lineRule="exact"/>
              <w:rPr>
                <w:sz w:val="20"/>
                <w:szCs w:val="20"/>
                <w:color w:val="auto"/>
              </w:rPr>
            </w:pPr>
            <w:r>
              <w:rPr>
                <w:rFonts w:ascii="Arial" w:cs="Arial" w:eastAsia="Arial" w:hAnsi="Arial"/>
                <w:sz w:val="16"/>
                <w:szCs w:val="16"/>
                <w:color w:val="auto"/>
              </w:rPr>
              <w:t>D. John Devaney</w:t>
            </w:r>
            <w:r>
              <w:rPr>
                <w:rFonts w:ascii="Arial" w:cs="Arial" w:eastAsia="Arial" w:hAnsi="Arial"/>
                <w:sz w:val="26"/>
                <w:szCs w:val="26"/>
                <w:color w:val="auto"/>
                <w:vertAlign w:val="superscript"/>
              </w:rPr>
              <w:t>(7)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948,983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r>
      <w:tr>
        <w:trPr>
          <w:trHeight w:val="221"/>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400" w:type="dxa"/>
            <w:vAlign w:val="bottom"/>
            <w:tcBorders>
              <w:top w:val="single" w:sz="8" w:color="auto"/>
            </w:tcBorders>
            <w:gridSpan w:val="3"/>
            <w:shd w:val="clear" w:color="auto" w:fill="CCEEFF"/>
          </w:tcPr>
          <w:p>
            <w:pPr>
              <w:spacing w:after="0" w:line="236"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(8)</w:t>
            </w:r>
          </w:p>
        </w:tc>
        <w:tc>
          <w:tcPr>
            <w:tcW w:w="35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659,153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20"/>
                <w:szCs w:val="20"/>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(9)</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353,677</w:t>
            </w: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Orin S. Kramer</w:t>
            </w:r>
            <w:r>
              <w:rPr>
                <w:rFonts w:ascii="Arial" w:cs="Arial" w:eastAsia="Arial" w:hAnsi="Arial"/>
                <w:sz w:val="28"/>
                <w:szCs w:val="28"/>
                <w:color w:val="auto"/>
                <w:vertAlign w:val="superscript"/>
              </w:rPr>
              <w:t>(10)</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117,233</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8"/>
                <w:szCs w:val="28"/>
                <w:color w:val="auto"/>
                <w:vertAlign w:val="superscript"/>
              </w:rPr>
              <w:t>(11)</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60,766</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Joseph A. Davila</w:t>
            </w:r>
            <w:r>
              <w:rPr>
                <w:rFonts w:ascii="Arial" w:cs="Arial" w:eastAsia="Arial" w:hAnsi="Arial"/>
                <w:sz w:val="28"/>
                <w:szCs w:val="28"/>
                <w:color w:val="auto"/>
                <w:vertAlign w:val="superscript"/>
              </w:rPr>
              <w:t>(12)</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41,423</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03"/>
        </w:trPr>
        <w:tc>
          <w:tcPr>
            <w:tcW w:w="6940" w:type="dxa"/>
            <w:vAlign w:val="bottom"/>
            <w:gridSpan w:val="5"/>
          </w:tcPr>
          <w:p>
            <w:pPr>
              <w:spacing w:after="0" w:line="202" w:lineRule="exact"/>
              <w:rPr>
                <w:sz w:val="20"/>
                <w:szCs w:val="20"/>
                <w:color w:val="auto"/>
              </w:rPr>
            </w:pPr>
            <w:r>
              <w:rPr>
                <w:rFonts w:ascii="Arial" w:cs="Arial" w:eastAsia="Arial" w:hAnsi="Arial"/>
                <w:sz w:val="18"/>
                <w:szCs w:val="18"/>
                <w:color w:val="auto"/>
              </w:rPr>
              <w:t>Roland Müller-Ineichen</w:t>
            </w:r>
          </w:p>
        </w:tc>
        <w:tc>
          <w:tcPr>
            <w:tcW w:w="13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18,991</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Timo Vättö</w:t>
            </w:r>
          </w:p>
        </w:tc>
        <w:tc>
          <w:tcPr>
            <w:tcW w:w="13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14,291</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W. Michael Linn</w:t>
            </w:r>
            <w:r>
              <w:rPr>
                <w:rFonts w:ascii="Arial" w:cs="Arial" w:eastAsia="Arial" w:hAnsi="Arial"/>
                <w:sz w:val="28"/>
                <w:szCs w:val="28"/>
                <w:color w:val="auto"/>
                <w:vertAlign w:val="superscript"/>
              </w:rPr>
              <w:t>(13)</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12,330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Gregory J. Ritts</w:t>
            </w:r>
            <w:r>
              <w:rPr>
                <w:rFonts w:ascii="Arial" w:cs="Arial" w:eastAsia="Arial" w:hAnsi="Arial"/>
                <w:sz w:val="28"/>
                <w:szCs w:val="28"/>
                <w:color w:val="auto"/>
                <w:vertAlign w:val="superscript"/>
              </w:rPr>
              <w:t>(14)</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11,417</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14"/>
        </w:trPr>
        <w:tc>
          <w:tcPr>
            <w:tcW w:w="6940" w:type="dxa"/>
            <w:vAlign w:val="bottom"/>
            <w:gridSpan w:val="5"/>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1,308,368</w:t>
            </w:r>
          </w:p>
        </w:tc>
        <w:tc>
          <w:tcPr>
            <w:tcW w:w="680" w:type="dxa"/>
            <w:vAlign w:val="bottom"/>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8"/>
                <w:szCs w:val="18"/>
                <w:color w:val="auto"/>
              </w:rPr>
            </w:pPr>
          </w:p>
        </w:tc>
      </w:tr>
      <w:tr>
        <w:trPr>
          <w:trHeight w:val="419"/>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620" w:type="dxa"/>
            <w:vAlign w:val="bottom"/>
            <w:gridSpan w:val="3"/>
          </w:tcPr>
          <w:p>
            <w:pPr>
              <w:ind w:left="220"/>
              <w:spacing w:after="0"/>
              <w:rPr>
                <w:sz w:val="20"/>
                <w:szCs w:val="20"/>
                <w:color w:val="auto"/>
              </w:rPr>
            </w:pPr>
            <w:r>
              <w:rPr>
                <w:rFonts w:ascii="Arial" w:cs="Arial" w:eastAsia="Arial" w:hAnsi="Arial"/>
                <w:sz w:val="18"/>
                <w:szCs w:val="18"/>
                <w:color w:val="auto"/>
              </w:rPr>
              <w:t>Less than 1%</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8" w:lineRule="exact"/>
        <w:rPr>
          <w:sz w:val="20"/>
          <w:szCs w:val="20"/>
          <w:color w:val="auto"/>
        </w:rPr>
      </w:pPr>
    </w:p>
    <w:p>
      <w:pPr>
        <w:ind w:left="1680" w:right="80" w:hanging="531"/>
        <w:spacing w:after="0" w:line="219" w:lineRule="auto"/>
        <w:tabs>
          <w:tab w:leader="none" w:pos="16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20, 2017. Therefore, the table includes options to acquire shares of our common stock which are currently exercisable or will become exercisable within such 60 day period and restricted shares that vest within 60 days, but does not include restricted shares that do not vest within such 60 day period and under which the holder has no voting rights until vested. With respect to shares, unless otherwise indicated, an individual has sole voting power and sole investment power with respect to the indicated shares. No shares have been pledged as security for indebtedness by the Named Executive Officers or Directors.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132715</wp:posOffset>
            </wp:positionV>
            <wp:extent cx="529971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997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80" w:right="60" w:hanging="531"/>
        <w:spacing w:after="0" w:line="220" w:lineRule="auto"/>
        <w:tabs>
          <w:tab w:leader="none" w:pos="16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13D/A filed with the SEC on November 23, 2016. Includes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a Delaware corporation, wholly-owned by Mr. Erbey ("Erbey Holding Corporation"); and 548,220 shares of common stock held by Mrs. Erbey. Mr. and Mrs. Erbey's business address is P.O. Box 25437, Christiansted, U.S. Virgin Islands 00824.</w:t>
      </w:r>
    </w:p>
    <w:p>
      <w:pPr>
        <w:spacing w:after="0" w:line="215" w:lineRule="exact"/>
        <w:rPr>
          <w:rFonts w:ascii="Arial" w:cs="Arial" w:eastAsia="Arial" w:hAnsi="Arial"/>
          <w:sz w:val="29"/>
          <w:szCs w:val="29"/>
          <w:color w:val="auto"/>
          <w:vertAlign w:val="superscript"/>
        </w:rPr>
      </w:pPr>
    </w:p>
    <w:p>
      <w:pPr>
        <w:ind w:left="1680" w:right="240" w:hanging="531"/>
        <w:spacing w:after="0" w:line="217" w:lineRule="auto"/>
        <w:tabs>
          <w:tab w:leader="none" w:pos="16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 on February 14, 2017, jointly by Putnam Investments, LLC d/b/a Putnam Investments ("PI"); two of its wholly-owned subsidiaries, Putnam Investment Management, LLC ("PIM") and The Putnam Advisory Company, LLC ("PAC"); and Putnam Equity Spectrum Fund, investment adviser subsidiary of PI. Includes 3,041,994 shares held by PIM, as to which sole dispositive power is claimed. The shares held by PIM include 2,101,093 shares held by Putnam Equity Spectrum Fund as to which sole voting and dispositive power is claimed. The business address of PI, PIM, PAC and Putnam Equity Spectrum Fund is One Post Office Square, Boston, Massachusetts 02109.</w:t>
      </w:r>
    </w:p>
    <w:p>
      <w:pPr>
        <w:spacing w:after="0" w:line="196" w:lineRule="exact"/>
        <w:rPr>
          <w:rFonts w:ascii="Arial" w:cs="Arial" w:eastAsia="Arial" w:hAnsi="Arial"/>
          <w:sz w:val="29"/>
          <w:szCs w:val="29"/>
          <w:color w:val="auto"/>
          <w:vertAlign w:val="superscript"/>
        </w:rPr>
      </w:pPr>
    </w:p>
    <w:p>
      <w:pPr>
        <w:ind w:left="1680" w:hanging="531"/>
        <w:spacing w:after="0" w:line="204" w:lineRule="auto"/>
        <w:tabs>
          <w:tab w:leader="none" w:pos="168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13G/A filed with the SEC on February 14, 2017. Mr. Cooperman is the ultimate controlling person of Associates, Capital LP, Investors LP, Equity LP, Charitable LP, Overseas and Advisors (each as defined below and, collectively, the "Omega Entities"). Mr. Cooperman is the managing member of Omega Associates, L.L.C.</w:t>
      </w:r>
    </w:p>
    <w:p>
      <w:pPr>
        <w:spacing w:after="0" w:line="1" w:lineRule="exact"/>
        <w:rPr>
          <w:rFonts w:ascii="Arial" w:cs="Arial" w:eastAsia="Arial" w:hAnsi="Arial"/>
          <w:sz w:val="28"/>
          <w:szCs w:val="28"/>
          <w:color w:val="auto"/>
          <w:vertAlign w:val="superscript"/>
        </w:rPr>
      </w:pPr>
    </w:p>
    <w:p>
      <w:pPr>
        <w:ind w:left="1680" w:right="120"/>
        <w:spacing w:after="0" w:line="266" w:lineRule="auto"/>
        <w:rPr>
          <w:rFonts w:ascii="Arial" w:cs="Arial" w:eastAsia="Arial" w:hAnsi="Arial"/>
          <w:sz w:val="28"/>
          <w:szCs w:val="28"/>
          <w:color w:val="auto"/>
          <w:vertAlign w:val="superscript"/>
        </w:rPr>
      </w:pPr>
      <w:r>
        <w:rPr>
          <w:rFonts w:ascii="Arial" w:cs="Arial" w:eastAsia="Arial" w:hAnsi="Arial"/>
          <w:sz w:val="16"/>
          <w:szCs w:val="16"/>
          <w:color w:val="auto"/>
        </w:rPr>
        <w:t>("Associates"), a private investment firm formed to invest in and act as general partner of investment partnerships or similar investment vehicles. Associates is the general partner of limited partnerships known as Omega Capital Partners, L.P. ("Capital LP"), Omega Capital Investors, L.P. ("Investors LP") and Omega Equity Investors, L.P. ("Equity LP"), and also the general partner of Omega Charitable Partnership L.P., an exempted limited partnership registered in the Cayman Islands ("Charitable LP"). Mr. Cooperman is the President, Chief Executive Officer, and sole stockholder of Omega Advisors, Inc., a corporation engaged in providing investment management services ("Advisors") and Mr. Cooperman controls said entity. Advisors serves as the investment manager to Omega Overseas Partners, Ltd., a Cayman Island exempted company ("Overseas") and as a discretionary investment advisor to a limited number of institutional clients (the "Managed Accounts"). Includes 487,701 shares owned by Capital LP., as to which sole dispositive and voting power is claimed; 149,835 shares owned by Investors LP as to which sole dispositive and voting power is claimed; 271,987 shares owned by Equity LP as to which sole dispositive and voting power is claimed; 360,442 shares owned by Overseas as to which sole dispositive and voting power is claimed; 500,000 shares owned by Charitable LP as to which sole dispositive and voting power is claimed; and 36,900 shares owned by Managed Accounts as to which shared dispositive and voting power is claimed.</w:t>
      </w:r>
    </w:p>
    <w:p>
      <w:pPr>
        <w:spacing w:after="0" w:line="186" w:lineRule="exact"/>
        <w:rPr>
          <w:rFonts w:ascii="Arial" w:cs="Arial" w:eastAsia="Arial" w:hAnsi="Arial"/>
          <w:sz w:val="28"/>
          <w:szCs w:val="28"/>
          <w:color w:val="auto"/>
          <w:vertAlign w:val="superscript"/>
        </w:rPr>
      </w:pPr>
    </w:p>
    <w:p>
      <w:pPr>
        <w:ind w:left="1680" w:right="320"/>
        <w:spacing w:after="0" w:line="239" w:lineRule="auto"/>
        <w:rPr>
          <w:rFonts w:ascii="Arial" w:cs="Arial" w:eastAsia="Arial" w:hAnsi="Arial"/>
          <w:sz w:val="28"/>
          <w:szCs w:val="28"/>
          <w:color w:val="auto"/>
          <w:vertAlign w:val="superscript"/>
        </w:rPr>
      </w:pPr>
      <w:r>
        <w:rPr>
          <w:rFonts w:ascii="Arial" w:cs="Arial" w:eastAsia="Arial" w:hAnsi="Arial"/>
          <w:sz w:val="18"/>
          <w:szCs w:val="18"/>
          <w:color w:val="auto"/>
        </w:rPr>
        <w:t>Mr. Cooperman's address is St. Andrew's Country Club, 7118 Melrose Castle Lane, Boca Raton, FL 33496. The business address of the Omega Entities is 810 Seventh Avenue, 33rd Floor, New York, New York 10019.</w:t>
      </w:r>
    </w:p>
    <w:p>
      <w:pPr>
        <w:spacing w:after="0" w:line="195" w:lineRule="exact"/>
        <w:rPr>
          <w:rFonts w:ascii="Arial" w:cs="Arial" w:eastAsia="Arial" w:hAnsi="Arial"/>
          <w:sz w:val="28"/>
          <w:szCs w:val="28"/>
          <w:color w:val="auto"/>
          <w:vertAlign w:val="superscript"/>
        </w:rPr>
      </w:pPr>
    </w:p>
    <w:p>
      <w:pPr>
        <w:ind w:left="1680" w:right="60" w:hanging="531"/>
        <w:spacing w:after="0" w:line="219" w:lineRule="auto"/>
        <w:tabs>
          <w:tab w:leader="none" w:pos="16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 filed with the SEC on January 30, 2017 by Deer Park Road Management Company, LP ("Deer Park"), a limited partnership, on behalf of itself and Deer Park Road Management GP, LLC, Deer Park Road Corporation and Michael David Craig-Scheckman (collectively, the "Deer Park Reporting Persons"). Consists of 982,320 shares held for the account of the STS Master Fund, Ltd. ("STS Master Fund") and 21,289 held for the account of the SBF Opportunities Master Fund Limited ("SBF Master Fund"), each as to which shared voting and dispositive power is claimed. Deer Park serves as investment adviser to STS Master Fund and SBF Master Fund, each an exempted company organized under the laws of the Cayman Islands. The business address of Deer Park Reporting Persons is 1195 Bangtail Way, Steamboat Springs, Colorado 80487.</w:t>
      </w:r>
    </w:p>
    <w:p>
      <w:pPr>
        <w:spacing w:after="0" w:line="210" w:lineRule="exact"/>
        <w:rPr>
          <w:rFonts w:ascii="Arial" w:cs="Arial" w:eastAsia="Arial" w:hAnsi="Arial"/>
          <w:sz w:val="29"/>
          <w:szCs w:val="29"/>
          <w:color w:val="auto"/>
          <w:vertAlign w:val="superscript"/>
        </w:rPr>
      </w:pPr>
    </w:p>
    <w:p>
      <w:pPr>
        <w:ind w:left="1680" w:right="160" w:hanging="531"/>
        <w:spacing w:after="0" w:line="183" w:lineRule="auto"/>
        <w:tabs>
          <w:tab w:leader="none" w:pos="16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 filed with the SEC on February 9, 2017 by The Vanguard Group, Inc. on behalf of itself and of Vanguard Fiduciary Trust Company and Vanguard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132715</wp:posOffset>
            </wp:positionV>
            <wp:extent cx="529971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997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80"/>
        <w:spacing w:after="0" w:line="273" w:lineRule="auto"/>
        <w:rPr>
          <w:sz w:val="20"/>
          <w:szCs w:val="20"/>
          <w:color w:val="auto"/>
        </w:rPr>
      </w:pPr>
      <w:r>
        <w:rPr>
          <w:rFonts w:ascii="Arial" w:cs="Arial" w:eastAsia="Arial" w:hAnsi="Arial"/>
          <w:sz w:val="16"/>
          <w:szCs w:val="16"/>
          <w:color w:val="auto"/>
        </w:rPr>
        <w:t>Investments Australia, Ltd. (the "Vanguard Entities"). Includes 23,017 shares as to which sole voting power is claimed; 900 shares as to which shared voting power is claimed; 935,221 shares as to which sole dispositive power is claimed; and 23,217 shares as to which shared dispositive power is claimed. 22,317 shares are beneficially owned by Vanguard Fiduciary Trust Company and 1,600 shares are beneficially owned by Vanguard Investments Australia, Ltd, each a wholly-owned subsidiary of The Vanguard Group, Inc. The business address of The Vanguard Group, Inc. is 100 Vanguard Blvd, Malvern, PA 19355.</w:t>
      </w:r>
    </w:p>
    <w:p>
      <w:pPr>
        <w:spacing w:after="0" w:line="183" w:lineRule="exact"/>
        <w:rPr>
          <w:sz w:val="20"/>
          <w:szCs w:val="20"/>
          <w:color w:val="auto"/>
        </w:rPr>
      </w:pPr>
    </w:p>
    <w:p>
      <w:pPr>
        <w:ind w:left="1680" w:right="60" w:hanging="531"/>
        <w:spacing w:after="0" w:line="219"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 filed with the SEC on January 26, 2017 (containing figures as of January 18, 2017) by D. John Devaney ("Devaney") on behalf of himself and United Capital Markets Holdings, Inc. ("UCMHI") and United Real Estate Ventures, Inc. ("UREVI"), two entities controlled by Devaney, and United Aviation Holdings, Inc. ("UAHI" and, together with Devaney, UCMHI and UREVI, the "United Reporting Persons"), a wholly owned subsidiary of UCMHI. Includes 50 shares beneficially owned by Devaney, as to which sole voting and sole dispositive power is claimed; and 948,933 shares as to which shared voting and shared dispositive power is claimed, of which 70,343 are beneficially owned by UAHI and UCMHI and 878,590 are beneficially owned by UREVI. The address of the United Reporting Persons is 240 Crandon Boulevard Suite 167, Key Biscayne, FL 33149.</w:t>
      </w:r>
    </w:p>
    <w:p>
      <w:pPr>
        <w:spacing w:after="0" w:line="210" w:lineRule="exact"/>
        <w:rPr>
          <w:rFonts w:ascii="Arial" w:cs="Arial" w:eastAsia="Arial" w:hAnsi="Arial"/>
          <w:sz w:val="29"/>
          <w:szCs w:val="29"/>
          <w:color w:val="auto"/>
          <w:vertAlign w:val="superscript"/>
        </w:rPr>
      </w:pPr>
    </w:p>
    <w:p>
      <w:pPr>
        <w:ind w:left="1680" w:right="160" w:hanging="531"/>
        <w:spacing w:after="0" w:line="219"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acquire 499,934 shares which are exercisable on or within 60 days after March 20, 2017; 18,867 restricted shares which are scheduled to vest on or within 60 days after March 20, 2017; and 140,352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acquired as a result of a stock option exercise on August 19, 2016, 6,130 were purchased in the open market on November 4, 2016, 5,250 were purchased in the open market on February 21, 2017 and 4,608 were purchased in the open market on February 24, 2017.</w:t>
      </w:r>
    </w:p>
    <w:p>
      <w:pPr>
        <w:spacing w:after="0" w:line="196" w:lineRule="exact"/>
        <w:rPr>
          <w:rFonts w:ascii="Arial" w:cs="Arial" w:eastAsia="Arial" w:hAnsi="Arial"/>
          <w:sz w:val="29"/>
          <w:szCs w:val="29"/>
          <w:color w:val="auto"/>
          <w:vertAlign w:val="superscript"/>
        </w:rPr>
      </w:pPr>
    </w:p>
    <w:p>
      <w:pPr>
        <w:ind w:left="1680" w:right="40" w:hanging="531"/>
        <w:spacing w:after="0" w:line="211"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acquire 289,335 shares which are exercisable on or within 60 days after March 20, 2017; 6,833 restricted shares which are scheduled to vest on or within 60 days after March 20, 2017; and 57,509 shares, of which 18,000 were purchased in the open market on April 29, 2015, 8,130 were purchased as a result of a stock option exercise on March 30, 2016, 1,700 were purchased in the open market on May 2, 2016 and 22,999 were acquired as a result of a stock option exercise on August 19, 2016.</w:t>
      </w:r>
    </w:p>
    <w:p>
      <w:pPr>
        <w:spacing w:after="0" w:line="194" w:lineRule="exact"/>
        <w:rPr>
          <w:rFonts w:ascii="Arial" w:cs="Arial" w:eastAsia="Arial" w:hAnsi="Arial"/>
          <w:sz w:val="29"/>
          <w:szCs w:val="29"/>
          <w:color w:val="auto"/>
          <w:vertAlign w:val="superscript"/>
        </w:rPr>
      </w:pPr>
    </w:p>
    <w:p>
      <w:pPr>
        <w:jc w:val="both"/>
        <w:ind w:left="1680" w:right="220" w:hanging="531"/>
        <w:spacing w:after="0" w:line="197"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Consists of 117,108 shares held by Boston Provident Partners, L.P., a private investment fund managed by Mr. Kramer, of which 25,000 were purchased in the open market on February 24, 2017, and 125 restricted shares which are scheduled to vest on or within 60 days after March 20, 2017.</w:t>
      </w:r>
    </w:p>
    <w:p>
      <w:pPr>
        <w:spacing w:after="0" w:line="210" w:lineRule="exact"/>
        <w:rPr>
          <w:rFonts w:ascii="Arial" w:cs="Arial" w:eastAsia="Arial" w:hAnsi="Arial"/>
          <w:sz w:val="29"/>
          <w:szCs w:val="29"/>
          <w:color w:val="auto"/>
          <w:vertAlign w:val="superscript"/>
        </w:rPr>
      </w:pPr>
    </w:p>
    <w:p>
      <w:pPr>
        <w:ind w:left="1680" w:right="400" w:hanging="531"/>
        <w:spacing w:after="0" w:line="183"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acquire 55,933 shares which are exercisable on or within 60 days after March 20, 2017 and 4,833 restricted shares which are scheduled to vest on or within 60 days after March 20, 2017.</w:t>
      </w:r>
    </w:p>
    <w:p>
      <w:pPr>
        <w:spacing w:after="0" w:line="195" w:lineRule="exact"/>
        <w:rPr>
          <w:rFonts w:ascii="Arial" w:cs="Arial" w:eastAsia="Arial" w:hAnsi="Arial"/>
          <w:sz w:val="29"/>
          <w:szCs w:val="29"/>
          <w:color w:val="auto"/>
          <w:vertAlign w:val="superscript"/>
        </w:rPr>
      </w:pPr>
    </w:p>
    <w:p>
      <w:pPr>
        <w:ind w:left="1680" w:right="160" w:hanging="531"/>
        <w:spacing w:after="0" w:line="197"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acquire 36,606 shares which are exercisable on or within 60 days after March 20, 2017, 1,867 restricted shares which are scheduled to vest on or within 60 days after March 20, 2017 and 2,950 shares purchased in the open market on May 11, 2015.</w:t>
      </w:r>
    </w:p>
    <w:p>
      <w:pPr>
        <w:spacing w:after="0" w:line="196" w:lineRule="exact"/>
        <w:rPr>
          <w:rFonts w:ascii="Arial" w:cs="Arial" w:eastAsia="Arial" w:hAnsi="Arial"/>
          <w:sz w:val="29"/>
          <w:szCs w:val="29"/>
          <w:color w:val="auto"/>
          <w:vertAlign w:val="superscript"/>
        </w:rPr>
      </w:pPr>
    </w:p>
    <w:p>
      <w:pPr>
        <w:ind w:left="1680" w:right="20" w:hanging="531"/>
        <w:spacing w:after="0" w:line="183"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Includes 2,070 shares held by the W M Linn Trust and 580 shares held by S &amp; S Agriculture &amp; Oil, LP, a limited partnership in which Mr. Linn shares voting and dispositive power.</w:t>
      </w:r>
    </w:p>
    <w:p>
      <w:pPr>
        <w:spacing w:after="0" w:line="209" w:lineRule="exact"/>
        <w:rPr>
          <w:rFonts w:ascii="Arial" w:cs="Arial" w:eastAsia="Arial" w:hAnsi="Arial"/>
          <w:sz w:val="29"/>
          <w:szCs w:val="29"/>
          <w:color w:val="auto"/>
          <w:vertAlign w:val="superscript"/>
        </w:rPr>
      </w:pPr>
    </w:p>
    <w:p>
      <w:pPr>
        <w:jc w:val="both"/>
        <w:ind w:left="1680" w:right="20" w:hanging="531"/>
        <w:spacing w:after="0" w:line="197" w:lineRule="auto"/>
        <w:tabs>
          <w:tab w:leader="none" w:pos="16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acquire 8,950 shares which are exercisable on or within 60 days after March 20, 2017, 1,867 restricted shares which are scheduled to vest on or within 60 days after March 20, 2017 and 500 shares purchased in the open market on March 21, 2016.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132715</wp:posOffset>
            </wp:positionV>
            <wp:extent cx="529971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997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Number of securities to</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Weighted average</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be issued upon</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 price of</w:t>
            </w:r>
          </w:p>
        </w:tc>
        <w:tc>
          <w:tcPr>
            <w:tcW w:w="120" w:type="dxa"/>
            <w:vAlign w:val="bottom"/>
          </w:tcPr>
          <w:p>
            <w:pPr>
              <w:spacing w:after="0"/>
              <w:rPr>
                <w:sz w:val="17"/>
                <w:szCs w:val="17"/>
                <w:color w:val="auto"/>
              </w:rPr>
            </w:pPr>
          </w:p>
        </w:tc>
        <w:tc>
          <w:tcPr>
            <w:tcW w:w="24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Number of securities</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w:t>
            </w:r>
          </w:p>
        </w:tc>
        <w:tc>
          <w:tcPr>
            <w:tcW w:w="1840" w:type="dxa"/>
            <w:vAlign w:val="bottom"/>
            <w:gridSpan w:val="2"/>
          </w:tcPr>
          <w:p>
            <w:pPr>
              <w:jc w:val="center"/>
              <w:ind w:left="12"/>
              <w:spacing w:after="0" w:line="202" w:lineRule="exact"/>
              <w:rPr>
                <w:sz w:val="20"/>
                <w:szCs w:val="20"/>
                <w:color w:val="auto"/>
              </w:rPr>
            </w:pPr>
            <w:r>
              <w:rPr>
                <w:rFonts w:ascii="Arial" w:cs="Arial" w:eastAsia="Arial" w:hAnsi="Arial"/>
                <w:sz w:val="18"/>
                <w:szCs w:val="18"/>
                <w:b w:val="1"/>
                <w:bCs w:val="1"/>
                <w:color w:val="auto"/>
                <w:w w:val="97"/>
              </w:rPr>
              <w:t>outstanding options,</w:t>
            </w:r>
          </w:p>
        </w:tc>
        <w:tc>
          <w:tcPr>
            <w:tcW w:w="120" w:type="dxa"/>
            <w:vAlign w:val="bottom"/>
          </w:tcPr>
          <w:p>
            <w:pPr>
              <w:spacing w:after="0"/>
              <w:rPr>
                <w:sz w:val="17"/>
                <w:szCs w:val="17"/>
                <w:color w:val="auto"/>
              </w:rPr>
            </w:pPr>
          </w:p>
        </w:tc>
        <w:tc>
          <w:tcPr>
            <w:tcW w:w="24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remaining available for</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outstanding options,</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warrants and</w:t>
            </w:r>
          </w:p>
        </w:tc>
        <w:tc>
          <w:tcPr>
            <w:tcW w:w="120" w:type="dxa"/>
            <w:vAlign w:val="bottom"/>
          </w:tcPr>
          <w:p>
            <w:pPr>
              <w:spacing w:after="0"/>
              <w:rPr>
                <w:sz w:val="17"/>
                <w:szCs w:val="17"/>
                <w:color w:val="auto"/>
              </w:rPr>
            </w:pPr>
          </w:p>
        </w:tc>
        <w:tc>
          <w:tcPr>
            <w:tcW w:w="24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future issuance under</w:t>
            </w:r>
          </w:p>
        </w:tc>
      </w:tr>
      <w:tr>
        <w:trPr>
          <w:trHeight w:val="221"/>
        </w:trPr>
        <w:tc>
          <w:tcPr>
            <w:tcW w:w="20" w:type="dxa"/>
            <w:vAlign w:val="bottom"/>
          </w:tcPr>
          <w:p>
            <w:pPr>
              <w:spacing w:after="0"/>
              <w:rPr>
                <w:sz w:val="19"/>
                <w:szCs w:val="19"/>
                <w:color w:val="auto"/>
              </w:rPr>
            </w:pPr>
          </w:p>
        </w:tc>
        <w:tc>
          <w:tcPr>
            <w:tcW w:w="2580" w:type="dxa"/>
            <w:vAlign w:val="bottom"/>
          </w:tcPr>
          <w:p>
            <w:pPr>
              <w:ind w:left="68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8"/>
              </w:rPr>
              <w:t>warrants and rights</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rights</w:t>
            </w:r>
          </w:p>
        </w:tc>
        <w:tc>
          <w:tcPr>
            <w:tcW w:w="2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equity compensation plans</w:t>
            </w:r>
          </w:p>
        </w:tc>
      </w:tr>
      <w:tr>
        <w:trPr>
          <w:trHeight w:val="199"/>
        </w:trPr>
        <w:tc>
          <w:tcPr>
            <w:tcW w:w="20" w:type="dxa"/>
            <w:vAlign w:val="bottom"/>
          </w:tcPr>
          <w:p>
            <w:pPr>
              <w:spacing w:after="0"/>
              <w:rPr>
                <w:sz w:val="17"/>
                <w:szCs w:val="17"/>
                <w:color w:val="auto"/>
              </w:rPr>
            </w:pPr>
          </w:p>
        </w:tc>
        <w:tc>
          <w:tcPr>
            <w:tcW w:w="25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w:t>
            </w:r>
          </w:p>
        </w:tc>
        <w:tc>
          <w:tcPr>
            <w:tcW w:w="100" w:type="dxa"/>
            <w:vAlign w:val="bottom"/>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5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approved by security holders</w:t>
            </w:r>
          </w:p>
        </w:tc>
        <w:tc>
          <w:tcPr>
            <w:tcW w:w="2080" w:type="dxa"/>
            <w:vAlign w:val="bottom"/>
            <w:gridSpan w:val="2"/>
            <w:shd w:val="clear" w:color="auto" w:fill="CCEEFF"/>
          </w:tcPr>
          <w:p>
            <w:pPr>
              <w:jc w:val="center"/>
              <w:ind w:left="12"/>
              <w:spacing w:after="0" w:line="200" w:lineRule="exact"/>
              <w:rPr>
                <w:sz w:val="20"/>
                <w:szCs w:val="20"/>
                <w:color w:val="auto"/>
              </w:rPr>
            </w:pPr>
            <w:r>
              <w:rPr>
                <w:rFonts w:ascii="Arial" w:cs="Arial" w:eastAsia="Arial" w:hAnsi="Arial"/>
                <w:sz w:val="18"/>
                <w:szCs w:val="18"/>
                <w:color w:val="auto"/>
                <w:w w:val="97"/>
              </w:rPr>
              <w:t>1,996,509</w:t>
            </w:r>
          </w:p>
        </w:tc>
        <w:tc>
          <w:tcPr>
            <w:tcW w:w="184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$25.98</w:t>
            </w:r>
          </w:p>
        </w:tc>
        <w:tc>
          <w:tcPr>
            <w:tcW w:w="238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1,603,420</w:t>
            </w:r>
          </w:p>
        </w:tc>
        <w:tc>
          <w:tcPr>
            <w:tcW w:w="22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2016.</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employees remains competitive relative to the compensation paid to similarly situated executives of our peer companies.</w:t>
      </w:r>
    </w:p>
    <w:p>
      <w:pPr>
        <w:spacing w:after="0" w:line="21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To achieve these objectives, we generally believe executive compensation packages should include both cash and equity-based compensation that rewards performance as measured against established goals.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1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governance practices</w:t>
      </w:r>
    </w:p>
    <w:p>
      <w:pPr>
        <w:spacing w:after="0" w:line="211"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programs for our Chief Executive Officer, Chief Financial Officer and three other most highly compensated executive officers in 2016 ("Named Executive Officers")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our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spacing w:after="0"/>
              <w:rPr>
                <w:sz w:val="20"/>
                <w:szCs w:val="20"/>
                <w:color w:val="auto"/>
              </w:rPr>
            </w:pPr>
            <w:r>
              <w:rPr>
                <w:rFonts w:ascii="Arial" w:cs="Arial" w:eastAsia="Arial" w:hAnsi="Arial"/>
                <w:sz w:val="18"/>
                <w:szCs w:val="18"/>
                <w:color w:val="auto"/>
              </w:rPr>
              <w:t>Our Named Executive Officers for 2016 are:</w:t>
            </w:r>
          </w:p>
        </w:tc>
        <w:tc>
          <w:tcPr>
            <w:tcW w:w="2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407"/>
        </w:trPr>
        <w:tc>
          <w:tcPr>
            <w:tcW w:w="1160" w:type="dxa"/>
            <w:vAlign w:val="bottom"/>
          </w:tcPr>
          <w:p>
            <w:pPr>
              <w:spacing w:after="0"/>
              <w:rPr>
                <w:sz w:val="24"/>
                <w:szCs w:val="24"/>
                <w:color w:val="auto"/>
              </w:rPr>
            </w:pPr>
          </w:p>
        </w:tc>
        <w:tc>
          <w:tcPr>
            <w:tcW w:w="25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632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116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Executive Officer</w:t>
            </w:r>
          </w:p>
        </w:tc>
      </w:tr>
      <w:tr>
        <w:trPr>
          <w:trHeight w:val="203"/>
        </w:trPr>
        <w:tc>
          <w:tcPr>
            <w:tcW w:w="3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Kevin J. Wilcox</w:t>
            </w:r>
          </w:p>
        </w:tc>
        <w:tc>
          <w:tcPr>
            <w:tcW w:w="6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Administration and Risk Officer</w:t>
            </w:r>
          </w:p>
        </w:tc>
      </w:tr>
      <w:tr>
        <w:trPr>
          <w:trHeight w:val="203"/>
        </w:trPr>
        <w:tc>
          <w:tcPr>
            <w:tcW w:w="116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Michelle D. Esterman</w:t>
            </w:r>
          </w:p>
        </w:tc>
        <w:tc>
          <w:tcPr>
            <w:tcW w:w="6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Joseph A. Davila</w:t>
            </w:r>
          </w:p>
        </w:tc>
        <w:tc>
          <w:tcPr>
            <w:tcW w:w="6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President, Servicer Solutions</w:t>
            </w:r>
          </w:p>
        </w:tc>
      </w:tr>
      <w:tr>
        <w:trPr>
          <w:trHeight w:val="203"/>
        </w:trPr>
        <w:tc>
          <w:tcPr>
            <w:tcW w:w="116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Gregory J. Ritts</w:t>
            </w:r>
          </w:p>
        </w:tc>
        <w:tc>
          <w:tcPr>
            <w:tcW w:w="6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Counsel</w:t>
            </w:r>
          </w:p>
        </w:tc>
      </w:tr>
      <w:tr>
        <w:trPr>
          <w:trHeight w:val="43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Compensation Governance Practices</w:t>
            </w:r>
          </w:p>
        </w:tc>
        <w:tc>
          <w:tcPr>
            <w:tcW w:w="220" w:type="dxa"/>
            <w:vAlign w:val="bottom"/>
          </w:tcPr>
          <w:p>
            <w:pPr>
              <w:spacing w:after="0"/>
              <w:rPr>
                <w:sz w:val="24"/>
                <w:szCs w:val="24"/>
                <w:color w:val="auto"/>
              </w:rPr>
            </w:pPr>
          </w:p>
        </w:tc>
        <w:tc>
          <w:tcPr>
            <w:tcW w:w="6320" w:type="dxa"/>
            <w:vAlign w:val="bottom"/>
          </w:tcPr>
          <w:p>
            <w:pPr>
              <w:spacing w:after="0"/>
              <w:rPr>
                <w:sz w:val="24"/>
                <w:szCs w:val="24"/>
                <w:color w:val="auto"/>
              </w:rPr>
            </w:pPr>
          </w:p>
        </w:tc>
      </w:tr>
    </w:tbl>
    <w:p>
      <w:pPr>
        <w:spacing w:after="0" w:line="20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Key features of our compensation program and practices include, among other things:</w:t>
      </w:r>
    </w:p>
    <w:p>
      <w:pPr>
        <w:spacing w:after="0" w:line="212" w:lineRule="exact"/>
        <w:rPr>
          <w:sz w:val="20"/>
          <w:szCs w:val="20"/>
          <w:color w:val="auto"/>
        </w:rPr>
      </w:pPr>
    </w:p>
    <w:p>
      <w:pPr>
        <w:ind w:left="1080" w:hanging="532"/>
        <w:spacing w:after="0" w:line="23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Pay is closely linked to performance. Our 2016 incentive cash compensation awards make up a significant portion of the cash compensation for each of our Named Executive Officers, including the majority of the compensation for our Chief Executive Officer, and are based on financial goals (e.g., service revenue, pre-tax income and/or earnings per share targets), strategic initiatives and individual performance goals. In addition, each of our Named Executive Officers has received performance-based stock option awards upon joining and/or during his or her tenure with the Company.</w:t>
      </w:r>
    </w:p>
    <w:p>
      <w:pPr>
        <w:spacing w:after="0" w:line="197" w:lineRule="exact"/>
        <w:rPr>
          <w:rFonts w:ascii="Arial" w:cs="Arial" w:eastAsia="Arial" w:hAnsi="Arial"/>
          <w:sz w:val="18"/>
          <w:szCs w:val="18"/>
          <w:color w:val="auto"/>
        </w:rPr>
      </w:pPr>
    </w:p>
    <w:p>
      <w:pPr>
        <w:ind w:left="1080" w:right="86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Independent Compensation Consultant</w:t>
      </w:r>
      <w:r>
        <w:rPr>
          <w:rFonts w:ascii="Arial" w:cs="Arial" w:eastAsia="Arial" w:hAnsi="Arial"/>
          <w:sz w:val="18"/>
          <w:szCs w:val="18"/>
          <w:color w:val="auto"/>
        </w:rPr>
        <w:t>. We use an independent compensation consultant to review, analyze and provide recommendations regarding executive compensation.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132080</wp:posOffset>
            </wp:positionV>
            <wp:extent cx="276161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80" w:right="360" w:hanging="532"/>
        <w:spacing w:after="0" w:line="23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With respect to equity grants made after January 1, 2013, we have the right to cancel outstanding equity awards and recover realized gains if an executive breaches certain restrictive covenants within two years following his or her departure from the Company.</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Golden Parachute Excise Tax Protection</w:t>
      </w:r>
      <w:r>
        <w:rPr>
          <w:rFonts w:ascii="Arial" w:cs="Arial" w:eastAsia="Arial" w:hAnsi="Arial"/>
          <w:sz w:val="18"/>
          <w:szCs w:val="18"/>
          <w:color w:val="auto"/>
        </w:rPr>
        <w:t>. We do not provide golden parachute excise tax gross-up protection for our executives.</w:t>
      </w:r>
    </w:p>
    <w:p>
      <w:pPr>
        <w:spacing w:after="0" w:line="198" w:lineRule="exact"/>
        <w:rPr>
          <w:rFonts w:ascii="Arial" w:cs="Arial" w:eastAsia="Arial" w:hAnsi="Arial"/>
          <w:sz w:val="18"/>
          <w:szCs w:val="18"/>
          <w:color w:val="auto"/>
        </w:rPr>
      </w:pPr>
    </w:p>
    <w:p>
      <w:pPr>
        <w:ind w:left="1080" w:right="60" w:hanging="532"/>
        <w:spacing w:after="0" w:line="23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Insider Trading and Anti-Hedging Policies</w:t>
      </w:r>
      <w:r>
        <w:rPr>
          <w:rFonts w:ascii="Arial" w:cs="Arial" w:eastAsia="Arial" w:hAnsi="Arial"/>
          <w:sz w:val="18"/>
          <w:szCs w:val="18"/>
          <w:color w:val="auto"/>
        </w:rPr>
        <w:t>. Our Insider Trading policy prohibits Company personnel, including our Named Executive Officers, and our Directors from engaging in any short-term, speculative securities transactions, including purchasing securities on margin, engaging in short sales, buying or selling put or call options and trading in options (other than those granted by the Company). In addition, in May 2016 the Company adopted anti-hedging rules prohibiting Company personnel, including our Named Executive Officers, and our Directors from engaging in transactions that are designed to or have the effect of hedging or offsetting any decrease in the market value of Company stock.</w:t>
      </w:r>
    </w:p>
    <w:p>
      <w:pPr>
        <w:spacing w:after="0" w:line="196" w:lineRule="exact"/>
        <w:rPr>
          <w:rFonts w:ascii="Arial" w:cs="Arial" w:eastAsia="Arial" w:hAnsi="Arial"/>
          <w:sz w:val="18"/>
          <w:szCs w:val="18"/>
          <w:color w:val="auto"/>
        </w:rPr>
      </w:pPr>
    </w:p>
    <w:p>
      <w:pPr>
        <w:ind w:left="1080" w:right="220" w:hanging="532"/>
        <w:spacing w:after="0" w:line="23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The SEC has issued a proposed rule that would require companies to adopt policies to recoup, or "claw-back," certain incentive-based compensation paid to executive officers in connection with an accounting restatement. We anticipate adopting a claw-back policy prior to or shortly following the adoption of a final rule in accordance with any applicable SEC and NASDAQ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Certain executives are involved in the design and implementation of our executive compensation programs. Our Chief Executive Officer and Chief Administration and Risk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Committee exercises its discretion in accepting, rejecting and/or modifying any such executive compensation recommendations; however, executive compensation matters are generally delegated to the Chief Executive Officer and the Chief Administration and Risk Officer for further development and execution following approval by the Committee. Please see "Equity Incentive Plan" for information relating to the authority delegated by the Compensation Committee to these executive officers to approve stock option awards within certain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has entered into an agreement with Exequity to provide compensation consulting services to the Compensation Committee as needed from time to time, pursuant to individual engagements. These services assist the Compensation Committee in making decisions on pay that are informed by marketplace practices. With the consent of the Compensation Committee or the Compensation Committee Chairman, Exequity coordinates with the Company's human resources function to gather information necessary to provide these services and reviews, validates and provides input on information, programs and recommendations.</w:t>
      </w:r>
    </w:p>
    <w:p>
      <w:pPr>
        <w:spacing w:after="0" w:line="210"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As previously disclosed, in 2014 and 2015, the Compensation Committee engaged Exequity to assist in conducting an analysis to ensure that Altisource's peer group for any future compensation benchmarking consists of the most appropriate benchmark companies. As part of this analysis, Exequity reviewed and provided research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132080</wp:posOffset>
            </wp:positionV>
            <wp:extent cx="276161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In 2016, the Compensation Committee and Exequity reviewed the companies in our peer group to determine if adjustments were necessary to provide appropriate information on market practices and executive and Director compensation levels. As a result of such reviews, Heartland Payment Systems, Inc. was removed from the peer group following its April 2016 merger with Global Payments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resulting group of 17 peer companies is as follows:</w:t>
      </w:r>
    </w:p>
    <w:p>
      <w:pPr>
        <w:spacing w:after="0" w:line="212" w:lineRule="exact"/>
        <w:rPr>
          <w:sz w:val="20"/>
          <w:szCs w:val="20"/>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CoreLogic,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Equifax, Inc.</w:t>
      </w:r>
    </w:p>
    <w:p>
      <w:pPr>
        <w:ind w:left="1080" w:hanging="532"/>
        <w:spacing w:after="0" w:line="234"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ExlService Holdings, Inc.</w:t>
      </w: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FleetCor Technologies,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Genpact Ltd.</w:t>
      </w:r>
    </w:p>
    <w:p>
      <w:pPr>
        <w:ind w:left="1080" w:hanging="532"/>
        <w:spacing w:after="0" w:line="234"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Nationstar Mortgage Holdings, Inc.</w:t>
      </w: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Virtusa Corp.</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WEX, Inc.</w:t>
      </w:r>
    </w:p>
    <w:p>
      <w:pPr>
        <w:spacing w:after="0" w:line="3" w:lineRule="exact"/>
        <w:rPr>
          <w:rFonts w:ascii="Arial" w:cs="Arial" w:eastAsia="Arial" w:hAnsi="Arial"/>
          <w:sz w:val="18"/>
          <w:szCs w:val="18"/>
          <w:color w:val="auto"/>
        </w:rPr>
      </w:pPr>
    </w:p>
    <w:p>
      <w:pPr>
        <w:ind w:left="1080" w:hanging="532"/>
        <w:spacing w:after="0" w:line="181" w:lineRule="auto"/>
        <w:tabs>
          <w:tab w:leader="none" w:pos="1080" w:val="left"/>
        </w:tabs>
        <w:numPr>
          <w:ilvl w:val="1"/>
          <w:numId w:val="31"/>
        </w:numPr>
        <w:rPr>
          <w:rFonts w:ascii="Arial" w:cs="Arial" w:eastAsia="Arial" w:hAnsi="Arial"/>
          <w:sz w:val="27"/>
          <w:szCs w:val="27"/>
          <w:color w:val="auto"/>
          <w:vertAlign w:val="superscript"/>
        </w:rPr>
      </w:pPr>
      <w:r>
        <w:rPr>
          <w:rFonts w:ascii="Arial" w:cs="Arial" w:eastAsia="Arial" w:hAnsi="Arial"/>
          <w:sz w:val="15"/>
          <w:szCs w:val="15"/>
          <w:color w:val="auto"/>
        </w:rPr>
        <w:t>Everi Holdings, Inc.</w:t>
      </w:r>
      <w:r>
        <w:rPr>
          <w:rFonts w:ascii="Arial" w:cs="Arial" w:eastAsia="Arial" w:hAnsi="Arial"/>
          <w:sz w:val="23"/>
          <w:szCs w:val="23"/>
          <w:color w:val="auto"/>
          <w:vertAlign w:val="superscript"/>
        </w:rPr>
        <w:t>(1)</w:t>
      </w: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Jack Henry &amp; Associates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PRGX Global, Inc.</w:t>
      </w:r>
    </w:p>
    <w:p>
      <w:pPr>
        <w:ind w:left="1080" w:hanging="532"/>
        <w:spacing w:after="0" w:line="234"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Stewart Information Services Corp.</w:t>
      </w: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Sykes Enterprises,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Syntel, Inc.</w:t>
      </w: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Walter Investment Management Corp.</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PennyMac Financial Services, Inc.</w:t>
      </w: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Black Knight Financial Services, Inc.</w:t>
      </w:r>
    </w:p>
    <w:p>
      <w:pPr>
        <w:spacing w:after="0" w:line="291"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Everi Holdings, Inc. was previously known as Global Cash Access Holdings, Inc.</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further the objectives of our compensation program, our Compensation Committee conducted an analysis of the compensation levels of our Directors in 2016, with the assistance of Exequity. As part of the analysis, Exequity reviewed compensation trends and "best practices" in Director compensation among the peer group companies. Compensation data and other resources provided by Exequity set the foundation for the Committee's review and analysis of Director compensation levels.</w:t>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Utilizing a similar analysis, in 2016, Exequity reviewed the compensation levels of our Chief Executive Officer, Chief Administration and Risk Officer and Chief Financial Officer and concluded that the total compensation for these executives is below the peer group's median level. Based in part on this analysis, the Compensation Committee is evaluating the compensation levels of these executives, in particular their possible participation in an equity-based long-term incentive plan in 2017. Please see the "Equity Incentive Plan" section below for additional information.</w:t>
      </w:r>
    </w:p>
    <w:p>
      <w:pPr>
        <w:spacing w:after="0" w:line="183" w:lineRule="exact"/>
        <w:rPr>
          <w:sz w:val="20"/>
          <w:szCs w:val="20"/>
          <w:color w:val="auto"/>
        </w:rPr>
      </w:pPr>
    </w:p>
    <w:p>
      <w:pPr>
        <w:ind w:right="860"/>
        <w:spacing w:after="0" w:line="299" w:lineRule="auto"/>
        <w:rPr>
          <w:sz w:val="20"/>
          <w:szCs w:val="20"/>
          <w:color w:val="auto"/>
        </w:rPr>
      </w:pPr>
      <w:r>
        <w:rPr>
          <w:rFonts w:ascii="Arial" w:cs="Arial" w:eastAsia="Arial" w:hAnsi="Arial"/>
          <w:sz w:val="16"/>
          <w:szCs w:val="16"/>
          <w:color w:val="auto"/>
        </w:rPr>
        <w:t>Based on its consideration of the various factors as set forth in SEC rules and NASDAQ listing standards, the Compensation Committee determined that Exequity is independent and that the engagement of Exequity by the Company raises no conflict of interest.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required by Luxembourg law, Altisource has entered into employment agreements with each of our Named Executive Officers. The employment terms continue indefinitely until the executive's separation from the Company.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132080</wp:posOffset>
            </wp:positionV>
            <wp:extent cx="276161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time periods set forth in article L.124-1 of the Luxembourg Labor Code. In the event of the termination by the Company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21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Annual Compensation</w:t>
      </w:r>
    </w:p>
    <w:p>
      <w:pPr>
        <w:spacing w:after="0" w:line="234"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color w:val="auto"/>
        </w:rPr>
        <w:t>The current annual compensation package for our Named Executive Officers consists of base salary and annual cash incentive compensation. This compensation structure was developed in order to provide each Named Executive Officer with a competitive salary while emphasizing an incentive compensation element that is tied to the achievement of financial goals and strategic initiatives as well as individual performance. We believe that the elements of compensation discussed below are appropriate in light of our performance, industry, alignment with peer practices, strategic initiatives and environment.</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long-term incentive awards may be granted on a periodic basis separately from the annual compensation process to assist with the retention of our Named Executive Officers and to align the interests of these executives with the interests of our shareholders. As previously disclosed, on April 15, 2015, the Compensation Committee approved retention and long-term incentive awards to provide for equity (restricted shares and stock options) to our Named Executive Officers. Our Chief Executive Officer, Chief Administration and Risk Officer and Chief Financial Officer also received cash awards payable on March 31, 2017, subject to continued employment. Because these executives were still employed by Altisource on such date, these cash awards [vested and were paid on or around March 31, 2017].</w:t>
      </w: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instances where the Compensation Committee believes an executive's scorecard performance does not result in an incentive compensation amount that is reflective of the executive's efforts and accomplishments, the Compensation Committee may also grant our Named Executive Officers a one-time cash award in recognition of their performance during the period. In that regard, in 2016, a one-time cash award was made to Mr. Davila, President, Servicer Solutions to reflect his efforts and accomplishments leading our Servicer Solutions business to position it for continued growth. Mr. Ritts, General Counsel, also received a one-time cash award in recognition of his efforts overseeing our legal and regulatory matters and his significant contributions to our strategic initiatives. Please see the Summary Compensation Table under "Executive Compensation" for additional information.</w:t>
      </w:r>
    </w:p>
    <w:p>
      <w:pPr>
        <w:spacing w:after="0" w:line="18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Base salaries for our Named Executive Officers are established based on individual qualifications and job responsibilities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taking into account compensation levels at companies in our peer group for similar positions. The Compensation Committee sets the base salary for the Chief Executive Officer and approves the base salaries for all other Named Executive Officers.</w:t>
      </w:r>
    </w:p>
    <w:p>
      <w:pPr>
        <w:spacing w:after="0" w:line="20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Base salaries for our Named Executive Officers are reviewed periodically with adjustments made based on market information, internal review of the Named Executive Officer's compensation in relation to other officers, individual performance of the executive officer and corporate performance. Salary levels are also considered upon a relocation, a promotion or other change in job responsibility. Salary adjustment recommendations are based on our overall performance and an analysis of compensation levels necessary to maintain and attract quality personnel.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132080</wp:posOffset>
            </wp:positionV>
            <wp:extent cx="276161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Base salaries for our Named Executive Officers are set in U.S. dollars and paid in euros. Please see the Summary Compensation Table under "Executive Compensation" for additional information.</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 xml:space="preserve">2016 Annual Non-Equity Incentive Compensation. </w:t>
      </w:r>
      <w:r>
        <w:rPr>
          <w:rFonts w:ascii="Arial" w:cs="Arial" w:eastAsia="Arial" w:hAnsi="Arial"/>
          <w:sz w:val="18"/>
          <w:szCs w:val="18"/>
          <w:color w:val="auto"/>
        </w:rPr>
        <w:t>Pursuant to an annual incentive plan, a participant can earn cash incentive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by the Compensation Committee. The plan provides the Compensation Committee and our management with the authority to establish incentive award guidelines which are further discussed below.</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Named Executive Officer has a targeted annual cash incentive award that is expressed as a percentage of his or her annual cash total target compensation. Incentive compensation awards make up a significant portion of the annual cash compensation for each of our Named Executive Officers, including the majority of the compensation for our Chief Executive Officer. In 2016, thirty-five percent (35%) to sixty percent (60%) of total annual cash target compensation of our Named Executive Officers was payable only upon achievement of certain minimum Company and individual performance levels. The appropriate targeted percentage typically varies based upon the nature and scope of each Named Executive Officer's responsibilities.</w:t>
      </w:r>
    </w:p>
    <w:p>
      <w:pPr>
        <w:spacing w:after="0" w:line="210"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The table below reflects the percentage of each Named Executive Officer's target total annual cash compensation that was allocated to each of base salary and incentive compensation in 2016 and the percentage of each Named Executive Officer's actual total annual cash compensation that was allocated to each of base salary and incentive compensation in 2016:</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7"/>
              </w:rPr>
              <w:t>Incentive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Incentive</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Base Salary %</w:t>
            </w:r>
          </w:p>
        </w:tc>
        <w:tc>
          <w:tcPr>
            <w:tcW w:w="1640" w:type="dxa"/>
            <w:vAlign w:val="bottom"/>
            <w:gridSpan w:val="2"/>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Compensation %</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Base Salary %</w:t>
            </w:r>
          </w:p>
        </w:tc>
        <w:tc>
          <w:tcPr>
            <w:tcW w:w="1880" w:type="dxa"/>
            <w:vAlign w:val="bottom"/>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7"/>
              </w:rPr>
              <w:t>Compensation %</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of Target Total</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of Target Total</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Actual Total</w:t>
            </w:r>
          </w:p>
        </w:tc>
        <w:tc>
          <w:tcPr>
            <w:tcW w:w="220" w:type="dxa"/>
            <w:vAlign w:val="bottom"/>
          </w:tcPr>
          <w:p>
            <w:pPr>
              <w:spacing w:after="0"/>
              <w:rPr>
                <w:sz w:val="17"/>
                <w:szCs w:val="17"/>
                <w:color w:val="auto"/>
              </w:rPr>
            </w:pPr>
          </w:p>
        </w:tc>
        <w:tc>
          <w:tcPr>
            <w:tcW w:w="16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of Actual Total</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Annual Cash</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Annual Cash</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Annual Cash</w:t>
            </w:r>
          </w:p>
        </w:tc>
        <w:tc>
          <w:tcPr>
            <w:tcW w:w="220" w:type="dxa"/>
            <w:vAlign w:val="bottom"/>
          </w:tcPr>
          <w:p>
            <w:pPr>
              <w:spacing w:after="0"/>
              <w:rPr>
                <w:sz w:val="17"/>
                <w:szCs w:val="17"/>
                <w:color w:val="auto"/>
              </w:rPr>
            </w:pPr>
          </w:p>
        </w:tc>
        <w:tc>
          <w:tcPr>
            <w:tcW w:w="16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Annual Cash</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80" w:type="dxa"/>
            <w:vAlign w:val="bottom"/>
            <w:gridSpan w:val="2"/>
          </w:tcPr>
          <w:p>
            <w:pPr>
              <w:jc w:val="center"/>
              <w:ind w:left="1132"/>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440" w:type="dxa"/>
            <w:vAlign w:val="bottom"/>
            <w:gridSpan w:val="2"/>
          </w:tcPr>
          <w:p>
            <w:pPr>
              <w:jc w:val="center"/>
              <w:ind w:left="137"/>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220" w:type="dxa"/>
            <w:vAlign w:val="bottom"/>
          </w:tcPr>
          <w:p>
            <w:pPr>
              <w:spacing w:after="0"/>
              <w:rPr>
                <w:sz w:val="17"/>
                <w:szCs w:val="17"/>
                <w:color w:val="auto"/>
              </w:rPr>
            </w:pPr>
          </w:p>
        </w:tc>
        <w:tc>
          <w:tcPr>
            <w:tcW w:w="16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Compensation</w:t>
            </w:r>
          </w:p>
        </w:tc>
      </w:tr>
      <w:tr>
        <w:trPr>
          <w:trHeight w:val="221"/>
        </w:trPr>
        <w:tc>
          <w:tcPr>
            <w:tcW w:w="20" w:type="dxa"/>
            <w:vAlign w:val="bottom"/>
          </w:tcPr>
          <w:p>
            <w:pPr>
              <w:spacing w:after="0"/>
              <w:rPr>
                <w:sz w:val="19"/>
                <w:szCs w:val="19"/>
                <w:color w:val="auto"/>
              </w:rPr>
            </w:pP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2016</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2016</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 2016</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2016</w:t>
            </w:r>
          </w:p>
        </w:tc>
        <w:tc>
          <w:tcPr>
            <w:tcW w:w="2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2480" w:type="dxa"/>
            <w:vAlign w:val="bottom"/>
            <w:gridSpan w:val="2"/>
            <w:shd w:val="clear" w:color="auto" w:fill="CCEEFF"/>
          </w:tcPr>
          <w:p>
            <w:pPr>
              <w:jc w:val="center"/>
              <w:ind w:left="1152"/>
              <w:spacing w:after="0" w:line="196" w:lineRule="exact"/>
              <w:rPr>
                <w:sz w:val="20"/>
                <w:szCs w:val="20"/>
                <w:color w:val="auto"/>
              </w:rPr>
            </w:pPr>
            <w:r>
              <w:rPr>
                <w:rFonts w:ascii="Arial" w:cs="Arial" w:eastAsia="Arial" w:hAnsi="Arial"/>
                <w:sz w:val="18"/>
                <w:szCs w:val="18"/>
                <w:color w:val="auto"/>
                <w:w w:val="99"/>
              </w:rPr>
              <w:t>40%</w:t>
            </w:r>
          </w:p>
        </w:tc>
        <w:tc>
          <w:tcPr>
            <w:tcW w:w="164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9"/>
              </w:rPr>
              <w:t>60%</w:t>
            </w:r>
          </w:p>
        </w:tc>
        <w:tc>
          <w:tcPr>
            <w:tcW w:w="1440" w:type="dxa"/>
            <w:vAlign w:val="bottom"/>
            <w:gridSpan w:val="2"/>
            <w:shd w:val="clear" w:color="auto" w:fill="CCEEFF"/>
          </w:tcPr>
          <w:p>
            <w:pPr>
              <w:jc w:val="center"/>
              <w:ind w:left="137"/>
              <w:spacing w:after="0" w:line="196" w:lineRule="exact"/>
              <w:rPr>
                <w:sz w:val="20"/>
                <w:szCs w:val="20"/>
                <w:color w:val="auto"/>
              </w:rPr>
            </w:pPr>
            <w:r>
              <w:rPr>
                <w:rFonts w:ascii="Arial" w:cs="Arial" w:eastAsia="Arial" w:hAnsi="Arial"/>
                <w:sz w:val="18"/>
                <w:szCs w:val="18"/>
                <w:color w:val="auto"/>
                <w:w w:val="94"/>
              </w:rPr>
              <w:t>49%</w:t>
            </w:r>
          </w:p>
        </w:tc>
        <w:tc>
          <w:tcPr>
            <w:tcW w:w="1660" w:type="dxa"/>
            <w:vAlign w:val="bottom"/>
            <w:gridSpan w:val="2"/>
            <w:shd w:val="clear" w:color="auto" w:fill="CCEEFF"/>
          </w:tcPr>
          <w:p>
            <w:pPr>
              <w:jc w:val="center"/>
              <w:ind w:left="117"/>
              <w:spacing w:after="0" w:line="196" w:lineRule="exact"/>
              <w:rPr>
                <w:sz w:val="20"/>
                <w:szCs w:val="20"/>
                <w:color w:val="auto"/>
              </w:rPr>
            </w:pPr>
            <w:r>
              <w:rPr>
                <w:rFonts w:ascii="Arial" w:cs="Arial" w:eastAsia="Arial" w:hAnsi="Arial"/>
                <w:sz w:val="18"/>
                <w:szCs w:val="18"/>
                <w:color w:val="auto"/>
                <w:w w:val="94"/>
              </w:rPr>
              <w:t>51%</w:t>
            </w:r>
          </w:p>
        </w:tc>
        <w:tc>
          <w:tcPr>
            <w:tcW w:w="220" w:type="dxa"/>
            <w:vAlign w:val="bottom"/>
            <w:shd w:val="clear" w:color="auto" w:fill="CCEEFF"/>
          </w:tcPr>
          <w:p>
            <w:pPr>
              <w:spacing w:after="0"/>
              <w:rPr>
                <w:sz w:val="17"/>
                <w:szCs w:val="17"/>
                <w:color w:val="auto"/>
              </w:rPr>
            </w:pPr>
          </w:p>
        </w:tc>
      </w:tr>
      <w:tr>
        <w:trPr>
          <w:trHeight w:val="203"/>
        </w:trPr>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Kevin J. Wilcox</w:t>
            </w:r>
          </w:p>
        </w:tc>
        <w:tc>
          <w:tcPr>
            <w:tcW w:w="2480" w:type="dxa"/>
            <w:vAlign w:val="bottom"/>
            <w:gridSpan w:val="2"/>
          </w:tcPr>
          <w:p>
            <w:pPr>
              <w:jc w:val="center"/>
              <w:ind w:left="1152"/>
              <w:spacing w:after="0" w:line="202" w:lineRule="exact"/>
              <w:rPr>
                <w:sz w:val="20"/>
                <w:szCs w:val="20"/>
                <w:color w:val="auto"/>
              </w:rPr>
            </w:pPr>
            <w:r>
              <w:rPr>
                <w:rFonts w:ascii="Arial" w:cs="Arial" w:eastAsia="Arial" w:hAnsi="Arial"/>
                <w:sz w:val="18"/>
                <w:szCs w:val="18"/>
                <w:color w:val="auto"/>
                <w:w w:val="99"/>
              </w:rPr>
              <w:t>50%</w:t>
            </w:r>
          </w:p>
        </w:tc>
        <w:tc>
          <w:tcPr>
            <w:tcW w:w="164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50%</w:t>
            </w:r>
          </w:p>
        </w:tc>
        <w:tc>
          <w:tcPr>
            <w:tcW w:w="1440" w:type="dxa"/>
            <w:vAlign w:val="bottom"/>
            <w:gridSpan w:val="2"/>
          </w:tcPr>
          <w:p>
            <w:pPr>
              <w:jc w:val="center"/>
              <w:ind w:left="137"/>
              <w:spacing w:after="0" w:line="202" w:lineRule="exact"/>
              <w:rPr>
                <w:sz w:val="20"/>
                <w:szCs w:val="20"/>
                <w:color w:val="auto"/>
              </w:rPr>
            </w:pPr>
            <w:r>
              <w:rPr>
                <w:rFonts w:ascii="Arial" w:cs="Arial" w:eastAsia="Arial" w:hAnsi="Arial"/>
                <w:sz w:val="18"/>
                <w:szCs w:val="18"/>
                <w:color w:val="auto"/>
                <w:w w:val="94"/>
              </w:rPr>
              <w:t>58%</w:t>
            </w:r>
          </w:p>
        </w:tc>
        <w:tc>
          <w:tcPr>
            <w:tcW w:w="1660" w:type="dxa"/>
            <w:vAlign w:val="bottom"/>
            <w:gridSpan w:val="2"/>
          </w:tcPr>
          <w:p>
            <w:pPr>
              <w:jc w:val="center"/>
              <w:ind w:left="117"/>
              <w:spacing w:after="0" w:line="202" w:lineRule="exact"/>
              <w:rPr>
                <w:sz w:val="20"/>
                <w:szCs w:val="20"/>
                <w:color w:val="auto"/>
              </w:rPr>
            </w:pPr>
            <w:r>
              <w:rPr>
                <w:rFonts w:ascii="Arial" w:cs="Arial" w:eastAsia="Arial" w:hAnsi="Arial"/>
                <w:sz w:val="18"/>
                <w:szCs w:val="18"/>
                <w:color w:val="auto"/>
                <w:w w:val="94"/>
              </w:rPr>
              <w:t>42%</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Michelle D. Esterman</w:t>
            </w:r>
          </w:p>
        </w:tc>
        <w:tc>
          <w:tcPr>
            <w:tcW w:w="2480" w:type="dxa"/>
            <w:vAlign w:val="bottom"/>
            <w:gridSpan w:val="2"/>
            <w:shd w:val="clear" w:color="auto" w:fill="CCEEFF"/>
          </w:tcPr>
          <w:p>
            <w:pPr>
              <w:jc w:val="center"/>
              <w:ind w:left="1152"/>
              <w:spacing w:after="0" w:line="202" w:lineRule="exact"/>
              <w:rPr>
                <w:sz w:val="20"/>
                <w:szCs w:val="20"/>
                <w:color w:val="auto"/>
              </w:rPr>
            </w:pPr>
            <w:r>
              <w:rPr>
                <w:rFonts w:ascii="Arial" w:cs="Arial" w:eastAsia="Arial" w:hAnsi="Arial"/>
                <w:sz w:val="18"/>
                <w:szCs w:val="18"/>
                <w:color w:val="auto"/>
                <w:w w:val="99"/>
              </w:rPr>
              <w:t>60%</w:t>
            </w:r>
          </w:p>
        </w:tc>
        <w:tc>
          <w:tcPr>
            <w:tcW w:w="164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40%</w:t>
            </w:r>
          </w:p>
        </w:tc>
        <w:tc>
          <w:tcPr>
            <w:tcW w:w="1440" w:type="dxa"/>
            <w:vAlign w:val="bottom"/>
            <w:gridSpan w:val="2"/>
            <w:shd w:val="clear" w:color="auto" w:fill="CCEEFF"/>
          </w:tcPr>
          <w:p>
            <w:pPr>
              <w:jc w:val="center"/>
              <w:ind w:left="137"/>
              <w:spacing w:after="0" w:line="202" w:lineRule="exact"/>
              <w:rPr>
                <w:sz w:val="20"/>
                <w:szCs w:val="20"/>
                <w:color w:val="auto"/>
              </w:rPr>
            </w:pPr>
            <w:r>
              <w:rPr>
                <w:rFonts w:ascii="Arial" w:cs="Arial" w:eastAsia="Arial" w:hAnsi="Arial"/>
                <w:sz w:val="18"/>
                <w:szCs w:val="18"/>
                <w:color w:val="auto"/>
                <w:w w:val="94"/>
              </w:rPr>
              <w:t>67%</w:t>
            </w:r>
          </w:p>
        </w:tc>
        <w:tc>
          <w:tcPr>
            <w:tcW w:w="1660" w:type="dxa"/>
            <w:vAlign w:val="bottom"/>
            <w:gridSpan w:val="2"/>
            <w:shd w:val="clear" w:color="auto" w:fill="CCEEFF"/>
          </w:tcPr>
          <w:p>
            <w:pPr>
              <w:jc w:val="center"/>
              <w:ind w:left="117"/>
              <w:spacing w:after="0" w:line="202" w:lineRule="exact"/>
              <w:rPr>
                <w:sz w:val="20"/>
                <w:szCs w:val="20"/>
                <w:color w:val="auto"/>
              </w:rPr>
            </w:pPr>
            <w:r>
              <w:rPr>
                <w:rFonts w:ascii="Arial" w:cs="Arial" w:eastAsia="Arial" w:hAnsi="Arial"/>
                <w:sz w:val="18"/>
                <w:szCs w:val="18"/>
                <w:color w:val="auto"/>
                <w:w w:val="94"/>
              </w:rPr>
              <w:t>33%</w:t>
            </w:r>
          </w:p>
        </w:tc>
        <w:tc>
          <w:tcPr>
            <w:tcW w:w="220" w:type="dxa"/>
            <w:vAlign w:val="bottom"/>
            <w:shd w:val="clear" w:color="auto" w:fill="CCEEFF"/>
          </w:tcPr>
          <w:p>
            <w:pPr>
              <w:spacing w:after="0"/>
              <w:rPr>
                <w:sz w:val="17"/>
                <w:szCs w:val="17"/>
                <w:color w:val="auto"/>
              </w:rPr>
            </w:pPr>
          </w:p>
        </w:tc>
      </w:tr>
      <w:tr>
        <w:trPr>
          <w:trHeight w:val="203"/>
        </w:trPr>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Joseph A. Davila</w:t>
            </w:r>
          </w:p>
        </w:tc>
        <w:tc>
          <w:tcPr>
            <w:tcW w:w="2480" w:type="dxa"/>
            <w:vAlign w:val="bottom"/>
            <w:gridSpan w:val="2"/>
          </w:tcPr>
          <w:p>
            <w:pPr>
              <w:jc w:val="center"/>
              <w:ind w:left="1152"/>
              <w:spacing w:after="0" w:line="202" w:lineRule="exact"/>
              <w:rPr>
                <w:sz w:val="20"/>
                <w:szCs w:val="20"/>
                <w:color w:val="auto"/>
              </w:rPr>
            </w:pPr>
            <w:r>
              <w:rPr>
                <w:rFonts w:ascii="Arial" w:cs="Arial" w:eastAsia="Arial" w:hAnsi="Arial"/>
                <w:sz w:val="18"/>
                <w:szCs w:val="18"/>
                <w:color w:val="auto"/>
                <w:w w:val="99"/>
              </w:rPr>
              <w:t>57%</w:t>
            </w:r>
          </w:p>
        </w:tc>
        <w:tc>
          <w:tcPr>
            <w:tcW w:w="164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43%</w:t>
            </w:r>
          </w:p>
        </w:tc>
        <w:tc>
          <w:tcPr>
            <w:tcW w:w="1440" w:type="dxa"/>
            <w:vAlign w:val="bottom"/>
            <w:gridSpan w:val="2"/>
          </w:tcPr>
          <w:p>
            <w:pPr>
              <w:jc w:val="right"/>
              <w:ind w:right="172"/>
              <w:spacing w:after="0" w:line="202" w:lineRule="exact"/>
              <w:rPr>
                <w:sz w:val="20"/>
                <w:szCs w:val="20"/>
                <w:color w:val="auto"/>
              </w:rPr>
            </w:pPr>
            <w:r>
              <w:rPr>
                <w:rFonts w:ascii="Arial" w:cs="Arial" w:eastAsia="Arial" w:hAnsi="Arial"/>
                <w:sz w:val="15"/>
                <w:szCs w:val="15"/>
                <w:color w:val="auto"/>
              </w:rPr>
              <w:t>57%</w:t>
            </w:r>
            <w:r>
              <w:rPr>
                <w:rFonts w:ascii="Arial" w:cs="Arial" w:eastAsia="Arial" w:hAnsi="Arial"/>
                <w:sz w:val="23"/>
                <w:szCs w:val="23"/>
                <w:color w:val="auto"/>
                <w:vertAlign w:val="superscript"/>
              </w:rPr>
              <w:t>(1)</w:t>
            </w:r>
          </w:p>
        </w:tc>
        <w:tc>
          <w:tcPr>
            <w:tcW w:w="1660" w:type="dxa"/>
            <w:vAlign w:val="bottom"/>
            <w:gridSpan w:val="2"/>
          </w:tcPr>
          <w:p>
            <w:pPr>
              <w:jc w:val="right"/>
              <w:ind w:right="292"/>
              <w:spacing w:after="0" w:line="202" w:lineRule="exact"/>
              <w:rPr>
                <w:sz w:val="20"/>
                <w:szCs w:val="20"/>
                <w:color w:val="auto"/>
              </w:rPr>
            </w:pPr>
            <w:r>
              <w:rPr>
                <w:rFonts w:ascii="Arial" w:cs="Arial" w:eastAsia="Arial" w:hAnsi="Arial"/>
                <w:sz w:val="15"/>
                <w:szCs w:val="15"/>
                <w:color w:val="auto"/>
              </w:rPr>
              <w:t>43%</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Gregory J. Ritts</w:t>
            </w:r>
          </w:p>
        </w:tc>
        <w:tc>
          <w:tcPr>
            <w:tcW w:w="2480" w:type="dxa"/>
            <w:vAlign w:val="bottom"/>
            <w:gridSpan w:val="2"/>
            <w:shd w:val="clear" w:color="auto" w:fill="CCEEFF"/>
          </w:tcPr>
          <w:p>
            <w:pPr>
              <w:jc w:val="center"/>
              <w:ind w:left="1152"/>
              <w:spacing w:after="0" w:line="202" w:lineRule="exact"/>
              <w:rPr>
                <w:sz w:val="20"/>
                <w:szCs w:val="20"/>
                <w:color w:val="auto"/>
              </w:rPr>
            </w:pPr>
            <w:r>
              <w:rPr>
                <w:rFonts w:ascii="Arial" w:cs="Arial" w:eastAsia="Arial" w:hAnsi="Arial"/>
                <w:sz w:val="18"/>
                <w:szCs w:val="18"/>
                <w:color w:val="auto"/>
                <w:w w:val="99"/>
              </w:rPr>
              <w:t>65%</w:t>
            </w:r>
          </w:p>
        </w:tc>
        <w:tc>
          <w:tcPr>
            <w:tcW w:w="164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35%</w:t>
            </w:r>
          </w:p>
        </w:tc>
        <w:tc>
          <w:tcPr>
            <w:tcW w:w="144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5"/>
                <w:szCs w:val="15"/>
                <w:color w:val="auto"/>
              </w:rPr>
              <w:t>61%</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5"/>
                <w:szCs w:val="15"/>
                <w:color w:val="auto"/>
              </w:rPr>
              <w:t>39%</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left="1680" w:right="40" w:hanging="531"/>
        <w:spacing w:after="0" w:line="197" w:lineRule="auto"/>
        <w:tabs>
          <w:tab w:leader="none" w:pos="16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"Actual Incentive Compensation" used to calculate percentage includes one-time discretionary cash award of $9,375. Please see the "2016 Annual Incentive Compensation" section of the Compensation Discussion and Analysis for additional information regarding this award.</w:t>
      </w:r>
    </w:p>
    <w:p>
      <w:pPr>
        <w:spacing w:after="0" w:line="210" w:lineRule="exact"/>
        <w:rPr>
          <w:rFonts w:ascii="Arial" w:cs="Arial" w:eastAsia="Arial" w:hAnsi="Arial"/>
          <w:sz w:val="29"/>
          <w:szCs w:val="29"/>
          <w:color w:val="auto"/>
          <w:vertAlign w:val="superscript"/>
        </w:rPr>
      </w:pPr>
    </w:p>
    <w:p>
      <w:pPr>
        <w:ind w:left="1680" w:right="40" w:hanging="531"/>
        <w:spacing w:after="0" w:line="197" w:lineRule="auto"/>
        <w:tabs>
          <w:tab w:leader="none" w:pos="16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"Actual Incentive Compensation" used to calculate percentage includes one-time discretionary cash award of $3,938. Please see the "2016 Annual Incentive Compensation" section of the Compensation Discussion and Analysis for additional information regarding this award.</w:t>
      </w:r>
    </w:p>
    <w:p>
      <w:pPr>
        <w:spacing w:after="0" w:line="21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annual incentive-based cash compensation is structured in a manner that is intended to motivate executives to achieve pre-established key performance indicators by rewarding executives for such achievement. This is accomplished by utilizing a scorecard methodology which incorporates multiple financial and non-financial performance indicators (with a majority being financial performance indicators) developed through our annual strategic planning process and designed to enhance Company performance and long-term shareholder value. This corporate scorecard is approved annually by the Compensation Committee and/or the Board of Directors and is utilized by the Compensation Committee as a factor to determine the appropriate amount of incentive compensation to be paid to the Chief Executive Officer and other Named Executive Officers. During the development of the corporate scorecard each year, the Board considers the level of difficulty associated with the attainment of each goal in the corporate scorecard. The intent of the Board is to establish target levels in the scorecard that are challenging to achieve. The 2016 corporate scorecard was approved by the Board of Directors at its meeting on November 6, 2015. Certain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132080</wp:posOffset>
            </wp:positionV>
            <wp:extent cx="276161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amendments/exceptions to the corporate scorecard were approved at subsequent Board of Directors meetings. Typically, these amendments/exceptions to the corporate scorecard reflected adjustments deemed by the Board of Directors to be appropriate in light of changed conditions or changes to the business during the year.</w:t>
      </w:r>
    </w:p>
    <w:p>
      <w:pPr>
        <w:spacing w:after="0" w:line="20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Company's corporate scorecard for 2016 included achieving consolidated service revenue and adjusted diluted earnings per share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targets and achieving growth initiative or business segment specific service revenue and adjusted pre-tax income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targets. In addition, the corporate scorecard provided for successful completion of our strategic initiatives. Due to longer than anticipated sales cycles, we did not achieve our non-Ocwen service revenue targets. Further, we invested significantly in our growth initiatives. As a result, we did not achieve a majority of our earnings targets. While we did not achieve our non-Ocwen service revenue targets, we did grow non-Ocwen service revenue by 22% in 2016, which followed two consecutive years of annual growth of more than 40%. In addition, we achieved our consolidated service revenue target, and we successfully completed many of the remaining strategic initiatives, positioning the Company for long-term growth across our strategic initiatives. Our key 2016 accomplishments also included adding seven (7) new large Servicer Solutions and Origination Solutions clients, developing a pipeline of active prospects and improving our value proposition through new product launches.</w:t>
      </w:r>
    </w:p>
    <w:p>
      <w:pPr>
        <w:spacing w:after="0" w:line="2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incentive award for our Chief Executive Officer is based on: (i) the Company's performance versus the goals (comprising financial objectives and strategic initiatives) established in the corporate scorecard (eighty percent (80%)) and (ii) a performance appraisal (twenty percent (20%)). The incentive awards of our other Named Executive Officers are based on: (i) performance within the corporate, business unit or support unit scorecard, as expressly assigned in each of their scorecards (eighty percent (80%)) and (ii) a performance appraisal (twenty percent (20%)). Typically, fifty percent (50%) to sixty percent (60%) of the total incentive award opportunity for our Named Executive Officers is tied to the achievement of financial objectives.</w:t>
      </w:r>
    </w:p>
    <w:p>
      <w:pPr>
        <w:spacing w:after="0" w:line="210"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typically three</w:t>
      </w:r>
    </w:p>
    <w:p>
      <w:pPr>
        <w:ind w:firstLine="8"/>
        <w:spacing w:after="0" w:line="236" w:lineRule="auto"/>
        <w:tabs>
          <w:tab w:leader="none" w:pos="2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established levels of achievement: threshold, target and outstanding. Each level of achievement is typically tied to a relative point on a percentage scale which indicates the level of goal achievement within each component of the scorecard. Generally, achieving the threshold level of achievement will earn the executive fifty percent (50%) of the target incentive compensation tied to such goal; the target level of achievement will earn the executive one hundred percent (100%) of the target incentive compensation tied to such goal and the outstanding level of achievement will earn the executive one hundred fifty (150%) of the target incentive compensation tied to such goal. An achievement below the threshold level will generally not entitle the executive to compensation for the associated goal.</w:t>
      </w:r>
    </w:p>
    <w:p>
      <w:pPr>
        <w:spacing w:after="0" w:line="21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goals are further cascaded down through the organization to incentive-eligible employees in their personal scorecards, which are also tied to performance linked to corporate profitability and the achievement of our strategic initiatives. The scorecards are communicated to all incentive-eligible employees by the Human Resources department or the employee's immediate supervisor and are available to employees in our performance management tracking system. Performance against such scorecards is generally reviewed with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903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hanging="532"/>
        <w:spacing w:after="0" w:line="191" w:lineRule="auto"/>
        <w:tabs>
          <w:tab w:leader="none" w:pos="54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Adjusted diluted earnings per share is calculated by dividing net income attributable to Altisource plus intangible asset amortization expense (net of tax), plus litigation settlement loss, net of insurance recovery (net of tax) by the weighted average number of diluted shares.</w:t>
      </w:r>
    </w:p>
    <w:p>
      <w:pPr>
        <w:spacing w:after="0" w:line="209" w:lineRule="exact"/>
        <w:rPr>
          <w:rFonts w:ascii="Arial" w:cs="Arial" w:eastAsia="Arial" w:hAnsi="Arial"/>
          <w:sz w:val="28"/>
          <w:szCs w:val="28"/>
          <w:color w:val="auto"/>
          <w:vertAlign w:val="superscript"/>
        </w:rPr>
      </w:pPr>
    </w:p>
    <w:p>
      <w:pPr>
        <w:jc w:val="both"/>
        <w:ind w:left="540" w:right="600" w:hanging="532"/>
        <w:spacing w:after="0" w:line="197" w:lineRule="auto"/>
        <w:tabs>
          <w:tab w:leader="none" w:pos="54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Adjusted pretax income is calculated by adding intangible asset amortization expense and litigation settlement loss, net of insurance recovery to, and deducting net income attributable to non-controlling interests from, income before income taxes and non-controlling interests.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corporate scorecard for 2016, as amended, and corresponding achievement levels are detailed below. Percentages indicated in the "Actual Level of Achievement" column represent the achievement against the goal. Certain strategic initiatives comprise multiple goals. Where there are multiple goals, the percentage achievements indicated against such strategic initiatives represent the weighted average achievement against these goals: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tcBorders>
              <w:bottom w:val="single" w:sz="8" w:color="auto"/>
            </w:tcBorders>
            <w:gridSpan w:val="5"/>
          </w:tcPr>
          <w:p>
            <w:pPr>
              <w:jc w:val="right"/>
              <w:ind w:right="1132"/>
              <w:spacing w:after="0"/>
              <w:rPr>
                <w:sz w:val="20"/>
                <w:szCs w:val="20"/>
                <w:color w:val="auto"/>
              </w:rPr>
            </w:pPr>
            <w:r>
              <w:rPr>
                <w:rFonts w:ascii="Arial" w:cs="Arial" w:eastAsia="Arial" w:hAnsi="Arial"/>
                <w:sz w:val="18"/>
                <w:szCs w:val="18"/>
                <w:b w:val="1"/>
                <w:bCs w:val="1"/>
                <w:color w:val="auto"/>
              </w:rPr>
              <w:t>Levels of Achievement</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6"/>
              </w:rPr>
              <w:t>Actual Level of</w:t>
            </w:r>
          </w:p>
        </w:tc>
      </w:tr>
      <w:tr>
        <w:trPr>
          <w:trHeight w:val="196"/>
        </w:trPr>
        <w:tc>
          <w:tcPr>
            <w:tcW w:w="5540" w:type="dxa"/>
            <w:vAlign w:val="bottom"/>
            <w:tcBorders>
              <w:bottom w:val="single" w:sz="8" w:color="auto"/>
            </w:tcBorders>
          </w:tcPr>
          <w:p>
            <w:pPr>
              <w:ind w:left="2440"/>
              <w:spacing w:after="0" w:line="196" w:lineRule="exact"/>
              <w:rPr>
                <w:sz w:val="20"/>
                <w:szCs w:val="20"/>
                <w:color w:val="auto"/>
              </w:rPr>
            </w:pPr>
            <w:r>
              <w:rPr>
                <w:rFonts w:ascii="Arial" w:cs="Arial" w:eastAsia="Arial" w:hAnsi="Arial"/>
                <w:sz w:val="18"/>
                <w:szCs w:val="18"/>
                <w:b w:val="1"/>
                <w:bCs w:val="1"/>
                <w:color w:val="auto"/>
              </w:rPr>
              <w:t>Element</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Threshold</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312"/>
              <w:spacing w:after="0" w:line="196" w:lineRule="exact"/>
              <w:rPr>
                <w:sz w:val="20"/>
                <w:szCs w:val="20"/>
                <w:color w:val="auto"/>
              </w:rPr>
            </w:pPr>
            <w:r>
              <w:rPr>
                <w:rFonts w:ascii="Arial" w:cs="Arial" w:eastAsia="Arial" w:hAnsi="Arial"/>
                <w:sz w:val="18"/>
                <w:szCs w:val="18"/>
                <w:b w:val="1"/>
                <w:bCs w:val="1"/>
                <w:color w:val="auto"/>
              </w:rPr>
              <w:t>Target</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Achievement</w:t>
            </w:r>
          </w:p>
        </w:tc>
      </w:tr>
      <w:tr>
        <w:trPr>
          <w:trHeight w:val="237"/>
        </w:trPr>
        <w:tc>
          <w:tcPr>
            <w:tcW w:w="56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Achieve Service Revenue Targets:</w:t>
            </w:r>
            <w:r>
              <w:rPr>
                <w:rFonts w:ascii="Arial" w:cs="Arial" w:eastAsia="Arial" w:hAnsi="Arial"/>
                <w:sz w:val="27"/>
                <w:szCs w:val="27"/>
                <w:color w:val="auto"/>
                <w:vertAlign w:val="superscript"/>
              </w:rPr>
              <w:t>(1)</w:t>
            </w: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449"/>
        </w:trPr>
        <w:tc>
          <w:tcPr>
            <w:tcW w:w="5620" w:type="dxa"/>
            <w:vAlign w:val="bottom"/>
            <w:gridSpan w:val="2"/>
          </w:tcPr>
          <w:p>
            <w:pPr>
              <w:ind w:left="100"/>
              <w:spacing w:after="0"/>
              <w:rPr>
                <w:sz w:val="20"/>
                <w:szCs w:val="20"/>
                <w:color w:val="auto"/>
              </w:rPr>
            </w:pPr>
            <w:r>
              <w:rPr>
                <w:rFonts w:ascii="Arial" w:cs="Arial" w:eastAsia="Arial" w:hAnsi="Arial"/>
                <w:sz w:val="18"/>
                <w:szCs w:val="18"/>
                <w:color w:val="auto"/>
              </w:rPr>
              <w:t>i. Altisource Consolidated-Corporate (applicable to the Chief</w:t>
            </w:r>
          </w:p>
        </w:tc>
        <w:tc>
          <w:tcPr>
            <w:tcW w:w="1360" w:type="dxa"/>
            <w:vAlign w:val="bottom"/>
          </w:tcPr>
          <w:p>
            <w:pPr>
              <w:jc w:val="right"/>
              <w:spacing w:after="0"/>
              <w:rPr>
                <w:sz w:val="20"/>
                <w:szCs w:val="20"/>
                <w:color w:val="auto"/>
              </w:rPr>
            </w:pPr>
            <w:r>
              <w:rPr>
                <w:rFonts w:ascii="Arial" w:cs="Arial" w:eastAsia="Arial" w:hAnsi="Arial"/>
                <w:sz w:val="18"/>
                <w:szCs w:val="18"/>
                <w:color w:val="auto"/>
              </w:rPr>
              <w:t>i. $759.3 million</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i. $893.3 million</w:t>
            </w:r>
          </w:p>
        </w:tc>
        <w:tc>
          <w:tcPr>
            <w:tcW w:w="8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w w:val="98"/>
              </w:rPr>
              <w:t>i. $1,027.3 million</w:t>
            </w:r>
          </w:p>
        </w:tc>
        <w:tc>
          <w:tcPr>
            <w:tcW w:w="8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w w:val="99"/>
              </w:rPr>
              <w:t>i. $942.6 million</w:t>
            </w:r>
          </w:p>
        </w:tc>
      </w:tr>
      <w:tr>
        <w:trPr>
          <w:trHeight w:val="203"/>
        </w:trPr>
        <w:tc>
          <w:tcPr>
            <w:tcW w:w="562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Executive Officer ("CEO"), the Chief Administration and Risk Officer</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ind w:left="260"/>
              <w:spacing w:after="0" w:line="202" w:lineRule="exact"/>
              <w:rPr>
                <w:sz w:val="20"/>
                <w:szCs w:val="20"/>
                <w:color w:val="auto"/>
              </w:rPr>
            </w:pPr>
            <w:r>
              <w:rPr>
                <w:rFonts w:ascii="Arial" w:cs="Arial" w:eastAsia="Arial" w:hAnsi="Arial"/>
                <w:sz w:val="18"/>
                <w:szCs w:val="18"/>
                <w:color w:val="auto"/>
              </w:rPr>
              <w:t>Target</w:t>
            </w:r>
          </w:p>
        </w:tc>
      </w:tr>
      <w:tr>
        <w:trPr>
          <w:trHeight w:val="199"/>
        </w:trPr>
        <w:tc>
          <w:tcPr>
            <w:tcW w:w="562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("CARO") and the Chief Financial Officer ("CFO"))</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49"/>
        </w:trPr>
        <w:tc>
          <w:tcPr>
            <w:tcW w:w="5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ii. Servicer Solutions business (applicable to the President, Servicer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$484.8 million</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$570.3 million</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ii. $655.8 million</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ii. $658.2 million</w:t>
            </w:r>
          </w:p>
        </w:tc>
      </w:tr>
      <w:tr>
        <w:trPr>
          <w:trHeight w:val="199"/>
        </w:trPr>
        <w:tc>
          <w:tcPr>
            <w:tcW w:w="5620" w:type="dxa"/>
            <w:vAlign w:val="bottom"/>
            <w:gridSpan w:val="2"/>
            <w:shd w:val="clear" w:color="auto" w:fill="CCEEFF"/>
          </w:tcPr>
          <w:p>
            <w:pPr>
              <w:ind w:left="260"/>
              <w:spacing w:after="0" w:line="200" w:lineRule="exact"/>
              <w:rPr>
                <w:sz w:val="20"/>
                <w:szCs w:val="20"/>
                <w:color w:val="auto"/>
              </w:rPr>
            </w:pPr>
            <w:r>
              <w:rPr>
                <w:rFonts w:ascii="Arial" w:cs="Arial" w:eastAsia="Arial" w:hAnsi="Arial"/>
                <w:sz w:val="18"/>
                <w:szCs w:val="18"/>
                <w:color w:val="auto"/>
              </w:rPr>
              <w:t>Solutions and the General Counsel)</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Outstanding</w:t>
            </w:r>
          </w:p>
        </w:tc>
      </w:tr>
      <w:tr>
        <w:trPr>
          <w:trHeight w:val="44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iii. Real Estate Investor Solutions business (applicable to the</w:t>
            </w:r>
          </w:p>
        </w:tc>
        <w:tc>
          <w:tcPr>
            <w:tcW w:w="1360" w:type="dxa"/>
            <w:vAlign w:val="bottom"/>
          </w:tcPr>
          <w:p>
            <w:pPr>
              <w:jc w:val="right"/>
              <w:spacing w:after="0"/>
              <w:rPr>
                <w:sz w:val="20"/>
                <w:szCs w:val="20"/>
                <w:color w:val="auto"/>
              </w:rPr>
            </w:pPr>
            <w:r>
              <w:rPr>
                <w:rFonts w:ascii="Arial" w:cs="Arial" w:eastAsia="Arial" w:hAnsi="Arial"/>
                <w:sz w:val="18"/>
                <w:szCs w:val="18"/>
                <w:color w:val="auto"/>
                <w:w w:val="99"/>
              </w:rPr>
              <w:t>iii. $106.9 million</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9"/>
              </w:rPr>
              <w:t>iii. $125.7 million</w:t>
            </w:r>
          </w:p>
        </w:tc>
        <w:tc>
          <w:tcPr>
            <w:tcW w:w="8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iii. $144.6 million</w:t>
            </w:r>
          </w:p>
        </w:tc>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iii. $84.1 million</w:t>
            </w:r>
          </w:p>
        </w:tc>
      </w:tr>
      <w:tr>
        <w:trPr>
          <w:trHeight w:val="203"/>
        </w:trPr>
        <w:tc>
          <w:tcPr>
            <w:tcW w:w="56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General Counsel)</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ind w:left="260"/>
              <w:spacing w:after="0" w:line="202" w:lineRule="exact"/>
              <w:rPr>
                <w:sz w:val="20"/>
                <w:szCs w:val="20"/>
                <w:color w:val="auto"/>
              </w:rPr>
            </w:pPr>
            <w:r>
              <w:rPr>
                <w:rFonts w:ascii="Arial" w:cs="Arial" w:eastAsia="Arial" w:hAnsi="Arial"/>
                <w:sz w:val="18"/>
                <w:szCs w:val="18"/>
                <w:color w:val="auto"/>
              </w:rPr>
              <w:t>Below</w:t>
            </w:r>
          </w:p>
        </w:tc>
      </w:tr>
      <w:tr>
        <w:trPr>
          <w:trHeight w:val="199"/>
        </w:trPr>
        <w:tc>
          <w:tcPr>
            <w:tcW w:w="5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ind w:left="260"/>
              <w:spacing w:after="0" w:line="200" w:lineRule="exact"/>
              <w:rPr>
                <w:sz w:val="20"/>
                <w:szCs w:val="20"/>
                <w:color w:val="auto"/>
              </w:rPr>
            </w:pPr>
            <w:r>
              <w:rPr>
                <w:rFonts w:ascii="Arial" w:cs="Arial" w:eastAsia="Arial" w:hAnsi="Arial"/>
                <w:sz w:val="18"/>
                <w:szCs w:val="18"/>
                <w:color w:val="auto"/>
              </w:rPr>
              <w:t>Threshold</w:t>
            </w:r>
          </w:p>
        </w:tc>
      </w:tr>
      <w:tr>
        <w:trPr>
          <w:trHeight w:val="44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iv. Origination Solutions business (applicable to the General Counsel)</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iv. $46.5 million</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iv. $54.7 million</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iv. $62.9 million</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 $51.3 million</w:t>
            </w:r>
          </w:p>
        </w:tc>
      </w:tr>
      <w:tr>
        <w:trPr>
          <w:trHeight w:val="199"/>
        </w:trPr>
        <w:tc>
          <w:tcPr>
            <w:tcW w:w="5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Threshold</w:t>
            </w:r>
          </w:p>
        </w:tc>
      </w:tr>
      <w:tr>
        <w:trPr>
          <w:trHeight w:val="449"/>
        </w:trPr>
        <w:tc>
          <w:tcPr>
            <w:tcW w:w="5620" w:type="dxa"/>
            <w:vAlign w:val="bottom"/>
            <w:gridSpan w:val="2"/>
          </w:tcPr>
          <w:p>
            <w:pPr>
              <w:ind w:left="60"/>
              <w:spacing w:after="0"/>
              <w:rPr>
                <w:sz w:val="20"/>
                <w:szCs w:val="20"/>
                <w:color w:val="auto"/>
              </w:rPr>
            </w:pPr>
            <w:r>
              <w:rPr>
                <w:rFonts w:ascii="Arial" w:cs="Arial" w:eastAsia="Arial" w:hAnsi="Arial"/>
                <w:sz w:val="18"/>
                <w:szCs w:val="18"/>
                <w:color w:val="auto"/>
              </w:rPr>
              <w:t>v. Consumer Real Estate Solutions business (applicable to the</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v. $43.1 million</w:t>
            </w:r>
          </w:p>
        </w:tc>
        <w:tc>
          <w:tcPr>
            <w:tcW w:w="8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v. $50.7 million</w:t>
            </w:r>
          </w:p>
        </w:tc>
        <w:tc>
          <w:tcPr>
            <w:tcW w:w="80" w:type="dxa"/>
            <w:vAlign w:val="bottom"/>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v. $58.3 million</w:t>
            </w: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8"/>
                <w:szCs w:val="18"/>
                <w:color w:val="auto"/>
              </w:rPr>
              <w:t>v. $1.2 million</w:t>
            </w:r>
          </w:p>
        </w:tc>
      </w:tr>
      <w:tr>
        <w:trPr>
          <w:trHeight w:val="203"/>
        </w:trPr>
        <w:tc>
          <w:tcPr>
            <w:tcW w:w="56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General Counsel)</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ind w:left="260"/>
              <w:spacing w:after="0" w:line="202" w:lineRule="exact"/>
              <w:rPr>
                <w:sz w:val="20"/>
                <w:szCs w:val="20"/>
                <w:color w:val="auto"/>
              </w:rPr>
            </w:pPr>
            <w:r>
              <w:rPr>
                <w:rFonts w:ascii="Arial" w:cs="Arial" w:eastAsia="Arial" w:hAnsi="Arial"/>
                <w:sz w:val="18"/>
                <w:szCs w:val="18"/>
                <w:color w:val="auto"/>
              </w:rPr>
              <w:t>Below</w:t>
            </w:r>
          </w:p>
        </w:tc>
      </w:tr>
      <w:tr>
        <w:trPr>
          <w:trHeight w:val="199"/>
        </w:trPr>
        <w:tc>
          <w:tcPr>
            <w:tcW w:w="5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ind w:left="260"/>
              <w:spacing w:after="0" w:line="200" w:lineRule="exact"/>
              <w:rPr>
                <w:sz w:val="20"/>
                <w:szCs w:val="20"/>
                <w:color w:val="auto"/>
              </w:rPr>
            </w:pPr>
            <w:r>
              <w:rPr>
                <w:rFonts w:ascii="Arial" w:cs="Arial" w:eastAsia="Arial" w:hAnsi="Arial"/>
                <w:sz w:val="18"/>
                <w:szCs w:val="18"/>
                <w:color w:val="auto"/>
              </w:rPr>
              <w:t>Threshold</w:t>
            </w:r>
          </w:p>
        </w:tc>
      </w:tr>
      <w:tr>
        <w:trPr>
          <w:trHeight w:val="44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Achieve Income Targets:</w:t>
            </w:r>
            <w:r>
              <w:rPr>
                <w:rFonts w:ascii="Arial" w:cs="Arial" w:eastAsia="Arial" w:hAnsi="Arial"/>
                <w:sz w:val="29"/>
                <w:szCs w:val="29"/>
                <w:color w:val="auto"/>
                <w:vertAlign w:val="superscript"/>
              </w:rPr>
              <w:t>(1)</w:t>
            </w: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449"/>
        </w:trPr>
        <w:tc>
          <w:tcPr>
            <w:tcW w:w="5620" w:type="dxa"/>
            <w:vAlign w:val="bottom"/>
            <w:gridSpan w:val="2"/>
          </w:tcPr>
          <w:p>
            <w:pPr>
              <w:ind w:left="100"/>
              <w:spacing w:after="0"/>
              <w:rPr>
                <w:sz w:val="20"/>
                <w:szCs w:val="20"/>
                <w:color w:val="auto"/>
              </w:rPr>
            </w:pPr>
            <w:r>
              <w:rPr>
                <w:rFonts w:ascii="Arial" w:cs="Arial" w:eastAsia="Arial" w:hAnsi="Arial"/>
                <w:sz w:val="18"/>
                <w:szCs w:val="18"/>
                <w:color w:val="auto"/>
              </w:rPr>
              <w:t>i. Altisource Consolidated Corporate: Adjusted Diluted Earnings Per</w:t>
            </w:r>
          </w:p>
        </w:tc>
        <w:tc>
          <w:tcPr>
            <w:tcW w:w="1360" w:type="dxa"/>
            <w:vAlign w:val="bottom"/>
          </w:tcPr>
          <w:p>
            <w:pPr>
              <w:jc w:val="right"/>
              <w:ind w:right="572"/>
              <w:spacing w:after="0"/>
              <w:rPr>
                <w:sz w:val="20"/>
                <w:szCs w:val="20"/>
                <w:color w:val="auto"/>
              </w:rPr>
            </w:pPr>
            <w:r>
              <w:rPr>
                <w:rFonts w:ascii="Arial" w:cs="Arial" w:eastAsia="Arial" w:hAnsi="Arial"/>
                <w:sz w:val="18"/>
                <w:szCs w:val="18"/>
                <w:color w:val="auto"/>
              </w:rPr>
              <w:t>i. $5.10</w:t>
            </w:r>
          </w:p>
        </w:tc>
        <w:tc>
          <w:tcPr>
            <w:tcW w:w="80" w:type="dxa"/>
            <w:vAlign w:val="bottom"/>
          </w:tcPr>
          <w:p>
            <w:pPr>
              <w:spacing w:after="0"/>
              <w:rPr>
                <w:sz w:val="24"/>
                <w:szCs w:val="24"/>
                <w:color w:val="auto"/>
              </w:rPr>
            </w:pP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i. $6.00</w:t>
            </w:r>
          </w:p>
        </w:tc>
        <w:tc>
          <w:tcPr>
            <w:tcW w:w="8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i. $6.90</w:t>
            </w: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i. $4.59 Below</w:t>
            </w:r>
          </w:p>
        </w:tc>
      </w:tr>
      <w:tr>
        <w:trPr>
          <w:trHeight w:val="203"/>
        </w:trPr>
        <w:tc>
          <w:tcPr>
            <w:tcW w:w="56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Share ("Adjusted EPS") (applicable to the CEO, the CARO and the</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ind w:left="260"/>
              <w:spacing w:after="0" w:line="202" w:lineRule="exact"/>
              <w:rPr>
                <w:sz w:val="20"/>
                <w:szCs w:val="20"/>
                <w:color w:val="auto"/>
              </w:rPr>
            </w:pPr>
            <w:r>
              <w:rPr>
                <w:rFonts w:ascii="Arial" w:cs="Arial" w:eastAsia="Arial" w:hAnsi="Arial"/>
                <w:sz w:val="18"/>
                <w:szCs w:val="18"/>
                <w:color w:val="auto"/>
              </w:rPr>
              <w:t>Threshold</w:t>
            </w:r>
          </w:p>
        </w:tc>
      </w:tr>
      <w:tr>
        <w:trPr>
          <w:trHeight w:val="211"/>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CFO)</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35" w:lineRule="exact"/>
        <w:rPr>
          <w:sz w:val="20"/>
          <w:szCs w:val="20"/>
          <w:color w:val="auto"/>
        </w:rPr>
      </w:pPr>
    </w:p>
    <w:p>
      <w:pPr>
        <w:ind w:left="260" w:right="720" w:hanging="203"/>
        <w:spacing w:after="0" w:line="299" w:lineRule="auto"/>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Servicer Solutions business: Adjusted Pretax Income (applicable to the President, Servicer Solutions)</w:t>
      </w:r>
    </w:p>
    <w:p>
      <w:pPr>
        <w:spacing w:after="0" w:line="189" w:lineRule="exact"/>
        <w:rPr>
          <w:rFonts w:ascii="Arial" w:cs="Arial" w:eastAsia="Arial" w:hAnsi="Arial"/>
          <w:sz w:val="16"/>
          <w:szCs w:val="16"/>
          <w:color w:val="auto"/>
        </w:rPr>
      </w:pPr>
    </w:p>
    <w:p>
      <w:pPr>
        <w:ind w:left="260" w:hanging="242"/>
        <w:spacing w:after="0" w:line="180" w:lineRule="auto"/>
        <w:tabs>
          <w:tab w:leader="none" w:pos="260" w:val="left"/>
        </w:tabs>
        <w:numPr>
          <w:ilvl w:val="0"/>
          <w:numId w:val="35"/>
        </w:numPr>
        <w:rPr>
          <w:rFonts w:ascii="Arial" w:cs="Arial" w:eastAsia="Arial" w:hAnsi="Arial"/>
          <w:sz w:val="34"/>
          <w:szCs w:val="34"/>
          <w:color w:val="auto"/>
          <w:vertAlign w:val="superscript"/>
        </w:rPr>
      </w:pPr>
      <w:r>
        <w:rPr>
          <w:rFonts w:ascii="Arial" w:cs="Arial" w:eastAsia="Arial" w:hAnsi="Arial"/>
          <w:sz w:val="17"/>
          <w:szCs w:val="17"/>
          <w:color w:val="auto"/>
        </w:rPr>
        <w:t>Law Department: Expense Target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(applicable to the General Counsel)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0"/>
        <w:spacing w:after="0"/>
        <w:tabs>
          <w:tab w:leader="none" w:pos="4460" w:val="left"/>
        </w:tabs>
        <w:rPr>
          <w:sz w:val="20"/>
          <w:szCs w:val="20"/>
          <w:color w:val="auto"/>
        </w:rPr>
      </w:pPr>
      <w:r>
        <w:rPr>
          <w:rFonts w:ascii="Arial" w:cs="Arial" w:eastAsia="Arial" w:hAnsi="Arial"/>
          <w:sz w:val="18"/>
          <w:szCs w:val="18"/>
          <w:color w:val="auto"/>
        </w:rPr>
        <w:t>ii. $194.2 million  ii. $228.5 million  ii. $262.8 million</w:t>
      </w:r>
      <w:r>
        <w:rPr>
          <w:sz w:val="20"/>
          <w:szCs w:val="20"/>
          <w:color w:val="auto"/>
        </w:rPr>
        <w:tab/>
      </w:r>
      <w:r>
        <w:rPr>
          <w:rFonts w:ascii="Arial" w:cs="Arial" w:eastAsia="Arial" w:hAnsi="Arial"/>
          <w:sz w:val="16"/>
          <w:szCs w:val="16"/>
          <w:color w:val="auto"/>
        </w:rPr>
        <w:t>ii. $243.0 million</w:t>
      </w:r>
    </w:p>
    <w:p>
      <w:pPr>
        <w:ind w:left="4680"/>
        <w:spacing w:after="0"/>
        <w:rPr>
          <w:sz w:val="20"/>
          <w:szCs w:val="20"/>
          <w:color w:val="auto"/>
        </w:rPr>
      </w:pPr>
      <w:r>
        <w:rPr>
          <w:rFonts w:ascii="Arial" w:cs="Arial" w:eastAsia="Arial" w:hAnsi="Arial"/>
          <w:sz w:val="18"/>
          <w:szCs w:val="18"/>
          <w:color w:val="auto"/>
        </w:rPr>
        <w:t>Target</w:t>
      </w:r>
    </w:p>
    <w:p>
      <w:pPr>
        <w:spacing w:after="0" w:line="234" w:lineRule="exact"/>
        <w:rPr>
          <w:sz w:val="20"/>
          <w:szCs w:val="20"/>
          <w:color w:val="auto"/>
        </w:rPr>
      </w:pPr>
    </w:p>
    <w:p>
      <w:pPr>
        <w:spacing w:after="0"/>
        <w:tabs>
          <w:tab w:leader="none" w:pos="1400" w:val="left"/>
          <w:tab w:leader="none" w:pos="2840" w:val="left"/>
          <w:tab w:leader="none" w:pos="4420" w:val="left"/>
        </w:tabs>
        <w:rPr>
          <w:sz w:val="20"/>
          <w:szCs w:val="20"/>
          <w:color w:val="auto"/>
        </w:rPr>
      </w:pPr>
      <w:r>
        <w:rPr>
          <w:rFonts w:ascii="Arial" w:cs="Arial" w:eastAsia="Arial" w:hAnsi="Arial"/>
          <w:sz w:val="18"/>
          <w:szCs w:val="18"/>
          <w:color w:val="auto"/>
        </w:rPr>
        <w:t>iii. $9.9 million</w:t>
        <w:tab/>
        <w:t>iii. $8.6 million</w:t>
      </w:r>
      <w:r>
        <w:rPr>
          <w:sz w:val="20"/>
          <w:szCs w:val="20"/>
          <w:color w:val="auto"/>
        </w:rPr>
        <w:tab/>
      </w:r>
      <w:r>
        <w:rPr>
          <w:rFonts w:ascii="Arial" w:cs="Arial" w:eastAsia="Arial" w:hAnsi="Arial"/>
          <w:sz w:val="18"/>
          <w:szCs w:val="18"/>
          <w:color w:val="auto"/>
        </w:rPr>
        <w:t>iii. $7.3 million</w:t>
      </w:r>
      <w:r>
        <w:rPr>
          <w:sz w:val="20"/>
          <w:szCs w:val="20"/>
          <w:color w:val="auto"/>
        </w:rPr>
        <w:tab/>
      </w:r>
      <w:r>
        <w:rPr>
          <w:rFonts w:ascii="Arial" w:cs="Arial" w:eastAsia="Arial" w:hAnsi="Arial"/>
          <w:sz w:val="18"/>
          <w:szCs w:val="18"/>
          <w:color w:val="auto"/>
        </w:rPr>
        <w:t>iii. $6.3 million</w:t>
      </w:r>
    </w:p>
    <w:p>
      <w:pPr>
        <w:ind w:left="4680"/>
        <w:spacing w:after="0"/>
        <w:rPr>
          <w:sz w:val="20"/>
          <w:szCs w:val="20"/>
          <w:color w:val="auto"/>
        </w:rPr>
      </w:pPr>
      <w:r>
        <w:rPr>
          <w:rFonts w:ascii="Arial" w:cs="Arial" w:eastAsia="Arial" w:hAnsi="Arial"/>
          <w:sz w:val="18"/>
          <w:szCs w:val="18"/>
          <w:color w:val="auto"/>
        </w:rPr>
        <w:t>Outstanding</w:t>
      </w:r>
    </w:p>
    <w:p>
      <w:pPr>
        <w:spacing w:after="0" w:line="50" w:lineRule="exact"/>
        <w:rPr>
          <w:sz w:val="20"/>
          <w:szCs w:val="20"/>
          <w:color w:val="auto"/>
        </w:rPr>
      </w:pPr>
    </w:p>
    <w:p>
      <w:pPr>
        <w:sectPr>
          <w:pgSz w:w="11900" w:h="16838" w:orient="portrait"/>
          <w:cols w:equalWidth="0" w:num="2">
            <w:col w:w="5100" w:space="540"/>
            <w:col w:w="5780"/>
          </w:cols>
          <w:pgMar w:left="240" w:top="143" w:right="239" w:bottom="1440" w:gutter="0" w:footer="0" w:header="0"/>
          <w:type w:val="continuous"/>
        </w:sectPr>
      </w:pPr>
    </w:p>
    <w:tbl>
      <w:tblPr>
        <w:tblLayout w:type="fixed"/>
        <w:tblInd w:w="0" w:type="dxa"/>
        <w:tblCellMar>
          <w:top w:w="0" w:type="dxa"/>
          <w:left w:w="0" w:type="dxa"/>
          <w:bottom w:w="0" w:type="dxa"/>
          <w:right w:w="0" w:type="dxa"/>
        </w:tblCellMar>
      </w:tblPr>
      <w:tr>
        <w:trPr>
          <w:trHeight w:val="39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Successfully complete the key</w:t>
            </w:r>
          </w:p>
        </w:tc>
        <w:tc>
          <w:tcPr>
            <w:tcW w:w="40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6"/>
              </w:rPr>
              <w:t>See Strategic</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See Strategic</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r>
      <w:tr>
        <w:trPr>
          <w:trHeight w:val="24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Strategic Initiatives of the Company</w:t>
            </w:r>
          </w:p>
        </w:tc>
        <w:tc>
          <w:tcPr>
            <w:tcW w:w="40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7"/>
              </w:rPr>
              <w:t>Initiatives below</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r>
      <w:tr>
        <w:trPr>
          <w:trHeight w:val="108"/>
        </w:trPr>
        <w:tc>
          <w:tcPr>
            <w:tcW w:w="300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20" w:type="dxa"/>
            <w:vAlign w:val="bottom"/>
          </w:tcPr>
          <w:p>
            <w:pPr>
              <w:spacing w:after="0"/>
              <w:rPr>
                <w:sz w:val="9"/>
                <w:szCs w:val="9"/>
                <w:color w:val="auto"/>
              </w:rPr>
            </w:pPr>
          </w:p>
        </w:tc>
      </w:tr>
    </w:tbl>
    <w:p>
      <w:pPr>
        <w:spacing w:after="0" w:line="219" w:lineRule="exact"/>
        <w:rPr>
          <w:sz w:val="20"/>
          <w:szCs w:val="20"/>
          <w:color w:val="auto"/>
        </w:rPr>
      </w:pPr>
    </w:p>
    <w:p>
      <w:pPr>
        <w:ind w:left="540" w:right="140" w:hanging="532"/>
        <w:spacing w:after="0" w:line="183" w:lineRule="auto"/>
        <w:tabs>
          <w:tab w:leader="none" w:pos="54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The business segment goals are generally established such that the sum of all business goals is higher than the corresponding goal at the Altisource consolidated corporate level.</w:t>
      </w:r>
    </w:p>
    <w:p>
      <w:pPr>
        <w:spacing w:after="0" w:line="209" w:lineRule="exact"/>
        <w:rPr>
          <w:rFonts w:ascii="Arial" w:cs="Arial" w:eastAsia="Arial" w:hAnsi="Arial"/>
          <w:sz w:val="29"/>
          <w:szCs w:val="29"/>
          <w:color w:val="auto"/>
          <w:vertAlign w:val="superscript"/>
        </w:rPr>
      </w:pPr>
    </w:p>
    <w:p>
      <w:pPr>
        <w:ind w:left="540" w:right="700" w:hanging="532"/>
        <w:spacing w:after="0" w:line="183" w:lineRule="auto"/>
        <w:tabs>
          <w:tab w:leader="none" w:pos="54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These expenses exclude professional service fees that are recorded by the applicable business units for services provided to those business units.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132080</wp:posOffset>
            </wp:positionV>
            <wp:extent cx="276161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2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7"/>
              </w:rPr>
              <w:t>Levels of Achievement</w:t>
            </w: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8"/>
              </w:rPr>
              <w:t>Actual</w:t>
            </w: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gridSpan w:val="3"/>
            <w:vMerge w:val="continue"/>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Level of</w:t>
            </w:r>
          </w:p>
        </w:tc>
        <w:tc>
          <w:tcPr>
            <w:tcW w:w="0" w:type="dxa"/>
            <w:vAlign w:val="bottom"/>
          </w:tcPr>
          <w:p>
            <w:pPr>
              <w:spacing w:after="0"/>
              <w:rPr>
                <w:sz w:val="1"/>
                <w:szCs w:val="1"/>
                <w:color w:val="auto"/>
              </w:rPr>
            </w:pPr>
          </w:p>
        </w:tc>
      </w:tr>
      <w:tr>
        <w:trPr>
          <w:trHeight w:val="73"/>
        </w:trPr>
        <w:tc>
          <w:tcPr>
            <w:tcW w:w="3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338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b w:val="1"/>
                <w:bCs w:val="1"/>
                <w:color w:val="auto"/>
              </w:rPr>
              <w:t>Element</w:t>
            </w:r>
          </w:p>
        </w:tc>
        <w:tc>
          <w:tcPr>
            <w:tcW w:w="220" w:type="dxa"/>
            <w:vAlign w:val="bottom"/>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Threshold</w:t>
            </w:r>
          </w:p>
        </w:tc>
        <w:tc>
          <w:tcPr>
            <w:tcW w:w="200" w:type="dxa"/>
            <w:vAlign w:val="bottom"/>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Target</w:t>
            </w:r>
          </w:p>
        </w:tc>
        <w:tc>
          <w:tcPr>
            <w:tcW w:w="22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Outstanding</w:t>
            </w:r>
          </w:p>
        </w:tc>
        <w:tc>
          <w:tcPr>
            <w:tcW w:w="220" w:type="dxa"/>
            <w:vAlign w:val="bottom"/>
          </w:tcPr>
          <w:p>
            <w:pPr>
              <w:spacing w:after="0"/>
              <w:rPr>
                <w:sz w:val="22"/>
                <w:szCs w:val="22"/>
                <w:color w:val="auto"/>
              </w:rPr>
            </w:pPr>
          </w:p>
        </w:tc>
        <w:tc>
          <w:tcPr>
            <w:tcW w:w="1500" w:type="dxa"/>
            <w:vAlign w:val="bottom"/>
            <w:tcBorders>
              <w:bottom w:val="single" w:sz="8" w:color="auto"/>
            </w:tcBorders>
          </w:tcPr>
          <w:p>
            <w:pPr>
              <w:jc w:val="center"/>
              <w:spacing w:after="0" w:line="258" w:lineRule="exact"/>
              <w:rPr>
                <w:sz w:val="20"/>
                <w:szCs w:val="20"/>
                <w:color w:val="auto"/>
              </w:rPr>
            </w:pPr>
            <w:r>
              <w:rPr>
                <w:rFonts w:ascii="Arial" w:cs="Arial" w:eastAsia="Arial" w:hAnsi="Arial"/>
                <w:sz w:val="18"/>
                <w:szCs w:val="18"/>
                <w:b w:val="1"/>
                <w:bCs w:val="1"/>
                <w:color w:val="auto"/>
                <w:w w:val="91"/>
              </w:rPr>
              <w:t>Achievement</w:t>
            </w:r>
            <w:r>
              <w:rPr>
                <w:rFonts w:ascii="Arial" w:cs="Arial" w:eastAsia="Arial" w:hAnsi="Arial"/>
                <w:sz w:val="29"/>
                <w:szCs w:val="29"/>
                <w:b w:val="1"/>
                <w:bCs w:val="1"/>
                <w:color w:val="auto"/>
                <w:w w:val="91"/>
                <w:vertAlign w:val="superscript"/>
              </w:rPr>
              <w:t>(1),(2)</w:t>
            </w:r>
          </w:p>
        </w:tc>
        <w:tc>
          <w:tcPr>
            <w:tcW w:w="0" w:type="dxa"/>
            <w:vAlign w:val="bottom"/>
          </w:tcPr>
          <w:p>
            <w:pPr>
              <w:spacing w:after="0"/>
              <w:rPr>
                <w:sz w:val="1"/>
                <w:szCs w:val="1"/>
                <w:color w:val="auto"/>
              </w:rPr>
            </w:pPr>
          </w:p>
        </w:tc>
      </w:tr>
      <w:tr>
        <w:trPr>
          <w:trHeight w:val="199"/>
        </w:trPr>
        <w:tc>
          <w:tcPr>
            <w:tcW w:w="360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1. Support customer's operational</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Achieve predetermined</w:t>
            </w:r>
          </w:p>
        </w:tc>
        <w:tc>
          <w:tcPr>
            <w:tcW w:w="2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98"/>
              </w:rPr>
              <w:t>Achieve predetermined</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CEO—</w:t>
            </w:r>
          </w:p>
        </w:tc>
        <w:tc>
          <w:tcPr>
            <w:tcW w:w="0" w:type="dxa"/>
            <w:vAlign w:val="bottom"/>
          </w:tcPr>
          <w:p>
            <w:pPr>
              <w:spacing w:after="0"/>
              <w:rPr>
                <w:sz w:val="1"/>
                <w:szCs w:val="1"/>
                <w:color w:val="auto"/>
              </w:rPr>
            </w:pPr>
          </w:p>
        </w:tc>
      </w:tr>
      <w:tr>
        <w:trPr>
          <w:trHeight w:val="199"/>
        </w:trPr>
        <w:tc>
          <w:tcPr>
            <w:tcW w:w="3600" w:type="dxa"/>
            <w:vAlign w:val="bottom"/>
            <w:gridSpan w:val="3"/>
            <w:shd w:val="clear" w:color="auto" w:fill="CCEEFF"/>
          </w:tcPr>
          <w:p>
            <w:pPr>
              <w:ind w:left="180"/>
              <w:spacing w:after="0" w:line="200" w:lineRule="exact"/>
              <w:rPr>
                <w:sz w:val="20"/>
                <w:szCs w:val="20"/>
                <w:color w:val="auto"/>
              </w:rPr>
            </w:pPr>
            <w:r>
              <w:rPr>
                <w:rFonts w:ascii="Arial" w:cs="Arial" w:eastAsia="Arial" w:hAnsi="Arial"/>
                <w:sz w:val="18"/>
                <w:szCs w:val="18"/>
                <w:color w:val="auto"/>
              </w:rPr>
              <w:t>objectives</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96"/>
              </w:rPr>
              <w:t>target levels</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Outstanding</w:t>
            </w:r>
          </w:p>
        </w:tc>
        <w:tc>
          <w:tcPr>
            <w:tcW w:w="0" w:type="dxa"/>
            <w:vAlign w:val="bottom"/>
          </w:tcPr>
          <w:p>
            <w:pPr>
              <w:spacing w:after="0"/>
              <w:rPr>
                <w:sz w:val="1"/>
                <w:szCs w:val="1"/>
                <w:color w:val="auto"/>
              </w:rPr>
            </w:pPr>
          </w:p>
        </w:tc>
      </w:tr>
      <w:tr>
        <w:trPr>
          <w:trHeight w:val="422"/>
        </w:trPr>
        <w:tc>
          <w:tcPr>
            <w:tcW w:w="3600" w:type="dxa"/>
            <w:vAlign w:val="bottom"/>
            <w:gridSpan w:val="3"/>
          </w:tcPr>
          <w:p>
            <w:pPr>
              <w:spacing w:after="0"/>
              <w:rPr>
                <w:sz w:val="20"/>
                <w:szCs w:val="20"/>
                <w:color w:val="auto"/>
              </w:rPr>
            </w:pPr>
            <w:r>
              <w:rPr>
                <w:rFonts w:ascii="Arial" w:cs="Arial" w:eastAsia="Arial" w:hAnsi="Arial"/>
                <w:sz w:val="18"/>
                <w:szCs w:val="18"/>
                <w:color w:val="auto"/>
              </w:rPr>
              <w:t>2. Grow Servicer Solutions business</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Achieve predetermined</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CEO and CARO—</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00" w:type="dxa"/>
            <w:vAlign w:val="bottom"/>
          </w:tcPr>
          <w:p>
            <w:pPr>
              <w:spacing w:after="0"/>
              <w:rPr>
                <w:sz w:val="17"/>
                <w:szCs w:val="17"/>
                <w:color w:val="auto"/>
              </w:rPr>
            </w:pPr>
          </w:p>
        </w:tc>
        <w:tc>
          <w:tcPr>
            <w:tcW w:w="21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6"/>
              </w:rPr>
              <w:t>target levels</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at</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20" w:type="dxa"/>
            <w:vAlign w:val="bottom"/>
            <w:gridSpan w:val="2"/>
          </w:tcPr>
          <w:p>
            <w:pPr>
              <w:jc w:val="center"/>
              <w:ind w:left="136"/>
              <w:spacing w:after="0" w:line="243" w:lineRule="exact"/>
              <w:rPr>
                <w:sz w:val="20"/>
                <w:szCs w:val="20"/>
                <w:color w:val="auto"/>
              </w:rPr>
            </w:pPr>
            <w:r>
              <w:rPr>
                <w:rFonts w:ascii="Arial" w:cs="Arial" w:eastAsia="Arial" w:hAnsi="Arial"/>
                <w:sz w:val="17"/>
                <w:szCs w:val="17"/>
                <w:color w:val="auto"/>
                <w:w w:val="97"/>
              </w:rPr>
              <w:t>25.0%</w:t>
            </w:r>
            <w:r>
              <w:rPr>
                <w:rFonts w:ascii="Arial" w:cs="Arial" w:eastAsia="Arial" w:hAnsi="Arial"/>
                <w:sz w:val="28"/>
                <w:szCs w:val="28"/>
                <w:color w:val="auto"/>
                <w:w w:val="97"/>
                <w:vertAlign w:val="superscript"/>
              </w:rPr>
              <w:t>(3)</w:t>
            </w:r>
            <w:r>
              <w:rPr>
                <w:rFonts w:ascii="Arial" w:cs="Arial" w:eastAsia="Arial" w:hAnsi="Arial"/>
                <w:sz w:val="17"/>
                <w:szCs w:val="17"/>
                <w:color w:val="auto"/>
                <w:w w:val="97"/>
              </w:rPr>
              <w:t>,</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 Servicer</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Solutions—</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at</w:t>
            </w:r>
          </w:p>
        </w:tc>
        <w:tc>
          <w:tcPr>
            <w:tcW w:w="0" w:type="dxa"/>
            <w:vAlign w:val="bottom"/>
          </w:tcPr>
          <w:p>
            <w:pPr>
              <w:spacing w:after="0"/>
              <w:rPr>
                <w:sz w:val="1"/>
                <w:szCs w:val="1"/>
                <w:color w:val="auto"/>
              </w:rPr>
            </w:pPr>
          </w:p>
        </w:tc>
      </w:tr>
      <w:tr>
        <w:trPr>
          <w:trHeight w:val="240"/>
        </w:trPr>
        <w:tc>
          <w:tcPr>
            <w:tcW w:w="3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20" w:type="dxa"/>
            <w:vAlign w:val="bottom"/>
            <w:gridSpan w:val="2"/>
          </w:tcPr>
          <w:p>
            <w:pPr>
              <w:jc w:val="center"/>
              <w:ind w:left="136"/>
              <w:spacing w:after="0" w:line="240" w:lineRule="exact"/>
              <w:rPr>
                <w:sz w:val="20"/>
                <w:szCs w:val="20"/>
                <w:color w:val="auto"/>
              </w:rPr>
            </w:pPr>
            <w:r>
              <w:rPr>
                <w:rFonts w:ascii="Arial" w:cs="Arial" w:eastAsia="Arial" w:hAnsi="Arial"/>
                <w:sz w:val="17"/>
                <w:szCs w:val="17"/>
                <w:color w:val="auto"/>
                <w:w w:val="93"/>
              </w:rPr>
              <w:t>22.5%</w:t>
            </w:r>
            <w:r>
              <w:rPr>
                <w:rFonts w:ascii="Arial" w:cs="Arial" w:eastAsia="Arial" w:hAnsi="Arial"/>
                <w:sz w:val="27"/>
                <w:szCs w:val="27"/>
                <w:color w:val="auto"/>
                <w:w w:val="93"/>
                <w:vertAlign w:val="superscript"/>
              </w:rPr>
              <w:t>(4)</w:t>
            </w:r>
          </w:p>
        </w:tc>
        <w:tc>
          <w:tcPr>
            <w:tcW w:w="0" w:type="dxa"/>
            <w:vAlign w:val="bottom"/>
          </w:tcPr>
          <w:p>
            <w:pPr>
              <w:spacing w:after="0"/>
              <w:rPr>
                <w:sz w:val="1"/>
                <w:szCs w:val="1"/>
                <w:color w:val="auto"/>
              </w:rPr>
            </w:pPr>
          </w:p>
        </w:tc>
      </w:tr>
      <w:tr>
        <w:trPr>
          <w:trHeight w:val="422"/>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 Grow Origination Solutions business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0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8"/>
              </w:rPr>
              <w:t>Achieve predetermined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CEO and CARO—</w:t>
            </w: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96"/>
              </w:rPr>
              <w:t>target levels</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Below Threshold</w:t>
            </w:r>
          </w:p>
        </w:tc>
        <w:tc>
          <w:tcPr>
            <w:tcW w:w="0" w:type="dxa"/>
            <w:vAlign w:val="bottom"/>
          </w:tcPr>
          <w:p>
            <w:pPr>
              <w:spacing w:after="0"/>
              <w:rPr>
                <w:sz w:val="1"/>
                <w:szCs w:val="1"/>
                <w:color w:val="auto"/>
              </w:rPr>
            </w:pPr>
          </w:p>
        </w:tc>
      </w:tr>
      <w:tr>
        <w:trPr>
          <w:trHeight w:val="422"/>
        </w:trPr>
        <w:tc>
          <w:tcPr>
            <w:tcW w:w="3600" w:type="dxa"/>
            <w:vAlign w:val="bottom"/>
            <w:gridSpan w:val="3"/>
          </w:tcPr>
          <w:p>
            <w:pPr>
              <w:spacing w:after="0"/>
              <w:rPr>
                <w:sz w:val="20"/>
                <w:szCs w:val="20"/>
                <w:color w:val="auto"/>
              </w:rPr>
            </w:pPr>
            <w:r>
              <w:rPr>
                <w:rFonts w:ascii="Arial" w:cs="Arial" w:eastAsia="Arial" w:hAnsi="Arial"/>
                <w:sz w:val="18"/>
                <w:szCs w:val="18"/>
                <w:color w:val="auto"/>
              </w:rPr>
              <w:t>4. Grow Consumer Real Estate Solutions</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Achieve predetermined</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CEO and CARO—</w:t>
            </w:r>
          </w:p>
        </w:tc>
        <w:tc>
          <w:tcPr>
            <w:tcW w:w="0" w:type="dxa"/>
            <w:vAlign w:val="bottom"/>
          </w:tcPr>
          <w:p>
            <w:pPr>
              <w:spacing w:after="0"/>
              <w:rPr>
                <w:sz w:val="1"/>
                <w:szCs w:val="1"/>
                <w:color w:val="auto"/>
              </w:rPr>
            </w:pPr>
          </w:p>
        </w:tc>
      </w:tr>
      <w:tr>
        <w:trPr>
          <w:trHeight w:val="199"/>
        </w:trPr>
        <w:tc>
          <w:tcPr>
            <w:tcW w:w="3600" w:type="dxa"/>
            <w:vAlign w:val="bottom"/>
            <w:gridSpan w:val="3"/>
          </w:tcPr>
          <w:p>
            <w:pPr>
              <w:ind w:left="180"/>
              <w:spacing w:after="0" w:line="200" w:lineRule="exact"/>
              <w:rPr>
                <w:sz w:val="20"/>
                <w:szCs w:val="20"/>
                <w:color w:val="auto"/>
              </w:rPr>
            </w:pPr>
            <w:r>
              <w:rPr>
                <w:rFonts w:ascii="Arial" w:cs="Arial" w:eastAsia="Arial" w:hAnsi="Arial"/>
                <w:sz w:val="18"/>
                <w:szCs w:val="18"/>
                <w:color w:val="auto"/>
              </w:rPr>
              <w:t>business</w:t>
            </w:r>
          </w:p>
        </w:tc>
        <w:tc>
          <w:tcPr>
            <w:tcW w:w="1900" w:type="dxa"/>
            <w:vAlign w:val="bottom"/>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00" w:type="dxa"/>
            <w:vAlign w:val="bottom"/>
          </w:tcPr>
          <w:p>
            <w:pPr>
              <w:spacing w:after="0"/>
              <w:rPr>
                <w:sz w:val="17"/>
                <w:szCs w:val="17"/>
                <w:color w:val="auto"/>
              </w:rPr>
            </w:pPr>
          </w:p>
        </w:tc>
        <w:tc>
          <w:tcPr>
            <w:tcW w:w="212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96"/>
              </w:rPr>
              <w:t>target levels</w:t>
            </w:r>
          </w:p>
        </w:tc>
        <w:tc>
          <w:tcPr>
            <w:tcW w:w="1880" w:type="dxa"/>
            <w:vAlign w:val="bottom"/>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500" w:type="dxa"/>
            <w:vAlign w:val="bottom"/>
          </w:tcPr>
          <w:p>
            <w:pPr>
              <w:jc w:val="center"/>
              <w:spacing w:after="0" w:line="200" w:lineRule="exact"/>
              <w:rPr>
                <w:sz w:val="20"/>
                <w:szCs w:val="20"/>
                <w:color w:val="auto"/>
              </w:rPr>
            </w:pPr>
            <w:r>
              <w:rPr>
                <w:rFonts w:ascii="Arial" w:cs="Arial" w:eastAsia="Arial" w:hAnsi="Arial"/>
                <w:sz w:val="18"/>
                <w:szCs w:val="18"/>
                <w:color w:val="auto"/>
                <w:w w:val="97"/>
              </w:rPr>
              <w:t>Threshold</w:t>
            </w:r>
          </w:p>
        </w:tc>
        <w:tc>
          <w:tcPr>
            <w:tcW w:w="0" w:type="dxa"/>
            <w:vAlign w:val="bottom"/>
          </w:tcPr>
          <w:p>
            <w:pPr>
              <w:spacing w:after="0"/>
              <w:rPr>
                <w:sz w:val="1"/>
                <w:szCs w:val="1"/>
                <w:color w:val="auto"/>
              </w:rPr>
            </w:pPr>
          </w:p>
        </w:tc>
      </w:tr>
      <w:tr>
        <w:trPr>
          <w:trHeight w:val="422"/>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 Grow Real Estate Investor Solutions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0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8"/>
              </w:rPr>
              <w:t>Achieve predetermined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CEO and CARO—</w:t>
            </w:r>
          </w:p>
        </w:tc>
        <w:tc>
          <w:tcPr>
            <w:tcW w:w="0" w:type="dxa"/>
            <w:vAlign w:val="bottom"/>
          </w:tcPr>
          <w:p>
            <w:pPr>
              <w:spacing w:after="0"/>
              <w:rPr>
                <w:sz w:val="1"/>
                <w:szCs w:val="1"/>
                <w:color w:val="auto"/>
              </w:rPr>
            </w:pPr>
          </w:p>
        </w:tc>
      </w:tr>
      <w:tr>
        <w:trPr>
          <w:trHeight w:val="199"/>
        </w:trPr>
        <w:tc>
          <w:tcPr>
            <w:tcW w:w="3600" w:type="dxa"/>
            <w:vAlign w:val="bottom"/>
            <w:gridSpan w:val="3"/>
            <w:shd w:val="clear" w:color="auto" w:fill="CCEEFF"/>
          </w:tcPr>
          <w:p>
            <w:pPr>
              <w:ind w:left="180"/>
              <w:spacing w:after="0" w:line="200" w:lineRule="exact"/>
              <w:rPr>
                <w:sz w:val="20"/>
                <w:szCs w:val="20"/>
                <w:color w:val="auto"/>
              </w:rPr>
            </w:pPr>
            <w:r>
              <w:rPr>
                <w:rFonts w:ascii="Arial" w:cs="Arial" w:eastAsia="Arial" w:hAnsi="Arial"/>
                <w:sz w:val="18"/>
                <w:szCs w:val="18"/>
                <w:color w:val="auto"/>
              </w:rPr>
              <w:t>business</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96"/>
              </w:rPr>
              <w:t>target levels</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Below Threshold</w:t>
            </w:r>
          </w:p>
        </w:tc>
        <w:tc>
          <w:tcPr>
            <w:tcW w:w="0" w:type="dxa"/>
            <w:vAlign w:val="bottom"/>
          </w:tcPr>
          <w:p>
            <w:pPr>
              <w:spacing w:after="0"/>
              <w:rPr>
                <w:sz w:val="1"/>
                <w:szCs w:val="1"/>
                <w:color w:val="auto"/>
              </w:rPr>
            </w:pPr>
          </w:p>
        </w:tc>
      </w:tr>
      <w:tr>
        <w:trPr>
          <w:trHeight w:val="422"/>
        </w:trPr>
        <w:tc>
          <w:tcPr>
            <w:tcW w:w="3600" w:type="dxa"/>
            <w:vAlign w:val="bottom"/>
            <w:gridSpan w:val="3"/>
          </w:tcPr>
          <w:p>
            <w:pPr>
              <w:spacing w:after="0"/>
              <w:rPr>
                <w:sz w:val="20"/>
                <w:szCs w:val="20"/>
                <w:color w:val="auto"/>
              </w:rPr>
            </w:pPr>
            <w:r>
              <w:rPr>
                <w:rFonts w:ascii="Arial" w:cs="Arial" w:eastAsia="Arial" w:hAnsi="Arial"/>
                <w:sz w:val="18"/>
                <w:szCs w:val="18"/>
                <w:color w:val="auto"/>
              </w:rPr>
              <w:t>6. Continue to enhance our Compliance</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Achieve predetermined</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CEO, CARO, CFO</w:t>
            </w:r>
          </w:p>
        </w:tc>
        <w:tc>
          <w:tcPr>
            <w:tcW w:w="0" w:type="dxa"/>
            <w:vAlign w:val="bottom"/>
          </w:tcPr>
          <w:p>
            <w:pPr>
              <w:spacing w:after="0"/>
              <w:rPr>
                <w:sz w:val="1"/>
                <w:szCs w:val="1"/>
                <w:color w:val="auto"/>
              </w:rPr>
            </w:pPr>
          </w:p>
        </w:tc>
      </w:tr>
      <w:tr>
        <w:trPr>
          <w:trHeight w:val="203"/>
        </w:trPr>
        <w:tc>
          <w:tcPr>
            <w:tcW w:w="36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Management System</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00" w:type="dxa"/>
            <w:vAlign w:val="bottom"/>
          </w:tcPr>
          <w:p>
            <w:pPr>
              <w:spacing w:after="0"/>
              <w:rPr>
                <w:sz w:val="17"/>
                <w:szCs w:val="17"/>
                <w:color w:val="auto"/>
              </w:rPr>
            </w:pPr>
          </w:p>
        </w:tc>
        <w:tc>
          <w:tcPr>
            <w:tcW w:w="21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6"/>
              </w:rPr>
              <w:t>target levels</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6"/>
              </w:rPr>
              <w:t>Outstanding</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 Servicer</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Solutions—</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6"/>
              </w:rPr>
              <w:t>Outstanding</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center"/>
              <w:spacing w:after="0" w:line="243" w:lineRule="exact"/>
              <w:rPr>
                <w:sz w:val="20"/>
                <w:szCs w:val="20"/>
                <w:color w:val="auto"/>
              </w:rPr>
            </w:pPr>
            <w:r>
              <w:rPr>
                <w:rFonts w:ascii="Arial" w:cs="Arial" w:eastAsia="Arial" w:hAnsi="Arial"/>
                <w:sz w:val="17"/>
                <w:szCs w:val="17"/>
                <w:color w:val="auto"/>
                <w:w w:val="97"/>
              </w:rPr>
              <w:t>at 133.3%</w:t>
            </w:r>
            <w:r>
              <w:rPr>
                <w:rFonts w:ascii="Arial" w:cs="Arial" w:eastAsia="Arial" w:hAnsi="Arial"/>
                <w:sz w:val="28"/>
                <w:szCs w:val="28"/>
                <w:color w:val="auto"/>
                <w:w w:val="97"/>
                <w:vertAlign w:val="superscript"/>
              </w:rPr>
              <w:t>(5)</w:t>
            </w:r>
            <w:r>
              <w:rPr>
                <w:rFonts w:ascii="Arial" w:cs="Arial" w:eastAsia="Arial" w:hAnsi="Arial"/>
                <w:sz w:val="17"/>
                <w:szCs w:val="17"/>
                <w:color w:val="auto"/>
                <w:w w:val="97"/>
              </w:rPr>
              <w:t>,</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6"/>
              </w:rPr>
              <w:t>General</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Counsel—</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at</w:t>
            </w:r>
          </w:p>
        </w:tc>
        <w:tc>
          <w:tcPr>
            <w:tcW w:w="0" w:type="dxa"/>
            <w:vAlign w:val="bottom"/>
          </w:tcPr>
          <w:p>
            <w:pPr>
              <w:spacing w:after="0"/>
              <w:rPr>
                <w:sz w:val="1"/>
                <w:szCs w:val="1"/>
                <w:color w:val="auto"/>
              </w:rPr>
            </w:pPr>
          </w:p>
        </w:tc>
      </w:tr>
      <w:tr>
        <w:trPr>
          <w:trHeight w:val="240"/>
        </w:trPr>
        <w:tc>
          <w:tcPr>
            <w:tcW w:w="3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20" w:type="dxa"/>
            <w:vAlign w:val="bottom"/>
            <w:gridSpan w:val="2"/>
          </w:tcPr>
          <w:p>
            <w:pPr>
              <w:jc w:val="center"/>
              <w:ind w:left="136"/>
              <w:spacing w:after="0" w:line="240" w:lineRule="exact"/>
              <w:rPr>
                <w:sz w:val="20"/>
                <w:szCs w:val="20"/>
                <w:color w:val="auto"/>
              </w:rPr>
            </w:pPr>
            <w:r>
              <w:rPr>
                <w:rFonts w:ascii="Arial" w:cs="Arial" w:eastAsia="Arial" w:hAnsi="Arial"/>
                <w:sz w:val="17"/>
                <w:szCs w:val="17"/>
                <w:color w:val="auto"/>
                <w:w w:val="97"/>
              </w:rPr>
              <w:t>125.0%</w:t>
            </w:r>
            <w:r>
              <w:rPr>
                <w:rFonts w:ascii="Arial" w:cs="Arial" w:eastAsia="Arial" w:hAnsi="Arial"/>
                <w:sz w:val="27"/>
                <w:szCs w:val="27"/>
                <w:color w:val="auto"/>
                <w:w w:val="97"/>
                <w:vertAlign w:val="superscript"/>
              </w:rPr>
              <w:t>(6)</w:t>
            </w:r>
          </w:p>
        </w:tc>
        <w:tc>
          <w:tcPr>
            <w:tcW w:w="0" w:type="dxa"/>
            <w:vAlign w:val="bottom"/>
          </w:tcPr>
          <w:p>
            <w:pPr>
              <w:spacing w:after="0"/>
              <w:rPr>
                <w:sz w:val="1"/>
                <w:szCs w:val="1"/>
                <w:color w:val="auto"/>
              </w:rPr>
            </w:pPr>
          </w:p>
        </w:tc>
      </w:tr>
      <w:tr>
        <w:trPr>
          <w:trHeight w:val="422"/>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 Achieve operations and cost savings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0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8"/>
              </w:rPr>
              <w:t>Achieve predetermined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CARO—</w:t>
            </w: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initiatives</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6"/>
              </w:rPr>
              <w:t>target levels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Outstanding, CFO</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—Outstanding</w:t>
            </w:r>
          </w:p>
        </w:tc>
        <w:tc>
          <w:tcPr>
            <w:tcW w:w="0" w:type="dxa"/>
            <w:vAlign w:val="bottom"/>
          </w:tcPr>
          <w:p>
            <w:pPr>
              <w:spacing w:after="0"/>
              <w:rPr>
                <w:sz w:val="1"/>
                <w:szCs w:val="1"/>
                <w:color w:val="auto"/>
              </w:rPr>
            </w:pPr>
          </w:p>
        </w:tc>
      </w:tr>
      <w:tr>
        <w:trPr>
          <w:trHeight w:val="244"/>
        </w:trPr>
        <w:tc>
          <w:tcPr>
            <w:tcW w:w="3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line="243" w:lineRule="exact"/>
              <w:rPr>
                <w:sz w:val="20"/>
                <w:szCs w:val="20"/>
                <w:color w:val="auto"/>
              </w:rPr>
            </w:pPr>
            <w:r>
              <w:rPr>
                <w:rFonts w:ascii="Arial" w:cs="Arial" w:eastAsia="Arial" w:hAnsi="Arial"/>
                <w:sz w:val="17"/>
                <w:szCs w:val="17"/>
                <w:color w:val="auto"/>
                <w:w w:val="97"/>
              </w:rPr>
              <w:t>at 125.0%</w:t>
            </w:r>
            <w:r>
              <w:rPr>
                <w:rFonts w:ascii="Arial" w:cs="Arial" w:eastAsia="Arial" w:hAnsi="Arial"/>
                <w:sz w:val="28"/>
                <w:szCs w:val="28"/>
                <w:color w:val="auto"/>
                <w:w w:val="97"/>
                <w:vertAlign w:val="superscript"/>
              </w:rPr>
              <w:t>(7)</w:t>
            </w:r>
            <w:r>
              <w:rPr>
                <w:rFonts w:ascii="Arial" w:cs="Arial" w:eastAsia="Arial" w:hAnsi="Arial"/>
                <w:sz w:val="17"/>
                <w:szCs w:val="17"/>
                <w:color w:val="auto"/>
                <w:w w:val="97"/>
              </w:rPr>
              <w:t>,</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General</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Counsel—</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Outstanding</w:t>
            </w:r>
          </w:p>
        </w:tc>
        <w:tc>
          <w:tcPr>
            <w:tcW w:w="0" w:type="dxa"/>
            <w:vAlign w:val="bottom"/>
          </w:tcPr>
          <w:p>
            <w:pPr>
              <w:spacing w:after="0"/>
              <w:rPr>
                <w:sz w:val="1"/>
                <w:szCs w:val="1"/>
                <w:color w:val="auto"/>
              </w:rPr>
            </w:pPr>
          </w:p>
        </w:tc>
      </w:tr>
      <w:tr>
        <w:trPr>
          <w:trHeight w:val="240"/>
        </w:trPr>
        <w:tc>
          <w:tcPr>
            <w:tcW w:w="3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line="240" w:lineRule="exact"/>
              <w:rPr>
                <w:sz w:val="20"/>
                <w:szCs w:val="20"/>
                <w:color w:val="auto"/>
              </w:rPr>
            </w:pPr>
            <w:r>
              <w:rPr>
                <w:rFonts w:ascii="Arial" w:cs="Arial" w:eastAsia="Arial" w:hAnsi="Arial"/>
                <w:sz w:val="17"/>
                <w:szCs w:val="17"/>
                <w:color w:val="auto"/>
                <w:w w:val="99"/>
              </w:rPr>
              <w:t>at 148.6%</w:t>
            </w:r>
            <w:r>
              <w:rPr>
                <w:rFonts w:ascii="Arial" w:cs="Arial" w:eastAsia="Arial" w:hAnsi="Arial"/>
                <w:sz w:val="27"/>
                <w:szCs w:val="27"/>
                <w:color w:val="auto"/>
                <w:w w:val="99"/>
                <w:vertAlign w:val="superscript"/>
              </w:rPr>
              <w:t>(8)</w:t>
            </w:r>
          </w:p>
        </w:tc>
        <w:tc>
          <w:tcPr>
            <w:tcW w:w="0" w:type="dxa"/>
            <w:vAlign w:val="bottom"/>
          </w:tcPr>
          <w:p>
            <w:pPr>
              <w:spacing w:after="0"/>
              <w:rPr>
                <w:sz w:val="1"/>
                <w:szCs w:val="1"/>
                <w:color w:val="auto"/>
              </w:rPr>
            </w:pPr>
          </w:p>
        </w:tc>
      </w:tr>
      <w:tr>
        <w:trPr>
          <w:trHeight w:val="108"/>
        </w:trPr>
        <w:tc>
          <w:tcPr>
            <w:tcW w:w="30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right="360" w:hanging="532"/>
        <w:spacing w:after="0" w:line="183" w:lineRule="auto"/>
        <w:tabs>
          <w:tab w:leader="none" w:pos="5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Unless otherwise noted, achieving the below threshold level of achievement will not earn the executive any incentive compensation, the threshold level of achievement will earn the executive fifty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0"/>
        <w:spacing w:after="0" w:line="238" w:lineRule="auto"/>
        <w:rPr>
          <w:sz w:val="20"/>
          <w:szCs w:val="20"/>
          <w:color w:val="auto"/>
        </w:rPr>
      </w:pPr>
      <w:r>
        <w:rPr>
          <w:rFonts w:ascii="Arial" w:cs="Arial" w:eastAsia="Arial" w:hAnsi="Arial"/>
          <w:sz w:val="18"/>
          <w:szCs w:val="18"/>
          <w:color w:val="auto"/>
        </w:rPr>
        <w:t>percent (50%) of the target incentive compensation tied to such goal; the target level of achievement will earn the executive one hundred percent (100%) of the target incentive compensation tied to such goal and the outstanding level of achievement will earn the executive one hundred fifty (150%) of the target incentive compensation tied to such goal.</w:t>
      </w:r>
    </w:p>
    <w:p>
      <w:pPr>
        <w:spacing w:after="0" w:line="208" w:lineRule="exact"/>
        <w:rPr>
          <w:sz w:val="20"/>
          <w:szCs w:val="20"/>
          <w:color w:val="auto"/>
        </w:rPr>
      </w:pPr>
    </w:p>
    <w:p>
      <w:pPr>
        <w:ind w:left="540" w:right="560" w:hanging="532"/>
        <w:spacing w:after="0" w:line="183" w:lineRule="auto"/>
        <w:tabs>
          <w:tab w:leader="none" w:pos="5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The CEO's achievement against the strategic initiatives is determined based on the weighted average achievement of the initiatives applicable to him.</w:t>
      </w:r>
    </w:p>
    <w:p>
      <w:pPr>
        <w:spacing w:after="0" w:line="86"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Comprises two goals, one of which was achieved at Threshold and the other at Below Threshold.</w:t>
      </w:r>
    </w:p>
    <w:p>
      <w:pPr>
        <w:spacing w:after="0" w:line="194" w:lineRule="exact"/>
        <w:rPr>
          <w:rFonts w:ascii="Arial" w:cs="Arial" w:eastAsia="Arial" w:hAnsi="Arial"/>
          <w:sz w:val="29"/>
          <w:szCs w:val="29"/>
          <w:color w:val="auto"/>
          <w:vertAlign w:val="superscript"/>
        </w:rPr>
      </w:pPr>
    </w:p>
    <w:p>
      <w:pPr>
        <w:ind w:left="540" w:right="60" w:hanging="532"/>
        <w:spacing w:after="0" w:line="197" w:lineRule="auto"/>
        <w:tabs>
          <w:tab w:leader="none" w:pos="5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Comprises four goals. Goal one, with a weight of thirty percent (30%), was achieved at Below Threshold; goal two, with a weight of twenty percent (20%), was achieved at seventy-five percent (75%); goal three, with a weight of ten percent (10%), was achieved at seventy-five percent (75%); and goal four, with a weight of forty percent (40%), was achieved at Below Threshold.</w:t>
      </w:r>
    </w:p>
    <w:p>
      <w:pPr>
        <w:spacing w:after="0" w:line="196" w:lineRule="exact"/>
        <w:rPr>
          <w:rFonts w:ascii="Arial" w:cs="Arial" w:eastAsia="Arial" w:hAnsi="Arial"/>
          <w:sz w:val="29"/>
          <w:szCs w:val="29"/>
          <w:color w:val="auto"/>
          <w:vertAlign w:val="superscript"/>
        </w:rPr>
      </w:pPr>
    </w:p>
    <w:p>
      <w:pPr>
        <w:ind w:left="540" w:right="80" w:hanging="532"/>
        <w:spacing w:after="0" w:line="183" w:lineRule="auto"/>
        <w:tabs>
          <w:tab w:leader="none" w:pos="5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Comprises two goals. Goal one, with a weight of sixty-six point seven percent (66.7%), was achieved at Outstanding; and goal two, with a weight of thirty-three point three percent (33.3%), was achieved at Target.</w:t>
      </w:r>
    </w:p>
    <w:p>
      <w:pPr>
        <w:spacing w:after="0" w:line="86"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The goal was achieved at one hundred and twenty-five percent (125%).</w:t>
      </w:r>
    </w:p>
    <w:p>
      <w:pPr>
        <w:spacing w:after="0" w:line="150" w:lineRule="exact"/>
        <w:rPr>
          <w:rFonts w:ascii="Arial" w:cs="Arial" w:eastAsia="Arial" w:hAnsi="Arial"/>
          <w:sz w:val="29"/>
          <w:szCs w:val="29"/>
          <w:color w:val="auto"/>
          <w:vertAlign w:val="superscript"/>
        </w:rPr>
      </w:pPr>
    </w:p>
    <w:p>
      <w:pPr>
        <w:ind w:left="540" w:hanging="532"/>
        <w:spacing w:after="0" w:line="183" w:lineRule="auto"/>
        <w:tabs>
          <w:tab w:leader="none" w:pos="5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Comprises two goals, one of which was achieved at Outstanding and the other at Target.</w:t>
      </w:r>
    </w:p>
    <w:p>
      <w:pPr>
        <w:spacing w:after="0" w:line="195" w:lineRule="exact"/>
        <w:rPr>
          <w:rFonts w:ascii="Arial" w:cs="Arial" w:eastAsia="Arial" w:hAnsi="Arial"/>
          <w:sz w:val="29"/>
          <w:szCs w:val="29"/>
          <w:color w:val="auto"/>
          <w:vertAlign w:val="superscript"/>
        </w:rPr>
      </w:pPr>
    </w:p>
    <w:p>
      <w:pPr>
        <w:ind w:left="540" w:right="60" w:hanging="532"/>
        <w:spacing w:after="0" w:line="191" w:lineRule="auto"/>
        <w:tabs>
          <w:tab w:leader="none" w:pos="54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Comprises six goals. Goals one through five, with a total weight of eighty-five point seven percent (85.7%), were achieved at Outstanding; and goal six, with a weight of fourteen point three percent (14.3%), was achieved at one hundred and forty percent (140.0%).</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132080</wp:posOffset>
            </wp:positionV>
            <wp:extent cx="276161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2016 personal scorecards for our Chief Executive Officer and other Named Executive Officers and their corresponding levels of achievement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4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Levels of Achievement</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67"/>
        </w:trPr>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2016 Scorecard</w:t>
            </w:r>
          </w:p>
        </w:tc>
        <w:tc>
          <w:tcPr>
            <w:tcW w:w="116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gridSpan w:val="3"/>
            <w:vMerge w:val="continue"/>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Level of</w:t>
            </w:r>
          </w:p>
        </w:tc>
        <w:tc>
          <w:tcPr>
            <w:tcW w:w="0" w:type="dxa"/>
            <w:vAlign w:val="bottom"/>
          </w:tcPr>
          <w:p>
            <w:pPr>
              <w:spacing w:after="0"/>
              <w:rPr>
                <w:sz w:val="1"/>
                <w:szCs w:val="1"/>
                <w:color w:val="auto"/>
              </w:rPr>
            </w:pPr>
          </w:p>
        </w:tc>
      </w:tr>
      <w:tr>
        <w:trPr>
          <w:trHeight w:val="75"/>
        </w:trPr>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5"/>
                <w:szCs w:val="15"/>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Elements</w:t>
            </w:r>
          </w:p>
        </w:tc>
        <w:tc>
          <w:tcPr>
            <w:tcW w:w="9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9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9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William B. Shepro</w:t>
            </w:r>
          </w:p>
        </w:tc>
        <w:tc>
          <w:tcPr>
            <w:tcW w:w="6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Achieve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$759.3 million</w:t>
            </w:r>
          </w:p>
        </w:tc>
        <w:tc>
          <w:tcPr>
            <w:tcW w:w="94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$893.3 million</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$1,027.3 million</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$942.6 million</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Altisource</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Consolidated</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Revenue Target</w:t>
            </w: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35.0%</w:t>
            </w: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Achieve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$5.10</w:t>
            </w:r>
          </w:p>
        </w:tc>
        <w:tc>
          <w:tcPr>
            <w:tcW w:w="2080" w:type="dxa"/>
            <w:vAlign w:val="bottom"/>
            <w:gridSpan w:val="2"/>
            <w:shd w:val="clear" w:color="auto" w:fill="CCEEFF"/>
          </w:tcPr>
          <w:p>
            <w:pPr>
              <w:jc w:val="center"/>
              <w:ind w:left="888"/>
              <w:spacing w:after="0"/>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$6.90</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$4.59 Below</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EPS</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Target</w:t>
            </w: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Successfully</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Weighted</w:t>
            </w:r>
          </w:p>
        </w:tc>
        <w:tc>
          <w:tcPr>
            <w:tcW w:w="94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Weighted</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Weighted Average</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complete the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Average of 60.0%</w:t>
            </w:r>
          </w:p>
        </w:tc>
        <w:tc>
          <w:tcPr>
            <w:tcW w:w="9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Average of 80.0%</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of 100.0% or more</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Average of 84.4%</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key strategic</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to 79.9% for</w:t>
            </w:r>
          </w:p>
        </w:tc>
        <w:tc>
          <w:tcPr>
            <w:tcW w:w="9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to 99.9% for</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for Strategic</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initiatives of the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Strategic</w:t>
            </w:r>
          </w:p>
        </w:tc>
        <w:tc>
          <w:tcPr>
            <w:tcW w:w="9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Strategic</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9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rPr>
              <w:t>Initiatives</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1,2,3,4,5,6</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1,2,3,4,5,6</w:t>
            </w:r>
          </w:p>
        </w:tc>
        <w:tc>
          <w:tcPr>
            <w:tcW w:w="2080" w:type="dxa"/>
            <w:vAlign w:val="bottom"/>
            <w:gridSpan w:val="2"/>
            <w:shd w:val="clear" w:color="auto" w:fill="CCEEFF"/>
          </w:tcPr>
          <w:p>
            <w:pPr>
              <w:jc w:val="center"/>
              <w:ind w:left="888"/>
              <w:spacing w:after="0" w:line="157" w:lineRule="exact"/>
              <w:rPr>
                <w:sz w:val="20"/>
                <w:szCs w:val="20"/>
                <w:color w:val="auto"/>
              </w:rPr>
            </w:pPr>
            <w:r>
              <w:rPr>
                <w:rFonts w:ascii="Arial" w:cs="Arial" w:eastAsia="Arial" w:hAnsi="Arial"/>
                <w:sz w:val="14"/>
                <w:szCs w:val="14"/>
                <w:color w:val="auto"/>
              </w:rPr>
              <w:t>1,2,3,4,5,6</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20" w:type="dxa"/>
            <w:vAlign w:val="bottom"/>
          </w:tcPr>
          <w:p>
            <w:pPr>
              <w:spacing w:after="0"/>
              <w:rPr>
                <w:sz w:val="20"/>
                <w:szCs w:val="20"/>
                <w:color w:val="auto"/>
              </w:rPr>
            </w:pPr>
            <w:r>
              <w:rPr>
                <w:rFonts w:ascii="Arial" w:cs="Arial" w:eastAsia="Arial" w:hAnsi="Arial"/>
                <w:sz w:val="14"/>
                <w:szCs w:val="14"/>
                <w:color w:val="auto"/>
              </w:rPr>
              <w:t>Kevin J. Wilcox</w:t>
            </w:r>
          </w:p>
        </w:tc>
        <w:tc>
          <w:tcPr>
            <w:tcW w:w="620" w:type="dxa"/>
            <w:vAlign w:val="bottom"/>
            <w:gridSpan w:val="2"/>
          </w:tcPr>
          <w:p>
            <w:pPr>
              <w:jc w:val="center"/>
              <w:ind w:left="14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Achieve</w:t>
            </w:r>
          </w:p>
        </w:tc>
        <w:tc>
          <w:tcPr>
            <w:tcW w:w="1160" w:type="dxa"/>
            <w:vAlign w:val="bottom"/>
          </w:tcPr>
          <w:p>
            <w:pPr>
              <w:jc w:val="center"/>
              <w:spacing w:after="0"/>
              <w:rPr>
                <w:sz w:val="20"/>
                <w:szCs w:val="20"/>
                <w:color w:val="auto"/>
              </w:rPr>
            </w:pPr>
            <w:r>
              <w:rPr>
                <w:rFonts w:ascii="Arial" w:cs="Arial" w:eastAsia="Arial" w:hAnsi="Arial"/>
                <w:sz w:val="14"/>
                <w:szCs w:val="14"/>
                <w:color w:val="auto"/>
              </w:rPr>
              <w:t>$759.3 million</w:t>
            </w:r>
          </w:p>
        </w:tc>
        <w:tc>
          <w:tcPr>
            <w:tcW w:w="940" w:type="dxa"/>
            <w:vAlign w:val="bottom"/>
          </w:tcPr>
          <w:p>
            <w:pPr>
              <w:spacing w:after="0"/>
              <w:rPr>
                <w:sz w:val="14"/>
                <w:szCs w:val="14"/>
                <w:color w:val="auto"/>
              </w:rPr>
            </w:pPr>
          </w:p>
        </w:tc>
        <w:tc>
          <w:tcPr>
            <w:tcW w:w="2100" w:type="dxa"/>
            <w:vAlign w:val="bottom"/>
            <w:gridSpan w:val="2"/>
          </w:tcPr>
          <w:p>
            <w:pPr>
              <w:jc w:val="center"/>
              <w:ind w:right="960"/>
              <w:spacing w:after="0"/>
              <w:rPr>
                <w:sz w:val="20"/>
                <w:szCs w:val="20"/>
                <w:color w:val="auto"/>
              </w:rPr>
            </w:pPr>
            <w:r>
              <w:rPr>
                <w:rFonts w:ascii="Arial" w:cs="Arial" w:eastAsia="Arial" w:hAnsi="Arial"/>
                <w:sz w:val="14"/>
                <w:szCs w:val="14"/>
                <w:color w:val="auto"/>
              </w:rPr>
              <w:t>$893.3 million</w:t>
            </w:r>
          </w:p>
        </w:tc>
        <w:tc>
          <w:tcPr>
            <w:tcW w:w="1200" w:type="dxa"/>
            <w:vAlign w:val="bottom"/>
          </w:tcPr>
          <w:p>
            <w:pPr>
              <w:jc w:val="center"/>
              <w:spacing w:after="0"/>
              <w:rPr>
                <w:sz w:val="20"/>
                <w:szCs w:val="20"/>
                <w:color w:val="auto"/>
              </w:rPr>
            </w:pPr>
            <w:r>
              <w:rPr>
                <w:rFonts w:ascii="Arial" w:cs="Arial" w:eastAsia="Arial" w:hAnsi="Arial"/>
                <w:sz w:val="14"/>
                <w:szCs w:val="14"/>
                <w:color w:val="auto"/>
              </w:rPr>
              <w:t>$1,027.3 million</w:t>
            </w: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$942.6 million</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Altisource</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Consolidated</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Service</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Revenue Target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220" w:type="dxa"/>
            <w:vAlign w:val="bottom"/>
          </w:tcPr>
          <w:p>
            <w:pPr>
              <w:spacing w:after="0"/>
              <w:rPr>
                <w:sz w:val="24"/>
                <w:szCs w:val="24"/>
                <w:color w:val="auto"/>
              </w:rPr>
            </w:pPr>
          </w:p>
        </w:tc>
        <w:tc>
          <w:tcPr>
            <w:tcW w:w="620" w:type="dxa"/>
            <w:vAlign w:val="bottom"/>
            <w:gridSpan w:val="2"/>
          </w:tcPr>
          <w:p>
            <w:pPr>
              <w:jc w:val="center"/>
              <w:ind w:left="148"/>
              <w:spacing w:after="0"/>
              <w:rPr>
                <w:sz w:val="20"/>
                <w:szCs w:val="20"/>
                <w:color w:val="auto"/>
              </w:rPr>
            </w:pPr>
            <w:r>
              <w:rPr>
                <w:rFonts w:ascii="Arial" w:cs="Arial" w:eastAsia="Arial" w:hAnsi="Arial"/>
                <w:sz w:val="14"/>
                <w:szCs w:val="14"/>
                <w:color w:val="auto"/>
              </w:rPr>
              <w:t>35.0%</w:t>
            </w:r>
          </w:p>
        </w:tc>
        <w:tc>
          <w:tcPr>
            <w:tcW w:w="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Achieve</w:t>
            </w:r>
          </w:p>
        </w:tc>
        <w:tc>
          <w:tcPr>
            <w:tcW w:w="1160" w:type="dxa"/>
            <w:vAlign w:val="bottom"/>
          </w:tcPr>
          <w:p>
            <w:pPr>
              <w:jc w:val="center"/>
              <w:spacing w:after="0"/>
              <w:rPr>
                <w:sz w:val="20"/>
                <w:szCs w:val="20"/>
                <w:color w:val="auto"/>
              </w:rPr>
            </w:pPr>
            <w:r>
              <w:rPr>
                <w:rFonts w:ascii="Arial" w:cs="Arial" w:eastAsia="Arial" w:hAnsi="Arial"/>
                <w:sz w:val="14"/>
                <w:szCs w:val="14"/>
                <w:color w:val="auto"/>
              </w:rPr>
              <w:t>$5.10</w:t>
            </w:r>
          </w:p>
        </w:tc>
        <w:tc>
          <w:tcPr>
            <w:tcW w:w="2080" w:type="dxa"/>
            <w:vAlign w:val="bottom"/>
            <w:gridSpan w:val="2"/>
          </w:tcPr>
          <w:p>
            <w:pPr>
              <w:jc w:val="center"/>
              <w:ind w:left="888"/>
              <w:spacing w:after="0"/>
              <w:rPr>
                <w:sz w:val="20"/>
                <w:szCs w:val="20"/>
                <w:color w:val="auto"/>
              </w:rPr>
            </w:pPr>
            <w:r>
              <w:rPr>
                <w:rFonts w:ascii="Arial" w:cs="Arial" w:eastAsia="Arial" w:hAnsi="Arial"/>
                <w:sz w:val="14"/>
                <w:szCs w:val="14"/>
                <w:color w:val="auto"/>
              </w:rPr>
              <w:t>$6.00</w:t>
            </w:r>
          </w:p>
        </w:tc>
        <w:tc>
          <w:tcPr>
            <w:tcW w:w="9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$6.90</w:t>
            </w:r>
          </w:p>
        </w:tc>
        <w:tc>
          <w:tcPr>
            <w:tcW w:w="9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$4.59 Below</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Adjusted EPS</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Target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220" w:type="dxa"/>
            <w:vAlign w:val="bottom"/>
          </w:tcPr>
          <w:p>
            <w:pPr>
              <w:spacing w:after="0"/>
              <w:rPr>
                <w:sz w:val="24"/>
                <w:szCs w:val="24"/>
                <w:color w:val="auto"/>
              </w:rPr>
            </w:pPr>
          </w:p>
        </w:tc>
        <w:tc>
          <w:tcPr>
            <w:tcW w:w="620" w:type="dxa"/>
            <w:vAlign w:val="bottom"/>
            <w:gridSpan w:val="2"/>
          </w:tcPr>
          <w:p>
            <w:pPr>
              <w:jc w:val="center"/>
              <w:ind w:left="148"/>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Successfully</w:t>
            </w:r>
          </w:p>
        </w:tc>
        <w:tc>
          <w:tcPr>
            <w:tcW w:w="116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940" w:type="dxa"/>
            <w:vAlign w:val="bottom"/>
          </w:tcPr>
          <w:p>
            <w:pPr>
              <w:spacing w:after="0"/>
              <w:rPr>
                <w:sz w:val="24"/>
                <w:szCs w:val="24"/>
                <w:color w:val="auto"/>
              </w:rPr>
            </w:pPr>
          </w:p>
        </w:tc>
        <w:tc>
          <w:tcPr>
            <w:tcW w:w="2100" w:type="dxa"/>
            <w:vAlign w:val="bottom"/>
            <w:gridSpan w:val="2"/>
          </w:tcPr>
          <w:p>
            <w:pPr>
              <w:jc w:val="center"/>
              <w:ind w:right="960"/>
              <w:spacing w:after="0"/>
              <w:rPr>
                <w:sz w:val="20"/>
                <w:szCs w:val="20"/>
                <w:color w:val="auto"/>
              </w:rPr>
            </w:pPr>
            <w:r>
              <w:rPr>
                <w:rFonts w:ascii="Arial" w:cs="Arial" w:eastAsia="Arial" w:hAnsi="Arial"/>
                <w:sz w:val="14"/>
                <w:szCs w:val="14"/>
                <w:color w:val="auto"/>
              </w:rPr>
              <w:t>See Strategic</w:t>
            </w:r>
          </w:p>
        </w:tc>
        <w:tc>
          <w:tcPr>
            <w:tcW w:w="120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2100" w:type="dxa"/>
            <w:vAlign w:val="bottom"/>
            <w:gridSpan w:val="2"/>
          </w:tcPr>
          <w:p>
            <w:pPr>
              <w:jc w:val="center"/>
              <w:ind w:left="888"/>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complete the</w:t>
            </w:r>
          </w:p>
        </w:tc>
        <w:tc>
          <w:tcPr>
            <w:tcW w:w="1160" w:type="dxa"/>
            <w:vAlign w:val="bottom"/>
          </w:tcPr>
          <w:p>
            <w:pPr>
              <w:jc w:val="center"/>
              <w:spacing w:after="0"/>
              <w:rPr>
                <w:sz w:val="20"/>
                <w:szCs w:val="20"/>
                <w:color w:val="auto"/>
              </w:rPr>
            </w:pPr>
            <w:r>
              <w:rPr>
                <w:rFonts w:ascii="Arial" w:cs="Arial" w:eastAsia="Arial" w:hAnsi="Arial"/>
                <w:sz w:val="14"/>
                <w:szCs w:val="14"/>
                <w:color w:val="auto"/>
              </w:rPr>
              <w:t>Initiatives</w:t>
            </w:r>
          </w:p>
        </w:tc>
        <w:tc>
          <w:tcPr>
            <w:tcW w:w="940" w:type="dxa"/>
            <w:vAlign w:val="bottom"/>
          </w:tcPr>
          <w:p>
            <w:pPr>
              <w:spacing w:after="0"/>
              <w:rPr>
                <w:sz w:val="14"/>
                <w:szCs w:val="14"/>
                <w:color w:val="auto"/>
              </w:rPr>
            </w:pPr>
          </w:p>
        </w:tc>
        <w:tc>
          <w:tcPr>
            <w:tcW w:w="2100" w:type="dxa"/>
            <w:vAlign w:val="bottom"/>
            <w:gridSpan w:val="2"/>
          </w:tcPr>
          <w:p>
            <w:pPr>
              <w:jc w:val="center"/>
              <w:ind w:right="940"/>
              <w:spacing w:after="0"/>
              <w:rPr>
                <w:sz w:val="20"/>
                <w:szCs w:val="20"/>
                <w:color w:val="auto"/>
              </w:rPr>
            </w:pPr>
            <w:r>
              <w:rPr>
                <w:rFonts w:ascii="Arial" w:cs="Arial" w:eastAsia="Arial" w:hAnsi="Arial"/>
                <w:sz w:val="14"/>
                <w:szCs w:val="14"/>
                <w:color w:val="auto"/>
              </w:rPr>
              <w:t>Initiatives</w:t>
            </w:r>
          </w:p>
        </w:tc>
        <w:tc>
          <w:tcPr>
            <w:tcW w:w="1200" w:type="dxa"/>
            <w:vAlign w:val="bottom"/>
          </w:tcPr>
          <w:p>
            <w:pPr>
              <w:jc w:val="center"/>
              <w:spacing w:after="0"/>
              <w:rPr>
                <w:sz w:val="20"/>
                <w:szCs w:val="20"/>
                <w:color w:val="auto"/>
              </w:rPr>
            </w:pPr>
            <w:r>
              <w:rPr>
                <w:rFonts w:ascii="Arial" w:cs="Arial" w:eastAsia="Arial" w:hAnsi="Arial"/>
                <w:sz w:val="14"/>
                <w:szCs w:val="14"/>
                <w:color w:val="auto"/>
              </w:rPr>
              <w:t>Initiatives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key strategic</w:t>
            </w:r>
          </w:p>
        </w:tc>
        <w:tc>
          <w:tcPr>
            <w:tcW w:w="1160" w:type="dxa"/>
            <w:vAlign w:val="bottom"/>
          </w:tcPr>
          <w:p>
            <w:pPr>
              <w:jc w:val="center"/>
              <w:spacing w:after="0"/>
              <w:rPr>
                <w:sz w:val="20"/>
                <w:szCs w:val="20"/>
                <w:color w:val="auto"/>
              </w:rPr>
            </w:pPr>
            <w:r>
              <w:rPr>
                <w:rFonts w:ascii="Arial" w:cs="Arial" w:eastAsia="Arial" w:hAnsi="Arial"/>
                <w:sz w:val="14"/>
                <w:szCs w:val="14"/>
                <w:color w:val="auto"/>
              </w:rPr>
              <w:t>2,3,4,5,6,7</w:t>
            </w:r>
          </w:p>
        </w:tc>
        <w:tc>
          <w:tcPr>
            <w:tcW w:w="2080" w:type="dxa"/>
            <w:vAlign w:val="bottom"/>
            <w:gridSpan w:val="2"/>
          </w:tcPr>
          <w:p>
            <w:pPr>
              <w:jc w:val="center"/>
              <w:ind w:left="888"/>
              <w:spacing w:after="0"/>
              <w:rPr>
                <w:sz w:val="20"/>
                <w:szCs w:val="20"/>
                <w:color w:val="auto"/>
              </w:rPr>
            </w:pPr>
            <w:r>
              <w:rPr>
                <w:rFonts w:ascii="Arial" w:cs="Arial" w:eastAsia="Arial" w:hAnsi="Arial"/>
                <w:sz w:val="14"/>
                <w:szCs w:val="14"/>
                <w:color w:val="auto"/>
              </w:rPr>
              <w:t>2,3,4,5,6,7</w:t>
            </w:r>
          </w:p>
        </w:tc>
        <w:tc>
          <w:tcPr>
            <w:tcW w:w="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2,3,4,5,6,7</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initiatives of the</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2"/>
          </w:tcPr>
          <w:p>
            <w:pPr>
              <w:spacing w:after="0" w:line="157" w:lineRule="exact"/>
              <w:rPr>
                <w:sz w:val="20"/>
                <w:szCs w:val="20"/>
                <w:color w:val="auto"/>
              </w:rPr>
            </w:pPr>
            <w:r>
              <w:rPr>
                <w:rFonts w:ascii="Arial" w:cs="Arial" w:eastAsia="Arial" w:hAnsi="Arial"/>
                <w:sz w:val="14"/>
                <w:szCs w:val="14"/>
                <w:color w:val="auto"/>
              </w:rPr>
              <w:t>Company</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Michelle D.</w:t>
            </w:r>
          </w:p>
        </w:tc>
        <w:tc>
          <w:tcPr>
            <w:tcW w:w="6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Achieve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$759.3 million</w:t>
            </w:r>
          </w:p>
        </w:tc>
        <w:tc>
          <w:tcPr>
            <w:tcW w:w="9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$893.3 million</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$1,027.3 million</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$942.6 million</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Esterman</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Altisource</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Consolidated</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Revenue Target</w:t>
            </w: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Achieve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$5.10</w:t>
            </w:r>
          </w:p>
        </w:tc>
        <w:tc>
          <w:tcPr>
            <w:tcW w:w="2080" w:type="dxa"/>
            <w:vAlign w:val="bottom"/>
            <w:gridSpan w:val="2"/>
            <w:shd w:val="clear" w:color="auto" w:fill="CCEEFF"/>
          </w:tcPr>
          <w:p>
            <w:pPr>
              <w:jc w:val="center"/>
              <w:ind w:left="888"/>
              <w:spacing w:after="0"/>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$6.90</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$4.59 Below</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EPS</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Target</w:t>
            </w: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Successfully</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94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See Strategic</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2100" w:type="dxa"/>
            <w:vAlign w:val="bottom"/>
            <w:gridSpan w:val="2"/>
            <w:shd w:val="clear" w:color="auto" w:fill="CCEEFF"/>
          </w:tcPr>
          <w:p>
            <w:pPr>
              <w:jc w:val="center"/>
              <w:ind w:left="888"/>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complete the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 6,7</w:t>
            </w:r>
          </w:p>
        </w:tc>
        <w:tc>
          <w:tcPr>
            <w:tcW w:w="9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rPr>
              <w:t>Initiatives 6,7</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 6,7</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key strategic</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initiatives of the</w:t>
            </w: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Company</w:t>
            </w: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tcPr>
          <w:p>
            <w:pPr>
              <w:spacing w:after="0"/>
              <w:rPr>
                <w:sz w:val="20"/>
                <w:szCs w:val="20"/>
                <w:color w:val="auto"/>
              </w:rPr>
            </w:pPr>
            <w:r>
              <w:rPr>
                <w:rFonts w:ascii="Arial" w:cs="Arial" w:eastAsia="Arial" w:hAnsi="Arial"/>
                <w:sz w:val="14"/>
                <w:szCs w:val="14"/>
                <w:color w:val="auto"/>
              </w:rPr>
              <w:t>Joseph A. Davila</w:t>
            </w:r>
          </w:p>
        </w:tc>
        <w:tc>
          <w:tcPr>
            <w:tcW w:w="620" w:type="dxa"/>
            <w:vAlign w:val="bottom"/>
            <w:gridSpan w:val="2"/>
          </w:tcPr>
          <w:p>
            <w:pPr>
              <w:jc w:val="center"/>
              <w:ind w:left="148"/>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Achieve Service</w:t>
            </w:r>
          </w:p>
        </w:tc>
        <w:tc>
          <w:tcPr>
            <w:tcW w:w="1160" w:type="dxa"/>
            <w:vAlign w:val="bottom"/>
          </w:tcPr>
          <w:p>
            <w:pPr>
              <w:jc w:val="center"/>
              <w:spacing w:after="0"/>
              <w:rPr>
                <w:sz w:val="20"/>
                <w:szCs w:val="20"/>
                <w:color w:val="auto"/>
              </w:rPr>
            </w:pPr>
            <w:r>
              <w:rPr>
                <w:rFonts w:ascii="Arial" w:cs="Arial" w:eastAsia="Arial" w:hAnsi="Arial"/>
                <w:sz w:val="14"/>
                <w:szCs w:val="14"/>
                <w:color w:val="auto"/>
              </w:rPr>
              <w:t>$484.8 million</w:t>
            </w:r>
          </w:p>
        </w:tc>
        <w:tc>
          <w:tcPr>
            <w:tcW w:w="940" w:type="dxa"/>
            <w:vAlign w:val="bottom"/>
          </w:tcPr>
          <w:p>
            <w:pPr>
              <w:spacing w:after="0"/>
              <w:rPr>
                <w:sz w:val="24"/>
                <w:szCs w:val="24"/>
                <w:color w:val="auto"/>
              </w:rPr>
            </w:pPr>
          </w:p>
        </w:tc>
        <w:tc>
          <w:tcPr>
            <w:tcW w:w="2100" w:type="dxa"/>
            <w:vAlign w:val="bottom"/>
            <w:gridSpan w:val="2"/>
          </w:tcPr>
          <w:p>
            <w:pPr>
              <w:jc w:val="center"/>
              <w:ind w:right="960"/>
              <w:spacing w:after="0"/>
              <w:rPr>
                <w:sz w:val="20"/>
                <w:szCs w:val="20"/>
                <w:color w:val="auto"/>
              </w:rPr>
            </w:pPr>
            <w:r>
              <w:rPr>
                <w:rFonts w:ascii="Arial" w:cs="Arial" w:eastAsia="Arial" w:hAnsi="Arial"/>
                <w:sz w:val="14"/>
                <w:szCs w:val="14"/>
                <w:color w:val="auto"/>
              </w:rPr>
              <w:t>$570.3 million</w:t>
            </w:r>
          </w:p>
        </w:tc>
        <w:tc>
          <w:tcPr>
            <w:tcW w:w="1200" w:type="dxa"/>
            <w:vAlign w:val="bottom"/>
          </w:tcPr>
          <w:p>
            <w:pPr>
              <w:jc w:val="center"/>
              <w:spacing w:after="0"/>
              <w:rPr>
                <w:sz w:val="20"/>
                <w:szCs w:val="20"/>
                <w:color w:val="auto"/>
              </w:rPr>
            </w:pPr>
            <w:r>
              <w:rPr>
                <w:rFonts w:ascii="Arial" w:cs="Arial" w:eastAsia="Arial" w:hAnsi="Arial"/>
                <w:sz w:val="14"/>
                <w:szCs w:val="14"/>
                <w:color w:val="auto"/>
              </w:rPr>
              <w:t>$655.8 million</w:t>
            </w:r>
          </w:p>
        </w:tc>
        <w:tc>
          <w:tcPr>
            <w:tcW w:w="9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$658.2 million</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Revenue Target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for Servicer</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Solutions</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business</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220" w:type="dxa"/>
            <w:vAlign w:val="bottom"/>
          </w:tcPr>
          <w:p>
            <w:pPr>
              <w:spacing w:after="0"/>
              <w:rPr>
                <w:sz w:val="24"/>
                <w:szCs w:val="24"/>
                <w:color w:val="auto"/>
              </w:rPr>
            </w:pPr>
          </w:p>
        </w:tc>
        <w:tc>
          <w:tcPr>
            <w:tcW w:w="620" w:type="dxa"/>
            <w:vAlign w:val="bottom"/>
            <w:gridSpan w:val="2"/>
          </w:tcPr>
          <w:p>
            <w:pPr>
              <w:jc w:val="center"/>
              <w:ind w:left="148"/>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Achieve</w:t>
            </w:r>
          </w:p>
        </w:tc>
        <w:tc>
          <w:tcPr>
            <w:tcW w:w="1160" w:type="dxa"/>
            <w:vAlign w:val="bottom"/>
          </w:tcPr>
          <w:p>
            <w:pPr>
              <w:jc w:val="center"/>
              <w:spacing w:after="0"/>
              <w:rPr>
                <w:sz w:val="20"/>
                <w:szCs w:val="20"/>
                <w:color w:val="auto"/>
              </w:rPr>
            </w:pPr>
            <w:r>
              <w:rPr>
                <w:rFonts w:ascii="Arial" w:cs="Arial" w:eastAsia="Arial" w:hAnsi="Arial"/>
                <w:sz w:val="14"/>
                <w:szCs w:val="14"/>
                <w:color w:val="auto"/>
              </w:rPr>
              <w:t>$194.2 million</w:t>
            </w:r>
          </w:p>
        </w:tc>
        <w:tc>
          <w:tcPr>
            <w:tcW w:w="940" w:type="dxa"/>
            <w:vAlign w:val="bottom"/>
          </w:tcPr>
          <w:p>
            <w:pPr>
              <w:spacing w:after="0"/>
              <w:rPr>
                <w:sz w:val="24"/>
                <w:szCs w:val="24"/>
                <w:color w:val="auto"/>
              </w:rPr>
            </w:pPr>
          </w:p>
        </w:tc>
        <w:tc>
          <w:tcPr>
            <w:tcW w:w="2100" w:type="dxa"/>
            <w:vAlign w:val="bottom"/>
            <w:gridSpan w:val="2"/>
          </w:tcPr>
          <w:p>
            <w:pPr>
              <w:jc w:val="center"/>
              <w:ind w:right="960"/>
              <w:spacing w:after="0"/>
              <w:rPr>
                <w:sz w:val="20"/>
                <w:szCs w:val="20"/>
                <w:color w:val="auto"/>
              </w:rPr>
            </w:pPr>
            <w:r>
              <w:rPr>
                <w:rFonts w:ascii="Arial" w:cs="Arial" w:eastAsia="Arial" w:hAnsi="Arial"/>
                <w:sz w:val="14"/>
                <w:szCs w:val="14"/>
                <w:color w:val="auto"/>
              </w:rPr>
              <w:t>$228.5 million</w:t>
            </w:r>
          </w:p>
        </w:tc>
        <w:tc>
          <w:tcPr>
            <w:tcW w:w="1200" w:type="dxa"/>
            <w:vAlign w:val="bottom"/>
          </w:tcPr>
          <w:p>
            <w:pPr>
              <w:jc w:val="center"/>
              <w:spacing w:after="0"/>
              <w:rPr>
                <w:sz w:val="20"/>
                <w:szCs w:val="20"/>
                <w:color w:val="auto"/>
              </w:rPr>
            </w:pPr>
            <w:r>
              <w:rPr>
                <w:rFonts w:ascii="Arial" w:cs="Arial" w:eastAsia="Arial" w:hAnsi="Arial"/>
                <w:sz w:val="14"/>
                <w:szCs w:val="14"/>
                <w:color w:val="auto"/>
              </w:rPr>
              <w:t>$262.8 million</w:t>
            </w:r>
          </w:p>
        </w:tc>
        <w:tc>
          <w:tcPr>
            <w:tcW w:w="9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$243.0 million</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Adjusted Pretax</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Income Target</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for Servicer</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Solutions</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business</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220" w:type="dxa"/>
            <w:vAlign w:val="bottom"/>
          </w:tcPr>
          <w:p>
            <w:pPr>
              <w:spacing w:after="0"/>
              <w:rPr>
                <w:sz w:val="24"/>
                <w:szCs w:val="24"/>
                <w:color w:val="auto"/>
              </w:rPr>
            </w:pPr>
          </w:p>
        </w:tc>
        <w:tc>
          <w:tcPr>
            <w:tcW w:w="620" w:type="dxa"/>
            <w:vAlign w:val="bottom"/>
            <w:gridSpan w:val="2"/>
          </w:tcPr>
          <w:p>
            <w:pPr>
              <w:jc w:val="center"/>
              <w:ind w:left="148"/>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Successfully</w:t>
            </w:r>
          </w:p>
        </w:tc>
        <w:tc>
          <w:tcPr>
            <w:tcW w:w="116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940" w:type="dxa"/>
            <w:vAlign w:val="bottom"/>
          </w:tcPr>
          <w:p>
            <w:pPr>
              <w:spacing w:after="0"/>
              <w:rPr>
                <w:sz w:val="24"/>
                <w:szCs w:val="24"/>
                <w:color w:val="auto"/>
              </w:rPr>
            </w:pPr>
          </w:p>
        </w:tc>
        <w:tc>
          <w:tcPr>
            <w:tcW w:w="2100" w:type="dxa"/>
            <w:vAlign w:val="bottom"/>
            <w:gridSpan w:val="2"/>
          </w:tcPr>
          <w:p>
            <w:pPr>
              <w:jc w:val="center"/>
              <w:ind w:right="960"/>
              <w:spacing w:after="0"/>
              <w:rPr>
                <w:sz w:val="20"/>
                <w:szCs w:val="20"/>
                <w:color w:val="auto"/>
              </w:rPr>
            </w:pPr>
            <w:r>
              <w:rPr>
                <w:rFonts w:ascii="Arial" w:cs="Arial" w:eastAsia="Arial" w:hAnsi="Arial"/>
                <w:sz w:val="14"/>
                <w:szCs w:val="14"/>
                <w:color w:val="auto"/>
              </w:rPr>
              <w:t>See Strategic</w:t>
            </w:r>
          </w:p>
        </w:tc>
        <w:tc>
          <w:tcPr>
            <w:tcW w:w="120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2100" w:type="dxa"/>
            <w:vAlign w:val="bottom"/>
            <w:gridSpan w:val="2"/>
          </w:tcPr>
          <w:p>
            <w:pPr>
              <w:jc w:val="center"/>
              <w:ind w:left="888"/>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complete the</w:t>
            </w:r>
          </w:p>
        </w:tc>
        <w:tc>
          <w:tcPr>
            <w:tcW w:w="1160" w:type="dxa"/>
            <w:vAlign w:val="bottom"/>
          </w:tcPr>
          <w:p>
            <w:pPr>
              <w:jc w:val="center"/>
              <w:spacing w:after="0"/>
              <w:rPr>
                <w:sz w:val="20"/>
                <w:szCs w:val="20"/>
                <w:color w:val="auto"/>
              </w:rPr>
            </w:pPr>
            <w:r>
              <w:rPr>
                <w:rFonts w:ascii="Arial" w:cs="Arial" w:eastAsia="Arial" w:hAnsi="Arial"/>
                <w:sz w:val="14"/>
                <w:szCs w:val="14"/>
                <w:color w:val="auto"/>
              </w:rPr>
              <w:t>Initiatives 2,6</w:t>
            </w:r>
          </w:p>
        </w:tc>
        <w:tc>
          <w:tcPr>
            <w:tcW w:w="940" w:type="dxa"/>
            <w:vAlign w:val="bottom"/>
          </w:tcPr>
          <w:p>
            <w:pPr>
              <w:spacing w:after="0"/>
              <w:rPr>
                <w:sz w:val="14"/>
                <w:szCs w:val="14"/>
                <w:color w:val="auto"/>
              </w:rPr>
            </w:pPr>
          </w:p>
        </w:tc>
        <w:tc>
          <w:tcPr>
            <w:tcW w:w="2100" w:type="dxa"/>
            <w:vAlign w:val="bottom"/>
            <w:gridSpan w:val="2"/>
          </w:tcPr>
          <w:p>
            <w:pPr>
              <w:jc w:val="center"/>
              <w:ind w:right="940"/>
              <w:spacing w:after="0"/>
              <w:rPr>
                <w:sz w:val="20"/>
                <w:szCs w:val="20"/>
                <w:color w:val="auto"/>
              </w:rPr>
            </w:pPr>
            <w:r>
              <w:rPr>
                <w:rFonts w:ascii="Arial" w:cs="Arial" w:eastAsia="Arial" w:hAnsi="Arial"/>
                <w:sz w:val="14"/>
                <w:szCs w:val="14"/>
                <w:color w:val="auto"/>
              </w:rPr>
              <w:t>Initiatives 2,6</w:t>
            </w:r>
          </w:p>
        </w:tc>
        <w:tc>
          <w:tcPr>
            <w:tcW w:w="1200" w:type="dxa"/>
            <w:vAlign w:val="bottom"/>
          </w:tcPr>
          <w:p>
            <w:pPr>
              <w:jc w:val="center"/>
              <w:spacing w:after="0"/>
              <w:rPr>
                <w:sz w:val="20"/>
                <w:szCs w:val="20"/>
                <w:color w:val="auto"/>
              </w:rPr>
            </w:pPr>
            <w:r>
              <w:rPr>
                <w:rFonts w:ascii="Arial" w:cs="Arial" w:eastAsia="Arial" w:hAnsi="Arial"/>
                <w:sz w:val="14"/>
                <w:szCs w:val="14"/>
                <w:color w:val="auto"/>
              </w:rPr>
              <w:t>Initiatives 2,6</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key strategic</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initiatives of the</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Levels of Achievement</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67"/>
        </w:trPr>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2016 Scorecard</w:t>
            </w:r>
          </w:p>
        </w:tc>
        <w:tc>
          <w:tcPr>
            <w:tcW w:w="96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gridSpan w:val="3"/>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Level of</w:t>
            </w:r>
          </w:p>
        </w:tc>
        <w:tc>
          <w:tcPr>
            <w:tcW w:w="0" w:type="dxa"/>
            <w:vAlign w:val="bottom"/>
          </w:tcPr>
          <w:p>
            <w:pPr>
              <w:spacing w:after="0"/>
              <w:rPr>
                <w:sz w:val="1"/>
                <w:szCs w:val="1"/>
                <w:color w:val="auto"/>
              </w:rPr>
            </w:pPr>
          </w:p>
        </w:tc>
      </w:tr>
      <w:tr>
        <w:trPr>
          <w:trHeight w:val="75"/>
        </w:trPr>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5"/>
                <w:szCs w:val="15"/>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Elements</w:t>
            </w:r>
          </w:p>
        </w:tc>
        <w:tc>
          <w:tcPr>
            <w:tcW w:w="9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9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9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Gregory J. Ritts</w:t>
            </w:r>
          </w:p>
        </w:tc>
        <w:tc>
          <w:tcPr>
            <w:tcW w:w="6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Achieve Service</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$484.8 million</w:t>
            </w:r>
          </w:p>
        </w:tc>
        <w:tc>
          <w:tcPr>
            <w:tcW w:w="96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$570.3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$655.8 million</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$658.2 million</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for Servicer</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Solutions</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business</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Achieve Service</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$46.5 million</w:t>
            </w:r>
          </w:p>
        </w:tc>
        <w:tc>
          <w:tcPr>
            <w:tcW w:w="9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$54.7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$62.9 million</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$51.3 million</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for Origination</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Solutions</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business</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Achieve Service</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$106.9 million</w:t>
            </w:r>
          </w:p>
        </w:tc>
        <w:tc>
          <w:tcPr>
            <w:tcW w:w="9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$125.7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$144.6 million</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$84.1 million</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for Real Estate</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Investor</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Solutions</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business</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Achieve Service</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$43.1 million</w:t>
            </w:r>
          </w:p>
        </w:tc>
        <w:tc>
          <w:tcPr>
            <w:tcW w:w="9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$50.7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$58.3 million</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million</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for Consumer</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Solutions</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business</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Achieve Law</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$9.9 million</w:t>
            </w:r>
          </w:p>
        </w:tc>
        <w:tc>
          <w:tcPr>
            <w:tcW w:w="9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$8.6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$7.3 million</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 million</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Department</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Expense Target</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Successfully</w:t>
            </w:r>
          </w:p>
        </w:tc>
        <w:tc>
          <w:tcPr>
            <w:tcW w:w="9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9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rPr>
              <w:t>See Strategic</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2100" w:type="dxa"/>
            <w:vAlign w:val="bottom"/>
            <w:gridSpan w:val="2"/>
            <w:shd w:val="clear" w:color="auto" w:fill="CCEEFF"/>
          </w:tcPr>
          <w:p>
            <w:pPr>
              <w:jc w:val="center"/>
              <w:ind w:left="88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complete the</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 6,7</w:t>
            </w:r>
          </w:p>
        </w:tc>
        <w:tc>
          <w:tcPr>
            <w:tcW w:w="9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rPr>
              <w:t>Initiatives 6,7</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 6,7</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key strategic</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initiatives of the</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Company</w:t>
            </w: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noted above, twenty percent (20%) of the incentive compensation for the Chief Executive Officer and other Named Executive Officers is determined by their performance appraisal for the service year. Each of our Named Executive Officers performs a self-assessment as to his or her performance against his or her goals for the applicable year. Our Chief Executive Officer and, in the case of Mr. Ritts, our Chief Administration and Risk Officer, utilize these assessments, as well as their own observations, to deliver a written performance appraisal for other Named Executive Officers. These performance appraisals rate performance based on criteria related to three key factors: (i) the executive's ability to improve and develop their organization throughout the year (ii) the executive's individual performance (iii) the executive's alignment to the Company's core values.</w:t>
      </w:r>
    </w:p>
    <w:p>
      <w:pPr>
        <w:spacing w:after="0" w:line="20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Chief Executive Officer's scorecard performance and personal performance appraisal are determined by the Compensation Committee taking into consideration whether the Company's performance and corresponding incentive results present a fair representation of the Chief Executive Officer's performance.</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 our Named Executive Officers other than the Chief Executive Officer, the Chief Executive Officer, in conjunction with the Chief Administration and Risk Officer, presents the personal scorecard performance and the performance appraisal scores to the Compensation Committee and makes recommendations as to the incentive compensation for each executive officer (except for the Chief Administration and Risk Officer, whose performance is reviewed without the presence of such executive).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such determinations. For 2016, incentive compensation was awarded accordingly.</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Incentive compensation is set in U.S. dollars and, at the executive's discretion, may be paid in U.S. dollars and/or in euros converted from U.S. dollars at the exchange rate in effect as of the date of payment. Please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see the Summary Compensation Table under "Executive Compensation" for the actual amounts awarded for 2016.</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i w:val="1"/>
          <w:iCs w:val="1"/>
          <w:color w:val="auto"/>
        </w:rPr>
        <w:t xml:space="preserve">2017 Annual Incentive Compensation. </w:t>
      </w:r>
      <w:r>
        <w:rPr>
          <w:rFonts w:ascii="Arial" w:cs="Arial" w:eastAsia="Arial" w:hAnsi="Arial"/>
          <w:sz w:val="18"/>
          <w:szCs w:val="18"/>
          <w:color w:val="auto"/>
        </w:rPr>
        <w:t>The Company's 2017 key performance indicators have been developed and the corporate scorecard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approved by the Board of Directors at its meeting on November 15, 2016. On March 3, 2017, the Board of Directors approved certain amendments to the corporate scorecard and the Compensation Committee approved the annual incentive components for the Chief Executive Officer and other executives for 2017.</w:t>
      </w:r>
    </w:p>
    <w:p>
      <w:pPr>
        <w:spacing w:after="0" w:line="205"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The corporate scorecard for 2017 includes achieving overall service revenue and adjusted earnings per share targets and achieving growth initiative or business segment specific service revenue and adjusted pre-tax income targets. In addition, the corporate scorecard provides for successful completion of strategic initiatives established to enhance long-term corporate and shareholder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2017 corporate strategic initiatives relate to:</w:t>
      </w:r>
    </w:p>
    <w:p>
      <w:pPr>
        <w:spacing w:after="0" w:line="21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Supporting customer's operational objectives</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Growing our Servicer Solutions business</w:t>
      </w:r>
    </w:p>
    <w:p>
      <w:pPr>
        <w:ind w:left="1080" w:hanging="532"/>
        <w:spacing w:after="0" w:line="23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Growing our Origination Solutions business</w:t>
      </w: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Growing our Consumer Real Estate Solutions business</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Growing our Real Estate Investor Solutions business</w:t>
      </w:r>
    </w:p>
    <w:p>
      <w:pPr>
        <w:ind w:left="1080" w:hanging="532"/>
        <w:spacing w:after="0" w:line="23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Launching the REALDoc and marketplace products</w:t>
      </w: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Enhancing our compliance management system</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Achieving operations and cost savings initiatives</w:t>
      </w:r>
    </w:p>
    <w:p>
      <w:pPr>
        <w:ind w:left="1080" w:hanging="532"/>
        <w:spacing w:after="0" w:line="23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Improving customer experience</w:t>
      </w: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Accomplishing other corporate level initiatives</w:t>
      </w:r>
    </w:p>
    <w:p>
      <w:pPr>
        <w:spacing w:after="0" w:line="19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Relocation and Foreign Living Allowances. </w:t>
      </w:r>
      <w:r>
        <w:rPr>
          <w:rFonts w:ascii="Arial" w:cs="Arial" w:eastAsia="Arial" w:hAnsi="Arial"/>
          <w:sz w:val="18"/>
          <w:szCs w:val="18"/>
          <w:color w:val="auto"/>
        </w:rPr>
        <w:t>Since we are a Luxembourg company, each of our Named Executive Officers is based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headquarters in Luxembourg. This is consistent with our view that daily interaction of our leadership team at our headquarters helps us to efficiently develop and execute our strategic initiatives. Often the executive talent we seek to attract to Luxembourg is based in the United States. To attract and appropriately incent our Named Executive Officers, we provide each with certain relocation and foreign living allowances that the Committee believes are reasonable and consistent with our overall compensation philosophy to attract and retain superior employees for key positions requiring relocation. Please see the Summary Compensation Table under the "Executive Compensation" section below for additional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believe our executive compensation programs are effectively designed, aligned with the interests of our shareholders and instrumental to achieving our business strategy. In determining executive compensation for fiscal year 2016, our Compensation Committee considered the overwhelming shareholder support that the "Say-on-Pay" proposal received at our 2014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 In 2016, our Compensation Committee engaged our independent compensation consultant, Exequity, to assist the Compensation Committee in reviewing the compensation levels for the Chief Executive Officer, the Chief Administration and Risk Officer and the Chief Financial Officer. Exequity reviewed our executive compensation levels compared to pay levels among our peer companies to help identify the competitive positioning of our pay practices and concluded that the total compensation for these executives is below the peer group's median level. All information was obtained from publicly available proxy disclosures and included base salary, annual incentive compensation and long-term incentive compensation. Please see "Role of Compensation Consultant" for information on the peer group companies the Compensation Committee used in its analysis.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w:t>
      </w:r>
    </w:p>
    <w:p>
      <w:pPr>
        <w:spacing w:after="0" w:line="208"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Based in part on this analysis, the Compensation Committee is evaluating the compensation levels of these executives, in particular their possible participation in an equity-based long-term incentive plan in 2017. Please see the "Equity Incentive Plan" section below for additional information.</w:t>
      </w:r>
    </w:p>
    <w:p>
      <w:pPr>
        <w:spacing w:after="0" w:line="163"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setting compensation levels, the Committee also considers the Named Executive Officers' performance, scope of responsibility and other relevant factors, such as retention.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Increases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2016, the Compensation Committee did not increase the base salaries or target cash incentive opportunities for our Named Executive Officers. As noted above, the Compensation Committee is currently evaluating the compensation levels of these executives, in particular their possible participation in an equity-based long-term incentive plan in 2017.</w:t>
      </w:r>
    </w:p>
    <w:p>
      <w:pPr>
        <w:spacing w:after="0" w:line="208"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Under article L.223-1 of the Luxembourg Labor Code, all compensation owed pursuant to an employment agreement is required to be adapted based upon the cost of living index in the Grand Duchy of Luxembourg. Effective January 1, 2017, there was a required two and a half percent</w:t>
      </w:r>
    </w:p>
    <w:p>
      <w:pPr>
        <w:ind w:right="60"/>
        <w:spacing w:after="0" w:line="239" w:lineRule="auto"/>
        <w:rPr>
          <w:sz w:val="20"/>
          <w:szCs w:val="20"/>
          <w:color w:val="auto"/>
        </w:rPr>
      </w:pPr>
      <w:r>
        <w:rPr>
          <w:rFonts w:ascii="Arial" w:cs="Arial" w:eastAsia="Arial" w:hAnsi="Arial"/>
          <w:sz w:val="18"/>
          <w:szCs w:val="18"/>
          <w:color w:val="auto"/>
        </w:rPr>
        <w:t>(2.5%) increase in compensation pursuant to this law. The base salaries for our Named Executive Officers and the incentive compensation for the Chief Executive Officer and the Chief Administration and Risk Officer were adjusted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Compensation Committee administers the 2009 Equity Incentive Plan, which was approved by our shareholders in 2009.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authorizes the award of restricted shares,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8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Each award granted under the 2009 Equity Incentive Plan is evidenced by a written award agreement between the participant and the Company,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209" w:lineRule="exact"/>
        <w:rPr>
          <w:sz w:val="20"/>
          <w:szCs w:val="20"/>
          <w:color w:val="auto"/>
        </w:rPr>
      </w:pPr>
    </w:p>
    <w:p>
      <w:pPr>
        <w:jc w:val="both"/>
        <w:ind w:right="60"/>
        <w:spacing w:after="0" w:line="273" w:lineRule="auto"/>
        <w:rPr>
          <w:sz w:val="20"/>
          <w:szCs w:val="20"/>
          <w:color w:val="auto"/>
        </w:rPr>
      </w:pPr>
      <w:r>
        <w:rPr>
          <w:rFonts w:ascii="Arial" w:cs="Arial" w:eastAsia="Arial" w:hAnsi="Arial"/>
          <w:sz w:val="16"/>
          <w:szCs w:val="16"/>
          <w:color w:val="auto"/>
        </w:rPr>
        <w:t>Typically, equity awards are provided in the form of stock option grants, with seventy-five percent (75%) of the granted stock options beginning to vest only if the stock price is double or triple the exercise price as further detailed below. Our Compensation Committee uses stock options as our primary long-term incentive vehicle because stock options align the interests of executives with those of our shareholders, foster employee share ownership, support a pay-for-performance culture and focus the executive team on increasing value for our shareholders. In addition, stock option grants generally vest over a three- to five-year period following the grant date or the achievement of performance criteria for retention purposes.</w:t>
      </w:r>
    </w:p>
    <w:p>
      <w:pPr>
        <w:spacing w:after="0" w:line="183"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Stock option grants are generally made to Named Executive Officers upon joining the Company and, from time to time thereafter, following a significant change in job responsibilities, following the accomplishment of vesting performance hurdles for prior grants, to meet other special retention objectives or for other</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reasons our Compensation Committee deems appropriate. The Compensation Committee reviews and approves stock option awards to executive officers based upon its assessment of the individual's position, scope of responsibility, ability to affect profits and shareholder value, individual performance, a review of the executive's existing long-term incentives, retention considerations and the value of stock options in relation to other elements of the individual executive's total compensation.</w:t>
      </w:r>
    </w:p>
    <w:p>
      <w:pPr>
        <w:spacing w:after="0" w:line="20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In line with the objectives of our compensation philosophy, Mr. Ritts received 10,000 stock options on August 29, 2016. The vesting schedule for these options has a service-based component, in which 50% of the options vest in equal increments over three (3) years, and a market-based component, in which up to 50% of the options could vest in equal increments, with one-third vesting immediately upon the achievement of certain performance criteria related to the Company's stock price and its annualized rate of return and the remaining two-thirds vesting over the next two</w:t>
      </w:r>
    </w:p>
    <w:p>
      <w:pPr>
        <w:spacing w:after="0" w:line="1" w:lineRule="exact"/>
        <w:rPr>
          <w:sz w:val="20"/>
          <w:szCs w:val="20"/>
          <w:color w:val="auto"/>
        </w:rPr>
      </w:pPr>
    </w:p>
    <w:p>
      <w:pPr>
        <w:ind w:right="180" w:firstLine="8"/>
        <w:spacing w:after="0" w:line="238" w:lineRule="auto"/>
        <w:tabs>
          <w:tab w:leader="none" w:pos="2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February 11, 2016, the Compensation Committee delegated authority to the Chief Executive Officer and the Chief Administration and Risk Officer to approve awards of up to 5,000 stock options for new hires (other than hires of executive officers), with an exercise price of up to $50 per share, for an aggregate amount of options granted pursuant to such delegation of up to 75,000 stock options for fiscal year 2016. This authorization expired on December 31, 2016. For fiscal year 2017, the Compensation Committee approved a new authorization, pursuant to which these Named Executive Officers are authorized to approve awards for new hires as well as existing employees (in each case, other than executive officers), subject to the same individual and aggregate limitations as the prior authorization for such period. Unless renewed, this authorization will automatically expire on December 31, 2017.</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Company's other share-based and similar types of awards consist of restricted shares, issued under our 2009 Equity Incentive Plan. The restricted shares are service-based awards that generally vest over three or four years after the grant of the award with either annual cliff vesting, vesting of all of the restricted shares at the end of the vesting period or vesting beginning after two years of service.</w:t>
      </w:r>
    </w:p>
    <w:p>
      <w:pPr>
        <w:spacing w:after="0" w:line="2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Award agreements applicable to stock option grants and restricted shares include a covenant not to disclose our confidential information. In addition, the award recipient is generally bound by non-competition and non-solicitation covenants for a minimum period of two (2) years following the end of his or her employment with the Company.</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noted above, in 2016, the Company's independent compensation consultant Exequity analyzed the pay levels for our Chief Executive Officer, Chief Administration and Risk Officer and Chief Financial Officer compared to pay levels among our peer companies to help identify the competitive positioning of our pay practices. Based on this analysis, Exequity concluded that the total compensation for these executives is below the peer group's median level. In the first quarter of 2017, the Company conducted further peer group studies and analyzed the practices of our peer companies with respect to long-term equity incentive plans. Based on these analyses, the Compensation Committee is evaluating the possible implementation of an equity-based long-term incentive plan for our Named Executive Officers and certain other key executives and employees to provide them with greater long-term incentive opportunities that align their performance with the interests of our shareholders and assist in their retention.</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Compensation Committee anticipates that the awards would be made under our 2009 Equity Incentive Plan and would likely include annual grants of restricted shares and stock options that vest over several years providing a strong retention incentive. Consistent with our strategic focus, these awards are expected to begin vesting primarily based upon the achievement of performance hurdles designed to grow and diversify our revenue base and create shareholder value.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determining the level of equity granted to executives and employees, the Compensation Committee typically considers factors such as total compensation opportunity, responsibilities, contributions and the value of their expected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 is adequate to achieve this philosophy. We also maintain a management directive detailing our trading window period policy and our insider trading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Committee's policy with respect to employee benefit plans is to provide benefits to our employees, including our Named Executive Officers, that are comparable to benefits offered by companies of a similar size and circumstance to ours. A competitive comprehensive benefit program is essential to achieving the goal of attracting and retaining highly qualified employees.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132715</wp:posOffset>
            </wp:positionV>
            <wp:extent cx="276161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616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32 through 46 of this proxy statement with management.</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Based on this review and discussion, the Compensation Committee recommended to the Board of Directors that the Compensation Discussion and Analysis be included in this proxy statement.</w:t>
      </w:r>
    </w:p>
    <w:p>
      <w:pPr>
        <w:spacing w:after="0" w:line="18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Compensation Committee:</w:t>
      </w:r>
    </w:p>
    <w:p>
      <w:pPr>
        <w:spacing w:after="0" w:line="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Timo Vättö, Chairman</w:t>
      </w:r>
    </w:p>
    <w:p>
      <w:pPr>
        <w:ind w:left="5820"/>
        <w:spacing w:after="0" w:line="181" w:lineRule="auto"/>
        <w:rPr>
          <w:sz w:val="20"/>
          <w:szCs w:val="20"/>
          <w:color w:val="auto"/>
        </w:rPr>
      </w:pPr>
      <w:r>
        <w:rPr>
          <w:rFonts w:ascii="Arial" w:cs="Arial" w:eastAsia="Arial" w:hAnsi="Arial"/>
          <w:sz w:val="17"/>
          <w:szCs w:val="17"/>
          <w:color w:val="auto"/>
        </w:rPr>
        <w:t>Orin S. Kramer, Director</w:t>
      </w:r>
      <w:r>
        <w:rPr>
          <w:rFonts w:ascii="Arial" w:cs="Arial" w:eastAsia="Arial" w:hAnsi="Arial"/>
          <w:sz w:val="28"/>
          <w:szCs w:val="28"/>
          <w:color w:val="auto"/>
          <w:vertAlign w:val="superscript"/>
        </w:rPr>
        <w:t>(1)</w:t>
      </w:r>
    </w:p>
    <w:p>
      <w:pPr>
        <w:ind w:left="5820"/>
        <w:spacing w:after="0" w:line="181" w:lineRule="auto"/>
        <w:rPr>
          <w:sz w:val="20"/>
          <w:szCs w:val="20"/>
          <w:color w:val="auto"/>
        </w:rPr>
      </w:pPr>
      <w:r>
        <w:rPr>
          <w:rFonts w:ascii="Arial" w:cs="Arial" w:eastAsia="Arial" w:hAnsi="Arial"/>
          <w:sz w:val="17"/>
          <w:szCs w:val="17"/>
          <w:color w:val="auto"/>
        </w:rPr>
        <w:t>W. Michael Linn, Director</w:t>
      </w:r>
      <w:r>
        <w:rPr>
          <w:rFonts w:ascii="Arial" w:cs="Arial" w:eastAsia="Arial" w:hAnsi="Arial"/>
          <w:sz w:val="28"/>
          <w:szCs w:val="28"/>
          <w:color w:val="auto"/>
          <w:vertAlign w:val="superscript"/>
        </w:rPr>
        <w:t>(1)</w:t>
      </w:r>
    </w:p>
    <w:p>
      <w:pPr>
        <w:ind w:left="5820"/>
        <w:spacing w:after="0" w:line="236" w:lineRule="auto"/>
        <w:rPr>
          <w:sz w:val="20"/>
          <w:szCs w:val="20"/>
          <w:color w:val="auto"/>
        </w:rPr>
      </w:pPr>
      <w:r>
        <w:rPr>
          <w:rFonts w:ascii="Arial" w:cs="Arial" w:eastAsia="Arial" w:hAnsi="Arial"/>
          <w:sz w:val="18"/>
          <w:szCs w:val="18"/>
          <w:color w:val="auto"/>
        </w:rPr>
        <w:t>Roland Müller-Ineichen, Director</w:t>
      </w:r>
    </w:p>
    <w:p>
      <w:pPr>
        <w:spacing w:after="0"/>
        <w:tabs>
          <w:tab w:leader="none" w:pos="6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9037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13" w:lineRule="exact"/>
        <w:rPr>
          <w:sz w:val="20"/>
          <w:szCs w:val="20"/>
          <w:color w:val="auto"/>
        </w:rPr>
      </w:pPr>
    </w:p>
    <w:p>
      <w:pPr>
        <w:ind w:left="5620" w:right="2300" w:hanging="5612"/>
        <w:spacing w:after="0" w:line="343" w:lineRule="auto"/>
        <w:tabs>
          <w:tab w:leader="none" w:pos="552"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Mr. Linn resigned from the Committee and Mr. Kramer joined the Committee, effective November 15, 2016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compensation of our Named Executive Officers for fiscal years 2014, 2015 and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Option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5"/>
                <w:szCs w:val="15"/>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ind w:right="17"/>
              <w:spacing w:after="0" w:line="189"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1"/>
                <w:szCs w:val="21"/>
                <w:b w:val="1"/>
                <w:bCs w:val="1"/>
                <w:color w:val="auto"/>
                <w:vertAlign w:val="superscript"/>
              </w:rPr>
              <w:t>(1)</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6"/>
                <w:szCs w:val="16"/>
                <w:color w:val="auto"/>
              </w:rPr>
            </w:pPr>
          </w:p>
        </w:tc>
        <w:tc>
          <w:tcPr>
            <w:tcW w:w="880" w:type="dxa"/>
            <w:vAlign w:val="bottom"/>
            <w:tcBorders>
              <w:bottom w:val="single" w:sz="8" w:color="auto"/>
            </w:tcBorders>
          </w:tcPr>
          <w:p>
            <w:pPr>
              <w:jc w:val="right"/>
              <w:ind w:right="34"/>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(2)</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(3)</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Compensation</w:t>
            </w:r>
            <w:r>
              <w:rPr>
                <w:rFonts w:ascii="Arial" w:cs="Arial" w:eastAsia="Arial" w:hAnsi="Arial"/>
                <w:sz w:val="21"/>
                <w:szCs w:val="21"/>
                <w:b w:val="1"/>
                <w:bCs w:val="1"/>
                <w:color w:val="auto"/>
                <w:w w:val="97"/>
                <w:vertAlign w:val="superscript"/>
              </w:rPr>
              <w:t>(4)</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right"/>
              <w:ind w:right="8"/>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(5)</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William B. Shepro</w:t>
            </w:r>
          </w:p>
        </w:tc>
        <w:tc>
          <w:tcPr>
            <w:tcW w:w="720" w:type="dxa"/>
            <w:vAlign w:val="bottom"/>
            <w:gridSpan w:val="3"/>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9"/>
              </w:rPr>
              <w:t>2014</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$685,625</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$1,079,859</w:t>
            </w:r>
          </w:p>
        </w:tc>
        <w:tc>
          <w:tcPr>
            <w:tcW w:w="1520" w:type="dxa"/>
            <w:vAlign w:val="bottom"/>
            <w:gridSpan w:val="2"/>
            <w:shd w:val="clear" w:color="auto" w:fill="CCEEFF"/>
          </w:tcPr>
          <w:p>
            <w:pPr>
              <w:jc w:val="right"/>
              <w:ind w:right="208"/>
              <w:spacing w:after="0" w:line="196" w:lineRule="exact"/>
              <w:rPr>
                <w:sz w:val="20"/>
                <w:szCs w:val="20"/>
                <w:color w:val="auto"/>
              </w:rPr>
            </w:pPr>
            <w:r>
              <w:rPr>
                <w:rFonts w:ascii="Arial" w:cs="Arial" w:eastAsia="Arial" w:hAnsi="Arial"/>
                <w:sz w:val="18"/>
                <w:szCs w:val="18"/>
                <w:color w:val="auto"/>
              </w:rPr>
              <w:t>$477,103</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$2,242,587</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Executive</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2015</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$780,000</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$1,044,270</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$524,689</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$1,158,300</w:t>
            </w:r>
          </w:p>
        </w:tc>
        <w:tc>
          <w:tcPr>
            <w:tcW w:w="152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$1,253,780</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$4,761,039</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2016</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5"/>
                <w:szCs w:val="15"/>
                <w:color w:val="auto"/>
              </w:rPr>
              <w:t>$780,000</w:t>
            </w:r>
            <w:r>
              <w:rPr>
                <w:rFonts w:ascii="Arial" w:cs="Arial" w:eastAsia="Arial" w:hAnsi="Arial"/>
                <w:sz w:val="23"/>
                <w:szCs w:val="23"/>
                <w:color w:val="auto"/>
                <w:vertAlign w:val="superscript"/>
              </w:rPr>
              <w:t>(6)</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5"/>
                <w:szCs w:val="15"/>
                <w:color w:val="auto"/>
              </w:rPr>
              <w:t>$819,000</w:t>
            </w:r>
            <w:r>
              <w:rPr>
                <w:rFonts w:ascii="Arial" w:cs="Arial" w:eastAsia="Arial" w:hAnsi="Arial"/>
                <w:sz w:val="23"/>
                <w:szCs w:val="23"/>
                <w:color w:val="auto"/>
                <w:vertAlign w:val="superscript"/>
              </w:rPr>
              <w:t>(7)</w:t>
            </w:r>
          </w:p>
        </w:tc>
        <w:tc>
          <w:tcPr>
            <w:tcW w:w="15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5"/>
                <w:szCs w:val="15"/>
                <w:color w:val="auto"/>
              </w:rPr>
              <w:t>$908,488</w:t>
            </w:r>
            <w:r>
              <w:rPr>
                <w:rFonts w:ascii="Arial" w:cs="Arial" w:eastAsia="Arial" w:hAnsi="Arial"/>
                <w:sz w:val="23"/>
                <w:szCs w:val="23"/>
                <w:color w:val="auto"/>
                <w:vertAlign w:val="superscript"/>
              </w:rPr>
              <w:t>(8)</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$2,507,488</w:t>
            </w:r>
          </w:p>
        </w:tc>
        <w:tc>
          <w:tcPr>
            <w:tcW w:w="220" w:type="dxa"/>
            <w:vAlign w:val="bottom"/>
            <w:shd w:val="clear" w:color="auto" w:fill="CCEEFF"/>
          </w:tcPr>
          <w:p>
            <w:pPr>
              <w:spacing w:after="0"/>
              <w:rPr>
                <w:sz w:val="17"/>
                <w:szCs w:val="17"/>
                <w:color w:val="auto"/>
              </w:rPr>
            </w:pPr>
          </w:p>
        </w:tc>
      </w:tr>
      <w:tr>
        <w:trPr>
          <w:trHeight w:val="40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Kevin J. Wilcox</w:t>
            </w:r>
          </w:p>
        </w:tc>
        <w:tc>
          <w:tcPr>
            <w:tcW w:w="7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2014</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$444,010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$489,521</w:t>
            </w:r>
          </w:p>
        </w:tc>
        <w:tc>
          <w:tcPr>
            <w:tcW w:w="1520" w:type="dxa"/>
            <w:vAlign w:val="bottom"/>
            <w:gridSpan w:val="2"/>
          </w:tcPr>
          <w:p>
            <w:pPr>
              <w:jc w:val="right"/>
              <w:ind w:right="208"/>
              <w:spacing w:after="0"/>
              <w:rPr>
                <w:sz w:val="20"/>
                <w:szCs w:val="20"/>
                <w:color w:val="auto"/>
              </w:rPr>
            </w:pPr>
            <w:r>
              <w:rPr>
                <w:rFonts w:ascii="Arial" w:cs="Arial" w:eastAsia="Arial" w:hAnsi="Arial"/>
                <w:sz w:val="18"/>
                <w:szCs w:val="18"/>
                <w:color w:val="auto"/>
              </w:rPr>
              <w:t>$378,432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$1,311,963</w:t>
            </w:r>
          </w:p>
        </w:tc>
        <w:tc>
          <w:tcPr>
            <w:tcW w:w="220" w:type="dxa"/>
            <w:vAlign w:val="bottom"/>
          </w:tcPr>
          <w:p>
            <w:pPr>
              <w:spacing w:after="0"/>
              <w:rPr>
                <w:sz w:val="24"/>
                <w:szCs w:val="24"/>
                <w:color w:val="auto"/>
              </w:rPr>
            </w:pPr>
          </w:p>
        </w:tc>
      </w:tr>
      <w:tr>
        <w:trPr>
          <w:trHeight w:val="202"/>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Chief Administration</w:t>
            </w:r>
          </w:p>
        </w:tc>
        <w:tc>
          <w:tcPr>
            <w:tcW w:w="72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9"/>
              </w:rPr>
              <w:t>2015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$450,000</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$378,225</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$190,250</w:t>
            </w:r>
          </w:p>
        </w:tc>
        <w:tc>
          <w:tcPr>
            <w:tcW w:w="100" w:type="dxa"/>
            <w:vAlign w:val="bottom"/>
          </w:tcPr>
          <w:p>
            <w:pPr>
              <w:spacing w:after="0"/>
              <w:rPr>
                <w:sz w:val="17"/>
                <w:szCs w:val="17"/>
                <w:color w:val="auto"/>
              </w:rPr>
            </w:pPr>
          </w:p>
        </w:tc>
        <w:tc>
          <w:tcPr>
            <w:tcW w:w="12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$460,688</w:t>
            </w:r>
          </w:p>
        </w:tc>
        <w:tc>
          <w:tcPr>
            <w:tcW w:w="152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$294,894</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$1,774,057</w:t>
            </w:r>
          </w:p>
        </w:tc>
        <w:tc>
          <w:tcPr>
            <w:tcW w:w="220" w:type="dxa"/>
            <w:vAlign w:val="bottom"/>
          </w:tcPr>
          <w:p>
            <w:pPr>
              <w:spacing w:after="0"/>
              <w:rPr>
                <w:sz w:val="17"/>
                <w:szCs w:val="17"/>
                <w:color w:val="auto"/>
              </w:rPr>
            </w:pPr>
          </w:p>
        </w:tc>
      </w:tr>
      <w:tr>
        <w:trPr>
          <w:trHeight w:val="200"/>
        </w:trPr>
        <w:tc>
          <w:tcPr>
            <w:tcW w:w="2780" w:type="dxa"/>
            <w:vAlign w:val="bottom"/>
            <w:gridSpan w:val="2"/>
          </w:tcPr>
          <w:p>
            <w:pPr>
              <w:spacing w:after="0" w:line="200" w:lineRule="exact"/>
              <w:rPr>
                <w:sz w:val="20"/>
                <w:szCs w:val="20"/>
                <w:color w:val="auto"/>
              </w:rPr>
            </w:pPr>
            <w:r>
              <w:rPr>
                <w:rFonts w:ascii="Arial" w:cs="Arial" w:eastAsia="Arial" w:hAnsi="Arial"/>
                <w:sz w:val="18"/>
                <w:szCs w:val="18"/>
                <w:color w:val="auto"/>
              </w:rPr>
              <w:t>and Risk Officer</w:t>
            </w:r>
          </w:p>
        </w:tc>
        <w:tc>
          <w:tcPr>
            <w:tcW w:w="720" w:type="dxa"/>
            <w:vAlign w:val="bottom"/>
            <w:gridSpan w:val="3"/>
          </w:tcPr>
          <w:p>
            <w:pPr>
              <w:jc w:val="center"/>
              <w:ind w:right="120"/>
              <w:spacing w:after="0" w:line="200" w:lineRule="exact"/>
              <w:rPr>
                <w:sz w:val="20"/>
                <w:szCs w:val="20"/>
                <w:color w:val="auto"/>
              </w:rPr>
            </w:pPr>
            <w:r>
              <w:rPr>
                <w:rFonts w:ascii="Arial" w:cs="Arial" w:eastAsia="Arial" w:hAnsi="Arial"/>
                <w:sz w:val="18"/>
                <w:szCs w:val="18"/>
                <w:color w:val="auto"/>
                <w:w w:val="99"/>
              </w:rPr>
              <w:t>2016</w:t>
            </w:r>
          </w:p>
        </w:tc>
        <w:tc>
          <w:tcPr>
            <w:tcW w:w="1000" w:type="dxa"/>
            <w:vAlign w:val="bottom"/>
            <w:gridSpan w:val="2"/>
          </w:tcPr>
          <w:p>
            <w:pPr>
              <w:jc w:val="right"/>
              <w:ind w:right="80"/>
              <w:spacing w:after="0" w:line="200" w:lineRule="exact"/>
              <w:rPr>
                <w:sz w:val="20"/>
                <w:szCs w:val="20"/>
                <w:color w:val="auto"/>
              </w:rPr>
            </w:pPr>
            <w:r>
              <w:rPr>
                <w:rFonts w:ascii="Arial" w:cs="Arial" w:eastAsia="Arial" w:hAnsi="Arial"/>
                <w:sz w:val="15"/>
                <w:szCs w:val="15"/>
                <w:color w:val="auto"/>
              </w:rPr>
              <w:t>$450,000</w:t>
            </w:r>
            <w:r>
              <w:rPr>
                <w:rFonts w:ascii="Arial" w:cs="Arial" w:eastAsia="Arial" w:hAnsi="Arial"/>
                <w:sz w:val="23"/>
                <w:szCs w:val="23"/>
                <w:color w:val="auto"/>
                <w:vertAlign w:val="superscript"/>
              </w:rPr>
              <w:t>(9)</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6"/>
              <w:spacing w:after="0" w:line="200" w:lineRule="exact"/>
              <w:rPr>
                <w:sz w:val="20"/>
                <w:szCs w:val="20"/>
                <w:color w:val="auto"/>
              </w:rPr>
            </w:pPr>
            <w:r>
              <w:rPr>
                <w:rFonts w:ascii="Arial" w:cs="Arial" w:eastAsia="Arial" w:hAnsi="Arial"/>
                <w:sz w:val="18"/>
                <w:szCs w:val="18"/>
                <w:color w:val="auto"/>
              </w:rPr>
              <w:t>$323,438</w:t>
            </w:r>
          </w:p>
        </w:tc>
        <w:tc>
          <w:tcPr>
            <w:tcW w:w="152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$362,435</w:t>
            </w:r>
            <w:r>
              <w:rPr>
                <w:rFonts w:ascii="Arial" w:cs="Arial" w:eastAsia="Arial" w:hAnsi="Arial"/>
                <w:sz w:val="23"/>
                <w:szCs w:val="23"/>
                <w:color w:val="auto"/>
                <w:vertAlign w:val="superscript"/>
              </w:rPr>
              <w:t>(10)</w:t>
            </w:r>
          </w:p>
        </w:tc>
        <w:tc>
          <w:tcPr>
            <w:tcW w:w="11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$1,135,873</w:t>
            </w:r>
          </w:p>
        </w:tc>
        <w:tc>
          <w:tcPr>
            <w:tcW w:w="22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Michelle D. Esterman</w:t>
            </w:r>
          </w:p>
        </w:tc>
        <w:tc>
          <w:tcPr>
            <w:tcW w:w="7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2014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$364,948</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$250,277</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$51,234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$666,459</w:t>
            </w:r>
          </w:p>
        </w:tc>
        <w:tc>
          <w:tcPr>
            <w:tcW w:w="22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2015</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$415,833</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$267,525</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$423,141</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$322,725</w:t>
            </w:r>
          </w:p>
        </w:tc>
        <w:tc>
          <w:tcPr>
            <w:tcW w:w="152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$169,232</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$1,598,456</w:t>
            </w: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2016</w:t>
            </w: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$420,000</w:t>
            </w:r>
            <w:r>
              <w:rPr>
                <w:rFonts w:ascii="Arial" w:cs="Arial" w:eastAsia="Arial" w:hAnsi="Arial"/>
                <w:sz w:val="25"/>
                <w:szCs w:val="25"/>
                <w:color w:val="auto"/>
                <w:vertAlign w:val="superscript"/>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$210,000</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$246,575</w:t>
            </w:r>
            <w:r>
              <w:rPr>
                <w:rFonts w:ascii="Arial" w:cs="Arial" w:eastAsia="Arial" w:hAnsi="Arial"/>
                <w:sz w:val="25"/>
                <w:szCs w:val="25"/>
                <w:color w:val="auto"/>
                <w:vertAlign w:val="superscript"/>
              </w:rPr>
              <w:t>(12)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$876,575</w:t>
            </w:r>
          </w:p>
        </w:tc>
        <w:tc>
          <w:tcPr>
            <w:tcW w:w="220" w:type="dxa"/>
            <w:vAlign w:val="bottom"/>
            <w:shd w:val="clear" w:color="auto" w:fill="CCEEFF"/>
          </w:tcPr>
          <w:p>
            <w:pPr>
              <w:spacing w:after="0"/>
              <w:rPr>
                <w:sz w:val="18"/>
                <w:szCs w:val="18"/>
                <w:color w:val="auto"/>
              </w:rPr>
            </w:pPr>
          </w:p>
        </w:tc>
      </w:tr>
      <w:tr>
        <w:trPr>
          <w:trHeight w:val="40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Joseph A. Davila</w:t>
            </w:r>
          </w:p>
        </w:tc>
        <w:tc>
          <w:tcPr>
            <w:tcW w:w="7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2014</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$365,521</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$730,306</w:t>
            </w:r>
          </w:p>
        </w:tc>
        <w:tc>
          <w:tcPr>
            <w:tcW w:w="100" w:type="dxa"/>
            <w:vAlign w:val="bottom"/>
          </w:tcPr>
          <w:p>
            <w:pPr>
              <w:spacing w:after="0"/>
              <w:rPr>
                <w:sz w:val="24"/>
                <w:szCs w:val="24"/>
                <w:color w:val="auto"/>
              </w:rPr>
            </w:pP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$287,676</w:t>
            </w:r>
          </w:p>
        </w:tc>
        <w:tc>
          <w:tcPr>
            <w:tcW w:w="1520" w:type="dxa"/>
            <w:vAlign w:val="bottom"/>
            <w:gridSpan w:val="2"/>
          </w:tcPr>
          <w:p>
            <w:pPr>
              <w:jc w:val="right"/>
              <w:ind w:right="208"/>
              <w:spacing w:after="0"/>
              <w:rPr>
                <w:sz w:val="20"/>
                <w:szCs w:val="20"/>
                <w:color w:val="auto"/>
              </w:rPr>
            </w:pPr>
            <w:r>
              <w:rPr>
                <w:rFonts w:ascii="Arial" w:cs="Arial" w:eastAsia="Arial" w:hAnsi="Arial"/>
                <w:sz w:val="18"/>
                <w:szCs w:val="18"/>
                <w:color w:val="auto"/>
              </w:rPr>
              <w:t>$66,266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$1,449,769</w:t>
            </w:r>
          </w:p>
        </w:tc>
        <w:tc>
          <w:tcPr>
            <w:tcW w:w="220" w:type="dxa"/>
            <w:vAlign w:val="bottom"/>
          </w:tcPr>
          <w:p>
            <w:pPr>
              <w:spacing w:after="0"/>
              <w:rPr>
                <w:sz w:val="24"/>
                <w:szCs w:val="24"/>
                <w:color w:val="auto"/>
              </w:rPr>
            </w:pPr>
          </w:p>
        </w:tc>
      </w:tr>
      <w:tr>
        <w:trPr>
          <w:trHeight w:val="202"/>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President, Servicer</w:t>
            </w:r>
          </w:p>
        </w:tc>
        <w:tc>
          <w:tcPr>
            <w:tcW w:w="72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9"/>
              </w:rPr>
              <w:t>2015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$394,124</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$72,000</w:t>
            </w: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$103,320</w:t>
            </w:r>
          </w:p>
        </w:tc>
        <w:tc>
          <w:tcPr>
            <w:tcW w:w="10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$78,103</w:t>
            </w:r>
          </w:p>
        </w:tc>
        <w:tc>
          <w:tcPr>
            <w:tcW w:w="12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$243,000</w:t>
            </w:r>
          </w:p>
        </w:tc>
        <w:tc>
          <w:tcPr>
            <w:tcW w:w="152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$134,345</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$1,024,892</w:t>
            </w:r>
          </w:p>
        </w:tc>
        <w:tc>
          <w:tcPr>
            <w:tcW w:w="220" w:type="dxa"/>
            <w:vAlign w:val="bottom"/>
          </w:tcPr>
          <w:p>
            <w:pPr>
              <w:spacing w:after="0"/>
              <w:rPr>
                <w:sz w:val="17"/>
                <w:szCs w:val="17"/>
                <w:color w:val="auto"/>
              </w:rPr>
            </w:pPr>
          </w:p>
        </w:tc>
      </w:tr>
      <w:tr>
        <w:trPr>
          <w:trHeight w:val="200"/>
        </w:trPr>
        <w:tc>
          <w:tcPr>
            <w:tcW w:w="2780" w:type="dxa"/>
            <w:vAlign w:val="bottom"/>
            <w:gridSpan w:val="2"/>
          </w:tcPr>
          <w:p>
            <w:pPr>
              <w:spacing w:after="0" w:line="200" w:lineRule="exact"/>
              <w:rPr>
                <w:sz w:val="20"/>
                <w:szCs w:val="20"/>
                <w:color w:val="auto"/>
              </w:rPr>
            </w:pPr>
            <w:r>
              <w:rPr>
                <w:rFonts w:ascii="Arial" w:cs="Arial" w:eastAsia="Arial" w:hAnsi="Arial"/>
                <w:sz w:val="18"/>
                <w:szCs w:val="18"/>
                <w:color w:val="auto"/>
              </w:rPr>
              <w:t>Solutions</w:t>
            </w:r>
          </w:p>
        </w:tc>
        <w:tc>
          <w:tcPr>
            <w:tcW w:w="720" w:type="dxa"/>
            <w:vAlign w:val="bottom"/>
            <w:gridSpan w:val="3"/>
          </w:tcPr>
          <w:p>
            <w:pPr>
              <w:jc w:val="center"/>
              <w:ind w:right="120"/>
              <w:spacing w:after="0" w:line="200" w:lineRule="exact"/>
              <w:rPr>
                <w:sz w:val="20"/>
                <w:szCs w:val="20"/>
                <w:color w:val="auto"/>
              </w:rPr>
            </w:pPr>
            <w:r>
              <w:rPr>
                <w:rFonts w:ascii="Arial" w:cs="Arial" w:eastAsia="Arial" w:hAnsi="Arial"/>
                <w:sz w:val="18"/>
                <w:szCs w:val="18"/>
                <w:color w:val="auto"/>
                <w:w w:val="99"/>
              </w:rPr>
              <w:t>2016</w:t>
            </w:r>
          </w:p>
        </w:tc>
        <w:tc>
          <w:tcPr>
            <w:tcW w:w="100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$395,863</w:t>
            </w:r>
            <w:r>
              <w:rPr>
                <w:rFonts w:ascii="Arial" w:cs="Arial" w:eastAsia="Arial" w:hAnsi="Arial"/>
                <w:sz w:val="23"/>
                <w:szCs w:val="23"/>
                <w:color w:val="auto"/>
                <w:vertAlign w:val="superscript"/>
              </w:rPr>
              <w:t>(13)</w:t>
            </w:r>
          </w:p>
        </w:tc>
        <w:tc>
          <w:tcPr>
            <w:tcW w:w="920" w:type="dxa"/>
            <w:vAlign w:val="bottom"/>
            <w:gridSpan w:val="2"/>
          </w:tcPr>
          <w:p>
            <w:pPr>
              <w:jc w:val="right"/>
              <w:ind w:right="20"/>
              <w:spacing w:after="0" w:line="200" w:lineRule="exact"/>
              <w:rPr>
                <w:sz w:val="20"/>
                <w:szCs w:val="20"/>
                <w:color w:val="auto"/>
              </w:rPr>
            </w:pPr>
            <w:r>
              <w:rPr>
                <w:rFonts w:ascii="Arial" w:cs="Arial" w:eastAsia="Arial" w:hAnsi="Arial"/>
                <w:sz w:val="15"/>
                <w:szCs w:val="15"/>
                <w:color w:val="auto"/>
              </w:rPr>
              <w:t>$9,375</w:t>
            </w:r>
            <w:r>
              <w:rPr>
                <w:rFonts w:ascii="Arial" w:cs="Arial" w:eastAsia="Arial" w:hAnsi="Arial"/>
                <w:sz w:val="23"/>
                <w:szCs w:val="23"/>
                <w:color w:val="auto"/>
                <w:vertAlign w:val="superscript"/>
              </w:rPr>
              <w:t>(14)</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6"/>
              <w:spacing w:after="0" w:line="200" w:lineRule="exact"/>
              <w:rPr>
                <w:sz w:val="20"/>
                <w:szCs w:val="20"/>
                <w:color w:val="auto"/>
              </w:rPr>
            </w:pPr>
            <w:r>
              <w:rPr>
                <w:rFonts w:ascii="Arial" w:cs="Arial" w:eastAsia="Arial" w:hAnsi="Arial"/>
                <w:sz w:val="18"/>
                <w:szCs w:val="18"/>
                <w:color w:val="auto"/>
              </w:rPr>
              <w:t>$290,625</w:t>
            </w:r>
          </w:p>
        </w:tc>
        <w:tc>
          <w:tcPr>
            <w:tcW w:w="152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$143,285</w:t>
            </w:r>
            <w:r>
              <w:rPr>
                <w:rFonts w:ascii="Arial" w:cs="Arial" w:eastAsia="Arial" w:hAnsi="Arial"/>
                <w:sz w:val="23"/>
                <w:szCs w:val="23"/>
                <w:color w:val="auto"/>
                <w:vertAlign w:val="superscript"/>
              </w:rPr>
              <w:t>(15)</w:t>
            </w:r>
          </w:p>
        </w:tc>
        <w:tc>
          <w:tcPr>
            <w:tcW w:w="11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$839,148</w:t>
            </w:r>
          </w:p>
        </w:tc>
        <w:tc>
          <w:tcPr>
            <w:tcW w:w="22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Gregory J. Ritts</w:t>
            </w:r>
          </w:p>
        </w:tc>
        <w:tc>
          <w:tcPr>
            <w:tcW w:w="7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2014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General Counsel</w:t>
            </w:r>
            <w:r>
              <w:rPr>
                <w:rFonts w:ascii="Arial" w:cs="Arial" w:eastAsia="Arial" w:hAnsi="Arial"/>
                <w:sz w:val="28"/>
                <w:szCs w:val="28"/>
                <w:color w:val="auto"/>
                <w:vertAlign w:val="superscript"/>
              </w:rPr>
              <w:t>(16)</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2015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$78,103</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$309,375</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$135,673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$1,051,471</w:t>
            </w:r>
          </w:p>
        </w:tc>
        <w:tc>
          <w:tcPr>
            <w:tcW w:w="2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2016</w:t>
            </w: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$425,000</w:t>
            </w:r>
            <w:r>
              <w:rPr>
                <w:rFonts w:ascii="Arial" w:cs="Arial" w:eastAsia="Arial" w:hAnsi="Arial"/>
                <w:sz w:val="25"/>
                <w:szCs w:val="25"/>
                <w:color w:val="auto"/>
                <w:vertAlign w:val="superscript"/>
              </w:rPr>
              <w:t>(17)</w:t>
            </w:r>
          </w:p>
        </w:tc>
        <w:tc>
          <w:tcPr>
            <w:tcW w:w="92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16"/>
                <w:szCs w:val="16"/>
                <w:color w:val="auto"/>
              </w:rPr>
              <w:t>$3,938</w:t>
            </w:r>
            <w:r>
              <w:rPr>
                <w:rFonts w:ascii="Arial" w:cs="Arial" w:eastAsia="Arial" w:hAnsi="Arial"/>
                <w:sz w:val="25"/>
                <w:szCs w:val="25"/>
                <w:color w:val="auto"/>
                <w:vertAlign w:val="superscript"/>
              </w:rPr>
              <w:t>(18)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$188,241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$266,063</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$133,422</w:t>
            </w:r>
            <w:r>
              <w:rPr>
                <w:rFonts w:ascii="Arial" w:cs="Arial" w:eastAsia="Arial" w:hAnsi="Arial"/>
                <w:sz w:val="25"/>
                <w:szCs w:val="25"/>
                <w:color w:val="auto"/>
                <w:vertAlign w:val="superscript"/>
              </w:rPr>
              <w:t>(19)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$1,016,664</w:t>
            </w:r>
          </w:p>
        </w:tc>
        <w:tc>
          <w:tcPr>
            <w:tcW w:w="220" w:type="dxa"/>
            <w:vAlign w:val="bottom"/>
            <w:shd w:val="clear" w:color="auto" w:fill="CCEEFF"/>
          </w:tcPr>
          <w:p>
            <w:pPr>
              <w:spacing w:after="0"/>
              <w:rPr>
                <w:sz w:val="18"/>
                <w:szCs w:val="18"/>
                <w:color w:val="auto"/>
              </w:rPr>
            </w:pPr>
          </w:p>
        </w:tc>
      </w:tr>
    </w:tbl>
    <w:p>
      <w:pPr>
        <w:spacing w:after="0" w:line="97"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Represents amounts earned in corresponding year.</w:t>
      </w:r>
    </w:p>
    <w:p>
      <w:pPr>
        <w:spacing w:after="0" w:line="207" w:lineRule="exact"/>
        <w:rPr>
          <w:rFonts w:ascii="Arial" w:cs="Arial" w:eastAsia="Arial" w:hAnsi="Arial"/>
          <w:sz w:val="29"/>
          <w:szCs w:val="29"/>
          <w:color w:val="auto"/>
          <w:vertAlign w:val="superscript"/>
        </w:rPr>
      </w:pPr>
    </w:p>
    <w:p>
      <w:pPr>
        <w:ind w:left="540" w:hanging="532"/>
        <w:spacing w:after="0" w:line="197"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restricted share awards granted on April 15, 2015. The value was determined by using the weighted average expense per award multiplied by the shares granted, as per the grant date.</w:t>
      </w:r>
    </w:p>
    <w:p>
      <w:pPr>
        <w:spacing w:after="0" w:line="196" w:lineRule="exact"/>
        <w:rPr>
          <w:rFonts w:ascii="Arial" w:cs="Arial" w:eastAsia="Arial" w:hAnsi="Arial"/>
          <w:sz w:val="29"/>
          <w:szCs w:val="29"/>
          <w:color w:val="auto"/>
          <w:vertAlign w:val="superscript"/>
        </w:rPr>
      </w:pPr>
    </w:p>
    <w:p>
      <w:pPr>
        <w:ind w:left="540" w:right="60" w:hanging="532"/>
        <w:spacing w:after="0" w:line="187" w:lineRule="auto"/>
        <w:tabs>
          <w:tab w:leader="none" w:pos="54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w:t>
      </w:r>
    </w:p>
    <w:p>
      <w:pPr>
        <w:spacing w:after="0" w:line="1" w:lineRule="exact"/>
        <w:rPr>
          <w:rFonts w:ascii="Arial" w:cs="Arial" w:eastAsia="Arial" w:hAnsi="Arial"/>
          <w:sz w:val="28"/>
          <w:szCs w:val="28"/>
          <w:color w:val="auto"/>
          <w:vertAlign w:val="superscript"/>
        </w:rPr>
      </w:pPr>
    </w:p>
    <w:p>
      <w:pPr>
        <w:ind w:left="540"/>
        <w:spacing w:after="0"/>
        <w:rPr>
          <w:rFonts w:ascii="Arial" w:cs="Arial" w:eastAsia="Arial" w:hAnsi="Arial"/>
          <w:sz w:val="28"/>
          <w:szCs w:val="28"/>
          <w:color w:val="auto"/>
          <w:vertAlign w:val="superscript"/>
        </w:rPr>
      </w:pPr>
      <w:r>
        <w:rPr>
          <w:rFonts w:ascii="Arial" w:cs="Arial" w:eastAsia="Arial" w:hAnsi="Arial"/>
          <w:sz w:val="18"/>
          <w:szCs w:val="18"/>
          <w:color w:val="auto"/>
        </w:rPr>
        <w:t>2016 using a Black-Scholes option-pricing model and a binomial option pricing model utilizing the following assumptions: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Service-Based Awards - Black-Scholes Option Pricing Model</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142"/>
        </w:trPr>
        <w:tc>
          <w:tcPr>
            <w:tcW w:w="2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w w:val="99"/>
              </w:rPr>
              <w:t>Expected</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Risk-Free</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Volatility</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Term in</w:t>
            </w:r>
          </w:p>
        </w:tc>
        <w:tc>
          <w:tcPr>
            <w:tcW w:w="0" w:type="dxa"/>
            <w:vAlign w:val="bottom"/>
          </w:tcPr>
          <w:p>
            <w:pPr>
              <w:spacing w:after="0"/>
              <w:rPr>
                <w:sz w:val="1"/>
                <w:szCs w:val="1"/>
                <w:color w:val="auto"/>
              </w:rPr>
            </w:pPr>
          </w:p>
        </w:tc>
      </w:tr>
      <w:tr>
        <w:trPr>
          <w:trHeight w:val="175"/>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Performance Year</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 (%)</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 (%)</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99"/>
        </w:trPr>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2014</w:t>
            </w:r>
          </w:p>
        </w:tc>
        <w:tc>
          <w:tcPr>
            <w:tcW w:w="80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4"/>
              </w:rPr>
              <w:t>38%</w:t>
            </w:r>
          </w:p>
        </w:tc>
        <w:tc>
          <w:tcPr>
            <w:tcW w:w="128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8"/>
              </w:rPr>
              <w:t>$105.11</w:t>
            </w:r>
          </w:p>
        </w:tc>
        <w:tc>
          <w:tcPr>
            <w:tcW w:w="130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7"/>
              </w:rPr>
              <w:t>1.80%</w:t>
            </w:r>
          </w:p>
        </w:tc>
        <w:tc>
          <w:tcPr>
            <w:tcW w:w="130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6"/>
              </w:rPr>
              <w:t>6.25</w:t>
            </w:r>
          </w:p>
        </w:tc>
        <w:tc>
          <w:tcPr>
            <w:tcW w:w="0" w:type="dxa"/>
            <w:vAlign w:val="bottom"/>
          </w:tcPr>
          <w:p>
            <w:pPr>
              <w:spacing w:after="0"/>
              <w:rPr>
                <w:sz w:val="1"/>
                <w:szCs w:val="1"/>
                <w:color w:val="auto"/>
              </w:rPr>
            </w:pPr>
          </w:p>
        </w:tc>
      </w:tr>
      <w:tr>
        <w:trPr>
          <w:trHeight w:val="103"/>
        </w:trPr>
        <w:tc>
          <w:tcPr>
            <w:tcW w:w="2160" w:type="dxa"/>
            <w:vAlign w:val="bottom"/>
            <w:vMerge w:val="continue"/>
            <w:shd w:val="clear" w:color="auto" w:fill="CCEEFF"/>
          </w:tcPr>
          <w:p>
            <w:pPr>
              <w:spacing w:after="0"/>
              <w:rPr>
                <w:sz w:val="8"/>
                <w:szCs w:val="8"/>
                <w:color w:val="auto"/>
              </w:rPr>
            </w:pPr>
          </w:p>
        </w:tc>
        <w:tc>
          <w:tcPr>
            <w:tcW w:w="800" w:type="dxa"/>
            <w:vAlign w:val="bottom"/>
            <w:gridSpan w:val="2"/>
            <w:vMerge w:val="restart"/>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4"/>
              </w:rPr>
              <w:t>40%</w:t>
            </w:r>
          </w:p>
        </w:tc>
        <w:tc>
          <w:tcPr>
            <w:tcW w:w="1280" w:type="dxa"/>
            <w:vAlign w:val="bottom"/>
            <w:gridSpan w:val="2"/>
            <w:vMerge w:val="restart"/>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8"/>
              </w:rPr>
              <w:t>$72.78</w:t>
            </w:r>
          </w:p>
        </w:tc>
        <w:tc>
          <w:tcPr>
            <w:tcW w:w="1300" w:type="dxa"/>
            <w:vAlign w:val="bottom"/>
            <w:gridSpan w:val="2"/>
            <w:vMerge w:val="restart"/>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7"/>
              </w:rPr>
              <w:t>1.86%</w:t>
            </w:r>
          </w:p>
        </w:tc>
        <w:tc>
          <w:tcPr>
            <w:tcW w:w="1300" w:type="dxa"/>
            <w:vAlign w:val="bottom"/>
            <w:gridSpan w:val="2"/>
            <w:vMerge w:val="restart"/>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6"/>
              </w:rPr>
              <w:t>6.25</w:t>
            </w:r>
          </w:p>
        </w:tc>
        <w:tc>
          <w:tcPr>
            <w:tcW w:w="0" w:type="dxa"/>
            <w:vAlign w:val="bottom"/>
          </w:tcPr>
          <w:p>
            <w:pPr>
              <w:spacing w:after="0"/>
              <w:rPr>
                <w:sz w:val="1"/>
                <w:szCs w:val="1"/>
                <w:color w:val="auto"/>
              </w:rPr>
            </w:pPr>
          </w:p>
        </w:tc>
      </w:tr>
      <w:tr>
        <w:trPr>
          <w:trHeight w:val="97"/>
        </w:trPr>
        <w:tc>
          <w:tcPr>
            <w:tcW w:w="216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9"/>
              </w:rPr>
              <w:t>2015</w:t>
            </w:r>
          </w:p>
        </w:tc>
        <w:tc>
          <w:tcPr>
            <w:tcW w:w="800" w:type="dxa"/>
            <w:vAlign w:val="bottom"/>
            <w:gridSpan w:val="2"/>
          </w:tcPr>
          <w:p>
            <w:pPr>
              <w:jc w:val="center"/>
              <w:ind w:left="52"/>
              <w:spacing w:after="0" w:line="206" w:lineRule="exact"/>
              <w:rPr>
                <w:sz w:val="20"/>
                <w:szCs w:val="20"/>
                <w:color w:val="auto"/>
              </w:rPr>
            </w:pPr>
            <w:r>
              <w:rPr>
                <w:rFonts w:ascii="Arial" w:cs="Arial" w:eastAsia="Arial" w:hAnsi="Arial"/>
                <w:sz w:val="18"/>
                <w:szCs w:val="18"/>
                <w:color w:val="auto"/>
                <w:w w:val="94"/>
              </w:rPr>
              <w:t>55%</w:t>
            </w:r>
          </w:p>
        </w:tc>
        <w:tc>
          <w:tcPr>
            <w:tcW w:w="1280" w:type="dxa"/>
            <w:vAlign w:val="bottom"/>
            <w:gridSpan w:val="2"/>
          </w:tcPr>
          <w:p>
            <w:pPr>
              <w:jc w:val="center"/>
              <w:ind w:left="52"/>
              <w:spacing w:after="0" w:line="20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8"/>
              </w:rPr>
              <w:t>$21.89</w:t>
            </w:r>
          </w:p>
        </w:tc>
        <w:tc>
          <w:tcPr>
            <w:tcW w:w="130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7"/>
              </w:rPr>
              <w:t>1.67%</w:t>
            </w:r>
          </w:p>
        </w:tc>
        <w:tc>
          <w:tcPr>
            <w:tcW w:w="130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6"/>
              </w:rPr>
              <w:t>6.25</w:t>
            </w:r>
          </w:p>
        </w:tc>
        <w:tc>
          <w:tcPr>
            <w:tcW w:w="0" w:type="dxa"/>
            <w:vAlign w:val="bottom"/>
          </w:tcPr>
          <w:p>
            <w:pPr>
              <w:spacing w:after="0"/>
              <w:rPr>
                <w:sz w:val="1"/>
                <w:szCs w:val="1"/>
                <w:color w:val="auto"/>
              </w:rPr>
            </w:pPr>
          </w:p>
        </w:tc>
      </w:tr>
      <w:tr>
        <w:trPr>
          <w:trHeight w:val="103"/>
        </w:trPr>
        <w:tc>
          <w:tcPr>
            <w:tcW w:w="2160" w:type="dxa"/>
            <w:vAlign w:val="bottom"/>
            <w:vMerge w:val="continue"/>
          </w:tcPr>
          <w:p>
            <w:pPr>
              <w:spacing w:after="0"/>
              <w:rPr>
                <w:sz w:val="8"/>
                <w:szCs w:val="8"/>
                <w:color w:val="auto"/>
              </w:rPr>
            </w:pPr>
          </w:p>
        </w:tc>
        <w:tc>
          <w:tcPr>
            <w:tcW w:w="800" w:type="dxa"/>
            <w:vAlign w:val="bottom"/>
            <w:gridSpan w:val="2"/>
            <w:vMerge w:val="restart"/>
          </w:tcPr>
          <w:p>
            <w:pPr>
              <w:jc w:val="center"/>
              <w:ind w:left="52"/>
              <w:spacing w:after="0" w:line="200" w:lineRule="exact"/>
              <w:rPr>
                <w:sz w:val="20"/>
                <w:szCs w:val="20"/>
                <w:color w:val="auto"/>
              </w:rPr>
            </w:pPr>
            <w:r>
              <w:rPr>
                <w:rFonts w:ascii="Arial" w:cs="Arial" w:eastAsia="Arial" w:hAnsi="Arial"/>
                <w:sz w:val="18"/>
                <w:szCs w:val="18"/>
                <w:color w:val="auto"/>
                <w:w w:val="94"/>
              </w:rPr>
              <w:t>57%</w:t>
            </w:r>
          </w:p>
        </w:tc>
        <w:tc>
          <w:tcPr>
            <w:tcW w:w="1280" w:type="dxa"/>
            <w:vAlign w:val="bottom"/>
            <w:gridSpan w:val="2"/>
            <w:vMerge w:val="restart"/>
          </w:tcPr>
          <w:p>
            <w:pPr>
              <w:jc w:val="center"/>
              <w:ind w:left="5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center"/>
              <w:ind w:left="72"/>
              <w:spacing w:after="0" w:line="200" w:lineRule="exact"/>
              <w:rPr>
                <w:sz w:val="20"/>
                <w:szCs w:val="20"/>
                <w:color w:val="auto"/>
              </w:rPr>
            </w:pPr>
            <w:r>
              <w:rPr>
                <w:rFonts w:ascii="Arial" w:cs="Arial" w:eastAsia="Arial" w:hAnsi="Arial"/>
                <w:sz w:val="18"/>
                <w:szCs w:val="18"/>
                <w:color w:val="auto"/>
                <w:w w:val="98"/>
              </w:rPr>
              <w:t>$18.79</w:t>
            </w:r>
          </w:p>
        </w:tc>
        <w:tc>
          <w:tcPr>
            <w:tcW w:w="1300" w:type="dxa"/>
            <w:vAlign w:val="bottom"/>
            <w:gridSpan w:val="2"/>
            <w:vMerge w:val="restart"/>
          </w:tcPr>
          <w:p>
            <w:pPr>
              <w:jc w:val="center"/>
              <w:ind w:left="72"/>
              <w:spacing w:after="0" w:line="200" w:lineRule="exact"/>
              <w:rPr>
                <w:sz w:val="20"/>
                <w:szCs w:val="20"/>
                <w:color w:val="auto"/>
              </w:rPr>
            </w:pPr>
            <w:r>
              <w:rPr>
                <w:rFonts w:ascii="Arial" w:cs="Arial" w:eastAsia="Arial" w:hAnsi="Arial"/>
                <w:sz w:val="18"/>
                <w:szCs w:val="18"/>
                <w:color w:val="auto"/>
                <w:w w:val="97"/>
              </w:rPr>
              <w:t>1.50%</w:t>
            </w:r>
          </w:p>
        </w:tc>
        <w:tc>
          <w:tcPr>
            <w:tcW w:w="1300" w:type="dxa"/>
            <w:vAlign w:val="bottom"/>
            <w:gridSpan w:val="2"/>
            <w:vMerge w:val="restart"/>
          </w:tcPr>
          <w:p>
            <w:pPr>
              <w:jc w:val="center"/>
              <w:ind w:left="72"/>
              <w:spacing w:after="0" w:line="200" w:lineRule="exact"/>
              <w:rPr>
                <w:sz w:val="20"/>
                <w:szCs w:val="20"/>
                <w:color w:val="auto"/>
              </w:rPr>
            </w:pPr>
            <w:r>
              <w:rPr>
                <w:rFonts w:ascii="Arial" w:cs="Arial" w:eastAsia="Arial" w:hAnsi="Arial"/>
                <w:sz w:val="18"/>
                <w:szCs w:val="18"/>
                <w:color w:val="auto"/>
                <w:w w:val="96"/>
              </w:rPr>
              <w:t>6.00</w:t>
            </w:r>
          </w:p>
        </w:tc>
        <w:tc>
          <w:tcPr>
            <w:tcW w:w="0" w:type="dxa"/>
            <w:vAlign w:val="bottom"/>
          </w:tcPr>
          <w:p>
            <w:pPr>
              <w:spacing w:after="0"/>
              <w:rPr>
                <w:sz w:val="1"/>
                <w:szCs w:val="1"/>
                <w:color w:val="auto"/>
              </w:rPr>
            </w:pPr>
          </w:p>
        </w:tc>
      </w:tr>
      <w:tr>
        <w:trPr>
          <w:trHeight w:val="97"/>
        </w:trPr>
        <w:tc>
          <w:tcPr>
            <w:tcW w:w="21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2016</w:t>
            </w:r>
          </w:p>
        </w:tc>
        <w:tc>
          <w:tcPr>
            <w:tcW w:w="800" w:type="dxa"/>
            <w:vAlign w:val="bottom"/>
            <w:gridSpan w:val="2"/>
            <w:shd w:val="clear" w:color="auto" w:fill="CCEEFF"/>
          </w:tcPr>
          <w:p>
            <w:pPr>
              <w:jc w:val="center"/>
              <w:ind w:left="52"/>
              <w:spacing w:after="0" w:line="202" w:lineRule="exact"/>
              <w:rPr>
                <w:sz w:val="20"/>
                <w:szCs w:val="20"/>
                <w:color w:val="auto"/>
              </w:rPr>
            </w:pPr>
            <w:r>
              <w:rPr>
                <w:rFonts w:ascii="Arial" w:cs="Arial" w:eastAsia="Arial" w:hAnsi="Arial"/>
                <w:sz w:val="18"/>
                <w:szCs w:val="18"/>
                <w:color w:val="auto"/>
                <w:w w:val="94"/>
              </w:rPr>
              <w:t>62%</w:t>
            </w:r>
          </w:p>
        </w:tc>
        <w:tc>
          <w:tcPr>
            <w:tcW w:w="1280" w:type="dxa"/>
            <w:vAlign w:val="bottom"/>
            <w:gridSpan w:val="2"/>
            <w:shd w:val="clear" w:color="auto" w:fill="CCEEFF"/>
          </w:tcPr>
          <w:p>
            <w:pPr>
              <w:jc w:val="center"/>
              <w:ind w:left="52"/>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8"/>
              </w:rPr>
              <w:t>$32.64</w:t>
            </w:r>
          </w:p>
        </w:tc>
        <w:tc>
          <w:tcPr>
            <w:tcW w:w="130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7"/>
              </w:rPr>
              <w:t>1.31%</w:t>
            </w:r>
          </w:p>
        </w:tc>
        <w:tc>
          <w:tcPr>
            <w:tcW w:w="130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6"/>
              </w:rPr>
              <w:t>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Market-Based Awards - Binomial Option Pricing Model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Risk-Free</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Volatility</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4"/>
                <w:szCs w:val="14"/>
                <w:color w:val="auto"/>
              </w:rPr>
            </w:pPr>
          </w:p>
        </w:tc>
        <w:tc>
          <w:tcPr>
            <w:tcW w:w="294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8"/>
              </w:rPr>
              <w:t>Term in</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Performance Year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Yield (%)</w:t>
            </w:r>
          </w:p>
        </w:tc>
        <w:tc>
          <w:tcPr>
            <w:tcW w:w="11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Rate (%)</w:t>
            </w:r>
          </w:p>
        </w:tc>
        <w:tc>
          <w:tcPr>
            <w:tcW w:w="160" w:type="dxa"/>
            <w:vAlign w:val="bottom"/>
          </w:tcPr>
          <w:p>
            <w:pPr>
              <w:spacing w:after="0"/>
              <w:rPr>
                <w:sz w:val="15"/>
                <w:szCs w:val="15"/>
                <w:color w:val="auto"/>
              </w:rPr>
            </w:pPr>
          </w:p>
        </w:tc>
        <w:tc>
          <w:tcPr>
            <w:tcW w:w="294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2014</w:t>
            </w:r>
          </w:p>
        </w:tc>
        <w:tc>
          <w:tcPr>
            <w:tcW w:w="4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40%</w:t>
            </w: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$72.78</w:t>
            </w:r>
          </w:p>
        </w:tc>
        <w:tc>
          <w:tcPr>
            <w:tcW w:w="160" w:type="dxa"/>
            <w:vAlign w:val="bottom"/>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0.04% - 2.38%</w:t>
            </w:r>
          </w:p>
        </w:tc>
        <w:tc>
          <w:tcPr>
            <w:tcW w:w="16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4.36 - 5.51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0" w:type="dxa"/>
            <w:vAlign w:val="bottom"/>
            <w:gridSpan w:val="3"/>
            <w:vMerge w:val="restart"/>
          </w:tcPr>
          <w:p>
            <w:pPr>
              <w:jc w:val="center"/>
              <w:ind w:left="1912"/>
              <w:spacing w:after="0"/>
              <w:rPr>
                <w:sz w:val="20"/>
                <w:szCs w:val="20"/>
                <w:color w:val="auto"/>
              </w:rPr>
            </w:pPr>
            <w:r>
              <w:rPr>
                <w:rFonts w:ascii="Arial" w:cs="Arial" w:eastAsia="Arial" w:hAnsi="Arial"/>
                <w:sz w:val="18"/>
                <w:szCs w:val="18"/>
                <w:color w:val="auto"/>
                <w:w w:val="99"/>
              </w:rPr>
              <w:t>2015</w:t>
            </w:r>
          </w:p>
        </w:tc>
        <w:tc>
          <w:tcPr>
            <w:tcW w:w="420" w:type="dxa"/>
            <w:vAlign w:val="bottom"/>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99"/>
              </w:rPr>
              <w:t>55%</w:t>
            </w:r>
          </w:p>
        </w:tc>
        <w:tc>
          <w:tcPr>
            <w:tcW w:w="1080" w:type="dxa"/>
            <w:vAlign w:val="bottom"/>
            <w:gridSpan w:val="2"/>
          </w:tcPr>
          <w:p>
            <w:pPr>
              <w:jc w:val="center"/>
              <w:ind w:left="92"/>
              <w:spacing w:after="0" w:line="20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75"/>
              <w:spacing w:after="0" w:line="206" w:lineRule="exact"/>
              <w:rPr>
                <w:sz w:val="20"/>
                <w:szCs w:val="20"/>
                <w:color w:val="auto"/>
              </w:rPr>
            </w:pPr>
            <w:r>
              <w:rPr>
                <w:rFonts w:ascii="Arial" w:cs="Arial" w:eastAsia="Arial" w:hAnsi="Arial"/>
                <w:sz w:val="18"/>
                <w:szCs w:val="18"/>
                <w:color w:val="auto"/>
                <w:w w:val="98"/>
              </w:rPr>
              <w:t>$21.89</w:t>
            </w:r>
          </w:p>
        </w:tc>
        <w:tc>
          <w:tcPr>
            <w:tcW w:w="182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6"/>
              </w:rPr>
              <w:t>0.02% - 2.01%</w:t>
            </w:r>
          </w:p>
        </w:tc>
        <w:tc>
          <w:tcPr>
            <w:tcW w:w="1380" w:type="dxa"/>
            <w:vAlign w:val="bottom"/>
            <w:gridSpan w:val="2"/>
          </w:tcPr>
          <w:p>
            <w:pPr>
              <w:jc w:val="center"/>
              <w:ind w:left="92"/>
              <w:spacing w:after="0" w:line="206" w:lineRule="exact"/>
              <w:rPr>
                <w:sz w:val="20"/>
                <w:szCs w:val="20"/>
                <w:color w:val="auto"/>
              </w:rPr>
            </w:pPr>
            <w:r>
              <w:rPr>
                <w:rFonts w:ascii="Arial" w:cs="Arial" w:eastAsia="Arial" w:hAnsi="Arial"/>
                <w:sz w:val="18"/>
                <w:szCs w:val="18"/>
                <w:color w:val="auto"/>
                <w:w w:val="97"/>
              </w:rPr>
              <w:t>4.45 - 4.92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20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vMerge w:val="restart"/>
          </w:tcPr>
          <w:p>
            <w:pPr>
              <w:jc w:val="center"/>
              <w:spacing w:after="0" w:line="200" w:lineRule="exact"/>
              <w:rPr>
                <w:sz w:val="20"/>
                <w:szCs w:val="20"/>
                <w:color w:val="auto"/>
              </w:rPr>
            </w:pPr>
            <w:r>
              <w:rPr>
                <w:rFonts w:ascii="Arial" w:cs="Arial" w:eastAsia="Arial" w:hAnsi="Arial"/>
                <w:sz w:val="18"/>
                <w:szCs w:val="18"/>
                <w:color w:val="auto"/>
                <w:w w:val="99"/>
              </w:rPr>
              <w:t>57%</w:t>
            </w:r>
          </w:p>
        </w:tc>
        <w:tc>
          <w:tcPr>
            <w:tcW w:w="1080" w:type="dxa"/>
            <w:vAlign w:val="bottom"/>
            <w:gridSpan w:val="2"/>
            <w:vMerge w:val="restart"/>
          </w:tcPr>
          <w:p>
            <w:pPr>
              <w:jc w:val="center"/>
              <w:ind w:left="9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center"/>
              <w:ind w:left="75"/>
              <w:spacing w:after="0" w:line="200" w:lineRule="exact"/>
              <w:rPr>
                <w:sz w:val="20"/>
                <w:szCs w:val="20"/>
                <w:color w:val="auto"/>
              </w:rPr>
            </w:pPr>
            <w:r>
              <w:rPr>
                <w:rFonts w:ascii="Arial" w:cs="Arial" w:eastAsia="Arial" w:hAnsi="Arial"/>
                <w:sz w:val="18"/>
                <w:szCs w:val="18"/>
                <w:color w:val="auto"/>
                <w:w w:val="98"/>
              </w:rPr>
              <w:t>$18.79</w:t>
            </w:r>
          </w:p>
        </w:tc>
        <w:tc>
          <w:tcPr>
            <w:tcW w:w="1820" w:type="dxa"/>
            <w:vAlign w:val="bottom"/>
            <w:gridSpan w:val="2"/>
            <w:vMerge w:val="restart"/>
          </w:tcPr>
          <w:p>
            <w:pPr>
              <w:jc w:val="center"/>
              <w:ind w:left="72"/>
              <w:spacing w:after="0" w:line="200" w:lineRule="exact"/>
              <w:rPr>
                <w:sz w:val="20"/>
                <w:szCs w:val="20"/>
                <w:color w:val="auto"/>
              </w:rPr>
            </w:pPr>
            <w:r>
              <w:rPr>
                <w:rFonts w:ascii="Arial" w:cs="Arial" w:eastAsia="Arial" w:hAnsi="Arial"/>
                <w:sz w:val="18"/>
                <w:szCs w:val="18"/>
                <w:color w:val="auto"/>
                <w:w w:val="96"/>
              </w:rPr>
              <w:t>0.02% - 1.91%</w:t>
            </w:r>
          </w:p>
        </w:tc>
        <w:tc>
          <w:tcPr>
            <w:tcW w:w="1380" w:type="dxa"/>
            <w:vAlign w:val="bottom"/>
            <w:gridSpan w:val="2"/>
            <w:vMerge w:val="restart"/>
          </w:tcPr>
          <w:p>
            <w:pPr>
              <w:jc w:val="center"/>
              <w:ind w:left="92"/>
              <w:spacing w:after="0" w:line="200" w:lineRule="exact"/>
              <w:rPr>
                <w:sz w:val="20"/>
                <w:szCs w:val="20"/>
                <w:color w:val="auto"/>
              </w:rPr>
            </w:pPr>
            <w:r>
              <w:rPr>
                <w:rFonts w:ascii="Arial" w:cs="Arial" w:eastAsia="Arial" w:hAnsi="Arial"/>
                <w:sz w:val="18"/>
                <w:szCs w:val="18"/>
                <w:color w:val="auto"/>
                <w:w w:val="97"/>
              </w:rPr>
              <w:t>4.10 - 4.41</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480" w:type="dxa"/>
            <w:vAlign w:val="bottom"/>
            <w:gridSpan w:val="2"/>
            <w:shd w:val="clear" w:color="auto" w:fill="CCEEFF"/>
          </w:tcPr>
          <w:p>
            <w:pPr>
              <w:jc w:val="center"/>
              <w:ind w:left="200"/>
              <w:spacing w:after="0" w:line="202" w:lineRule="exact"/>
              <w:rPr>
                <w:sz w:val="20"/>
                <w:szCs w:val="20"/>
                <w:color w:val="auto"/>
              </w:rPr>
            </w:pPr>
            <w:r>
              <w:rPr>
                <w:rFonts w:ascii="Arial" w:cs="Arial" w:eastAsia="Arial" w:hAnsi="Arial"/>
                <w:sz w:val="18"/>
                <w:szCs w:val="18"/>
                <w:color w:val="auto"/>
                <w:w w:val="99"/>
              </w:rPr>
              <w:t>2016</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62%</w:t>
            </w:r>
          </w:p>
        </w:tc>
        <w:tc>
          <w:tcPr>
            <w:tcW w:w="10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5"/>
              <w:spacing w:after="0" w:line="202" w:lineRule="exact"/>
              <w:rPr>
                <w:sz w:val="20"/>
                <w:szCs w:val="20"/>
                <w:color w:val="auto"/>
              </w:rPr>
            </w:pPr>
            <w:r>
              <w:rPr>
                <w:rFonts w:ascii="Arial" w:cs="Arial" w:eastAsia="Arial" w:hAnsi="Arial"/>
                <w:sz w:val="18"/>
                <w:szCs w:val="18"/>
                <w:color w:val="auto"/>
                <w:w w:val="98"/>
              </w:rPr>
              <w:t>$32.64</w:t>
            </w:r>
          </w:p>
        </w:tc>
        <w:tc>
          <w:tcPr>
            <w:tcW w:w="1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6"/>
              </w:rPr>
              <w:t>0.25% - 1.57%</w:t>
            </w:r>
          </w:p>
        </w:tc>
        <w:tc>
          <w:tcPr>
            <w:tcW w:w="13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7"/>
              </w:rPr>
              <w:t>4.04 - 4.36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132715</wp:posOffset>
            </wp:positionV>
            <wp:extent cx="177546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754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0" w:right="20" w:hanging="532"/>
        <w:spacing w:after="0" w:line="183"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Consists of the cash portion of annual incentive compensation related to performance measures satisfied in the year indicated and awarded in the first quarter of the following year.</w:t>
      </w:r>
    </w:p>
    <w:p>
      <w:pPr>
        <w:spacing w:after="0" w:line="209" w:lineRule="exact"/>
        <w:rPr>
          <w:rFonts w:ascii="Arial" w:cs="Arial" w:eastAsia="Arial" w:hAnsi="Arial"/>
          <w:sz w:val="29"/>
          <w:szCs w:val="29"/>
          <w:color w:val="auto"/>
          <w:vertAlign w:val="superscript"/>
        </w:rPr>
      </w:pPr>
    </w:p>
    <w:p>
      <w:pPr>
        <w:ind w:left="540" w:right="460" w:hanging="532"/>
        <w:spacing w:after="0" w:line="197"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Consists of contributions paid by Altisource to each Named Executive Officer for housing allowances, personal use of company car(s), settling-in allowances, education allowances, goods and services allowances, travel allowances, medical benefits and tax-related allowances as detailed below.</w:t>
      </w:r>
    </w:p>
    <w:p>
      <w:pPr>
        <w:spacing w:after="0" w:line="65"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Mr. Shepro's base salary is set in U.S. dollars and paid in euros. His base salary was converted to euros using an exchange rate of</w:t>
      </w:r>
    </w:p>
    <w:p>
      <w:pPr>
        <w:ind w:left="540" w:right="20"/>
        <w:spacing w:after="0" w:line="237" w:lineRule="auto"/>
        <w:rPr>
          <w:rFonts w:ascii="Arial" w:cs="Arial" w:eastAsia="Arial" w:hAnsi="Arial"/>
          <w:sz w:val="29"/>
          <w:szCs w:val="29"/>
          <w:color w:val="auto"/>
          <w:vertAlign w:val="superscript"/>
        </w:rPr>
      </w:pPr>
      <w:r>
        <w:rPr>
          <w:rFonts w:ascii="Arial" w:cs="Arial" w:eastAsia="Arial" w:hAnsi="Arial"/>
          <w:sz w:val="18"/>
          <w:szCs w:val="18"/>
          <w:color w:val="auto"/>
        </w:rPr>
        <w:t>0.83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95" w:lineRule="exact"/>
        <w:rPr>
          <w:rFonts w:ascii="Arial" w:cs="Arial" w:eastAsia="Arial" w:hAnsi="Arial"/>
          <w:sz w:val="29"/>
          <w:szCs w:val="29"/>
          <w:color w:val="auto"/>
          <w:vertAlign w:val="superscript"/>
        </w:rPr>
      </w:pPr>
    </w:p>
    <w:p>
      <w:pPr>
        <w:ind w:left="540" w:hanging="532"/>
        <w:spacing w:after="0" w:line="197"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Eighty percent (80%) of Mr. Shepro's incentive compensation for 2016 was paid in U.S. dollars and the remaining twenty percent (20%) was paid in euros. For purposes of the table, the portion of his incentive compensation paid in euros was converted to U.S. dollars at an exchange rate of 0.943 euros to the U.S. dollar, the exchange rate on the date of payment.</w:t>
      </w:r>
    </w:p>
    <w:p>
      <w:pPr>
        <w:spacing w:after="0" w:line="210" w:lineRule="exact"/>
        <w:rPr>
          <w:rFonts w:ascii="Arial" w:cs="Arial" w:eastAsia="Arial" w:hAnsi="Arial"/>
          <w:sz w:val="29"/>
          <w:szCs w:val="29"/>
          <w:color w:val="auto"/>
          <w:vertAlign w:val="superscript"/>
        </w:rPr>
      </w:pPr>
    </w:p>
    <w:p>
      <w:pPr>
        <w:ind w:left="540" w:right="40" w:hanging="532"/>
        <w:spacing w:after="0" w:line="211"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Includes $134,960 for housing allowance, $13,145 for personal use of two company cars, $66,384 for education allowance, $19,687 for goods and services allowance, $26,649 for travel allowance, $33,257 for medical benefits, $604,374 for tax normalization allowance for 2015 earnings, and $10,032 for tax preparation services. Mr. Shepro's other compensation is paid in euros and, for purposes of the table, is converted into U.S. dollars based on the OANDA one-year average exchange rate ending on December 31, 2016, 0.904 euros to the U.S. dollar.</w:t>
      </w:r>
    </w:p>
    <w:p>
      <w:pPr>
        <w:spacing w:after="0" w:line="63"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Mr. Wilcox's base salary is set in U.S. dollars and paid in euros. His base salary was converted to euros using an exchange rate of</w:t>
      </w:r>
    </w:p>
    <w:p>
      <w:pPr>
        <w:ind w:left="540" w:right="20"/>
        <w:spacing w:after="0" w:line="237" w:lineRule="auto"/>
        <w:rPr>
          <w:rFonts w:ascii="Arial" w:cs="Arial" w:eastAsia="Arial" w:hAnsi="Arial"/>
          <w:sz w:val="29"/>
          <w:szCs w:val="29"/>
          <w:color w:val="auto"/>
          <w:vertAlign w:val="superscript"/>
        </w:rPr>
      </w:pPr>
      <w:r>
        <w:rPr>
          <w:rFonts w:ascii="Arial" w:cs="Arial" w:eastAsia="Arial" w:hAnsi="Arial"/>
          <w:sz w:val="18"/>
          <w:szCs w:val="18"/>
          <w:color w:val="auto"/>
        </w:rPr>
        <w:t>0.83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95" w:lineRule="exact"/>
        <w:rPr>
          <w:rFonts w:ascii="Arial" w:cs="Arial" w:eastAsia="Arial" w:hAnsi="Arial"/>
          <w:sz w:val="29"/>
          <w:szCs w:val="29"/>
          <w:color w:val="auto"/>
          <w:vertAlign w:val="superscript"/>
        </w:rPr>
      </w:pPr>
    </w:p>
    <w:p>
      <w:pPr>
        <w:ind w:left="540" w:right="40" w:hanging="532"/>
        <w:spacing w:after="0" w:line="205"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Includes $117,103 for housing allowance, $2,842 for personal use of a company car, $19,687 for goods and services allowance, $5,875 for travel allowance, $10,787 for medical benefits, $196,109 for tax normalization allowance for 2015 earnings, and $10,032 for tax preparation services. Mr. Wilcox's other compensation is paid in euros and, for purposes of the table, is converted into U.S. dollars based on the OANDA one-year average exchange rate ending on December 31, 2016, 0.904 euros to the U.S. dollar.</w:t>
      </w:r>
    </w:p>
    <w:p>
      <w:pPr>
        <w:spacing w:after="0" w:line="80"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Ms. Esterman's base salary is set in U.S. dollars and paid in euros. Her base salary was converted to euros using an exchange rate of</w:t>
      </w:r>
    </w:p>
    <w:p>
      <w:pPr>
        <w:ind w:left="540" w:right="20"/>
        <w:spacing w:after="0" w:line="237" w:lineRule="auto"/>
        <w:rPr>
          <w:rFonts w:ascii="Arial" w:cs="Arial" w:eastAsia="Arial" w:hAnsi="Arial"/>
          <w:sz w:val="29"/>
          <w:szCs w:val="29"/>
          <w:color w:val="auto"/>
          <w:vertAlign w:val="superscript"/>
        </w:rPr>
      </w:pPr>
      <w:r>
        <w:rPr>
          <w:rFonts w:ascii="Arial" w:cs="Arial" w:eastAsia="Arial" w:hAnsi="Arial"/>
          <w:sz w:val="18"/>
          <w:szCs w:val="18"/>
          <w:color w:val="auto"/>
        </w:rPr>
        <w:t>0.83 euros to the U.S. dollar, the exchange rate applicable to her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95" w:lineRule="exact"/>
        <w:rPr>
          <w:rFonts w:ascii="Arial" w:cs="Arial" w:eastAsia="Arial" w:hAnsi="Arial"/>
          <w:sz w:val="29"/>
          <w:szCs w:val="29"/>
          <w:color w:val="auto"/>
          <w:vertAlign w:val="superscript"/>
        </w:rPr>
      </w:pPr>
    </w:p>
    <w:p>
      <w:pPr>
        <w:ind w:left="540" w:right="360" w:hanging="532"/>
        <w:spacing w:after="0" w:line="205"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Includes $26,554 for housing allowance, $4,872 for personal use of a company car, $19,860 for education allowance, $10,154 for travel allowance, $10,092 for medical benefits, $164,061 for tax equalization allowances for 2014 and 2015 earnings, and $10,982 for tax preparation services. Ms. Esterman's other compensation is paid in euros and, for purposes of the table, is converted into U.S. dollars based on the OANDA one-year average exchange rate ending on December 31, 2016, 0.904 euros to the U.S. dollar.</w:t>
      </w:r>
    </w:p>
    <w:p>
      <w:pPr>
        <w:spacing w:after="0" w:line="66"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Mr. Davila's base salary is set in U.S. dollars and paid in euros. His base salary was converted to euros using an exchange rate of</w:t>
      </w:r>
    </w:p>
    <w:p>
      <w:pPr>
        <w:ind w:left="540" w:right="20"/>
        <w:spacing w:after="0" w:line="237" w:lineRule="auto"/>
        <w:rPr>
          <w:rFonts w:ascii="Arial" w:cs="Arial" w:eastAsia="Arial" w:hAnsi="Arial"/>
          <w:sz w:val="29"/>
          <w:szCs w:val="29"/>
          <w:color w:val="auto"/>
          <w:vertAlign w:val="superscript"/>
        </w:rPr>
      </w:pPr>
      <w:r>
        <w:rPr>
          <w:rFonts w:ascii="Arial" w:cs="Arial" w:eastAsia="Arial" w:hAnsi="Arial"/>
          <w:sz w:val="18"/>
          <w:szCs w:val="18"/>
          <w:color w:val="auto"/>
        </w:rPr>
        <w:t>0.786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208" w:lineRule="exact"/>
        <w:rPr>
          <w:rFonts w:ascii="Arial" w:cs="Arial" w:eastAsia="Arial" w:hAnsi="Arial"/>
          <w:sz w:val="29"/>
          <w:szCs w:val="29"/>
          <w:color w:val="auto"/>
          <w:vertAlign w:val="superscript"/>
        </w:rPr>
      </w:pPr>
    </w:p>
    <w:p>
      <w:pPr>
        <w:ind w:left="540" w:right="240" w:hanging="532"/>
        <w:spacing w:after="0" w:line="183"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Represents a one-time discretionary award to reflect Mr. Davila's efforts and accomplishments leading our Servicer Solutions business to position it for continued growth.</w:t>
      </w:r>
    </w:p>
    <w:p>
      <w:pPr>
        <w:spacing w:after="0" w:line="195" w:lineRule="exact"/>
        <w:rPr>
          <w:rFonts w:ascii="Arial" w:cs="Arial" w:eastAsia="Arial" w:hAnsi="Arial"/>
          <w:sz w:val="29"/>
          <w:szCs w:val="29"/>
          <w:color w:val="auto"/>
          <w:vertAlign w:val="superscript"/>
        </w:rPr>
      </w:pPr>
    </w:p>
    <w:p>
      <w:pPr>
        <w:ind w:left="540" w:right="80" w:hanging="532"/>
        <w:spacing w:after="0" w:line="205"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Includes $26,554 for housing allowance, $32,238 for education allowance, $7,285 for travel allowance, $71,772 for tax equalization allowance for 2014 earnings, and $5,436 for tax preparation services. Mr. Davila's other compensation is paid in euros and, for purposes of the table, is converted into U.S. dollars based on the OANDA one-year average exchange rate ending on December 31, 2016, 0.904 euros to the U.S. dollar.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132715</wp:posOffset>
            </wp:positionV>
            <wp:extent cx="177546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754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0" w:right="180" w:hanging="532"/>
        <w:spacing w:after="0" w:line="183" w:lineRule="auto"/>
        <w:tabs>
          <w:tab w:leader="none" w:pos="5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Information for 2014 is not provided for Mr. Ritts because he joined the Company on October 1, 2014 and was therefore not determined to be an "executive officer" for purposes of Rule 16a-1(f) under the Exchange Act until that date.</w:t>
      </w:r>
    </w:p>
    <w:p>
      <w:pPr>
        <w:spacing w:after="0" w:line="209" w:lineRule="exact"/>
        <w:rPr>
          <w:rFonts w:ascii="Arial" w:cs="Arial" w:eastAsia="Arial" w:hAnsi="Arial"/>
          <w:sz w:val="29"/>
          <w:szCs w:val="29"/>
          <w:color w:val="auto"/>
          <w:vertAlign w:val="superscript"/>
        </w:rPr>
      </w:pPr>
    </w:p>
    <w:p>
      <w:pPr>
        <w:ind w:left="540" w:hanging="532"/>
        <w:spacing w:after="0" w:line="211" w:lineRule="auto"/>
        <w:tabs>
          <w:tab w:leader="none" w:pos="5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Mr. Ritts' base salary is set in U.S. dollars and paid in euros. His base salary was converted to euros using an exchange rate of 0.80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94" w:lineRule="exact"/>
        <w:rPr>
          <w:rFonts w:ascii="Arial" w:cs="Arial" w:eastAsia="Arial" w:hAnsi="Arial"/>
          <w:sz w:val="29"/>
          <w:szCs w:val="29"/>
          <w:color w:val="auto"/>
          <w:vertAlign w:val="superscript"/>
        </w:rPr>
      </w:pPr>
    </w:p>
    <w:p>
      <w:pPr>
        <w:ind w:left="540" w:right="560" w:hanging="532"/>
        <w:spacing w:after="0" w:line="183" w:lineRule="auto"/>
        <w:tabs>
          <w:tab w:leader="none" w:pos="5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Represents a one-time discretionary award in recognition of his efforts overseeing our legal and regulatory matters and his significant contributions to our strategic initiatives.</w:t>
      </w:r>
    </w:p>
    <w:p>
      <w:pPr>
        <w:spacing w:after="0" w:line="195" w:lineRule="exact"/>
        <w:rPr>
          <w:rFonts w:ascii="Arial" w:cs="Arial" w:eastAsia="Arial" w:hAnsi="Arial"/>
          <w:sz w:val="29"/>
          <w:szCs w:val="29"/>
          <w:color w:val="auto"/>
          <w:vertAlign w:val="superscript"/>
        </w:rPr>
      </w:pPr>
    </w:p>
    <w:p>
      <w:pPr>
        <w:ind w:left="540" w:right="220" w:hanging="532"/>
        <w:spacing w:after="0" w:line="197" w:lineRule="auto"/>
        <w:tabs>
          <w:tab w:leader="none" w:pos="5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Includes $26,554 for housing allowance, $54,228 for education allowance, $16,187 for travel allowance, $30,187 for medical benefits and $6,266 for tax preparation services. Mr. Ritts' other compensation is paid in euros and, for purposes of the table, is converted into U.S. dollars based on the OANDA one-year average exchange rate ending on December 31, 2016, 0.904 euros to the U.S. dollar.</w:t>
      </w:r>
    </w:p>
    <w:p>
      <w:pPr>
        <w:spacing w:after="0" w:line="21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For more information about the elements of compensation paid to our Named Executive Officers, see "Compensation Discussion and Analysis"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 for 2016</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related to non-equity incentive plan compensation and equity incentive plan awards pursuant to our annual incentive compensation and our 2009 Equity Incentive Plan for the individuals named in the Summary Compensation Table.</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Estimated Future Payouts Under</w:t>
      </w:r>
    </w:p>
    <w:p>
      <w:pPr>
        <w:spacing w:after="0" w:line="19"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Non-Equity Incentive Plan Awards</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17926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93" w:lineRule="exact"/>
        <w:rPr>
          <w:sz w:val="20"/>
          <w:szCs w:val="20"/>
          <w:color w:val="auto"/>
        </w:rPr>
      </w:pPr>
    </w:p>
    <w:p>
      <w:pPr>
        <w:ind w:left="1540"/>
        <w:spacing w:after="0"/>
        <w:tabs>
          <w:tab w:leader="none" w:pos="3660" w:val="left"/>
          <w:tab w:leader="none" w:pos="4700" w:val="left"/>
          <w:tab w:leader="none" w:pos="5800" w:val="left"/>
          <w:tab w:leader="none" w:pos="67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Threshold</w:t>
      </w:r>
      <w:r>
        <w:rPr>
          <w:sz w:val="20"/>
          <w:szCs w:val="20"/>
          <w:color w:val="auto"/>
        </w:rPr>
        <w:tab/>
      </w:r>
      <w:r>
        <w:rPr>
          <w:rFonts w:ascii="Arial" w:cs="Arial" w:eastAsia="Arial" w:hAnsi="Arial"/>
          <w:sz w:val="14"/>
          <w:szCs w:val="14"/>
          <w:b w:val="1"/>
          <w:bCs w:val="1"/>
          <w:color w:val="auto"/>
        </w:rPr>
        <w:t>Target</w:t>
      </w:r>
      <w:r>
        <w:rPr>
          <w:sz w:val="20"/>
          <w:szCs w:val="20"/>
          <w:color w:val="auto"/>
        </w:rPr>
        <w:tab/>
      </w:r>
      <w:r>
        <w:rPr>
          <w:rFonts w:ascii="Arial" w:cs="Arial" w:eastAsia="Arial" w:hAnsi="Arial"/>
          <w:sz w:val="14"/>
          <w:szCs w:val="14"/>
          <w:b w:val="1"/>
          <w:bCs w:val="1"/>
          <w:color w:val="auto"/>
        </w:rPr>
        <w:t>Maximum</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All Other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Awards: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40" w:type="dxa"/>
            <w:vAlign w:val="bottom"/>
          </w:tcPr>
          <w:p>
            <w:pPr>
              <w:spacing w:after="0"/>
              <w:rPr>
                <w:sz w:val="14"/>
                <w:szCs w:val="14"/>
                <w:color w:val="auto"/>
              </w:rPr>
            </w:pP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Exercise or</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Base Price</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Stock 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 Option</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and Option</w:t>
            </w:r>
          </w:p>
        </w:tc>
      </w:tr>
      <w:tr>
        <w:trPr>
          <w:trHeight w:val="175"/>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Awards</w:t>
            </w:r>
          </w:p>
        </w:tc>
      </w:tr>
    </w:tbl>
    <w:p>
      <w:pPr>
        <w:spacing w:after="0" w:line="1" w:lineRule="exact"/>
        <w:rPr>
          <w:sz w:val="20"/>
          <w:szCs w:val="20"/>
          <w:color w:val="auto"/>
        </w:rPr>
      </w:pPr>
    </w:p>
    <w:p>
      <w:pPr>
        <w:sectPr>
          <w:pgSz w:w="11900" w:h="16838" w:orient="portrait"/>
          <w:cols w:equalWidth="0" w:num="2">
            <w:col w:w="7400" w:space="280"/>
            <w:col w:w="3740"/>
          </w:cols>
          <w:pgMar w:left="240" w:top="14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1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$585,000</w:t>
            </w:r>
          </w:p>
        </w:tc>
        <w:tc>
          <w:tcPr>
            <w:tcW w:w="1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$1,170,000</w:t>
            </w:r>
          </w:p>
        </w:tc>
        <w:tc>
          <w:tcPr>
            <w:tcW w:w="1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$1,755,000</w:t>
            </w: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Arial" w:cs="Arial" w:eastAsia="Arial" w:hAnsi="Arial"/>
                <w:sz w:val="18"/>
                <w:szCs w:val="18"/>
                <w:color w:val="auto"/>
              </w:rPr>
              <w:t>Kevin J. Wilcox</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$675,000</w:t>
            </w:r>
          </w:p>
        </w:tc>
        <w:tc>
          <w:tcPr>
            <w:tcW w:w="14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405"/>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Arial" w:cs="Arial" w:eastAsia="Arial" w:hAnsi="Arial"/>
                <w:sz w:val="18"/>
                <w:szCs w:val="18"/>
                <w:color w:val="auto"/>
              </w:rPr>
              <w:t>Joseph A. Davila</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405"/>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16"/>
        </w:trPr>
        <w:tc>
          <w:tcPr>
            <w:tcW w:w="3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8/29/16</w:t>
            </w:r>
            <w:r>
              <w:rPr>
                <w:rFonts w:ascii="Arial" w:cs="Arial" w:eastAsia="Arial" w:hAnsi="Arial"/>
                <w:sz w:val="25"/>
                <w:szCs w:val="25"/>
                <w:color w:val="auto"/>
                <w:vertAlign w:val="superscript"/>
              </w:rPr>
              <w:t>(2)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$188,241</w:t>
            </w:r>
          </w:p>
        </w:tc>
        <w:tc>
          <w:tcPr>
            <w:tcW w:w="220" w:type="dxa"/>
            <w:vAlign w:val="bottom"/>
            <w:shd w:val="clear" w:color="auto" w:fill="CCEEFF"/>
          </w:tcPr>
          <w:p>
            <w:pPr>
              <w:spacing w:after="0"/>
              <w:rPr>
                <w:sz w:val="18"/>
                <w:szCs w:val="18"/>
                <w:color w:val="auto"/>
              </w:rPr>
            </w:pPr>
          </w:p>
        </w:tc>
      </w:tr>
    </w:tbl>
    <w:p>
      <w:pPr>
        <w:spacing w:after="0" w:line="233" w:lineRule="exact"/>
        <w:rPr>
          <w:sz w:val="20"/>
          <w:szCs w:val="20"/>
          <w:color w:val="auto"/>
        </w:rPr>
      </w:pPr>
    </w:p>
    <w:p>
      <w:pPr>
        <w:ind w:left="540" w:right="240" w:hanging="532"/>
        <w:spacing w:after="0" w:line="197" w:lineRule="auto"/>
        <w:tabs>
          <w:tab w:leader="none" w:pos="54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These amounts represent the possible non-equity compensation that may have been earned by each respective executive officer in 2016 under the different achievement levels presented on their personal scorecards which are more fully discussed in our Compensation Discussion and Analysis.</w:t>
      </w:r>
    </w:p>
    <w:p>
      <w:pPr>
        <w:spacing w:after="0" w:line="196" w:lineRule="exact"/>
        <w:rPr>
          <w:rFonts w:ascii="Arial" w:cs="Arial" w:eastAsia="Arial" w:hAnsi="Arial"/>
          <w:sz w:val="29"/>
          <w:szCs w:val="29"/>
          <w:color w:val="auto"/>
          <w:vertAlign w:val="superscript"/>
        </w:rPr>
      </w:pPr>
    </w:p>
    <w:p>
      <w:pPr>
        <w:ind w:left="540" w:right="20" w:hanging="532"/>
        <w:spacing w:after="0" w:line="217" w:lineRule="auto"/>
        <w:tabs>
          <w:tab w:leader="none" w:pos="54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Granted pursuant to our 2009 Equity Incentive Plan. The vesting schedule for these options has a service-based component, in which 50% of the options vest in equal increments over three (3) years, and a market-based component, in which up to 50% of the options could vest in equal increments, with one-third vesting immediately upon the achievement of certain performance criteria related to the Company's stock price and its annualized rate of return and the remaining two-thirds vesting over the next two (2)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132715</wp:posOffset>
            </wp:positionV>
            <wp:extent cx="177546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754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regarding outstanding equity awards as of December 31, 2016 for the individuals named in the Summary Compensation Table.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left="110"/>
              <w:spacing w:after="0"/>
              <w:rPr>
                <w:sz w:val="20"/>
                <w:szCs w:val="20"/>
                <w:color w:val="auto"/>
              </w:rPr>
            </w:pPr>
            <w:r>
              <w:rPr>
                <w:rFonts w:ascii="Arial" w:cs="Arial" w:eastAsia="Arial" w:hAnsi="Arial"/>
                <w:sz w:val="14"/>
                <w:szCs w:val="14"/>
                <w:b w:val="1"/>
                <w:bCs w:val="1"/>
                <w:color w:val="auto"/>
              </w:rPr>
              <w:t>Plan Awards: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Unexercised</w:t>
            </w:r>
          </w:p>
        </w:tc>
        <w:tc>
          <w:tcPr>
            <w:tcW w:w="2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8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80" w:type="dxa"/>
            <w:vAlign w:val="bottom"/>
          </w:tcPr>
          <w:p>
            <w:pPr>
              <w:ind w:left="7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114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21"/>
                <w:szCs w:val="21"/>
                <w:b w:val="1"/>
                <w:bCs w:val="1"/>
                <w:color w:val="auto"/>
                <w:w w:val="99"/>
                <w:vertAlign w:val="superscript"/>
              </w:rPr>
              <w:t>(1)</w:t>
            </w:r>
          </w:p>
        </w:tc>
        <w:tc>
          <w:tcPr>
            <w:tcW w:w="20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Options</w:t>
            </w:r>
            <w:r>
              <w:rPr>
                <w:rFonts w:ascii="Arial" w:cs="Arial" w:eastAsia="Arial" w:hAnsi="Arial"/>
                <w:sz w:val="21"/>
                <w:szCs w:val="21"/>
                <w:b w:val="1"/>
                <w:bCs w:val="1"/>
                <w:color w:val="auto"/>
                <w:w w:val="97"/>
                <w:vertAlign w:val="superscript"/>
              </w:rPr>
              <w:t>(2)</w:t>
            </w:r>
          </w:p>
        </w:tc>
        <w:tc>
          <w:tcPr>
            <w:tcW w:w="20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21"/>
                <w:szCs w:val="21"/>
                <w:b w:val="1"/>
                <w:bCs w:val="1"/>
                <w:color w:val="auto"/>
                <w:w w:val="93"/>
                <w:vertAlign w:val="superscript"/>
              </w:rPr>
              <w:t>(3)</w:t>
            </w:r>
          </w:p>
        </w:tc>
        <w:tc>
          <w:tcPr>
            <w:tcW w:w="2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jc w:val="center"/>
              <w:ind w:left="148"/>
              <w:spacing w:after="0" w:line="189" w:lineRule="exact"/>
              <w:rPr>
                <w:sz w:val="20"/>
                <w:szCs w:val="20"/>
                <w:color w:val="auto"/>
              </w:rPr>
            </w:pPr>
            <w:r>
              <w:rPr>
                <w:rFonts w:ascii="Arial" w:cs="Arial" w:eastAsia="Arial" w:hAnsi="Arial"/>
                <w:sz w:val="14"/>
                <w:szCs w:val="14"/>
                <w:b w:val="1"/>
                <w:bCs w:val="1"/>
                <w:color w:val="auto"/>
                <w:w w:val="97"/>
              </w:rPr>
              <w:t>Not Vested</w:t>
            </w:r>
            <w:r>
              <w:rPr>
                <w:rFonts w:ascii="Arial" w:cs="Arial" w:eastAsia="Arial" w:hAnsi="Arial"/>
                <w:sz w:val="21"/>
                <w:szCs w:val="21"/>
                <w:b w:val="1"/>
                <w:bCs w:val="1"/>
                <w:color w:val="auto"/>
                <w:w w:val="97"/>
                <w:vertAlign w:val="superscript"/>
              </w:rPr>
              <w:t>(4)</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Not Vested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4"/>
                <w:szCs w:val="14"/>
                <w:color w:val="auto"/>
              </w:rPr>
              <w:t>William B. Shepro</w:t>
            </w:r>
            <w:r>
              <w:rPr>
                <w:rFonts w:ascii="Arial" w:cs="Arial" w:eastAsia="Arial" w:hAnsi="Arial"/>
                <w:sz w:val="21"/>
                <w:szCs w:val="21"/>
                <w:color w:val="auto"/>
                <w:vertAlign w:val="superscript"/>
              </w:rPr>
              <w:t>(5)</w:t>
            </w:r>
          </w:p>
        </w:tc>
        <w:tc>
          <w:tcPr>
            <w:tcW w:w="20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51,563</w:t>
            </w:r>
          </w:p>
        </w:tc>
        <w:tc>
          <w:tcPr>
            <w:tcW w:w="2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22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22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104,688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68,750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60,000</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1"/>
                <w:szCs w:val="11"/>
                <w:color w:val="auto"/>
                <w:w w:val="74"/>
              </w:rPr>
              <w:t>(6)</w:t>
            </w: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17,467</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34,933</w:t>
            </w:r>
          </w:p>
        </w:tc>
        <w:tc>
          <w:tcPr>
            <w:tcW w:w="280" w:type="dxa"/>
            <w:vAlign w:val="bottom"/>
            <w:vMerge w:val="continue"/>
            <w:shd w:val="clear" w:color="auto" w:fill="CCEEFF"/>
          </w:tcPr>
          <w:p>
            <w:pPr>
              <w:spacing w:after="0"/>
              <w:rPr>
                <w:sz w:val="11"/>
                <w:szCs w:val="11"/>
                <w:color w:val="auto"/>
              </w:rPr>
            </w:pPr>
          </w:p>
        </w:tc>
        <w:tc>
          <w:tcPr>
            <w:tcW w:w="112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56,600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$1,504,994</w:t>
            </w:r>
          </w:p>
        </w:tc>
        <w:tc>
          <w:tcPr>
            <w:tcW w:w="0" w:type="dxa"/>
            <w:vAlign w:val="bottom"/>
          </w:tcPr>
          <w:p>
            <w:pPr>
              <w:spacing w:after="0"/>
              <w:rPr>
                <w:sz w:val="1"/>
                <w:szCs w:val="1"/>
                <w:color w:val="auto"/>
              </w:rPr>
            </w:pPr>
          </w:p>
        </w:tc>
      </w:tr>
      <w:tr>
        <w:trPr>
          <w:trHeight w:val="437"/>
        </w:trPr>
        <w:tc>
          <w:tcPr>
            <w:tcW w:w="1900" w:type="dxa"/>
            <w:vAlign w:val="bottom"/>
            <w:gridSpan w:val="2"/>
          </w:tcPr>
          <w:p>
            <w:pPr>
              <w:spacing w:after="0"/>
              <w:rPr>
                <w:sz w:val="20"/>
                <w:szCs w:val="20"/>
                <w:color w:val="auto"/>
              </w:rPr>
            </w:pPr>
            <w:r>
              <w:rPr>
                <w:rFonts w:ascii="Arial" w:cs="Arial" w:eastAsia="Arial" w:hAnsi="Arial"/>
                <w:sz w:val="14"/>
                <w:szCs w:val="14"/>
                <w:color w:val="auto"/>
              </w:rPr>
              <w:t>Kevin J. Wilcox</w:t>
            </w:r>
            <w:r>
              <w:rPr>
                <w:rFonts w:ascii="Arial" w:cs="Arial" w:eastAsia="Arial" w:hAnsi="Arial"/>
                <w:sz w:val="21"/>
                <w:szCs w:val="21"/>
                <w:color w:val="auto"/>
                <w:vertAlign w:val="superscript"/>
              </w:rPr>
              <w:t>(5)</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38,750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77,500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40,418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30,000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$23.80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60,000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$23.80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80" w:type="dxa"/>
            <w:vAlign w:val="bottom"/>
            <w:gridSpan w:val="2"/>
          </w:tcPr>
          <w:p>
            <w:pPr>
              <w:jc w:val="right"/>
              <w:ind w:right="108"/>
              <w:spacing w:after="0" w:line="131" w:lineRule="exact"/>
              <w:rPr>
                <w:sz w:val="20"/>
                <w:szCs w:val="20"/>
                <w:color w:val="auto"/>
              </w:rPr>
            </w:pPr>
            <w:r>
              <w:rPr>
                <w:rFonts w:ascii="Arial" w:cs="Arial" w:eastAsia="Arial" w:hAnsi="Arial"/>
                <w:sz w:val="14"/>
                <w:szCs w:val="14"/>
                <w:color w:val="auto"/>
              </w:rPr>
              <w:t>30,000</w:t>
            </w:r>
          </w:p>
        </w:tc>
        <w:tc>
          <w:tcPr>
            <w:tcW w:w="10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120" w:type="dxa"/>
            <w:vAlign w:val="bottom"/>
            <w:gridSpan w:val="2"/>
          </w:tcPr>
          <w:p>
            <w:pPr>
              <w:jc w:val="right"/>
              <w:ind w:right="148"/>
              <w:spacing w:after="0" w:line="13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$23.80</w:t>
            </w:r>
          </w:p>
        </w:tc>
        <w:tc>
          <w:tcPr>
            <w:tcW w:w="9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88"/>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6,333</w:t>
            </w:r>
          </w:p>
        </w:tc>
        <w:tc>
          <w:tcPr>
            <w:tcW w:w="1340" w:type="dxa"/>
            <w:vAlign w:val="bottom"/>
            <w:gridSpan w:val="3"/>
          </w:tcPr>
          <w:p>
            <w:pPr>
              <w:jc w:val="right"/>
              <w:ind w:right="100"/>
              <w:spacing w:after="0" w:line="162" w:lineRule="exact"/>
              <w:rPr>
                <w:sz w:val="20"/>
                <w:szCs w:val="20"/>
                <w:color w:val="auto"/>
              </w:rPr>
            </w:pPr>
            <w:r>
              <w:rPr>
                <w:rFonts w:ascii="Arial" w:cs="Arial" w:eastAsia="Arial" w:hAnsi="Arial"/>
                <w:sz w:val="13"/>
                <w:szCs w:val="13"/>
                <w:color w:val="auto"/>
              </w:rPr>
              <w:t>12,667</w:t>
            </w:r>
            <w:r>
              <w:rPr>
                <w:rFonts w:ascii="Arial" w:cs="Arial" w:eastAsia="Arial" w:hAnsi="Arial"/>
                <w:sz w:val="18"/>
                <w:szCs w:val="18"/>
                <w:color w:val="auto"/>
                <w:vertAlign w:val="superscript"/>
              </w:rPr>
              <w:t>(6)</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$18.79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20,500</w:t>
            </w:r>
            <w:r>
              <w:rPr>
                <w:rFonts w:ascii="Arial" w:cs="Arial" w:eastAsia="Arial" w:hAnsi="Arial"/>
                <w:sz w:val="21"/>
                <w:szCs w:val="21"/>
                <w:color w:val="auto"/>
                <w:vertAlign w:val="superscript"/>
              </w:rPr>
              <w:t>(7)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$545,095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Michelle D. Esterman</w:t>
            </w:r>
            <w:r>
              <w:rPr>
                <w:rFonts w:ascii="Arial" w:cs="Arial" w:eastAsia="Arial" w:hAnsi="Arial"/>
                <w:sz w:val="21"/>
                <w:szCs w:val="21"/>
                <w:color w:val="auto"/>
                <w:vertAlign w:val="superscript"/>
              </w:rPr>
              <w:t>(5)</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14,625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29,250</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$60.76</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14,625</w:t>
            </w:r>
            <w:r>
              <w:rPr>
                <w:rFonts w:ascii="Arial" w:cs="Arial" w:eastAsia="Arial" w:hAnsi="Arial"/>
                <w:sz w:val="18"/>
                <w:szCs w:val="18"/>
                <w:color w:val="auto"/>
                <w:vertAlign w:val="superscript"/>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12,500</w:t>
            </w:r>
            <w:r>
              <w:rPr>
                <w:rFonts w:ascii="Arial" w:cs="Arial" w:eastAsia="Arial" w:hAnsi="Arial"/>
                <w:sz w:val="21"/>
                <w:szCs w:val="21"/>
                <w:color w:val="auto"/>
                <w:vertAlign w:val="superscript"/>
              </w:rPr>
              <w:t>(10)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1,563</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3"/>
                <w:szCs w:val="13"/>
                <w:color w:val="auto"/>
              </w:rPr>
              <w:t>4,687</w:t>
            </w:r>
            <w:r>
              <w:rPr>
                <w:rFonts w:ascii="Arial" w:cs="Arial" w:eastAsia="Arial" w:hAnsi="Arial"/>
                <w:sz w:val="18"/>
                <w:szCs w:val="18"/>
                <w:color w:val="auto"/>
                <w:vertAlign w:val="superscript"/>
              </w:rPr>
              <w:t>(11)</w:t>
            </w: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4,467</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8,933</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1"/>
                <w:szCs w:val="11"/>
                <w:color w:val="auto"/>
                <w:w w:val="74"/>
              </w:rPr>
              <w:t>(6)</w:t>
            </w:r>
          </w:p>
        </w:tc>
        <w:tc>
          <w:tcPr>
            <w:tcW w:w="112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14,500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$385,555</w:t>
            </w:r>
          </w:p>
        </w:tc>
        <w:tc>
          <w:tcPr>
            <w:tcW w:w="0" w:type="dxa"/>
            <w:vAlign w:val="bottom"/>
          </w:tcPr>
          <w:p>
            <w:pPr>
              <w:spacing w:after="0"/>
              <w:rPr>
                <w:sz w:val="1"/>
                <w:szCs w:val="1"/>
                <w:color w:val="auto"/>
              </w:rPr>
            </w:pPr>
          </w:p>
        </w:tc>
      </w:tr>
      <w:tr>
        <w:trPr>
          <w:trHeight w:val="410"/>
        </w:trPr>
        <w:tc>
          <w:tcPr>
            <w:tcW w:w="1900" w:type="dxa"/>
            <w:vAlign w:val="bottom"/>
            <w:gridSpan w:val="2"/>
          </w:tcPr>
          <w:p>
            <w:pPr>
              <w:spacing w:after="0"/>
              <w:rPr>
                <w:sz w:val="20"/>
                <w:szCs w:val="20"/>
                <w:color w:val="auto"/>
              </w:rPr>
            </w:pPr>
            <w:r>
              <w:rPr>
                <w:rFonts w:ascii="Arial" w:cs="Arial" w:eastAsia="Arial" w:hAnsi="Arial"/>
                <w:sz w:val="14"/>
                <w:szCs w:val="14"/>
                <w:color w:val="auto"/>
              </w:rPr>
              <w:t>Joseph A. Davila</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6,250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$32.55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12,500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$32.55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80" w:type="dxa"/>
            <w:vAlign w:val="bottom"/>
            <w:gridSpan w:val="2"/>
          </w:tcPr>
          <w:p>
            <w:pPr>
              <w:jc w:val="right"/>
              <w:ind w:right="108"/>
              <w:spacing w:after="0" w:line="131" w:lineRule="exact"/>
              <w:rPr>
                <w:sz w:val="20"/>
                <w:szCs w:val="20"/>
                <w:color w:val="auto"/>
              </w:rPr>
            </w:pPr>
            <w:r>
              <w:rPr>
                <w:rFonts w:ascii="Arial" w:cs="Arial" w:eastAsia="Arial" w:hAnsi="Arial"/>
                <w:sz w:val="14"/>
                <w:szCs w:val="14"/>
                <w:color w:val="auto"/>
              </w:rPr>
              <w:t>6,250</w:t>
            </w:r>
          </w:p>
        </w:tc>
        <w:tc>
          <w:tcPr>
            <w:tcW w:w="10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120" w:type="dxa"/>
            <w:vAlign w:val="bottom"/>
            <w:gridSpan w:val="2"/>
          </w:tcPr>
          <w:p>
            <w:pPr>
              <w:jc w:val="right"/>
              <w:ind w:right="148"/>
              <w:spacing w:after="0" w:line="13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$32.55</w:t>
            </w:r>
          </w:p>
        </w:tc>
        <w:tc>
          <w:tcPr>
            <w:tcW w:w="9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88"/>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1,406</w:t>
            </w:r>
          </w:p>
        </w:tc>
        <w:tc>
          <w:tcPr>
            <w:tcW w:w="1340" w:type="dxa"/>
            <w:vAlign w:val="bottom"/>
            <w:gridSpan w:val="3"/>
          </w:tcPr>
          <w:p>
            <w:pPr>
              <w:jc w:val="right"/>
              <w:ind w:right="40"/>
              <w:spacing w:after="0" w:line="162" w:lineRule="exact"/>
              <w:rPr>
                <w:sz w:val="20"/>
                <w:szCs w:val="20"/>
                <w:color w:val="auto"/>
              </w:rPr>
            </w:pPr>
            <w:r>
              <w:rPr>
                <w:rFonts w:ascii="Arial" w:cs="Arial" w:eastAsia="Arial" w:hAnsi="Arial"/>
                <w:sz w:val="18"/>
                <w:szCs w:val="18"/>
                <w:color w:val="auto"/>
                <w:vertAlign w:val="subscript"/>
              </w:rPr>
              <w:t>469</w:t>
            </w:r>
            <w:r>
              <w:rPr>
                <w:rFonts w:ascii="Arial" w:cs="Arial" w:eastAsia="Arial" w:hAnsi="Arial"/>
                <w:sz w:val="9"/>
                <w:szCs w:val="9"/>
                <w:color w:val="auto"/>
              </w:rPr>
              <w:t>(12)</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$95.12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5/15/2023</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938</w:t>
            </w:r>
          </w:p>
        </w:tc>
        <w:tc>
          <w:tcPr>
            <w:tcW w:w="1340" w:type="dxa"/>
            <w:vAlign w:val="bottom"/>
            <w:gridSpan w:val="3"/>
          </w:tcPr>
          <w:p>
            <w:pPr>
              <w:jc w:val="right"/>
              <w:ind w:right="40"/>
              <w:spacing w:after="0" w:line="162" w:lineRule="exact"/>
              <w:rPr>
                <w:sz w:val="20"/>
                <w:szCs w:val="20"/>
                <w:color w:val="auto"/>
              </w:rPr>
            </w:pPr>
            <w:r>
              <w:rPr>
                <w:rFonts w:ascii="Arial" w:cs="Arial" w:eastAsia="Arial" w:hAnsi="Arial"/>
                <w:sz w:val="18"/>
                <w:szCs w:val="18"/>
                <w:color w:val="auto"/>
                <w:vertAlign w:val="subscript"/>
              </w:rPr>
              <w:t>937</w:t>
            </w:r>
            <w:r>
              <w:rPr>
                <w:rFonts w:ascii="Arial" w:cs="Arial" w:eastAsia="Arial" w:hAnsi="Arial"/>
                <w:sz w:val="9"/>
                <w:szCs w:val="9"/>
                <w:color w:val="auto"/>
              </w:rPr>
              <w:t>(13)</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$105.11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5/15/2024</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3,125</w:t>
            </w:r>
          </w:p>
        </w:tc>
        <w:tc>
          <w:tcPr>
            <w:tcW w:w="1340" w:type="dxa"/>
            <w:vAlign w:val="bottom"/>
            <w:gridSpan w:val="3"/>
          </w:tcPr>
          <w:p>
            <w:pPr>
              <w:jc w:val="right"/>
              <w:ind w:right="40"/>
              <w:spacing w:after="0" w:line="162" w:lineRule="exact"/>
              <w:rPr>
                <w:sz w:val="20"/>
                <w:szCs w:val="20"/>
                <w:color w:val="auto"/>
              </w:rPr>
            </w:pPr>
            <w:r>
              <w:rPr>
                <w:rFonts w:ascii="Arial" w:cs="Arial" w:eastAsia="Arial" w:hAnsi="Arial"/>
                <w:sz w:val="13"/>
                <w:szCs w:val="13"/>
                <w:color w:val="auto"/>
              </w:rPr>
              <w:t>3,125</w:t>
            </w:r>
            <w:r>
              <w:rPr>
                <w:rFonts w:ascii="Arial" w:cs="Arial" w:eastAsia="Arial" w:hAnsi="Arial"/>
                <w:sz w:val="18"/>
                <w:szCs w:val="18"/>
                <w:color w:val="auto"/>
                <w:vertAlign w:val="superscript"/>
              </w:rPr>
              <w:t>(14)</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12,500</w:t>
            </w:r>
            <w:r>
              <w:rPr>
                <w:rFonts w:ascii="Arial" w:cs="Arial" w:eastAsia="Arial" w:hAnsi="Arial"/>
                <w:sz w:val="18"/>
                <w:szCs w:val="18"/>
                <w:color w:val="auto"/>
                <w:vertAlign w:val="superscript"/>
              </w:rPr>
              <w:t>(15)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(16)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2,600</w:t>
            </w:r>
          </w:p>
        </w:tc>
        <w:tc>
          <w:tcPr>
            <w:tcW w:w="1340" w:type="dxa"/>
            <w:vAlign w:val="bottom"/>
            <w:gridSpan w:val="3"/>
          </w:tcPr>
          <w:p>
            <w:pPr>
              <w:jc w:val="right"/>
              <w:ind w:right="100"/>
              <w:spacing w:after="0" w:line="162" w:lineRule="exact"/>
              <w:rPr>
                <w:sz w:val="20"/>
                <w:szCs w:val="20"/>
                <w:color w:val="auto"/>
              </w:rPr>
            </w:pPr>
            <w:r>
              <w:rPr>
                <w:rFonts w:ascii="Arial" w:cs="Arial" w:eastAsia="Arial" w:hAnsi="Arial"/>
                <w:sz w:val="13"/>
                <w:szCs w:val="13"/>
                <w:color w:val="auto"/>
              </w:rPr>
              <w:t>5,200</w:t>
            </w:r>
            <w:r>
              <w:rPr>
                <w:rFonts w:ascii="Arial" w:cs="Arial" w:eastAsia="Arial" w:hAnsi="Arial"/>
                <w:sz w:val="18"/>
                <w:szCs w:val="18"/>
                <w:color w:val="auto"/>
                <w:vertAlign w:val="superscript"/>
              </w:rPr>
              <w:t>(6)</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$18.79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5,600</w:t>
            </w:r>
            <w:r>
              <w:rPr>
                <w:rFonts w:ascii="Arial" w:cs="Arial" w:eastAsia="Arial" w:hAnsi="Arial"/>
                <w:sz w:val="21"/>
                <w:szCs w:val="21"/>
                <w:color w:val="auto"/>
                <w:vertAlign w:val="superscript"/>
              </w:rPr>
              <w:t>(7)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$148,904</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Gregory J. Ritts</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3,750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3,750</w:t>
            </w:r>
            <w:r>
              <w:rPr>
                <w:rFonts w:ascii="Arial" w:cs="Arial" w:eastAsia="Arial" w:hAnsi="Arial"/>
                <w:sz w:val="21"/>
                <w:szCs w:val="21"/>
                <w:color w:val="auto"/>
                <w:vertAlign w:val="superscript"/>
              </w:rPr>
              <w:t>(17)</w:t>
            </w: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7,500</w:t>
            </w:r>
            <w:r>
              <w:rPr>
                <w:rFonts w:ascii="Arial" w:cs="Arial" w:eastAsia="Arial" w:hAnsi="Arial"/>
                <w:sz w:val="18"/>
                <w:szCs w:val="18"/>
                <w:color w:val="auto"/>
                <w:vertAlign w:val="superscript"/>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15,000</w:t>
            </w:r>
            <w:r>
              <w:rPr>
                <w:rFonts w:ascii="Arial" w:cs="Arial" w:eastAsia="Arial" w:hAnsi="Arial"/>
                <w:sz w:val="18"/>
                <w:szCs w:val="18"/>
                <w:color w:val="auto"/>
                <w:vertAlign w:val="superscript"/>
              </w:rPr>
              <w:t>(19)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2,600</w:t>
            </w:r>
          </w:p>
        </w:tc>
        <w:tc>
          <w:tcPr>
            <w:tcW w:w="13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3"/>
                <w:szCs w:val="13"/>
                <w:color w:val="auto"/>
              </w:rPr>
              <w:t>5,200</w:t>
            </w:r>
            <w:r>
              <w:rPr>
                <w:rFonts w:ascii="Arial" w:cs="Arial" w:eastAsia="Arial" w:hAnsi="Arial"/>
                <w:sz w:val="18"/>
                <w:szCs w:val="18"/>
                <w:color w:val="auto"/>
                <w:vertAlign w:val="superscript"/>
              </w:rPr>
              <w:t>(6)</w:t>
            </w: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3"/>
                <w:szCs w:val="13"/>
                <w:color w:val="auto"/>
              </w:rPr>
              <w:t>5,000</w:t>
            </w:r>
            <w:r>
              <w:rPr>
                <w:rFonts w:ascii="Arial" w:cs="Arial" w:eastAsia="Arial" w:hAnsi="Arial"/>
                <w:sz w:val="18"/>
                <w:szCs w:val="18"/>
                <w:color w:val="auto"/>
                <w:vertAlign w:val="superscript"/>
              </w:rPr>
              <w:t>(20)</w:t>
            </w: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1,667</w:t>
            </w:r>
            <w:r>
              <w:rPr>
                <w:rFonts w:ascii="Arial" w:cs="Arial" w:eastAsia="Arial" w:hAnsi="Arial"/>
                <w:sz w:val="18"/>
                <w:szCs w:val="18"/>
                <w:color w:val="auto"/>
                <w:vertAlign w:val="superscript"/>
              </w:rPr>
              <w:t>(21)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3,333</w:t>
            </w:r>
            <w:r>
              <w:rPr>
                <w:rFonts w:ascii="Arial" w:cs="Arial" w:eastAsia="Arial" w:hAnsi="Arial"/>
                <w:sz w:val="18"/>
                <w:szCs w:val="18"/>
                <w:color w:val="auto"/>
                <w:vertAlign w:val="superscript"/>
              </w:rPr>
              <w:t>(22)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5,600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$155,736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80" w:hanging="531"/>
        <w:spacing w:after="0"/>
        <w:tabs>
          <w:tab w:leader="none" w:pos="168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Options awarded for which the performance hurdles have been achieved but remain subject to additional service-based criteria.</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132080</wp:posOffset>
            </wp:positionV>
            <wp:extent cx="177546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75460" cy="1631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awarded for which the performance hurdles have not been achieved.</w:t>
      </w:r>
    </w:p>
    <w:p>
      <w:pPr>
        <w:spacing w:after="0" w:line="151" w:lineRule="exact"/>
        <w:rPr>
          <w:rFonts w:ascii="Arial" w:cs="Arial" w:eastAsia="Arial" w:hAnsi="Arial"/>
          <w:sz w:val="22"/>
          <w:szCs w:val="22"/>
          <w:color w:val="auto"/>
          <w:vertAlign w:val="superscript"/>
        </w:rPr>
      </w:pPr>
    </w:p>
    <w:p>
      <w:pPr>
        <w:ind w:left="1680" w:right="240" w:hanging="531"/>
        <w:spacing w:after="0" w:line="207"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The exercise price of each outstanding stock option of Altisource was adjusted to reflect the value of Altisource Asset Management Corporation ("AAMC") and Altisource Residential Corporation ("Residential") common stock distributed to Altisource shareholders in connection with the spin-off transactions completed on December 21, 2012.</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Restricted shares awarded but remain subject to additional service-based criteria.</w:t>
      </w:r>
    </w:p>
    <w:p>
      <w:pPr>
        <w:spacing w:after="0" w:line="151" w:lineRule="exact"/>
        <w:rPr>
          <w:rFonts w:ascii="Arial" w:cs="Arial" w:eastAsia="Arial" w:hAnsi="Arial"/>
          <w:sz w:val="22"/>
          <w:szCs w:val="22"/>
          <w:color w:val="auto"/>
          <w:vertAlign w:val="superscript"/>
        </w:rPr>
      </w:pPr>
    </w:p>
    <w:p>
      <w:pPr>
        <w:ind w:left="1680" w:hanging="531"/>
        <w:spacing w:after="0" w:line="228"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A one-time AAMC Restricted Stock award was granted on December 11, 2012 to our Chief Executive Officer, Chief Administration and Risk Officer and Chief Financial Officer pursuant to the Altisource Asset Management Corporation 2012 Equity Incentive Plan. Mr. Shepro received 29,216 shares of AAMC Restricted Stock, of which 7,304 had not vested as of December 31, 2016. As of December 31, 2016, the 7,304 unvested shares of AAMC Restricted Stock have a market value of $390,764. Mr. Wilcox received 14,608 shares of AAMC Restricted Stock, of which 3,652 had not vested as of December 31, 2016. As of December 31, 2016, the 3,652 unvested shares of AAMC Restricted Stock have a market value of $195,382. Ms. Esterman received 8,765 shares of AAMC Restricted Stock, of which 2,189 had not vested as of December 31, 2016. As of December 31, 2016, the 2,189 unvested shares of AAMC Restricted Stock have a market value of $117,112. Awards vest in accordance with a vesting schedule (over a four-year period) if the market value of AAMC's stock meets the established market value and other criteria, which were met on January 11, 2013 (first 25%), April 26, 2013 (next 50%) and May 21, 2013 (remaining 25%).</w:t>
      </w:r>
    </w:p>
    <w:p>
      <w:pPr>
        <w:spacing w:after="0" w:line="76"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vest in two (2) equal installments on April 15, 2017 and April 15, 2018.</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Restricted shares vest in three (3) equal installments on April 15, 2017, April 15, 2018 and April 15, 2019.</w:t>
      </w:r>
    </w:p>
    <w:p>
      <w:pPr>
        <w:spacing w:after="0" w:line="151" w:lineRule="exact"/>
        <w:rPr>
          <w:rFonts w:ascii="Arial" w:cs="Arial" w:eastAsia="Arial" w:hAnsi="Arial"/>
          <w:sz w:val="22"/>
          <w:szCs w:val="22"/>
          <w:color w:val="auto"/>
          <w:vertAlign w:val="superscript"/>
        </w:rPr>
      </w:pPr>
    </w:p>
    <w:p>
      <w:pPr>
        <w:ind w:left="1680" w:right="24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$182.28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32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$65.67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32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$43.78 and an annual rate of return of 20% over the exercise price with the balance vesting 25% each subsequent anniversary thereof.</w:t>
      </w:r>
    </w:p>
    <w:p>
      <w:pPr>
        <w:spacing w:after="0" w:line="72"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February 10, 2017, February 10, 2018 and February 10, 2019.</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vest on May 15, 2017.</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vest in two (2) equal installments on May 15, 2017 and May 15, 2018.</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vest in two (2) equal installments on November 11, 2017 and November 11, 2018.</w:t>
      </w:r>
    </w:p>
    <w:p>
      <w:pPr>
        <w:spacing w:after="0" w:line="151" w:lineRule="exact"/>
        <w:rPr>
          <w:rFonts w:ascii="Arial" w:cs="Arial" w:eastAsia="Arial" w:hAnsi="Arial"/>
          <w:sz w:val="22"/>
          <w:szCs w:val="22"/>
          <w:color w:val="auto"/>
          <w:vertAlign w:val="superscript"/>
        </w:rPr>
      </w:pPr>
    </w:p>
    <w:p>
      <w:pPr>
        <w:ind w:left="1680" w:right="24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$145.56 and an annual rate of return of 20%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24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$218.34 and an annual rate of return of 25% over the exercise price with the balance vesting 25% each subsequent anniversary thereof.</w:t>
      </w:r>
    </w:p>
    <w:p>
      <w:pPr>
        <w:spacing w:after="0" w:line="72"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vest in two (2) equal installments on October 1, 2017 and October 1, 2018.</w:t>
      </w:r>
    </w:p>
    <w:p>
      <w:pPr>
        <w:spacing w:after="0" w:line="151" w:lineRule="exact"/>
        <w:rPr>
          <w:rFonts w:ascii="Arial" w:cs="Arial" w:eastAsia="Arial" w:hAnsi="Arial"/>
          <w:sz w:val="22"/>
          <w:szCs w:val="22"/>
          <w:color w:val="auto"/>
          <w:vertAlign w:val="superscript"/>
        </w:rPr>
      </w:pPr>
    </w:p>
    <w:p>
      <w:pPr>
        <w:ind w:left="1680" w:right="24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$290.61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24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$193.74 and an annual rate of return of 20% over the exercise price with the balance vesting 25% each subsequent anniversary thereof.</w:t>
      </w:r>
    </w:p>
    <w:p>
      <w:pPr>
        <w:spacing w:after="0" w:line="72"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August 29, 2017, August 29, 2018 and August 29, 2019.</w:t>
      </w:r>
    </w:p>
    <w:p>
      <w:pPr>
        <w:spacing w:after="0" w:line="151" w:lineRule="exact"/>
        <w:rPr>
          <w:rFonts w:ascii="Arial" w:cs="Arial" w:eastAsia="Arial" w:hAnsi="Arial"/>
          <w:sz w:val="22"/>
          <w:szCs w:val="22"/>
          <w:color w:val="auto"/>
          <w:vertAlign w:val="superscript"/>
        </w:rPr>
      </w:pPr>
    </w:p>
    <w:p>
      <w:pPr>
        <w:ind w:left="168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One-third of options vest upon Altisource achieving a stock price of $97.92 and an annual rate of return of 25% over the exercise price with the balance vesting one-third each subsequent anniversary thereof.</w:t>
      </w:r>
    </w:p>
    <w:p>
      <w:pPr>
        <w:spacing w:after="0" w:line="153" w:lineRule="exact"/>
        <w:rPr>
          <w:rFonts w:ascii="Arial" w:cs="Arial" w:eastAsia="Arial" w:hAnsi="Arial"/>
          <w:sz w:val="22"/>
          <w:szCs w:val="22"/>
          <w:color w:val="auto"/>
          <w:vertAlign w:val="superscript"/>
        </w:rPr>
      </w:pPr>
    </w:p>
    <w:p>
      <w:pPr>
        <w:ind w:left="1680" w:hanging="531"/>
        <w:spacing w:after="0" w:line="193" w:lineRule="auto"/>
        <w:tabs>
          <w:tab w:leader="none" w:pos="16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One-third of options vest upon Altisource achieving a stock price of $65.28 and an annual rate of return of 20% over the exercise price with the balance vesting one-third each subsequent anniversary thereof.</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132715</wp:posOffset>
            </wp:positionV>
            <wp:extent cx="177546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754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2016 for our Named Executive Officers: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61"/>
              <w:spacing w:after="0"/>
              <w:rPr>
                <w:sz w:val="20"/>
                <w:szCs w:val="20"/>
                <w:color w:val="auto"/>
              </w:rPr>
            </w:pPr>
            <w:r>
              <w:rPr>
                <w:rFonts w:ascii="Arial" w:cs="Arial" w:eastAsia="Arial" w:hAnsi="Arial"/>
                <w:sz w:val="18"/>
                <w:szCs w:val="18"/>
                <w:b w:val="1"/>
                <w:bCs w:val="1"/>
                <w:color w:val="auto"/>
              </w:rPr>
              <w:t>Number of Shares</w:t>
            </w:r>
          </w:p>
        </w:tc>
        <w:tc>
          <w:tcPr>
            <w:tcW w:w="22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Value Realized</w:t>
            </w:r>
          </w:p>
        </w:tc>
      </w:tr>
      <w:tr>
        <w:trPr>
          <w:trHeight w:val="243"/>
        </w:trPr>
        <w:tc>
          <w:tcPr>
            <w:tcW w:w="20" w:type="dxa"/>
            <w:vAlign w:val="bottom"/>
          </w:tcPr>
          <w:p>
            <w:pPr>
              <w:spacing w:after="0"/>
              <w:rPr>
                <w:sz w:val="21"/>
                <w:szCs w:val="21"/>
                <w:color w:val="auto"/>
              </w:rPr>
            </w:pPr>
          </w:p>
        </w:tc>
        <w:tc>
          <w:tcPr>
            <w:tcW w:w="5360" w:type="dxa"/>
            <w:vAlign w:val="bottom"/>
          </w:tcPr>
          <w:p>
            <w:pPr>
              <w:ind w:left="2440"/>
              <w:spacing w:after="0"/>
              <w:rPr>
                <w:sz w:val="20"/>
                <w:szCs w:val="20"/>
                <w:color w:val="auto"/>
              </w:rPr>
            </w:pPr>
            <w:r>
              <w:rPr>
                <w:rFonts w:ascii="Arial" w:cs="Arial" w:eastAsia="Arial" w:hAnsi="Arial"/>
                <w:sz w:val="18"/>
                <w:szCs w:val="18"/>
                <w:b w:val="1"/>
                <w:bCs w:val="1"/>
                <w:color w:val="auto"/>
              </w:rPr>
              <w:t>Name</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Acquired on Exercise</w:t>
            </w:r>
          </w:p>
        </w:tc>
        <w:tc>
          <w:tcPr>
            <w:tcW w:w="220" w:type="dxa"/>
            <w:vAlign w:val="bottom"/>
          </w:tcPr>
          <w:p>
            <w:pPr>
              <w:spacing w:after="0"/>
              <w:rPr>
                <w:sz w:val="21"/>
                <w:szCs w:val="21"/>
                <w:color w:val="auto"/>
              </w:rPr>
            </w:pPr>
          </w:p>
        </w:tc>
        <w:tc>
          <w:tcPr>
            <w:tcW w:w="1540" w:type="dxa"/>
            <w:vAlign w:val="bottom"/>
            <w:gridSpan w:val="2"/>
          </w:tcPr>
          <w:p>
            <w:pPr>
              <w:jc w:val="center"/>
              <w:ind w:right="220"/>
              <w:spacing w:after="0" w:line="243" w:lineRule="exact"/>
              <w:rPr>
                <w:sz w:val="20"/>
                <w:szCs w:val="20"/>
                <w:color w:val="auto"/>
              </w:rPr>
            </w:pPr>
            <w:r>
              <w:rPr>
                <w:rFonts w:ascii="Arial" w:cs="Arial" w:eastAsia="Arial" w:hAnsi="Arial"/>
                <w:sz w:val="17"/>
                <w:szCs w:val="17"/>
                <w:b w:val="1"/>
                <w:bCs w:val="1"/>
                <w:color w:val="auto"/>
                <w:w w:val="98"/>
              </w:rPr>
              <w:t>on Exercise</w:t>
            </w:r>
            <w:r>
              <w:rPr>
                <w:rFonts w:ascii="Arial" w:cs="Arial" w:eastAsia="Arial" w:hAnsi="Arial"/>
                <w:sz w:val="28"/>
                <w:szCs w:val="28"/>
                <w:b w:val="1"/>
                <w:bCs w:val="1"/>
                <w:color w:val="auto"/>
                <w:w w:val="98"/>
                <w:vertAlign w:val="superscript"/>
              </w:rPr>
              <w:t>(1)</w:t>
            </w:r>
          </w:p>
        </w:tc>
      </w:tr>
      <w:tr>
        <w:trPr>
          <w:trHeight w:val="196"/>
        </w:trPr>
        <w:tc>
          <w:tcPr>
            <w:tcW w:w="20" w:type="dxa"/>
            <w:vAlign w:val="bottom"/>
          </w:tcPr>
          <w:p>
            <w:pPr>
              <w:spacing w:after="0"/>
              <w:rPr>
                <w:sz w:val="17"/>
                <w:szCs w:val="17"/>
                <w:color w:val="auto"/>
              </w:rPr>
            </w:pPr>
          </w:p>
        </w:tc>
        <w:tc>
          <w:tcPr>
            <w:tcW w:w="5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220" w:type="dxa"/>
            <w:vAlign w:val="bottom"/>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ind w:right="381"/>
              <w:spacing w:after="0" w:line="197" w:lineRule="exact"/>
              <w:rPr>
                <w:sz w:val="20"/>
                <w:szCs w:val="20"/>
                <w:color w:val="auto"/>
              </w:rPr>
            </w:pPr>
            <w:r>
              <w:rPr>
                <w:rFonts w:ascii="Arial" w:cs="Arial" w:eastAsia="Arial" w:hAnsi="Arial"/>
                <w:sz w:val="14"/>
                <w:szCs w:val="14"/>
                <w:color w:val="auto"/>
              </w:rPr>
              <w:t>21,066</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4"/>
                <w:szCs w:val="14"/>
                <w:color w:val="auto"/>
              </w:rPr>
              <w:t>$1,103,000</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7"/>
                <w:szCs w:val="17"/>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Kevin J. Wilcox</w:t>
            </w:r>
          </w:p>
        </w:tc>
        <w:tc>
          <w:tcPr>
            <w:tcW w:w="2000" w:type="dxa"/>
            <w:vAlign w:val="bottom"/>
            <w:gridSpan w:val="2"/>
          </w:tcPr>
          <w:p>
            <w:pPr>
              <w:jc w:val="right"/>
              <w:ind w:right="561"/>
              <w:spacing w:after="0" w:line="202" w:lineRule="exact"/>
              <w:rPr>
                <w:sz w:val="20"/>
                <w:szCs w:val="20"/>
                <w:color w:val="auto"/>
              </w:rPr>
            </w:pPr>
            <w:r>
              <w:rPr>
                <w:rFonts w:ascii="Arial" w:cs="Arial" w:eastAsia="Arial" w:hAnsi="Arial"/>
                <w:sz w:val="18"/>
                <w:szCs w:val="18"/>
                <w:color w:val="auto"/>
              </w:rPr>
              <w:t>8,310</w:t>
            </w:r>
          </w:p>
        </w:tc>
        <w:tc>
          <w:tcPr>
            <w:tcW w:w="1540" w:type="dxa"/>
            <w:vAlign w:val="bottom"/>
            <w:gridSpan w:val="2"/>
          </w:tcPr>
          <w:p>
            <w:pPr>
              <w:jc w:val="right"/>
              <w:ind w:right="139"/>
              <w:spacing w:after="0" w:line="202" w:lineRule="exact"/>
              <w:rPr>
                <w:sz w:val="20"/>
                <w:szCs w:val="20"/>
                <w:color w:val="auto"/>
              </w:rPr>
            </w:pPr>
            <w:r>
              <w:rPr>
                <w:rFonts w:ascii="Arial" w:cs="Arial" w:eastAsia="Arial" w:hAnsi="Arial"/>
                <w:sz w:val="18"/>
                <w:szCs w:val="18"/>
                <w:color w:val="auto"/>
              </w:rPr>
              <w:t>$82,154</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Kevin J. Wilcox</w:t>
            </w:r>
          </w:p>
        </w:tc>
        <w:tc>
          <w:tcPr>
            <w:tcW w:w="2000" w:type="dxa"/>
            <w:vAlign w:val="bottom"/>
            <w:gridSpan w:val="2"/>
            <w:shd w:val="clear" w:color="auto" w:fill="CCEEFF"/>
          </w:tcPr>
          <w:p>
            <w:pPr>
              <w:jc w:val="right"/>
              <w:ind w:right="381"/>
              <w:spacing w:after="0" w:line="202" w:lineRule="exact"/>
              <w:rPr>
                <w:sz w:val="20"/>
                <w:szCs w:val="20"/>
                <w:color w:val="auto"/>
              </w:rPr>
            </w:pPr>
            <w:r>
              <w:rPr>
                <w:rFonts w:ascii="Arial" w:cs="Arial" w:eastAsia="Arial" w:hAnsi="Arial"/>
                <w:sz w:val="15"/>
                <w:szCs w:val="15"/>
                <w:color w:val="auto"/>
              </w:rPr>
              <w:t>22,999</w:t>
            </w:r>
            <w:r>
              <w:rPr>
                <w:rFonts w:ascii="Arial" w:cs="Arial" w:eastAsia="Arial" w:hAnsi="Arial"/>
                <w:sz w:val="23"/>
                <w:szCs w:val="23"/>
                <w:color w:val="auto"/>
                <w:vertAlign w:val="superscript"/>
              </w:rPr>
              <w:t>(3)</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5"/>
                <w:szCs w:val="15"/>
                <w:color w:val="auto"/>
              </w:rPr>
              <w:t>$1,103,000</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7"/>
                <w:szCs w:val="17"/>
                <w:color w:val="auto"/>
              </w:rPr>
            </w:pPr>
          </w:p>
        </w:tc>
      </w:tr>
    </w:tbl>
    <w:p>
      <w:pPr>
        <w:spacing w:after="0" w:line="221" w:lineRule="exact"/>
        <w:rPr>
          <w:sz w:val="20"/>
          <w:szCs w:val="20"/>
          <w:color w:val="auto"/>
        </w:rPr>
      </w:pPr>
    </w:p>
    <w:p>
      <w:pPr>
        <w:ind w:left="1680" w:right="120" w:hanging="531"/>
        <w:spacing w:after="0" w:line="193" w:lineRule="auto"/>
        <w:tabs>
          <w:tab w:leader="none" w:pos="168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153" w:lineRule="exact"/>
        <w:rPr>
          <w:rFonts w:ascii="Arial" w:cs="Arial" w:eastAsia="Arial" w:hAnsi="Arial"/>
          <w:sz w:val="22"/>
          <w:szCs w:val="22"/>
          <w:color w:val="auto"/>
          <w:vertAlign w:val="superscript"/>
        </w:rPr>
      </w:pPr>
    </w:p>
    <w:p>
      <w:pPr>
        <w:ind w:left="1680" w:right="140" w:hanging="531"/>
        <w:spacing w:after="0" w:line="193" w:lineRule="auto"/>
        <w:tabs>
          <w:tab w:leader="none" w:pos="168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21,066 shares were acquired as a result of the exercise of 50,000 stock options awarded as part of the July 14, 2008 stock option grant that expires on July 14, 2018, of which 28,934 shares were foregone to pay for the exercise price and tax withholdings.</w:t>
      </w:r>
    </w:p>
    <w:p>
      <w:pPr>
        <w:spacing w:after="0" w:line="153" w:lineRule="exact"/>
        <w:rPr>
          <w:rFonts w:ascii="Arial" w:cs="Arial" w:eastAsia="Arial" w:hAnsi="Arial"/>
          <w:sz w:val="22"/>
          <w:szCs w:val="22"/>
          <w:color w:val="auto"/>
          <w:vertAlign w:val="superscript"/>
        </w:rPr>
      </w:pPr>
    </w:p>
    <w:p>
      <w:pPr>
        <w:ind w:left="1680" w:right="140" w:hanging="531"/>
        <w:spacing w:after="0" w:line="193" w:lineRule="auto"/>
        <w:tabs>
          <w:tab w:leader="none" w:pos="168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22,999 shares were acquired as a result of the exercise of 50,000 stock options awarded as part of the July 14, 2008 stock option grant that expires on July 14, 2018, of which 27,001 shares were foregone to pay for the exercise price and tax withholdings.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 restricted share awards applicable to our Named Executive Officers vested during the 2016 fiscal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31, 2016. Due to the number of factors that affect the nature and amount of any benefits under the various scenarios, actual amounts paid or distributed may be different.</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discussed in our Compensation Discussion and Analysis, our Chief Executive Officer and other Named Executive Officers have entered into employment agreements with the Company. Under these agreements, if employment is terminated by the executive officer's retirement or disability,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 in addition to certain notice and additional payments required under articles L.124-1 and L.124-7 of the Luxembourg Labor Code. In the case of the Chief Executive Officer and Chief Administration and Risk Officer, the Company shall pay at least one (1) year's target incentive compensation in such instance.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In these instances, the Company will also pay all standard relocation costs to relocate the executive officer to the United States. If an executive officer is terminated by the Company for "Cause," the Company may terminate without notice and with no liability to make any further payment to the executive, other than amounts accrued and unpaid at the date of termination.</w:t>
      </w:r>
    </w:p>
    <w:p>
      <w:pPr>
        <w:spacing w:after="0" w:line="21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In addition, certain of the stock option agreements provide for accelerated vesting of service-based options as described below. Typically, the executive officer's right to retain any options following termination of employment is subject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132080</wp:posOffset>
            </wp:positionV>
            <wp:extent cx="177546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754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to the requirement that he or she has been employed with the Company for a period of at least two (2) years. Upon termination of employment for "Cause," all vested and unvested stock options awarded pursuant to such agreement will be forfeited.</w:t>
      </w:r>
    </w:p>
    <w:p>
      <w:pPr>
        <w:spacing w:after="0" w:line="20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Certain of the stock option agreements provide for accelerated vesting. Typically, upon a Named Executive Officer's death, disability, retirement or, in some instances, resignation for "Good Reason" (as defined in the applicable stock option agreement), all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w:t>
      </w:r>
    </w:p>
    <w:p>
      <w:pPr>
        <w:spacing w:after="0" w:line="1" w:lineRule="exact"/>
        <w:rPr>
          <w:sz w:val="20"/>
          <w:szCs w:val="20"/>
          <w:color w:val="auto"/>
        </w:rPr>
      </w:pPr>
    </w:p>
    <w:p>
      <w:pPr>
        <w:ind w:right="120" w:firstLine="8"/>
        <w:spacing w:after="0" w:line="236" w:lineRule="auto"/>
        <w:tabs>
          <w:tab w:leader="none" w:pos="2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years in other instances. Additionally, pursuant to certain of these agreements, if there is a corporate restructuring or a change of control transaction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to our Named Executive Officers on April 15, 2015 and to Mr. Ritts on August 29, 2016, in the event of a Transaction, a buyer will have the option to cancel the stock options in exchange for the stock options' intrinsic value or allow them to remain in place.</w:t>
      </w:r>
    </w:p>
    <w:p>
      <w:pPr>
        <w:spacing w:after="0" w:line="21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Generally, for termination not due to death, disability or retirement, the executive officer has six (6) months within which to exercise vested stock options pursuant to our stock option agreements.</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Under the terms of the awards of restricted shares granted to our Named Executive Officers on April 15, 2015, if the Company terminates the executive officer's employment for reasons other than "Cause," as defined by the applicable award agreement, and no Transaction has occurred, any unvested restricted shares will vest within thirty (30) days of such termination. If the executive officer's employment is terminated due to death or disability, all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the event of a Transaction, the percentage of shares vesting is dependent on the date of the Transaction. In the event of a Transaction occurring (i) on or before six months after April 15, 2015, 50% of the restricted share award would have vested and the remainder would have been forfeited, (ii) between six (6) and 18 months after April 15, 2015, 75% of the restricted share award would have vested and the remainder would have been forfeited and (iii) more than 18 months from April 15, 2015, 100% of the restricted share award will vest.</w:t>
      </w:r>
    </w:p>
    <w:p>
      <w:pPr>
        <w:spacing w:after="0" w:line="21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20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following table estimates and summarizes the potential payments and benefits that each of our Named Executive Officers would have received if their employment had been terminated on December 31, 2016 under each of the circumstances described below, excluding benefits ordinarily available to all employees (such as benefits mandated by Luxembourg law) and any relocation benefits that may be provided in connection with such termination.</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0"/>
        </w:trPr>
        <w:tc>
          <w:tcPr>
            <w:tcW w:w="1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William B.</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Kevin J.</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Michelle D.</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Joseph A.</w:t>
            </w:r>
          </w:p>
        </w:tc>
        <w:tc>
          <w:tcPr>
            <w:tcW w:w="2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Gregory J.</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Shepro</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Wilcox</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Esterman</w:t>
            </w:r>
          </w:p>
        </w:tc>
        <w:tc>
          <w:tcPr>
            <w:tcW w:w="22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Davila</w:t>
            </w:r>
          </w:p>
        </w:tc>
        <w:tc>
          <w:tcPr>
            <w:tcW w:w="2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Ritts</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Death</w:t>
            </w: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10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$1,777,471</w:t>
            </w:r>
            <w:r>
              <w:rPr>
                <w:rFonts w:ascii="Arial" w:cs="Arial" w:eastAsia="Arial" w:hAnsi="Arial"/>
                <w:sz w:val="29"/>
                <w:szCs w:val="29"/>
                <w:color w:val="auto"/>
                <w:w w:val="91"/>
                <w:vertAlign w:val="superscript"/>
              </w:rPr>
              <w:t>(1)</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$643,898</w:t>
            </w:r>
            <w:r>
              <w:rPr>
                <w:rFonts w:ascii="Arial" w:cs="Arial" w:eastAsia="Arial" w:hAnsi="Arial"/>
                <w:sz w:val="29"/>
                <w:szCs w:val="29"/>
                <w:color w:val="auto"/>
                <w:vertAlign w:val="superscript"/>
              </w:rPr>
              <w:t>(1)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1"/>
              </w:rPr>
              <w:t>$477,261</w:t>
            </w:r>
            <w:r>
              <w:rPr>
                <w:rFonts w:ascii="Arial" w:cs="Arial" w:eastAsia="Arial" w:hAnsi="Arial"/>
                <w:sz w:val="29"/>
                <w:szCs w:val="29"/>
                <w:color w:val="auto"/>
                <w:w w:val="91"/>
                <w:vertAlign w:val="superscript"/>
              </w:rPr>
              <w:t>(1)</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$189,464</w:t>
            </w:r>
            <w:r>
              <w:rPr>
                <w:rFonts w:ascii="Arial" w:cs="Arial" w:eastAsia="Arial" w:hAnsi="Arial"/>
                <w:sz w:val="29"/>
                <w:szCs w:val="29"/>
                <w:color w:val="auto"/>
                <w:vertAlign w:val="superscript"/>
              </w:rPr>
              <w:t>(1)</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$189,464</w:t>
            </w:r>
            <w:r>
              <w:rPr>
                <w:rFonts w:ascii="Arial" w:cs="Arial" w:eastAsia="Arial" w:hAnsi="Arial"/>
                <w:sz w:val="29"/>
                <w:szCs w:val="29"/>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26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Disability</w:t>
            </w: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10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$1,777,471</w:t>
            </w:r>
            <w:r>
              <w:rPr>
                <w:rFonts w:ascii="Arial" w:cs="Arial" w:eastAsia="Arial" w:hAnsi="Arial"/>
                <w:sz w:val="29"/>
                <w:szCs w:val="29"/>
                <w:color w:val="auto"/>
                <w:w w:val="91"/>
                <w:vertAlign w:val="superscript"/>
              </w:rPr>
              <w:t>(1)</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$643,898</w:t>
            </w:r>
            <w:r>
              <w:rPr>
                <w:rFonts w:ascii="Arial" w:cs="Arial" w:eastAsia="Arial" w:hAnsi="Arial"/>
                <w:sz w:val="29"/>
                <w:szCs w:val="29"/>
                <w:color w:val="auto"/>
                <w:vertAlign w:val="superscript"/>
              </w:rPr>
              <w:t>(1)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1"/>
              </w:rPr>
              <w:t>$477,261</w:t>
            </w:r>
            <w:r>
              <w:rPr>
                <w:rFonts w:ascii="Arial" w:cs="Arial" w:eastAsia="Arial" w:hAnsi="Arial"/>
                <w:sz w:val="29"/>
                <w:szCs w:val="29"/>
                <w:color w:val="auto"/>
                <w:w w:val="91"/>
                <w:vertAlign w:val="superscript"/>
              </w:rPr>
              <w:t>(1)</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$189,464</w:t>
            </w:r>
            <w:r>
              <w:rPr>
                <w:rFonts w:ascii="Arial" w:cs="Arial" w:eastAsia="Arial" w:hAnsi="Arial"/>
                <w:sz w:val="29"/>
                <w:szCs w:val="29"/>
                <w:color w:val="auto"/>
                <w:vertAlign w:val="superscript"/>
              </w:rPr>
              <w:t>(1)</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$189,464</w:t>
            </w:r>
            <w:r>
              <w:rPr>
                <w:rFonts w:ascii="Arial" w:cs="Arial" w:eastAsia="Arial" w:hAnsi="Arial"/>
                <w:sz w:val="29"/>
                <w:szCs w:val="29"/>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26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116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Retirement by the Named Executive</w:t>
            </w: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Officer</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Accelerated vesting of options</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$272,477</w:t>
            </w:r>
            <w:r>
              <w:rPr>
                <w:rFonts w:ascii="Arial" w:cs="Arial" w:eastAsia="Arial" w:hAnsi="Arial"/>
                <w:sz w:val="23"/>
                <w:szCs w:val="23"/>
                <w:color w:val="auto"/>
                <w:vertAlign w:val="superscript"/>
              </w:rPr>
              <w:t>(1)</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$98,803</w:t>
            </w:r>
            <w:r>
              <w:rPr>
                <w:rFonts w:ascii="Arial" w:cs="Arial" w:eastAsia="Arial" w:hAnsi="Arial"/>
                <w:sz w:val="23"/>
                <w:szCs w:val="23"/>
                <w:color w:val="auto"/>
                <w:vertAlign w:val="superscript"/>
              </w:rPr>
              <w:t>(1)</w:t>
            </w:r>
          </w:p>
        </w:tc>
        <w:tc>
          <w:tcPr>
            <w:tcW w:w="940" w:type="dxa"/>
            <w:vAlign w:val="bottom"/>
          </w:tcPr>
          <w:p>
            <w:pPr>
              <w:jc w:val="right"/>
              <w:spacing w:after="0" w:line="202" w:lineRule="exact"/>
              <w:rPr>
                <w:sz w:val="20"/>
                <w:szCs w:val="20"/>
                <w:color w:val="auto"/>
              </w:rPr>
            </w:pPr>
            <w:r>
              <w:rPr>
                <w:rFonts w:ascii="Arial" w:cs="Arial" w:eastAsia="Arial" w:hAnsi="Arial"/>
                <w:sz w:val="15"/>
                <w:szCs w:val="15"/>
                <w:color w:val="auto"/>
              </w:rPr>
              <w:t>$91,706</w:t>
            </w:r>
            <w:r>
              <w:rPr>
                <w:rFonts w:ascii="Arial" w:cs="Arial" w:eastAsia="Arial" w:hAnsi="Arial"/>
                <w:sz w:val="23"/>
                <w:szCs w:val="23"/>
                <w:color w:val="auto"/>
                <w:vertAlign w:val="superscript"/>
              </w:rPr>
              <w:t>(1)</w:t>
            </w:r>
          </w:p>
        </w:tc>
        <w:tc>
          <w:tcPr>
            <w:tcW w:w="11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$40,560</w:t>
            </w:r>
            <w:r>
              <w:rPr>
                <w:rFonts w:ascii="Arial" w:cs="Arial" w:eastAsia="Arial" w:hAnsi="Arial"/>
                <w:sz w:val="23"/>
                <w:szCs w:val="23"/>
                <w:color w:val="auto"/>
                <w:vertAlign w:val="superscript"/>
              </w:rPr>
              <w:t>(1)</w:t>
            </w:r>
          </w:p>
        </w:tc>
        <w:tc>
          <w:tcPr>
            <w:tcW w:w="116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$40,560</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116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Termination by the Company other</w:t>
            </w: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than for "Cause"</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Severance payment</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$2,769,000</w:t>
            </w:r>
            <w:r>
              <w:rPr>
                <w:rFonts w:ascii="Arial" w:cs="Arial" w:eastAsia="Arial" w:hAnsi="Arial"/>
                <w:sz w:val="23"/>
                <w:szCs w:val="23"/>
                <w:color w:val="auto"/>
                <w:vertAlign w:val="superscript"/>
              </w:rPr>
              <w:t>(2)</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$1,223,438</w:t>
            </w:r>
            <w:r>
              <w:rPr>
                <w:rFonts w:ascii="Arial" w:cs="Arial" w:eastAsia="Arial" w:hAnsi="Arial"/>
                <w:sz w:val="23"/>
                <w:szCs w:val="23"/>
                <w:color w:val="auto"/>
                <w:vertAlign w:val="superscript"/>
              </w:rPr>
              <w:t>(2)</w:t>
            </w:r>
          </w:p>
        </w:tc>
        <w:tc>
          <w:tcPr>
            <w:tcW w:w="940" w:type="dxa"/>
            <w:vAlign w:val="bottom"/>
          </w:tcPr>
          <w:p>
            <w:pPr>
              <w:jc w:val="right"/>
              <w:spacing w:after="0" w:line="202" w:lineRule="exact"/>
              <w:rPr>
                <w:sz w:val="20"/>
                <w:szCs w:val="20"/>
                <w:color w:val="auto"/>
              </w:rPr>
            </w:pPr>
            <w:r>
              <w:rPr>
                <w:rFonts w:ascii="Arial" w:cs="Arial" w:eastAsia="Arial" w:hAnsi="Arial"/>
                <w:sz w:val="15"/>
                <w:szCs w:val="15"/>
                <w:color w:val="auto"/>
              </w:rPr>
              <w:t>$140,000</w:t>
            </w:r>
            <w:r>
              <w:rPr>
                <w:rFonts w:ascii="Arial" w:cs="Arial" w:eastAsia="Arial" w:hAnsi="Arial"/>
                <w:sz w:val="23"/>
                <w:szCs w:val="23"/>
                <w:color w:val="auto"/>
                <w:vertAlign w:val="superscript"/>
              </w:rPr>
              <w:t>(3)</w:t>
            </w:r>
          </w:p>
        </w:tc>
        <w:tc>
          <w:tcPr>
            <w:tcW w:w="11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$131,954</w:t>
            </w:r>
            <w:r>
              <w:rPr>
                <w:rFonts w:ascii="Arial" w:cs="Arial" w:eastAsia="Arial" w:hAnsi="Arial"/>
                <w:sz w:val="23"/>
                <w:szCs w:val="23"/>
                <w:color w:val="auto"/>
                <w:vertAlign w:val="superscript"/>
              </w:rPr>
              <w:t>(3)</w:t>
            </w:r>
          </w:p>
        </w:tc>
        <w:tc>
          <w:tcPr>
            <w:tcW w:w="116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$141,667</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Accelerated payment of cash award</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5"/>
                <w:szCs w:val="15"/>
                <w:color w:val="auto"/>
              </w:rPr>
              <w:t>$1,500,000</w:t>
            </w:r>
            <w:r>
              <w:rPr>
                <w:rFonts w:ascii="Arial" w:cs="Arial" w:eastAsia="Arial" w:hAnsi="Arial"/>
                <w:sz w:val="23"/>
                <w:szCs w:val="23"/>
                <w:color w:val="auto"/>
                <w:vertAlign w:val="superscript"/>
              </w:rPr>
              <w:t>(4)</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5"/>
                <w:szCs w:val="15"/>
                <w:color w:val="auto"/>
              </w:rPr>
              <w:t>$750,000</w:t>
            </w:r>
            <w:r>
              <w:rPr>
                <w:rFonts w:ascii="Arial" w:cs="Arial" w:eastAsia="Arial" w:hAnsi="Arial"/>
                <w:sz w:val="23"/>
                <w:szCs w:val="23"/>
                <w:color w:val="auto"/>
                <w:vertAlign w:val="superscript"/>
              </w:rPr>
              <w:t>(4)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5"/>
                <w:szCs w:val="15"/>
                <w:color w:val="auto"/>
              </w:rPr>
              <w:t>$500,000</w:t>
            </w:r>
            <w:r>
              <w:rPr>
                <w:rFonts w:ascii="Arial" w:cs="Arial" w:eastAsia="Arial" w:hAnsi="Arial"/>
                <w:sz w:val="23"/>
                <w:szCs w:val="23"/>
                <w:color w:val="auto"/>
                <w:vertAlign w:val="superscript"/>
              </w:rPr>
              <w:t>(4)</w:t>
            </w:r>
          </w:p>
        </w:tc>
        <w:tc>
          <w:tcPr>
            <w:tcW w:w="114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100"/>
              <w:spacing w:after="0" w:line="206" w:lineRule="exact"/>
              <w:rPr>
                <w:sz w:val="20"/>
                <w:szCs w:val="20"/>
                <w:color w:val="auto"/>
              </w:rPr>
            </w:pPr>
            <w:r>
              <w:rPr>
                <w:rFonts w:ascii="Arial" w:cs="Arial" w:eastAsia="Arial" w:hAnsi="Arial"/>
                <w:sz w:val="18"/>
                <w:szCs w:val="18"/>
                <w:color w:val="auto"/>
              </w:rPr>
              <w:t>Accelerated vesting of restricted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260"/>
              <w:spacing w:after="0" w:line="200" w:lineRule="exact"/>
              <w:rPr>
                <w:sz w:val="20"/>
                <w:szCs w:val="20"/>
                <w:color w:val="auto"/>
              </w:rPr>
            </w:pPr>
            <w:r>
              <w:rPr>
                <w:rFonts w:ascii="Arial" w:cs="Arial" w:eastAsia="Arial" w:hAnsi="Arial"/>
                <w:sz w:val="18"/>
                <w:szCs w:val="18"/>
                <w:color w:val="auto"/>
              </w:rPr>
              <w:t>shares</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w w:val="95"/>
              </w:rPr>
              <w:t>$1,504,994</w:t>
            </w:r>
          </w:p>
        </w:tc>
        <w:tc>
          <w:tcPr>
            <w:tcW w:w="22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$545,095</w:t>
            </w:r>
          </w:p>
        </w:tc>
        <w:tc>
          <w:tcPr>
            <w:tcW w:w="200" w:type="dxa"/>
            <w:vAlign w:val="bottom"/>
          </w:tcPr>
          <w:p>
            <w:pPr>
              <w:spacing w:after="0"/>
              <w:rPr>
                <w:sz w:val="17"/>
                <w:szCs w:val="17"/>
                <w:color w:val="auto"/>
              </w:rPr>
            </w:pPr>
          </w:p>
        </w:tc>
        <w:tc>
          <w:tcPr>
            <w:tcW w:w="940" w:type="dxa"/>
            <w:vAlign w:val="bottom"/>
          </w:tcPr>
          <w:p>
            <w:pPr>
              <w:jc w:val="right"/>
              <w:ind w:right="117"/>
              <w:spacing w:after="0" w:line="200" w:lineRule="exact"/>
              <w:rPr>
                <w:sz w:val="20"/>
                <w:szCs w:val="20"/>
                <w:color w:val="auto"/>
              </w:rPr>
            </w:pPr>
            <w:r>
              <w:rPr>
                <w:rFonts w:ascii="Arial" w:cs="Arial" w:eastAsia="Arial" w:hAnsi="Arial"/>
                <w:sz w:val="18"/>
                <w:szCs w:val="18"/>
                <w:color w:val="auto"/>
                <w:w w:val="95"/>
              </w:rPr>
              <w:t>$385,555</w:t>
            </w:r>
          </w:p>
        </w:tc>
        <w:tc>
          <w:tcPr>
            <w:tcW w:w="1140" w:type="dxa"/>
            <w:vAlign w:val="bottom"/>
            <w:gridSpan w:val="2"/>
          </w:tcPr>
          <w:p>
            <w:pPr>
              <w:jc w:val="right"/>
              <w:ind w:right="92"/>
              <w:spacing w:after="0" w:line="200" w:lineRule="exact"/>
              <w:rPr>
                <w:sz w:val="20"/>
                <w:szCs w:val="20"/>
                <w:color w:val="auto"/>
              </w:rPr>
            </w:pPr>
            <w:r>
              <w:rPr>
                <w:rFonts w:ascii="Arial" w:cs="Arial" w:eastAsia="Arial" w:hAnsi="Arial"/>
                <w:sz w:val="18"/>
                <w:szCs w:val="18"/>
                <w:color w:val="auto"/>
              </w:rPr>
              <w:t>$148,904</w:t>
            </w:r>
          </w:p>
        </w:tc>
        <w:tc>
          <w:tcPr>
            <w:tcW w:w="1160" w:type="dxa"/>
            <w:vAlign w:val="bottom"/>
            <w:gridSpan w:val="2"/>
          </w:tcPr>
          <w:p>
            <w:pPr>
              <w:jc w:val="right"/>
              <w:ind w:right="112"/>
              <w:spacing w:after="0" w:line="200" w:lineRule="exact"/>
              <w:rPr>
                <w:sz w:val="20"/>
                <w:szCs w:val="20"/>
                <w:color w:val="auto"/>
              </w:rPr>
            </w:pPr>
            <w:r>
              <w:rPr>
                <w:rFonts w:ascii="Arial" w:cs="Arial" w:eastAsia="Arial" w:hAnsi="Arial"/>
                <w:sz w:val="18"/>
                <w:szCs w:val="18"/>
                <w:color w:val="auto"/>
              </w:rPr>
              <w:t>$148,904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116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Termination by the Named Executive</w:t>
            </w: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Officer for "Good Reason" with</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ninety (90) days' notice, and failure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by the Company to correct such</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"Good Reason" within ninety</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(90) days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Severance payment</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$2,769,000</w:t>
            </w:r>
            <w:r>
              <w:rPr>
                <w:rFonts w:ascii="Arial" w:cs="Arial" w:eastAsia="Arial" w:hAnsi="Arial"/>
                <w:sz w:val="23"/>
                <w:szCs w:val="23"/>
                <w:color w:val="auto"/>
                <w:vertAlign w:val="superscript"/>
              </w:rPr>
              <w:t>(2)</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$1,223,438</w:t>
            </w:r>
            <w:r>
              <w:rPr>
                <w:rFonts w:ascii="Arial" w:cs="Arial" w:eastAsia="Arial" w:hAnsi="Arial"/>
                <w:sz w:val="23"/>
                <w:szCs w:val="23"/>
                <w:color w:val="auto"/>
                <w:vertAlign w:val="superscript"/>
              </w:rPr>
              <w:t>(2)</w:t>
            </w:r>
          </w:p>
        </w:tc>
        <w:tc>
          <w:tcPr>
            <w:tcW w:w="9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of Control</w:t>
            </w: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Accelerated payment of cash award</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$1,500,000</w:t>
            </w:r>
            <w:r>
              <w:rPr>
                <w:rFonts w:ascii="Arial" w:cs="Arial" w:eastAsia="Arial" w:hAnsi="Arial"/>
                <w:sz w:val="23"/>
                <w:szCs w:val="23"/>
                <w:color w:val="auto"/>
                <w:vertAlign w:val="superscript"/>
              </w:rPr>
              <w:t>(5)</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$750,000</w:t>
            </w:r>
            <w:r>
              <w:rPr>
                <w:rFonts w:ascii="Arial" w:cs="Arial" w:eastAsia="Arial" w:hAnsi="Arial"/>
                <w:sz w:val="23"/>
                <w:szCs w:val="23"/>
                <w:color w:val="auto"/>
                <w:vertAlign w:val="superscript"/>
              </w:rPr>
              <w:t>(5)</w:t>
            </w:r>
          </w:p>
        </w:tc>
        <w:tc>
          <w:tcPr>
            <w:tcW w:w="940" w:type="dxa"/>
            <w:vAlign w:val="bottom"/>
          </w:tcPr>
          <w:p>
            <w:pPr>
              <w:jc w:val="right"/>
              <w:spacing w:after="0" w:line="202" w:lineRule="exact"/>
              <w:rPr>
                <w:sz w:val="20"/>
                <w:szCs w:val="20"/>
                <w:color w:val="auto"/>
              </w:rPr>
            </w:pPr>
            <w:r>
              <w:rPr>
                <w:rFonts w:ascii="Arial" w:cs="Arial" w:eastAsia="Arial" w:hAnsi="Arial"/>
                <w:sz w:val="15"/>
                <w:szCs w:val="15"/>
                <w:color w:val="auto"/>
              </w:rPr>
              <w:t>$500,000</w:t>
            </w:r>
            <w:r>
              <w:rPr>
                <w:rFonts w:ascii="Arial" w:cs="Arial" w:eastAsia="Arial" w:hAnsi="Arial"/>
                <w:sz w:val="23"/>
                <w:szCs w:val="23"/>
                <w:color w:val="auto"/>
                <w:vertAlign w:val="superscript"/>
              </w:rPr>
              <w:t>(5)</w:t>
            </w:r>
          </w:p>
        </w:tc>
        <w:tc>
          <w:tcPr>
            <w:tcW w:w="11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8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$1,504,994</w:t>
            </w:r>
            <w:r>
              <w:rPr>
                <w:rFonts w:ascii="Arial" w:cs="Arial" w:eastAsia="Arial" w:hAnsi="Arial"/>
                <w:sz w:val="29"/>
                <w:szCs w:val="29"/>
                <w:color w:val="auto"/>
                <w:w w:val="91"/>
                <w:vertAlign w:val="superscript"/>
              </w:rPr>
              <w:t>(6)</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$545,095</w:t>
            </w:r>
            <w:r>
              <w:rPr>
                <w:rFonts w:ascii="Arial" w:cs="Arial" w:eastAsia="Arial" w:hAnsi="Arial"/>
                <w:sz w:val="29"/>
                <w:szCs w:val="29"/>
                <w:color w:val="auto"/>
                <w:vertAlign w:val="superscript"/>
              </w:rPr>
              <w:t>(6)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$495,709</w:t>
            </w:r>
            <w:r>
              <w:rPr>
                <w:rFonts w:ascii="Arial" w:cs="Arial" w:eastAsia="Arial" w:hAnsi="Arial"/>
                <w:sz w:val="29"/>
                <w:szCs w:val="29"/>
                <w:color w:val="auto"/>
                <w:w w:val="91"/>
                <w:vertAlign w:val="superscript"/>
              </w:rPr>
              <w:t>(6)</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$148,904</w:t>
            </w:r>
            <w:r>
              <w:rPr>
                <w:rFonts w:ascii="Arial" w:cs="Arial" w:eastAsia="Arial" w:hAnsi="Arial"/>
                <w:sz w:val="29"/>
                <w:szCs w:val="29"/>
                <w:color w:val="auto"/>
                <w:vertAlign w:val="superscript"/>
              </w:rPr>
              <w:t>(6)</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$148,904</w:t>
            </w:r>
            <w:r>
              <w:rPr>
                <w:rFonts w:ascii="Arial" w:cs="Arial" w:eastAsia="Arial" w:hAnsi="Arial"/>
                <w:sz w:val="29"/>
                <w:szCs w:val="29"/>
                <w:color w:val="auto"/>
                <w:vertAlign w:val="superscript"/>
              </w:rPr>
              <w:t>(6)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8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-4552950</wp:posOffset>
            </wp:positionV>
            <wp:extent cx="177546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75460" cy="163195"/>
                    </a:xfrm>
                    <a:prstGeom prst="rect">
                      <a:avLst/>
                    </a:prstGeom>
                    <a:noFill/>
                  </pic:spPr>
                </pic:pic>
              </a:graphicData>
            </a:graphic>
          </wp:anchor>
        </w:drawing>
      </w:r>
    </w:p>
    <w:p>
      <w:pPr>
        <w:spacing w:after="0" w:line="199" w:lineRule="exact"/>
        <w:rPr>
          <w:sz w:val="20"/>
          <w:szCs w:val="20"/>
          <w:color w:val="auto"/>
        </w:rPr>
      </w:pPr>
    </w:p>
    <w:p>
      <w:pPr>
        <w:ind w:left="1680" w:hanging="531"/>
        <w:spacing w:after="0" w:line="204" w:lineRule="auto"/>
        <w:tabs>
          <w:tab w:leader="none" w:pos="168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amounts that would have been received in connection with the accelerated vesting of Altisource restricted shares and/or service-based options upon the occurrence of death, disability or retirement. For Mr. Ritts, the amount assumes the Compensation Committee authorizes accelerated vesting of stock options for retirement despite having less than three</w:t>
      </w:r>
    </w:p>
    <w:p>
      <w:pPr>
        <w:spacing w:after="0" w:line="1" w:lineRule="exact"/>
        <w:rPr>
          <w:rFonts w:ascii="Arial" w:cs="Arial" w:eastAsia="Arial" w:hAnsi="Arial"/>
          <w:sz w:val="28"/>
          <w:szCs w:val="28"/>
          <w:color w:val="auto"/>
          <w:vertAlign w:val="superscript"/>
        </w:rPr>
      </w:pPr>
    </w:p>
    <w:p>
      <w:pPr>
        <w:ind w:left="1680"/>
        <w:spacing w:after="0"/>
        <w:rPr>
          <w:rFonts w:ascii="Arial" w:cs="Arial" w:eastAsia="Arial" w:hAnsi="Arial"/>
          <w:sz w:val="28"/>
          <w:szCs w:val="28"/>
          <w:color w:val="auto"/>
          <w:vertAlign w:val="superscript"/>
        </w:rPr>
      </w:pPr>
      <w:r>
        <w:rPr>
          <w:rFonts w:ascii="Arial" w:cs="Arial" w:eastAsia="Arial" w:hAnsi="Arial"/>
          <w:sz w:val="18"/>
          <w:szCs w:val="18"/>
          <w:color w:val="auto"/>
        </w:rPr>
        <w:t>(3) years of service as of December 31, 2016.</w:t>
      </w:r>
    </w:p>
    <w:p>
      <w:pPr>
        <w:spacing w:after="0" w:line="211" w:lineRule="exact"/>
        <w:rPr>
          <w:rFonts w:ascii="Arial" w:cs="Arial" w:eastAsia="Arial" w:hAnsi="Arial"/>
          <w:sz w:val="28"/>
          <w:szCs w:val="28"/>
          <w:color w:val="auto"/>
          <w:vertAlign w:val="superscript"/>
        </w:rPr>
      </w:pPr>
    </w:p>
    <w:p>
      <w:pPr>
        <w:ind w:left="1680" w:right="340" w:hanging="531"/>
        <w:spacing w:after="0" w:line="205" w:lineRule="auto"/>
        <w:tabs>
          <w:tab w:leader="none" w:pos="16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Represents one (1) year of base salary, plus one (1) year of target incentive compensation, plus actual incentive compensation that would have been earned for the 2016 service year.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197" w:lineRule="exact"/>
        <w:rPr>
          <w:rFonts w:ascii="Arial" w:cs="Arial" w:eastAsia="Arial" w:hAnsi="Arial"/>
          <w:sz w:val="29"/>
          <w:szCs w:val="29"/>
          <w:color w:val="auto"/>
          <w:vertAlign w:val="superscript"/>
        </w:rPr>
      </w:pPr>
    </w:p>
    <w:p>
      <w:pPr>
        <w:ind w:left="1680" w:right="260" w:hanging="531"/>
        <w:spacing w:after="0" w:line="183" w:lineRule="auto"/>
        <w:tabs>
          <w:tab w:leader="none" w:pos="16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Represents four (4) months' base salary as provided under the executive's employment agreement, the receipt of which is contingent upon the executive's execution of a Separation Agreement with the Company.</w:t>
      </w:r>
    </w:p>
    <w:p>
      <w:pPr>
        <w:spacing w:after="0" w:line="195" w:lineRule="exact"/>
        <w:rPr>
          <w:rFonts w:ascii="Arial" w:cs="Arial" w:eastAsia="Arial" w:hAnsi="Arial"/>
          <w:sz w:val="29"/>
          <w:szCs w:val="29"/>
          <w:color w:val="auto"/>
          <w:vertAlign w:val="superscript"/>
        </w:rPr>
      </w:pPr>
    </w:p>
    <w:p>
      <w:pPr>
        <w:ind w:left="1680" w:right="40" w:hanging="531"/>
        <w:spacing w:after="0" w:line="197" w:lineRule="auto"/>
        <w:tabs>
          <w:tab w:leader="none" w:pos="16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upon the termination by the Company of the executive officers' employment other than for "Cause" pursuant to the executive's Cash Award Agreement dated April 15, 2015. Pursuant to the Cash Award Agreement, amounts are [scheduled to be paid] on March 31, 2017.</w:t>
      </w:r>
    </w:p>
    <w:p>
      <w:pPr>
        <w:spacing w:after="0" w:line="210" w:lineRule="exact"/>
        <w:rPr>
          <w:rFonts w:ascii="Arial" w:cs="Arial" w:eastAsia="Arial" w:hAnsi="Arial"/>
          <w:sz w:val="29"/>
          <w:szCs w:val="29"/>
          <w:color w:val="auto"/>
          <w:vertAlign w:val="superscript"/>
        </w:rPr>
      </w:pPr>
    </w:p>
    <w:p>
      <w:pPr>
        <w:jc w:val="both"/>
        <w:ind w:left="1680" w:right="420" w:hanging="531"/>
        <w:spacing w:after="0" w:line="197" w:lineRule="auto"/>
        <w:tabs>
          <w:tab w:leader="none" w:pos="16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upon occurrence of a Transaction pursuant to the executive's Cash Award Agreement dated April 15, 2015. Pursuant to the Cash Award Agreement, amounts are [scheduled to be paid] on March 31, 2017.</w:t>
      </w:r>
    </w:p>
    <w:p>
      <w:pPr>
        <w:spacing w:after="0" w:line="196" w:lineRule="exact"/>
        <w:rPr>
          <w:rFonts w:ascii="Arial" w:cs="Arial" w:eastAsia="Arial" w:hAnsi="Arial"/>
          <w:sz w:val="29"/>
          <w:szCs w:val="29"/>
          <w:color w:val="auto"/>
          <w:vertAlign w:val="superscript"/>
        </w:rPr>
      </w:pPr>
    </w:p>
    <w:p>
      <w:pPr>
        <w:ind w:left="1680" w:right="280" w:hanging="531"/>
        <w:spacing w:after="0" w:line="197" w:lineRule="auto"/>
        <w:tabs>
          <w:tab w:leader="none" w:pos="16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132715</wp:posOffset>
            </wp:positionV>
            <wp:extent cx="108077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CERTIFIED PUBLIC ACCOUNTING FIRM AND CERTIFIED AUDITOR</w:t>
      </w:r>
    </w:p>
    <w:p>
      <w:pPr>
        <w:jc w:val="center"/>
        <w:ind w:right="-19"/>
        <w:spacing w:after="0"/>
        <w:rPr>
          <w:sz w:val="20"/>
          <w:szCs w:val="20"/>
          <w:color w:val="auto"/>
        </w:rPr>
      </w:pPr>
      <w:r>
        <w:rPr>
          <w:rFonts w:ascii="Arial" w:cs="Arial" w:eastAsia="Arial" w:hAnsi="Arial"/>
          <w:sz w:val="18"/>
          <w:szCs w:val="18"/>
          <w:color w:val="auto"/>
        </w:rPr>
        <w:t>(Proposal Two)</w:t>
      </w:r>
    </w:p>
    <w:p>
      <w:pPr>
        <w:spacing w:after="0" w:line="212"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The Audit Committee of our Board of Directors has recommended the appointment of Mayer Hoffman to be our independent registered certified public accounting firm for the year ending December 31, 2017 and Atwell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the same period.</w:t>
      </w:r>
    </w:p>
    <w:p>
      <w:pPr>
        <w:spacing w:after="0" w:line="16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previously disclosed in our proxy statement for our 2016 Annual Meeting of Shareholders, Management and the Audit Committee of our Board of Directors completed a competitive process to review the appointment of the Company's independent registered public accounting firm for the year ended December 31, 2016. The Audit Committee invited several firms to participate in this process, including Deloitte, the Company's independent registered public accounting firm since September 22, 2009.</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this process and following careful deliberation, on March 24, 2016, the Audit Committee approved the engagement of Mayer Hoffman as the Company's independent registered public accounting firm, conditioned and effective upon completion of their client acceptance process, subject to approval by our shareholders for the year ending December 31, 2016. On March 25, 2016, Mayer Hoffman advised the Company that it had successfully completed its client acceptance procedures and the Company dismissed Deloitte from its role as the Company's independent registered public accounting firm.</w:t>
      </w:r>
    </w:p>
    <w:p>
      <w:pPr>
        <w:spacing w:after="0" w:line="21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Audit Committee also approved the engagement of Atwell to be our certified auditor for all statutory accounts as required by Luxembourg law for the year ending December 31, 2016, subject to approval by our shareholders.</w:t>
      </w:r>
    </w:p>
    <w:p>
      <w:pPr>
        <w:spacing w:after="0" w:line="20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Deloitte's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During the years ended December 31, 2015 and 2014, and the subsequent interim period through March 24, 2016, there were (i) no disagreements with Deloitte on any matter of accounting principles or practices, financial statement disclosure, or auditing scope or procedure, which disagreements, if not resolved to the satisfaction of Deloitte, would have caused Deloitte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discussed this matter with the Audit Committee. As a result of the material weakness, Deloitte's audit report dated March 15, 2016 on the effectiveness of the Company's internal control over financial reporting as of December 31, 2015 expressed an adverse opinion. The Company authorized Deloitte to fully respond to the inquiries of Mayer Hoffman, the successor independent registered public accounting firm, concerning this matter.</w:t>
      </w:r>
    </w:p>
    <w:p>
      <w:pPr>
        <w:spacing w:after="0" w:line="21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provided Deloitte with a copy of its Current Report on Form 8-K prior to its filing with the SEC. The Company requested that Deloitte furnish the Company with a letter addressed to the SEC stating whether or not Deloitte agreed with the above statements that are related to Deloitte. A copy of Deloitte's letter, dated March 28, 2016, was attached as Exhibit 16.1 to the Company's Current Report on Form 8-K filed on March 28, 2016.</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the years ended December 31, 2015 and 2014 and through March 24, 2016, neither the Company nor anyone on its behalf consulted with Mayer Hoffman with respect to either (i) the application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132715</wp:posOffset>
            </wp:positionV>
            <wp:extent cx="108077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accounting principles to a specified transaction, either completed or proposed, or the type of audit opinion that might be rendered on the Company's consolidated financial statements, and no written report or oral advice was provided by Mayer Hoffman to the Company that Mayer Hoffman concluded was an important factor considered by the Company in reaching a decision as to any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2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May 18, 2016, our shareholders approved the appointment of Mayer Hoffman as our independent registered certified public accounting firm for the year ended December 31, 2016 and the appointment of Atwell as our certified auditor for the same period.</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February 2017, the Audit Committee approved recommending that Mayer Hoffman and Atwell be re-appointed to serve in such capacities for the year ending December 31, 2017 and that such appointments be submitted for approval by our shareholders at our Annual Meeting.</w:t>
      </w:r>
    </w:p>
    <w:p>
      <w:pPr>
        <w:spacing w:after="0" w:line="209" w:lineRule="exact"/>
        <w:rPr>
          <w:sz w:val="20"/>
          <w:szCs w:val="20"/>
          <w:color w:val="auto"/>
        </w:rPr>
      </w:pPr>
    </w:p>
    <w:p>
      <w:pPr>
        <w:ind w:right="1000"/>
        <w:spacing w:after="0" w:line="239" w:lineRule="auto"/>
        <w:rPr>
          <w:sz w:val="20"/>
          <w:szCs w:val="20"/>
          <w:color w:val="auto"/>
        </w:rPr>
      </w:pPr>
      <w:r>
        <w:rPr>
          <w:rFonts w:ascii="Arial" w:cs="Arial" w:eastAsia="Arial" w:hAnsi="Arial"/>
          <w:sz w:val="18"/>
          <w:szCs w:val="18"/>
          <w:color w:val="auto"/>
        </w:rPr>
        <w:t>Representatives of Mayer Hoffman and Atwell will be present at the Annual Meeting and will be available to respond to questions from shareholders.</w:t>
      </w:r>
    </w:p>
    <w:p>
      <w:pPr>
        <w:spacing w:after="0" w:line="187" w:lineRule="exact"/>
        <w:rPr>
          <w:sz w:val="20"/>
          <w:szCs w:val="20"/>
          <w:color w:val="auto"/>
        </w:rPr>
      </w:pPr>
    </w:p>
    <w:p>
      <w:pPr>
        <w:jc w:val="center"/>
        <w:ind w:left="280" w:right="1420"/>
        <w:spacing w:after="0" w:line="244"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MAYER HOFFMAN MCCANN P.C. AS THE INDEPENDENT REGISTERED CERTIFIED PUBLIC ACCOUNTING FIRM FOR 2017 AND ATWELL S.À R.L. AS THE CERTIFIED AUDITOR FOR THE SAME PERIOD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132080</wp:posOffset>
            </wp:positionV>
            <wp:extent cx="108077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public accounting firm is responsible for performing an independent audit of the Company's consolidated financial statements and of the effectiveness of its internal control over financial reporting in accordance with the Standards of the Public Company Accounting Oversight Board ("PCAOB").</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these responsibilities, the Audit Committee met with management and the independent registered public accounting firm to review and discuss the December 31, 2016 audited consolidated financial statements and the effectiveness of the internal control over financial reporting. The Audit Committee has discussed with the independent registered public accounting firm the matters required to be discussed by the PCAOB Auditing Standards No. 61, as amended (AICPA, Professional Standards, Vol. 1, AU Section 380). The Audit Committee has also received written disclosures from the Company's independent registered public accounting firm, as required by the applicable requirements of the PCAOB, and discussed with the independent registered public accounting firm that firm's independence.</w:t>
      </w:r>
    </w:p>
    <w:p>
      <w:pPr>
        <w:spacing w:after="0" w:line="21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Based upon the Audit Committee's discussions with management and the independent registered public accounting firm referred to above, and the Audit Committee's review of the representations of management, the Audit Committee recommended that the Board of Directors include the December 31, 2016 audited consolidated financial statements in Altisource's Annual Report on Form 10-K for the year ended December 31, 2016.</w:t>
      </w:r>
    </w:p>
    <w:p>
      <w:pPr>
        <w:spacing w:after="0" w:line="156"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Audit Committee:</w:t>
      </w:r>
    </w:p>
    <w:p>
      <w:pPr>
        <w:spacing w:after="0" w:line="1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Roland Müller-Ineichen, Chairman</w:t>
      </w:r>
    </w:p>
    <w:p>
      <w:pPr>
        <w:ind w:left="6940"/>
        <w:spacing w:after="0" w:line="234" w:lineRule="auto"/>
        <w:rPr>
          <w:sz w:val="20"/>
          <w:szCs w:val="20"/>
          <w:color w:val="auto"/>
        </w:rPr>
      </w:pPr>
      <w:r>
        <w:rPr>
          <w:rFonts w:ascii="Arial" w:cs="Arial" w:eastAsia="Arial" w:hAnsi="Arial"/>
          <w:sz w:val="18"/>
          <w:szCs w:val="18"/>
          <w:color w:val="auto"/>
        </w:rPr>
        <w:t>W. Michael Linn, Director</w:t>
      </w:r>
    </w:p>
    <w:p>
      <w:pPr>
        <w:spacing w:after="0" w:line="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Timo Vättö, Director</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2017</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132715</wp:posOffset>
            </wp:positionV>
            <wp:extent cx="108077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Auditor Fees</w:t>
      </w:r>
    </w:p>
    <w:p>
      <w:pPr>
        <w:spacing w:after="0" w:line="234" w:lineRule="exact"/>
        <w:rPr>
          <w:sz w:val="20"/>
          <w:szCs w:val="20"/>
          <w:color w:val="auto"/>
        </w:rPr>
      </w:pPr>
    </w:p>
    <w:p>
      <w:pPr>
        <w:jc w:val="both"/>
        <w:ind w:right="80"/>
        <w:spacing w:after="0" w:line="299" w:lineRule="auto"/>
        <w:rPr>
          <w:sz w:val="20"/>
          <w:szCs w:val="20"/>
          <w:color w:val="auto"/>
        </w:rPr>
      </w:pPr>
      <w:r>
        <w:rPr>
          <w:rFonts w:ascii="Arial" w:cs="Arial" w:eastAsia="Arial" w:hAnsi="Arial"/>
          <w:sz w:val="16"/>
          <w:szCs w:val="16"/>
          <w:color w:val="auto"/>
        </w:rPr>
        <w:t>The following table shows the aggregate fees billed to Altisource for professional services by Deloitte &amp; Touche LLP, the member firms of Deloitte Touche Tohmatsu and their respective affiliates in fiscal year 2015 and by Mayer Hoffman and its affiliates, Atwell and Deloitte in fiscal year 2016:</w:t>
      </w:r>
    </w:p>
    <w:p>
      <w:pPr>
        <w:spacing w:after="0" w:line="141" w:lineRule="exact"/>
        <w:rPr>
          <w:sz w:val="20"/>
          <w:szCs w:val="20"/>
          <w:color w:val="auto"/>
        </w:rPr>
      </w:pPr>
    </w:p>
    <w:tbl>
      <w:tblPr>
        <w:tblLayout w:type="fixed"/>
        <w:tblInd w:w="1720" w:type="dxa"/>
        <w:tblCellMar>
          <w:top w:w="0" w:type="dxa"/>
          <w:left w:w="0" w:type="dxa"/>
          <w:bottom w:w="0" w:type="dxa"/>
          <w:right w:w="0" w:type="dxa"/>
        </w:tblCellMar>
      </w:tblPr>
      <w:tr>
        <w:trPr>
          <w:trHeight w:val="221"/>
        </w:trPr>
        <w:tc>
          <w:tcPr>
            <w:tcW w:w="55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Category</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$1,851,789</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$2,336,043</w:t>
            </w:r>
          </w:p>
        </w:tc>
        <w:tc>
          <w:tcPr>
            <w:tcW w:w="2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3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$2,945</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$469,096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$127,494</w:t>
            </w:r>
          </w:p>
        </w:tc>
        <w:tc>
          <w:tcPr>
            <w:tcW w:w="2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$76,290</w:t>
            </w:r>
          </w:p>
        </w:tc>
        <w:tc>
          <w:tcPr>
            <w:tcW w:w="220" w:type="dxa"/>
            <w:vAlign w:val="bottom"/>
          </w:tcPr>
          <w:p>
            <w:pPr>
              <w:spacing w:after="0"/>
              <w:rPr>
                <w:sz w:val="17"/>
                <w:szCs w:val="17"/>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$2,323,830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197" w:lineRule="exact"/>
              <w:rPr>
                <w:sz w:val="20"/>
                <w:szCs w:val="20"/>
                <w:color w:val="auto"/>
              </w:rPr>
            </w:pPr>
            <w:r>
              <w:rPr>
                <w:rFonts w:ascii="Arial" w:cs="Arial" w:eastAsia="Arial" w:hAnsi="Arial"/>
                <w:sz w:val="14"/>
                <w:szCs w:val="14"/>
                <w:color w:val="auto"/>
              </w:rPr>
              <w:t>$2,539,827</w:t>
            </w:r>
            <w:r>
              <w:rPr>
                <w:rFonts w:ascii="Arial" w:cs="Arial" w:eastAsia="Arial" w:hAnsi="Arial"/>
                <w:sz w:val="22"/>
                <w:szCs w:val="22"/>
                <w:color w:val="auto"/>
                <w:vertAlign w:val="superscript"/>
              </w:rPr>
              <w:t>(1)</w:t>
            </w:r>
          </w:p>
        </w:tc>
      </w:tr>
    </w:tbl>
    <w:p>
      <w:pPr>
        <w:spacing w:after="0" w:line="219" w:lineRule="exact"/>
        <w:rPr>
          <w:sz w:val="20"/>
          <w:szCs w:val="20"/>
          <w:color w:val="auto"/>
        </w:rPr>
      </w:pPr>
    </w:p>
    <w:p>
      <w:pPr>
        <w:ind w:left="2260" w:right="40" w:hanging="540"/>
        <w:spacing w:after="0" w:line="197" w:lineRule="auto"/>
        <w:tabs>
          <w:tab w:leader="none" w:pos="226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Represents $1,329,677 billed by Mayer Hoffman ($1,256,082 for audit fees and $73,595 for other fees); $97,369 billed by Atwell (for audit fees); and $1,112,781 billed by Deloitte ($982,592 primarily related to 2015 audit fees billed in 2016, $127,494 for tax services and $2,695 for other fees).</w:t>
      </w:r>
    </w:p>
    <w:p>
      <w:pPr>
        <w:spacing w:after="0" w:line="19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and expenses billed for professional services rendered for the audits of Altisource's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fiscal years 2015 and 2016, for the reviews of the financial statements included in Altisource's quarterly reports on Form 10-Q during fiscal years 2015 and 2016 and for services that are normally provided by the independent registered certified public accounting firm and affiliates in connection with statutory and regulatory filings or engagements for the relevant fiscal year.</w:t>
      </w:r>
    </w:p>
    <w:p>
      <w:pPr>
        <w:spacing w:after="0" w:line="18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by the independent registered certified public accounting firm for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2015 and 2016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for fiscal years 2015 and 2016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for tax compliance, tax planning and tax advice.</w:t>
      </w:r>
    </w:p>
    <w:p>
      <w:pPr>
        <w:spacing w:after="0" w:line="169" w:lineRule="exact"/>
        <w:rPr>
          <w:sz w:val="20"/>
          <w:szCs w:val="20"/>
          <w:color w:val="auto"/>
        </w:rPr>
      </w:pPr>
    </w:p>
    <w:p>
      <w:pPr>
        <w:ind w:right="520"/>
        <w:spacing w:after="0" w:line="325" w:lineRule="auto"/>
        <w:rPr>
          <w:sz w:val="20"/>
          <w:szCs w:val="20"/>
          <w:color w:val="auto"/>
        </w:rPr>
      </w:pPr>
      <w:r>
        <w:rPr>
          <w:rFonts w:ascii="Arial" w:cs="Arial" w:eastAsia="Arial" w:hAnsi="Arial"/>
          <w:sz w:val="16"/>
          <w:szCs w:val="16"/>
          <w:b w:val="1"/>
          <w:bCs w:val="1"/>
          <w:i w:val="1"/>
          <w:iCs w:val="1"/>
          <w:color w:val="auto"/>
        </w:rPr>
        <w:t xml:space="preserve">All Other Fees. </w:t>
      </w:r>
      <w:r>
        <w:rPr>
          <w:rFonts w:ascii="Arial" w:cs="Arial" w:eastAsia="Arial" w:hAnsi="Arial"/>
          <w:sz w:val="16"/>
          <w:szCs w:val="16"/>
          <w:color w:val="auto"/>
        </w:rPr>
        <w:t>This category includes the aggregate fees billed for fiscal years 2015 and 2016 for products and services provided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registered certified public accounting firm that are not reported above under "Audit Fees," "Audit-Related Fees" or "Tax Fees."</w:t>
      </w:r>
    </w:p>
    <w:p>
      <w:pPr>
        <w:spacing w:after="0" w:line="14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Deloitte &amp; Touche LLP in fiscal years 2015 and Mayer Hoffman in 2016 and determined that such services and fees are compatible with their independence.</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2015 and 2016, all services associated with the independent registered certified public accounting firm were pre-approved by the Audit Committee or by the Chairman of the Audit Committee pursuant to authority delegated to him as described in the following section.</w:t>
      </w:r>
    </w:p>
    <w:p>
      <w:pPr>
        <w:spacing w:after="0" w:line="211"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Representatives from Mayer Hoffman and Atwell will be present at the Annual Meeting and will be available to respond to questions from shareholders.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132080</wp:posOffset>
            </wp:positionV>
            <wp:extent cx="108077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its charter, the Audit Committee has delegated authority to the Chairman of the Audit Committee to pre-approve all audit and permitted non-audit services to be performed by the independent auditors. The Chairman shall report any pre-approval decisions to the Audit Committee at its next scheduled meeting for ratification. The Audit Committee does not delegate to management its responsibilities to pre-approve services performed by the independent auditor.</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132080</wp:posOffset>
            </wp:positionV>
            <wp:extent cx="120904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90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APPOINTMENT OF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(Proposal Three)</w:t>
      </w:r>
    </w:p>
    <w:p>
      <w:pPr>
        <w:spacing w:after="0" w:line="212"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Under the Luxembourg Law of 10 August 1915 on commercial companies, as amended (the "Luxembourg Company Law"), we are required to submit both consolidated and unconsolidated annual accounts for Altisource Portfolio Solutions S.A. for approval by our shareholders.</w:t>
      </w:r>
    </w:p>
    <w:p>
      <w:pPr>
        <w:spacing w:after="0" w:line="16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Further, we are required to appoint a supervisory auditor to report on Altisource Portfolio Solutions S.A.'s unconsolidated annual accounts prepared in accordance with Luxembourg GAAP (the "Luxembourg Annual Accounts"). The supervisory auditor does not audit the Company's Luxembourg Annual Accounts, but provides an annual report confirming that the Company's unconsolidated accounts agree with the accounting records and documents of the Company. The supervisory auditor may be a member of the Company's management (who is not a member of the Board of Directors) or a third party, and may be appointed for a renewable term of up to six (6) years.</w:t>
      </w:r>
    </w:p>
    <w:p>
      <w:pPr>
        <w:spacing w:after="0" w:line="21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Based on the foregoing, our Board of Directors has recommended the appointment of Michelle D. Esterman, Chief Financial Officer of the Company, to be our supervisory auditor for the Luxembourg Annual Accounts for the years ending December 31, 2017 through December 31, 2022 or until her successor is duly elected and qualified. The Board of Directors has further recommended that such appointment be submitted for approval by our shareholders at the Annual Meeting.</w:t>
      </w:r>
    </w:p>
    <w:p>
      <w:pPr>
        <w:spacing w:after="0" w:line="20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Our Board of Directors has also appointed Ms. Esterman as our supervisory auditor for the Luxembourg Annual Accounts for the years ended December 31, 2009 through December 31, 2016, subject to ratification by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Ms. Esterman will be present at the Annual Meeting and will be available to respond to questions from shareholders.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BOARD OF DIRECTORS UNANIMOUSLY RECOMMENDS THAT YOU VOTE "FOR" THE APPOINTMENT OF MICHELLE D.</w:t>
      </w:r>
    </w:p>
    <w:p>
      <w:pPr>
        <w:spacing w:after="0" w:line="18" w:lineRule="exact"/>
        <w:rPr>
          <w:sz w:val="20"/>
          <w:szCs w:val="20"/>
          <w:color w:val="auto"/>
        </w:rPr>
      </w:pPr>
    </w:p>
    <w:p>
      <w:pPr>
        <w:jc w:val="center"/>
        <w:ind w:left="300"/>
        <w:spacing w:after="0" w:line="236" w:lineRule="auto"/>
        <w:rPr>
          <w:sz w:val="20"/>
          <w:szCs w:val="20"/>
          <w:color w:val="auto"/>
        </w:rPr>
      </w:pPr>
      <w:r>
        <w:rPr>
          <w:rFonts w:ascii="Arial" w:cs="Arial" w:eastAsia="Arial" w:hAnsi="Arial"/>
          <w:sz w:val="18"/>
          <w:szCs w:val="18"/>
          <w:b w:val="1"/>
          <w:bCs w:val="1"/>
          <w:color w:val="auto"/>
        </w:rPr>
        <w:t>ESTERMAN, CHIEF FINANCIAL OFFICER OF THE COMPANY, TO BE OUR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TO</w:t>
      </w:r>
      <w:r>
        <w:rPr>
          <w:rFonts w:ascii="Arial" w:cs="Arial" w:eastAsia="Arial" w:hAnsi="Arial"/>
          <w:sz w:val="18"/>
          <w:szCs w:val="18"/>
          <w:b w:val="1"/>
          <w:bCs w:val="1"/>
          <w:color w:val="auto"/>
        </w:rPr>
        <w:t xml:space="preserve"> REPORT ON THE LUXEMBOURG ANNUAL ACCOUNTS FOR THE YEARS ENDING DECEMBER 31, 2017 THROUGH DECEMBER 31, 2022 OR UNTIL HER SUCCESSOR IS DULY ELECTED AND QUALIFIED AND THE RATIFICATION OF HER APPOINTMENT BY THE BOARD OF DIRECTORS AS OUR SUPERVISORY AUDITOR TO REPORT ON THE LUXEMBOURG ANNUAL ACCOUNTS FOR THE YEARS ENDED DECEMBER 31, 2009 THROUGH DECEMBER 31, 2016</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132715</wp:posOffset>
            </wp:positionV>
            <wp:extent cx="115760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576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280" w:right="2540"/>
        <w:spacing w:after="0" w:line="239" w:lineRule="auto"/>
        <w:rPr>
          <w:sz w:val="20"/>
          <w:szCs w:val="20"/>
          <w:color w:val="auto"/>
        </w:rPr>
      </w:pPr>
      <w:r>
        <w:rPr>
          <w:rFonts w:ascii="Arial" w:cs="Arial" w:eastAsia="Arial" w:hAnsi="Arial"/>
          <w:sz w:val="18"/>
          <w:szCs w:val="18"/>
          <w:b w:val="1"/>
          <w:bCs w:val="1"/>
          <w:color w:val="auto"/>
        </w:rPr>
        <w:t>APPROVAL OF THE COMPANY'S UNCONSOLIDATED ANNUAL ACCOUNTS PREPARED IN ACCORDANCE WITH LUXEMBOURG GAAP FOR THE YEAR ENDED DECEMBER 31, 2016 AND ITS CONSOLIDATED FINANCIAL STATEMENTS PREPARED IN ACCORDANCE WITH U.S. GAAP INCLUDING A FOOTNOTE RECONCILIATION OF EQUITY AND NET INCOME TO IFRS</w:t>
      </w:r>
    </w:p>
    <w:p>
      <w:pPr>
        <w:jc w:val="center"/>
        <w:ind w:right="-39"/>
        <w:spacing w:after="0" w:line="235" w:lineRule="auto"/>
        <w:rPr>
          <w:sz w:val="20"/>
          <w:szCs w:val="20"/>
          <w:color w:val="auto"/>
        </w:rPr>
      </w:pPr>
      <w:r>
        <w:rPr>
          <w:rFonts w:ascii="Arial" w:cs="Arial" w:eastAsia="Arial" w:hAnsi="Arial"/>
          <w:sz w:val="18"/>
          <w:szCs w:val="18"/>
          <w:b w:val="1"/>
          <w:bCs w:val="1"/>
          <w:color w:val="auto"/>
        </w:rPr>
        <w:t>AS OF AND FOR THE YEAR ENDED DECEMBER 31,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Four)</w:t>
      </w:r>
    </w:p>
    <w:p>
      <w:pPr>
        <w:spacing w:after="0" w:line="21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Pursuant to Luxembourg law, the Luxembourg Statutory Accounts must be submitted each year to shareholders for approval at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the notes for the unconsolidated Altisource Portfolio Solutions S.A. entity. There is no statement of movements in equity or statement of cash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flows included in the Luxembourg Annual Accounts under Luxembourg GAAP. Profits earned by the subsidiaries of Altisource Portfolio</w:t>
      </w:r>
    </w:p>
    <w:p>
      <w:pPr>
        <w:spacing w:after="0"/>
        <w:rPr>
          <w:sz w:val="20"/>
          <w:szCs w:val="20"/>
          <w:color w:val="auto"/>
        </w:rPr>
      </w:pPr>
      <w:r>
        <w:rPr>
          <w:rFonts w:ascii="Arial" w:cs="Arial" w:eastAsia="Arial" w:hAnsi="Arial"/>
          <w:sz w:val="16"/>
          <w:szCs w:val="16"/>
          <w:color w:val="auto"/>
        </w:rPr>
        <w:t>Solutions S.A. are not included in the Luxembourg Annual Accounts unless such amounts are distributed to Altisource Portfolio Solutions S.A.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Luxembourg Annual Accounts as of and for the year ended December 31, 2016 reflect total assets of $2,411.8 million and a loss for the year then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ended of $38.9 million.</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2016, the Consolidated Accounts reflect IFRS total equity of $62.5 million and IFRS net income for the year then ended of $27.5 million.</w:t>
      </w:r>
    </w:p>
    <w:p>
      <w:pPr>
        <w:spacing w:after="0" w:line="21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20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Altisource's Luxembourg Statutory Accounts will be available to shareholders from May 8, 2017 until the conclusion of the Annual Meeting at Altisource's registered office.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YOU VOTE "FOR" THE APPROVAL OF THE LUXEMBOURG STATUTORY ACCOUNTS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132715</wp:posOffset>
            </wp:positionV>
            <wp:extent cx="108077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80" w:right="1420"/>
        <w:spacing w:after="0" w:line="242" w:lineRule="auto"/>
        <w:rPr>
          <w:sz w:val="20"/>
          <w:szCs w:val="20"/>
          <w:color w:val="auto"/>
        </w:rPr>
      </w:pPr>
      <w:r>
        <w:rPr>
          <w:rFonts w:ascii="Arial" w:cs="Arial" w:eastAsia="Arial" w:hAnsi="Arial"/>
          <w:sz w:val="18"/>
          <w:szCs w:val="18"/>
          <w:b w:val="1"/>
          <w:bCs w:val="1"/>
          <w:color w:val="auto"/>
        </w:rPr>
        <w:t>RECEIPT AND APPROVAL OF THE DIRECTORS' REPORTS FOR THE LUXEMBOURG STATUTORY ACCOUNTS FOR THE YEAR ENDED DECEMBER 31, 2016 AND RECEIPT OF THE REPORTS OF THE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xml:space="preserve">) FOR THE LUXEMBOURG ANNUAL ACCOUNTS FOR THE YEARS ENDED DECEMBER 31, 2009 THROUGH DECEMBER 31, 2016 </w:t>
      </w:r>
      <w:r>
        <w:rPr>
          <w:rFonts w:ascii="Arial" w:cs="Arial" w:eastAsia="Arial" w:hAnsi="Arial"/>
          <w:sz w:val="18"/>
          <w:szCs w:val="18"/>
          <w:color w:val="auto"/>
        </w:rPr>
        <w:t>(Proposal Five)</w:t>
      </w:r>
    </w:p>
    <w:p>
      <w:pPr>
        <w:spacing w:after="0" w:line="20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Luxembourg law also requires the Company's supervisory auditor to provide an annual report confirming that the Company's Luxembourg Annual Accounts agree with the accounting records and documents of the Company.</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Directors' Reports for the Luxembourg Statutory Accounts for the year ended December 31, 2016 and the reports of the supervisory auditor for the Luxembourg Annual Accounts for the years ended December 31, 2009 through December 31, 2016 will be available to shareholders from May 8, 2017 until the conclusion of the Annual Meeting at Altisource's registered office. Following shareholder approval of the Luxembourg Statutory Accounts, these reports will be filed with the Luxembourg trade registry as public documents.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THAT YOU VOTE "FOR" THE RECEIPT AND APPROVAL OF THE DIRECTORS' REPORTS FOR THE LUXEMBOURG STATUTORY</w:t>
      </w:r>
    </w:p>
    <w:p>
      <w:pPr>
        <w:jc w:val="center"/>
        <w:ind w:right="-139"/>
        <w:spacing w:after="0"/>
        <w:rPr>
          <w:sz w:val="20"/>
          <w:szCs w:val="20"/>
          <w:color w:val="auto"/>
        </w:rPr>
      </w:pPr>
      <w:r>
        <w:rPr>
          <w:rFonts w:ascii="Arial" w:cs="Arial" w:eastAsia="Arial" w:hAnsi="Arial"/>
          <w:sz w:val="16"/>
          <w:szCs w:val="16"/>
          <w:b w:val="1"/>
          <w:bCs w:val="1"/>
          <w:color w:val="auto"/>
        </w:rPr>
        <w:t>ACCOUNTS FOR THE YEAR ENDED DECEMBER 31, 2016 AND OF THE RECEIPT OF THE REPORTS OF THE SUPERVISORY AUDITOR</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FOR THE LUXEMBOURG ANNUAL ACCOUNTS FOR THE YEARS ENDED DECEMBER 31, 2009</w:t>
      </w:r>
    </w:p>
    <w:p>
      <w:pPr>
        <w:jc w:val="center"/>
        <w:ind w:right="-139"/>
        <w:spacing w:after="0"/>
        <w:rPr>
          <w:sz w:val="20"/>
          <w:szCs w:val="20"/>
          <w:color w:val="auto"/>
        </w:rPr>
      </w:pPr>
      <w:r>
        <w:rPr>
          <w:rFonts w:ascii="Arial" w:cs="Arial" w:eastAsia="Arial" w:hAnsi="Arial"/>
          <w:sz w:val="18"/>
          <w:szCs w:val="18"/>
          <w:b w:val="1"/>
          <w:bCs w:val="1"/>
          <w:color w:val="auto"/>
        </w:rPr>
        <w:t>THROUGH DECEMBER 31, 2016</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132080</wp:posOffset>
            </wp:positionV>
            <wp:extent cx="98615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8615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 xml:space="preserve">ALLOCATION OF THE RESULTS IN THE LUXEMBOURG ANNUAL ACCOUNTS FOR THE YEAR ENDED DECEMBER 31, 2016 </w:t>
      </w:r>
      <w:r>
        <w:rPr>
          <w:rFonts w:ascii="Arial" w:cs="Arial" w:eastAsia="Arial" w:hAnsi="Arial"/>
          <w:sz w:val="18"/>
          <w:szCs w:val="18"/>
          <w:color w:val="auto"/>
        </w:rPr>
        <w:t>(Proposal Six)</w:t>
      </w:r>
    </w:p>
    <w:p>
      <w:pPr>
        <w:spacing w:after="0" w:line="200" w:lineRule="exact"/>
        <w:rPr>
          <w:sz w:val="20"/>
          <w:szCs w:val="20"/>
          <w:color w:val="auto"/>
        </w:rPr>
      </w:pPr>
    </w:p>
    <w:p>
      <w:pPr>
        <w:spacing w:after="0" w:line="209"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20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2016, there is no requirement to make such allocation.</w:t>
      </w:r>
    </w:p>
    <w:p>
      <w:pPr>
        <w:spacing w:after="0" w:line="20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As of December 31, 2016, the Luxembourg Annual Accounts for Altisource reflect total assets of $2,411.8 million and a loss for the year then ended of $38.9 million. As noted in Proposal Four, profits earned by subsidiaries of Altisource are not included in the calculation of net profits for Altisource's Luxembourg Annual Accounts unless such profits have been distributed to Altisource.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Board of Directors proposes to allocate the loss of $38.9 million reflected in the Luxembourg Annual Accounts to reduce profit brought forward.</w:t>
      </w:r>
    </w:p>
    <w:p>
      <w:pPr>
        <w:spacing w:after="0" w:line="213" w:lineRule="exact"/>
        <w:rPr>
          <w:sz w:val="20"/>
          <w:szCs w:val="20"/>
          <w:color w:val="auto"/>
        </w:rPr>
      </w:pPr>
    </w:p>
    <w:p>
      <w:pPr>
        <w:jc w:val="center"/>
        <w:ind w:left="260" w:right="2160"/>
        <w:spacing w:after="0" w:line="249" w:lineRule="auto"/>
        <w:rPr>
          <w:sz w:val="20"/>
          <w:szCs w:val="20"/>
          <w:color w:val="auto"/>
        </w:rPr>
      </w:pPr>
      <w:r>
        <w:rPr>
          <w:rFonts w:ascii="Arial" w:cs="Arial" w:eastAsia="Arial" w:hAnsi="Arial"/>
          <w:sz w:val="18"/>
          <w:szCs w:val="18"/>
          <w:b w:val="1"/>
          <w:bCs w:val="1"/>
          <w:color w:val="auto"/>
        </w:rPr>
        <w:t>OUR BOARD OF DIRECTORS UNANIMOUSLY RECOMMENDS THAT YOU VOTE "FOR" THE ALLOCATION OF THE RESULTS IN THE LUXEMBOURG ANNUAL ACCOUNTS FOR THE YEAR ENDED DECEMBER 31, 2016</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132715</wp:posOffset>
            </wp:positionV>
            <wp:extent cx="118364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836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20" w:right="1140"/>
        <w:spacing w:after="0" w:line="249" w:lineRule="auto"/>
        <w:rPr>
          <w:sz w:val="20"/>
          <w:szCs w:val="20"/>
          <w:color w:val="auto"/>
        </w:rPr>
      </w:pPr>
      <w:r>
        <w:rPr>
          <w:rFonts w:ascii="Arial" w:cs="Arial" w:eastAsia="Arial" w:hAnsi="Arial"/>
          <w:sz w:val="18"/>
          <w:szCs w:val="18"/>
          <w:b w:val="1"/>
          <w:bCs w:val="1"/>
          <w:color w:val="auto"/>
        </w:rPr>
        <w:t>DISCHARGE OF EACH OF THE DIRECTORS AND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xml:space="preserve">) OF ALTISOURCE PORTFOLIO SOLUTIONS S.A. FOR THE PERFORMANCE OF THEIR MANDATES </w:t>
      </w:r>
      <w:r>
        <w:rPr>
          <w:rFonts w:ascii="Arial" w:cs="Arial" w:eastAsia="Arial" w:hAnsi="Arial"/>
          <w:sz w:val="18"/>
          <w:szCs w:val="18"/>
          <w:color w:val="auto"/>
        </w:rPr>
        <w:t>(Proposal Seven)</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Luxembourg law, after the approval of the Luxembourg Statutory Accounts (as discussed in Proposal Four above), shareholders must vote on whether to discharge Altisource's Directors for the performance of their mandate and the supervisory auditor for the performance of her mandate, in each case for the relevant fiscal year(s). If the shareholders grant the discharge for the relevant fiscal year(s), shareholders will not be able to initiate a liability claim against such Directors and/or supervisory auditor in connection with the performance of their mandates for such fiscal year(s). However, such discharge will not be valid in certain instances as specified in article 74 of the Luxembourg Company Law. For fiscal year 2016, Altisource believes no such instances have occurred.</w:t>
      </w:r>
    </w:p>
    <w:p>
      <w:pPr>
        <w:spacing w:after="0" w:line="188" w:lineRule="exact"/>
        <w:rPr>
          <w:sz w:val="20"/>
          <w:szCs w:val="20"/>
          <w:color w:val="auto"/>
        </w:rPr>
      </w:pPr>
    </w:p>
    <w:p>
      <w:pPr>
        <w:jc w:val="center"/>
        <w:ind w:left="340" w:right="1000"/>
        <w:spacing w:after="0"/>
        <w:rPr>
          <w:sz w:val="20"/>
          <w:szCs w:val="20"/>
          <w:color w:val="auto"/>
        </w:rPr>
      </w:pPr>
      <w:r>
        <w:rPr>
          <w:rFonts w:ascii="Arial" w:cs="Arial" w:eastAsia="Arial" w:hAnsi="Arial"/>
          <w:sz w:val="18"/>
          <w:szCs w:val="18"/>
          <w:b w:val="1"/>
          <w:bCs w:val="1"/>
          <w:color w:val="auto"/>
        </w:rPr>
        <w:t>OUR BOARD OF DIRECTORS UNANIMOUSLY RECOMMENDS THAT YOU VOTE "FOR" THE DISCHARGE OF EACH OF THE DIRECTORS OF ALTISOURCE PORTFOLIO SOLUTIONS S.A. FOR THE PERFORMANCE OF THEIR MANDATE FOR THE YEAR ENDED DECEMBER 31, 2016 AND DISCHARGE OF THE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FOR THE PERFORMANCE OF HER MANDATE FOR THE YEARS ENDED DECEMBER 31, 2009 THROUGH DECEMBER 31, 2016</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132080</wp:posOffset>
            </wp:positionV>
            <wp:extent cx="116649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6649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TO RENEW OUR SHARE REPURCHASE PROGRAM</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Eight)</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our 2016 Annual Meeting of Shareholders, our shareholders approved a share repurchase program authorizing the repurchase of up to twenty-five percent (25%) of the outstanding shares of the Company's stock as of the close of business on the date of shareholder approval (the "Share Repurchase Program"). Under that program, shares are eligible for repurchase at a minimum price of one dollar ($1) per share and a maximum price of five hundred dollars ($500) per share. As of March 20, 2017, 3,474,238 shares of common stock remain available for repurchase under our Share Repurchase Program. Therefore, the Board of Directors has approved renewing our Share Repurchase Program such that the Board of Directors is empowered to continue to purchase outstanding shares of the Company's stock within the following limits.</w:t>
      </w:r>
    </w:p>
    <w:p>
      <w:pPr>
        <w:spacing w:after="0" w:line="21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Share Repurchase Program will continue to be subject to Luxembourg law and provides for the equal treatment of shareholders. The term of authorization for repurchases will be five (5) years from the date of the Annual Meeting. The maximum number of shares authorized to be repurchased will be twenty-five percent (25%) of shares outstanding as of the close of business on the date of the Annual Meeting. Shares will be eligible for purchase at a minimum price of one dollar ($1) per share and a maximum price of five hundred dollars ($500)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repurchases under the Share Repurchase Program. The authority granted under the Share Repurchase Program shall apply to all classes of shares authorized pursuant to our Articles of Incorporation.</w:t>
      </w:r>
    </w:p>
    <w:p>
      <w:pPr>
        <w:spacing w:after="0" w:line="20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Altisource has historically demonstrated strong cash earnings capabilities.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left="260"/>
        <w:spacing w:after="0" w:line="275" w:lineRule="auto"/>
        <w:rPr>
          <w:sz w:val="20"/>
          <w:szCs w:val="20"/>
          <w:color w:val="auto"/>
        </w:rPr>
      </w:pPr>
      <w:r>
        <w:rPr>
          <w:rFonts w:ascii="Arial" w:cs="Arial" w:eastAsia="Arial" w:hAnsi="Arial"/>
          <w:sz w:val="16"/>
          <w:szCs w:val="16"/>
          <w:b w:val="1"/>
          <w:bCs w:val="1"/>
          <w:color w:val="auto"/>
        </w:rPr>
        <w:t>THAT YOU VOTE "FOR" THE RENEWAL OF OUR SHARE REPURCHASE PROGRAM SUCH THAT ALTISOURCE IS AUTHORIZED, FOR A PERIOD OF FIVE YEARS FROM THE DATE OF THE ANNUAL MEETING, TO REPURCHASE UP TO TWENTY-FIVE PERCENT (25%) OF THE OUTSTANDING SHARES OF ITS COMMON STOCK (AS OF THE CLOSE OF BUSINESS ON THE DATE OF THE ANNUAL MEETING) AT A MINIMUM PRICE OF ONE DOLLAR ($1) PER SHARE AND A MAXIMUM PRICE OF FIVE HUNDRED DOLLARS ($500) PER SHARE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132715</wp:posOffset>
            </wp:positionV>
            <wp:extent cx="111506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50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"SAY-ON-PAY"</w:t>
      </w:r>
    </w:p>
    <w:p>
      <w:pPr>
        <w:jc w:val="center"/>
        <w:ind w:right="-99"/>
        <w:spacing w:after="0"/>
        <w:rPr>
          <w:sz w:val="20"/>
          <w:szCs w:val="20"/>
          <w:color w:val="auto"/>
        </w:rPr>
      </w:pPr>
      <w:r>
        <w:rPr>
          <w:rFonts w:ascii="Arial" w:cs="Arial" w:eastAsia="Arial" w:hAnsi="Arial"/>
          <w:sz w:val="18"/>
          <w:szCs w:val="18"/>
          <w:color w:val="auto"/>
        </w:rPr>
        <w:t>(Proposal Nine)</w:t>
      </w:r>
    </w:p>
    <w:p>
      <w:pPr>
        <w:spacing w:after="0" w:line="212"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As required by Section 14A of the Securities Exchange Act of 1934, as amended, the Company is presenting this proposal, which gives shareholders the opportunity to approve or not approve our pay program for Named Executive Officers.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in detail under the heading "Compensation Discussion and Analysis," our executive compensation programs are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programs, including information about the fiscal year 2016 compensation of our Named Executive Officers.</w:t>
      </w:r>
    </w:p>
    <w:p>
      <w:pPr>
        <w:spacing w:after="0" w:line="2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20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You may vote for or against the approval of the compensation of the Company's Named Executive Officers as disclosed in the Compensation Discussion and Analysis, the compensation tables and the related disclosure contained in the proxy statement.</w:t>
      </w:r>
    </w:p>
    <w:p>
      <w:pPr>
        <w:spacing w:after="0" w:line="187" w:lineRule="exact"/>
        <w:rPr>
          <w:sz w:val="20"/>
          <w:szCs w:val="20"/>
          <w:color w:val="auto"/>
        </w:rPr>
      </w:pPr>
    </w:p>
    <w:p>
      <w:pPr>
        <w:jc w:val="center"/>
        <w:ind w:left="360" w:right="1000"/>
        <w:spacing w:after="0" w:line="280" w:lineRule="auto"/>
        <w:rPr>
          <w:sz w:val="20"/>
          <w:szCs w:val="20"/>
          <w:color w:val="auto"/>
        </w:rPr>
      </w:pPr>
      <w:r>
        <w:rPr>
          <w:rFonts w:ascii="Arial" w:cs="Arial" w:eastAsia="Arial" w:hAnsi="Arial"/>
          <w:sz w:val="16"/>
          <w:szCs w:val="16"/>
          <w:b w:val="1"/>
          <w:bCs w:val="1"/>
          <w:color w:val="auto"/>
        </w:rPr>
        <w:t>OUR BOARD OF DIRECTORS UNANIMOUSLY RECOMMENDS THAT YOU VOTE "FOR" THE PROPOSAL TO APPROVE, ON AN ADVISORY BASIS, THE COMPENSATION OF THE NAMED EXECUTIVE OFFICERS, AS DISCLOSED IN THE COMPANY'S PROXY STATEMENT FOR THE 2017 ANNUAL MEETING OF SHAREHOLDERS PURSUANT TO THE COMPENSATION DISCLOSURE RULES OF THE SEC, INCLUDING THE COMPENSATION DISCUSSION AND ANALYSIS, THE COMPENSATION TABLES AND OTHER RELATED DISCLOSURES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132080</wp:posOffset>
            </wp:positionV>
            <wp:extent cx="98615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8615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FREQUENCY OF EXECUTIVE COMPENSATION VOTE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"SAY-ON-FREQUENCY"</w:t>
      </w:r>
    </w:p>
    <w:p>
      <w:pPr>
        <w:jc w:val="center"/>
        <w:ind w:right="-19"/>
        <w:spacing w:after="0"/>
        <w:rPr>
          <w:sz w:val="20"/>
          <w:szCs w:val="20"/>
          <w:color w:val="auto"/>
        </w:rPr>
      </w:pPr>
      <w:r>
        <w:rPr>
          <w:rFonts w:ascii="Arial" w:cs="Arial" w:eastAsia="Arial" w:hAnsi="Arial"/>
          <w:sz w:val="18"/>
          <w:szCs w:val="18"/>
          <w:color w:val="auto"/>
        </w:rPr>
        <w:t>(Proposal Ten)</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required by Section 14A of the Securities Exchange Act, the Company is presenting this proposal which gives you, as a shareholder, the opportunity to inform the Company as to how often you wish the Company to include a Say-On-Pay proposal, similar to Proposal Nine, in our proxy statement.</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20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You may vote to include an advisory vote on the compensation of the Company's Named Executive Officers pursuant to Section 14A of the Securities Exchange Act every one (1), two (2) or three (3) years or you may abstain.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Signed proxies returned without specific voting directions will be voted for a frequency of one (1) year.</w:t>
      </w:r>
    </w:p>
    <w:p>
      <w:pPr>
        <w:spacing w:after="0" w:line="190" w:lineRule="exact"/>
        <w:rPr>
          <w:sz w:val="20"/>
          <w:szCs w:val="20"/>
          <w:color w:val="auto"/>
        </w:rPr>
      </w:pPr>
    </w:p>
    <w:p>
      <w:pPr>
        <w:jc w:val="center"/>
        <w:ind w:left="260" w:right="1900"/>
        <w:spacing w:after="0" w:line="244" w:lineRule="auto"/>
        <w:rPr>
          <w:sz w:val="20"/>
          <w:szCs w:val="20"/>
          <w:color w:val="auto"/>
        </w:rPr>
      </w:pPr>
      <w:r>
        <w:rPr>
          <w:rFonts w:ascii="Arial" w:cs="Arial" w:eastAsia="Arial" w:hAnsi="Arial"/>
          <w:sz w:val="18"/>
          <w:szCs w:val="18"/>
          <w:b w:val="1"/>
          <w:bCs w:val="1"/>
          <w:color w:val="auto"/>
        </w:rPr>
        <w:t>OUR BOARD OF DIRECTORS UNANIMOUSLY RECOMMENDS THAT YOU VOTE "FOR" THE OPTION OF "ONE (1) YEAR" AS THE FREQUENCY WITH WHICH SHAREHOLDERS ARE PROVIDED AN ADVISORY VOTE ON THE COMPENSATION OF NAMED EXECUTIVE OFFICERS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132715</wp:posOffset>
            </wp:positionV>
            <wp:extent cx="113220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322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TO BE CONSIDERED AT THE EXTRAORDINARY MEETING OF SHAREHOLDERS:</w:t>
      </w:r>
    </w:p>
    <w:p>
      <w:pPr>
        <w:spacing w:after="0" w:line="212" w:lineRule="exact"/>
        <w:rPr>
          <w:sz w:val="20"/>
          <w:szCs w:val="20"/>
          <w:color w:val="auto"/>
        </w:rPr>
      </w:pPr>
    </w:p>
    <w:p>
      <w:pPr>
        <w:jc w:val="center"/>
        <w:ind w:left="260" w:right="1120"/>
        <w:spacing w:after="0" w:line="243" w:lineRule="auto"/>
        <w:rPr>
          <w:sz w:val="20"/>
          <w:szCs w:val="20"/>
          <w:color w:val="auto"/>
        </w:rPr>
      </w:pPr>
      <w:r>
        <w:rPr>
          <w:rFonts w:ascii="Arial" w:cs="Arial" w:eastAsia="Arial" w:hAnsi="Arial"/>
          <w:sz w:val="18"/>
          <w:szCs w:val="18"/>
          <w:b w:val="1"/>
          <w:bCs w:val="1"/>
          <w:color w:val="auto"/>
        </w:rPr>
        <w:t>APPROVAL OF AMENDMENT OF THE ARTICLES OF INCORPORATION TO RENEW AND EXTEND THE BOARD OF DIRECTORS' AUTHORIZATION TO ISSUE SHARES OF THE COMPANY'S COMMON STOCK WITHIN THE LIMITS OF THE COMPANY'S AUTHORIZED SHARE CAPITAL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One)</w:t>
      </w:r>
    </w:p>
    <w:p>
      <w:pPr>
        <w:spacing w:after="0" w:line="21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Pursuant to Article 5 of the Company's Articles of Incorporation, the Company's authorized share capital is set at one hundred million dollars ($100,000,000) divided into one hundred million (100,000,000) shares with a par value of one dollar ($1) per share, each with the same rights attached as the existing shares.</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Additionally, pursuant to Article 5, of the Company's Articles of Incorporation, the shareholders delegated to the Board of Directors, for a period of five (5) years, the authority to: (i) realize one or more increases of the issued share capital within the limits of the authorized share capital, by the issuance of new shares, against payment in cash or in kind, by conversion of claims, by the increase of the par value of existing shares or in any other manner; (ii) determine the terms and conditions of any such increase and, more specifically, but not limited to, the place and date of the issuance or the successive issuances, the issue price, the amount of new shares to be issued, whether the new shares are to be issued and subscribed, with or without an issue premium and the terms and conditions of the subscription of and paying up of the new shares (in cash or in kind); and (iii) limit or waive the preferential subscription right reserved to the then existing shareholder(s) in case of issuance of shares against payment in cash.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delegation of authority expired as of July 22, 2014.</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Board of Directors believes that it is in the best interests of the Company to have the flexibility to issue shares of its common stock within the limits of the authorized share capital in order to be able to timely react to circumstances supporting the issuance of such shares (directly or indirectly) at such time or times as the Board of Directors in its discretion deems advisable including, by way of example, in connection with capital raising, financing and acquisition transactions. The Directors' report concerning the proposed authorizations will be available for inspection from May 8, 2017 unitl the conclusion of the Extraordinary Meeting in accordance with article 32(5) of the Luxembourg Company Law.</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also considers it to be in the best interests of the Company to renew the Board of Directors' authority to limit or waive any of the preferential rights of shareholders of the Company in connection with the issuance of shares of common stock.</w:t>
      </w:r>
    </w:p>
    <w:p>
      <w:pPr>
        <w:spacing w:after="0" w:line="20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Therefore, the Board of Directors is seeking approval of the renewal and extension of its authorization to issue shares of the Company's common stock within the limits of the Company's authorized share capital and related authorizations for a period of five (5) years. We are not seeking your approval of a specific issuance of shares. Approval of this proposal will only grant the Board of Directors the authority to issue shares that are already authorized under our Articles of Incorporation upon the terms described above.</w:t>
      </w:r>
    </w:p>
    <w:p>
      <w:pPr>
        <w:spacing w:after="0" w:line="209"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 xml:space="preserve">The proposed amendment is incorporated in Articles 5 and 6 of the Amended and Restated Articles of Incorporation, a copy of which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and marked to show the proposed amendment. The above description of the amendment is qualified in its entirety by reference to </w:t>
      </w:r>
      <w:r>
        <w:rPr>
          <w:rFonts w:ascii="Arial" w:cs="Arial" w:eastAsia="Arial" w:hAnsi="Arial"/>
          <w:sz w:val="16"/>
          <w:szCs w:val="16"/>
          <w:u w:val="single" w:color="auto"/>
          <w:color w:val="auto"/>
        </w:rPr>
        <w:t>Appendix A</w:t>
      </w:r>
      <w:r>
        <w:rPr>
          <w:rFonts w:ascii="Arial" w:cs="Arial" w:eastAsia="Arial" w:hAnsi="Arial"/>
          <w:sz w:val="16"/>
          <w:szCs w:val="16"/>
          <w:color w:val="auto"/>
        </w:rPr>
        <w:t>. We encourage you to carefully read the Amended and Restated Articles of Incorporation in their entirety.</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Luxembourg law, amendments to the articles of incorporation of a company require an extraordinary meeting of shareholders. As such, the Amended and Restated Articles of Incorporation will be adopted if approved by holders of two-thirds of the shares validly voted provided that a quorum of half of the issued and outstanding shares of common stock able to be voted is reached. If approved by our shareholders at this Extraordinary Meeting, the minutes of the Extraordinary Meeting and Amended and Restated Articles of Incorporation will be filed with the Luxembourg trade registry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 as public documents. The Amended and Restated Articles of Incorporation will take effect immediately upon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132080</wp:posOffset>
            </wp:positionV>
            <wp:extent cx="113220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322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publication of the notarial deed recording the minutes of the Extraordinary Meeting in the Luxembourg Official Gazette (</w:t>
      </w:r>
      <w:r>
        <w:rPr>
          <w:rFonts w:ascii="Arial" w:cs="Arial" w:eastAsia="Arial" w:hAnsi="Arial"/>
          <w:sz w:val="18"/>
          <w:szCs w:val="18"/>
          <w:i w:val="1"/>
          <w:iCs w:val="1"/>
          <w:color w:val="auto"/>
        </w:rPr>
        <w:t>Recueil Electronique des</w:t>
      </w:r>
      <w:r>
        <w:rPr>
          <w:rFonts w:ascii="Arial" w:cs="Arial" w:eastAsia="Arial" w:hAnsi="Arial"/>
          <w:sz w:val="18"/>
          <w:szCs w:val="18"/>
          <w:color w:val="auto"/>
        </w:rPr>
        <w:t xml:space="preserve"> </w:t>
      </w:r>
      <w:r>
        <w:rPr>
          <w:rFonts w:ascii="Arial" w:cs="Arial" w:eastAsia="Arial" w:hAnsi="Arial"/>
          <w:sz w:val="18"/>
          <w:szCs w:val="18"/>
          <w:i w:val="1"/>
          <w:iCs w:val="1"/>
          <w:color w:val="auto"/>
        </w:rPr>
        <w:t>Sociétés et Associations</w:t>
      </w:r>
      <w:r>
        <w:rPr>
          <w:rFonts w:ascii="Arial" w:cs="Arial" w:eastAsia="Arial" w:hAnsi="Arial"/>
          <w:sz w:val="18"/>
          <w:szCs w:val="18"/>
          <w:color w:val="auto"/>
        </w:rPr>
        <w:t>). The authorizations described herein will end on the fifth anniversary of the date of such publication.</w:t>
      </w:r>
    </w:p>
    <w:p>
      <w:pPr>
        <w:spacing w:after="0" w:line="169" w:lineRule="exact"/>
        <w:rPr>
          <w:sz w:val="20"/>
          <w:szCs w:val="20"/>
          <w:color w:val="auto"/>
        </w:rPr>
      </w:pPr>
    </w:p>
    <w:p>
      <w:pPr>
        <w:jc w:val="center"/>
        <w:ind w:left="500" w:right="940"/>
        <w:spacing w:after="0" w:line="239" w:lineRule="auto"/>
        <w:rPr>
          <w:sz w:val="20"/>
          <w:szCs w:val="20"/>
          <w:color w:val="auto"/>
        </w:rPr>
      </w:pPr>
      <w:r>
        <w:rPr>
          <w:rFonts w:ascii="Arial" w:cs="Arial" w:eastAsia="Arial" w:hAnsi="Arial"/>
          <w:sz w:val="18"/>
          <w:szCs w:val="18"/>
          <w:b w:val="1"/>
          <w:bCs w:val="1"/>
          <w:color w:val="auto"/>
        </w:rPr>
        <w:t>OUR BOARD OF DIRECTORS UNANIMOUSLY RECOMMENDS THAT YOU VOTE "FOR" THE AMENDMENT OF THE ARTICLES OF INCORPORATION TO (I) RENEW AND EXTEND THE AUTHORIZATION OF THE BOARD OF DIRECTORS TO ISSUE SHARES OF THE COMPANY'S COMMON STOCK WITHIN THE LIMITS OF THE COMPANY'S AUTHORIZED SHARE CAPITAL (ONE HUNDRED MILLION DOLLARS ($100,000,000) WITH A PAR VALUE OF ONE DOLLAR ($1)) AND, IN CONNECTION WITH ANY</w:t>
      </w:r>
    </w:p>
    <w:p>
      <w:pPr>
        <w:ind w:left="2100"/>
        <w:spacing w:after="0"/>
        <w:rPr>
          <w:sz w:val="20"/>
          <w:szCs w:val="20"/>
          <w:color w:val="auto"/>
        </w:rPr>
      </w:pPr>
      <w:r>
        <w:rPr>
          <w:rFonts w:ascii="Arial" w:cs="Arial" w:eastAsia="Arial" w:hAnsi="Arial"/>
          <w:sz w:val="18"/>
          <w:szCs w:val="18"/>
          <w:b w:val="1"/>
          <w:bCs w:val="1"/>
          <w:color w:val="auto"/>
        </w:rPr>
        <w:t>SUCH ISSUANCE, TO LIMIT OR CANCEL THE PREFERENTIAL SUBSCRIPTION RIGHTS</w:t>
      </w:r>
    </w:p>
    <w:p>
      <w:pPr>
        <w:jc w:val="center"/>
        <w:ind w:left="480" w:right="1000"/>
        <w:spacing w:after="0" w:line="264" w:lineRule="auto"/>
        <w:rPr>
          <w:sz w:val="20"/>
          <w:szCs w:val="20"/>
          <w:color w:val="auto"/>
        </w:rPr>
      </w:pPr>
      <w:r>
        <w:rPr>
          <w:rFonts w:ascii="Arial" w:cs="Arial" w:eastAsia="Arial" w:hAnsi="Arial"/>
          <w:sz w:val="16"/>
          <w:szCs w:val="16"/>
          <w:b w:val="1"/>
          <w:bCs w:val="1"/>
          <w:color w:val="auto"/>
        </w:rPr>
        <w:t>OF SHAREHOLDERS, EACH FOR A PERIOD OF FIVE (5) YEARS AS SET FORTH IN THE AMENDED AND RESTATED ARTICLES OF INCORPORATION ATTACHED AS APPENDIX A TO THIS PROXY STATEMENT AND</w:t>
      </w:r>
    </w:p>
    <w:p>
      <w:pPr>
        <w:ind w:left="4040" w:right="1260" w:hanging="2527"/>
        <w:spacing w:after="0" w:line="239" w:lineRule="auto"/>
        <w:tabs>
          <w:tab w:leader="none" w:pos="176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RECEIVE THE REPORT ISSUED BY THE BOARD OF DIRECTORS PURSUANT TO ARTICLE 32-3(5) OF THE LUXEMBOURG COMPANY LAW</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132715</wp:posOffset>
            </wp:positionV>
            <wp:extent cx="108077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280" w:right="1120"/>
        <w:spacing w:after="0" w:line="328" w:lineRule="auto"/>
        <w:rPr>
          <w:sz w:val="20"/>
          <w:szCs w:val="20"/>
          <w:color w:val="auto"/>
        </w:rPr>
      </w:pPr>
      <w:r>
        <w:rPr>
          <w:rFonts w:ascii="Arial" w:cs="Arial" w:eastAsia="Arial" w:hAnsi="Arial"/>
          <w:sz w:val="16"/>
          <w:szCs w:val="16"/>
          <w:b w:val="1"/>
          <w:bCs w:val="1"/>
          <w:color w:val="auto"/>
        </w:rPr>
        <w:t>PROPOSAL TO AMEND THE COMPANY'S ARTICLES OF INCORPORATION TO EFFECTUATE RECENT CHANGES IN THE LUXEMBOURG COMPANY LAW AND MAKE CERTAIN OTHER ADMINISTRATIVE CHANGES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(Proposal Two)</w:t>
      </w:r>
    </w:p>
    <w:p>
      <w:pPr>
        <w:spacing w:after="0" w:line="21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Board of Directors recommends that our shareholders approve the amendments to our Articles of Incorporation described below. The proposed amendments were drafted in consultation with Luxembourg counsel and are recommended primarily in view of the Luxembourg Law of 10 August 2016 (the "New Company Law"), which went in effect on August 23, 2016 and which amends and modernizes the Law of 10 August 1915 on commercial companies (as amended).</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Pursuant to the New Company Law, Luxembourg companies have a period of twenty-four (24) months as of August 23, 2016 within which to amend their articles. Under our existing Articles of Incorporation, we may not be able to take advantage of certain provisions of the New Company Law or may not have sufficient flexibility to take advantage of subsequent changes in the evolving corporate governance landscape. In other instances, we would like to expressly include provisions that are now permissible under applicable law. Certain additional changes are recommended for administrative purposes.</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proposed amendments are incorporated in the Amended and Restated Articles of Incorporation, a copy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and marked to show the proposed amendments. The description below of the changes to the Articles of Incorporation is qualified in its entirety by reference to </w:t>
      </w:r>
      <w:r>
        <w:rPr>
          <w:rFonts w:ascii="Arial" w:cs="Arial" w:eastAsia="Arial" w:hAnsi="Arial"/>
          <w:sz w:val="18"/>
          <w:szCs w:val="18"/>
          <w:u w:val="single" w:color="auto"/>
          <w:color w:val="auto"/>
        </w:rPr>
        <w:t>Appendix A</w:t>
      </w:r>
      <w:r>
        <w:rPr>
          <w:rFonts w:ascii="Arial" w:cs="Arial" w:eastAsia="Arial" w:hAnsi="Arial"/>
          <w:sz w:val="18"/>
          <w:szCs w:val="18"/>
          <w:color w:val="auto"/>
        </w:rPr>
        <w:t>. We encourage you to carefully read the Amended and Restated Articles of Incorporation in their entirety.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Articles of Incorporation would include the following changes to our existing Articles of Incorporation:</w:t>
      </w:r>
    </w:p>
    <w:p>
      <w:pPr>
        <w:spacing w:after="0" w:line="212" w:lineRule="exact"/>
        <w:rPr>
          <w:sz w:val="20"/>
          <w:szCs w:val="20"/>
          <w:color w:val="auto"/>
        </w:rPr>
      </w:pPr>
    </w:p>
    <w:p>
      <w:pPr>
        <w:ind w:left="1080" w:right="220" w:hanging="532"/>
        <w:spacing w:after="0" w:line="26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Proposed amendments allowing a transfer of the registered office of the Company within the Grand Duchy of Luxembourg by decision of the Board of Directors without prior shareholder approval as permitted by the New Company Law. </w:t>
      </w:r>
      <w:r>
        <w:rPr>
          <w:rFonts w:ascii="Arial" w:cs="Arial" w:eastAsia="Arial" w:hAnsi="Arial"/>
          <w:sz w:val="16"/>
          <w:szCs w:val="16"/>
          <w:b w:val="1"/>
          <w:bCs w:val="1"/>
          <w:color w:val="auto"/>
        </w:rPr>
        <w:t>See Article 2 of the</w:t>
      </w:r>
    </w:p>
    <w:p>
      <w:pPr>
        <w:ind w:left="1080"/>
        <w:spacing w:after="0"/>
        <w:rPr>
          <w:rFonts w:ascii="Arial" w:cs="Arial" w:eastAsia="Arial" w:hAnsi="Arial"/>
          <w:sz w:val="16"/>
          <w:szCs w:val="16"/>
          <w:color w:val="auto"/>
        </w:rPr>
      </w:pPr>
      <w:r>
        <w:rPr>
          <w:rFonts w:ascii="Arial" w:cs="Arial" w:eastAsia="Arial" w:hAnsi="Arial"/>
          <w:sz w:val="18"/>
          <w:szCs w:val="18"/>
          <w:b w:val="1"/>
          <w:bCs w:val="1"/>
          <w:color w:val="auto"/>
        </w:rPr>
        <w:t>Amended and Restated Articles of Incorporation.</w:t>
      </w:r>
    </w:p>
    <w:p>
      <w:pPr>
        <w:spacing w:after="0" w:line="193" w:lineRule="exact"/>
        <w:rPr>
          <w:rFonts w:ascii="Arial" w:cs="Arial" w:eastAsia="Arial" w:hAnsi="Arial"/>
          <w:sz w:val="16"/>
          <w:szCs w:val="16"/>
          <w:color w:val="auto"/>
        </w:rPr>
      </w:pPr>
    </w:p>
    <w:p>
      <w:pPr>
        <w:ind w:left="1080" w:right="100" w:hanging="532"/>
        <w:spacing w:after="0" w:line="275"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Proposed amendments permitting the establishment of capital contribution accounts (</w:t>
      </w:r>
      <w:r>
        <w:rPr>
          <w:rFonts w:ascii="Arial" w:cs="Arial" w:eastAsia="Arial" w:hAnsi="Arial"/>
          <w:sz w:val="16"/>
          <w:szCs w:val="16"/>
          <w:i w:val="1"/>
          <w:iCs w:val="1"/>
          <w:color w:val="auto"/>
        </w:rPr>
        <w:t>compte 115 "Apport en capitaux propres non</w:t>
      </w:r>
      <w:r>
        <w:rPr>
          <w:rFonts w:ascii="Arial" w:cs="Arial" w:eastAsia="Arial" w:hAnsi="Arial"/>
          <w:sz w:val="16"/>
          <w:szCs w:val="16"/>
          <w:color w:val="auto"/>
        </w:rPr>
        <w:t xml:space="preserve"> </w:t>
      </w:r>
      <w:r>
        <w:rPr>
          <w:rFonts w:ascii="Arial" w:cs="Arial" w:eastAsia="Arial" w:hAnsi="Arial"/>
          <w:sz w:val="16"/>
          <w:szCs w:val="16"/>
          <w:i w:val="1"/>
          <w:iCs w:val="1"/>
          <w:color w:val="auto"/>
        </w:rPr>
        <w:t>rémunéré par des titres"</w:t>
      </w:r>
      <w:r>
        <w:rPr>
          <w:rFonts w:ascii="Arial" w:cs="Arial" w:eastAsia="Arial" w:hAnsi="Arial"/>
          <w:sz w:val="16"/>
          <w:szCs w:val="16"/>
          <w:color w:val="auto"/>
        </w:rPr>
        <w:t>), in addition to share premium accounts.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See Articles 5 and 6 of the Amended and Restated Articles of</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b w:val="1"/>
          <w:bCs w:val="1"/>
          <w:color w:val="auto"/>
        </w:rPr>
        <w:t>Incorporation.</w:t>
      </w:r>
    </w:p>
    <w:p>
      <w:pPr>
        <w:spacing w:after="0" w:line="198" w:lineRule="exact"/>
        <w:rPr>
          <w:rFonts w:ascii="Arial" w:cs="Arial" w:eastAsia="Arial" w:hAnsi="Arial"/>
          <w:sz w:val="16"/>
          <w:szCs w:val="16"/>
          <w:color w:val="auto"/>
        </w:rPr>
      </w:pPr>
    </w:p>
    <w:p>
      <w:pPr>
        <w:ind w:left="1080" w:right="60" w:hanging="532"/>
        <w:spacing w:after="0" w:line="23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Proposed amendments clarifying that shareholders holding their shares via a depository may exercise the rights attaching to those shares, including admission to and directly voting at shareholders' meetings. </w:t>
      </w:r>
      <w:r>
        <w:rPr>
          <w:rFonts w:ascii="Arial" w:cs="Arial" w:eastAsia="Arial" w:hAnsi="Arial"/>
          <w:sz w:val="18"/>
          <w:szCs w:val="18"/>
          <w:b w:val="1"/>
          <w:bCs w:val="1"/>
          <w:color w:val="auto"/>
        </w:rPr>
        <w:t>See Article 7 of the Amended and Restated Articles</w:t>
      </w:r>
      <w:r>
        <w:rPr>
          <w:rFonts w:ascii="Arial" w:cs="Arial" w:eastAsia="Arial" w:hAnsi="Arial"/>
          <w:sz w:val="18"/>
          <w:szCs w:val="18"/>
          <w:color w:val="auto"/>
        </w:rPr>
        <w:t xml:space="preserve"> </w:t>
      </w:r>
      <w:r>
        <w:rPr>
          <w:rFonts w:ascii="Arial" w:cs="Arial" w:eastAsia="Arial" w:hAnsi="Arial"/>
          <w:sz w:val="18"/>
          <w:szCs w:val="18"/>
          <w:b w:val="1"/>
          <w:bCs w:val="1"/>
          <w:color w:val="auto"/>
        </w:rPr>
        <w:t>of Incorporation.</w:t>
      </w:r>
    </w:p>
    <w:p>
      <w:pPr>
        <w:spacing w:after="0" w:line="17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Proposed amendments establishing a non-disclosure obligation of the Directors after the end of their term. </w:t>
      </w:r>
      <w:r>
        <w:rPr>
          <w:rFonts w:ascii="Arial" w:cs="Arial" w:eastAsia="Arial" w:hAnsi="Arial"/>
          <w:sz w:val="18"/>
          <w:szCs w:val="18"/>
          <w:b w:val="1"/>
          <w:bCs w:val="1"/>
          <w:color w:val="auto"/>
        </w:rPr>
        <w:t>See Article 15 of the</w:t>
      </w:r>
    </w:p>
    <w:p>
      <w:pPr>
        <w:spacing w:after="0" w:line="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Amended and Restated Articles of Incorporation.</w:t>
      </w:r>
    </w:p>
    <w:p>
      <w:pPr>
        <w:spacing w:after="0" w:line="211" w:lineRule="exact"/>
        <w:rPr>
          <w:rFonts w:ascii="Arial" w:cs="Arial" w:eastAsia="Arial" w:hAnsi="Arial"/>
          <w:sz w:val="18"/>
          <w:szCs w:val="18"/>
          <w:color w:val="auto"/>
        </w:rPr>
      </w:pPr>
    </w:p>
    <w:p>
      <w:pPr>
        <w:ind w:left="1080" w:right="140" w:hanging="532"/>
        <w:spacing w:after="0" w:line="234"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Proposed amendments permitting the date of the annual meeting of shareholders to be determined by the Board of Directors in the convening notice as authorized by the New Company Law. </w:t>
      </w:r>
      <w:r>
        <w:rPr>
          <w:rFonts w:ascii="Arial" w:cs="Arial" w:eastAsia="Arial" w:hAnsi="Arial"/>
          <w:sz w:val="18"/>
          <w:szCs w:val="18"/>
          <w:b w:val="1"/>
          <w:bCs w:val="1"/>
          <w:color w:val="auto"/>
        </w:rPr>
        <w:t>See Article 20 of the Amended and Restated Articles of</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Incorporation.</w:t>
      </w:r>
    </w:p>
    <w:p>
      <w:pPr>
        <w:spacing w:after="0" w:line="198" w:lineRule="exact"/>
        <w:rPr>
          <w:rFonts w:ascii="Arial" w:cs="Arial" w:eastAsia="Arial" w:hAnsi="Arial"/>
          <w:sz w:val="18"/>
          <w:szCs w:val="18"/>
          <w:color w:val="auto"/>
        </w:rPr>
      </w:pPr>
    </w:p>
    <w:p>
      <w:pPr>
        <w:ind w:left="1080" w:right="160" w:hanging="532"/>
        <w:spacing w:after="0" w:line="23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Proposed amendments authorizing the Board of Directors to suspend the voting rights of shareholders who fail to comply with their obligations under the Articles of Incorporation and/or the provisions of any agreement which may be entered into among the shareholders from time to time. </w:t>
      </w:r>
      <w:r>
        <w:rPr>
          <w:rFonts w:ascii="Arial" w:cs="Arial" w:eastAsia="Arial" w:hAnsi="Arial"/>
          <w:sz w:val="18"/>
          <w:szCs w:val="18"/>
          <w:b w:val="1"/>
          <w:bCs w:val="1"/>
          <w:color w:val="auto"/>
        </w:rPr>
        <w:t>See Article 22 of the Amended and Restated Articles of Incorporation.</w:t>
      </w:r>
    </w:p>
    <w:p>
      <w:pPr>
        <w:spacing w:after="0" w:line="194"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Proposed amendments providing that the record date for such meetings shall be set by the Board of Directors before the date of the meeting. </w:t>
      </w:r>
      <w:r>
        <w:rPr>
          <w:rFonts w:ascii="Arial" w:cs="Arial" w:eastAsia="Arial" w:hAnsi="Arial"/>
          <w:sz w:val="18"/>
          <w:szCs w:val="18"/>
          <w:b w:val="1"/>
          <w:bCs w:val="1"/>
          <w:color w:val="auto"/>
        </w:rPr>
        <w:t>See Article 23 of the Amended and Restated Articles of Incorporation.</w:t>
      </w:r>
    </w:p>
    <w:p>
      <w:pPr>
        <w:spacing w:after="0" w:line="208" w:lineRule="exact"/>
        <w:rPr>
          <w:rFonts w:ascii="Arial" w:cs="Arial" w:eastAsia="Arial" w:hAnsi="Arial"/>
          <w:sz w:val="18"/>
          <w:szCs w:val="18"/>
          <w:color w:val="auto"/>
        </w:rPr>
      </w:pPr>
    </w:p>
    <w:p>
      <w:pPr>
        <w:ind w:left="1080" w:right="440" w:hanging="532"/>
        <w:spacing w:after="0" w:line="23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Proposed amendments authorizing the Board of Directors in its sole discretion to allow shareholders to participate by electronic means in a general meeting and to vote from a remote location by</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132080</wp:posOffset>
            </wp:positionV>
            <wp:extent cx="108077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807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means of a form provided by the Company. </w:t>
      </w:r>
      <w:r>
        <w:rPr>
          <w:rFonts w:ascii="Arial" w:cs="Arial" w:eastAsia="Arial" w:hAnsi="Arial"/>
          <w:sz w:val="18"/>
          <w:szCs w:val="18"/>
          <w:b w:val="1"/>
          <w:bCs w:val="1"/>
          <w:color w:val="auto"/>
        </w:rPr>
        <w:t>See Article 23 of the Amended and Restated Articles of Incorporation.</w:t>
      </w:r>
    </w:p>
    <w:p>
      <w:pPr>
        <w:spacing w:after="0" w:line="212"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Proposed amendments addressing the payment of interim dividends. </w:t>
      </w:r>
      <w:r>
        <w:rPr>
          <w:rFonts w:ascii="Arial" w:cs="Arial" w:eastAsia="Arial" w:hAnsi="Arial"/>
          <w:sz w:val="18"/>
          <w:szCs w:val="18"/>
          <w:b w:val="1"/>
          <w:bCs w:val="1"/>
          <w:color w:val="auto"/>
        </w:rPr>
        <w:t>See Article 26 of the Amended and Restated Articles of</w:t>
      </w:r>
    </w:p>
    <w:p>
      <w:pPr>
        <w:spacing w:after="0" w:line="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Incorporation.</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Additional administrative and other amendments as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Board of Directors believes that the adoption of Amended and Restated Articles of Incorporation will align the Articles with applicable law, provide flexibility to the Board of Directors to respond to the needs of Altisource and its shareholders and is in the best interest of Altisource and its shareholders.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Luxembourg law, amendments to the articles of incorporation of a company require an extraordinary meeting of shareholders. As such, the Amended and Restated Articles of Incorporation will be adopted if approved by holders of two-thirds of the shares validly voted provided that a quorum of half of the issued share capital of the Company is reached. If approved by our shareholders at this Extraordinary Meeting, the minutes of the Extraordinary Meeting and Amended and Restated Articles of Incorporation will be filed with the Luxembourg trade registry (</w:t>
      </w:r>
      <w:r>
        <w:rPr>
          <w:rFonts w:ascii="Arial" w:cs="Arial" w:eastAsia="Arial" w:hAnsi="Arial"/>
          <w:sz w:val="18"/>
          <w:szCs w:val="18"/>
          <w:i w:val="1"/>
          <w:iCs w:val="1"/>
          <w:color w:val="auto"/>
        </w:rPr>
        <w:t>Registre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as public documents and will take effect immediately upon publication of the notarial deed recording the minutes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Meeting in the Luxembourg Official Gazette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left="280" w:right="960"/>
        <w:spacing w:after="0" w:line="237" w:lineRule="auto"/>
        <w:rPr>
          <w:sz w:val="20"/>
          <w:szCs w:val="20"/>
          <w:color w:val="auto"/>
        </w:rPr>
      </w:pPr>
      <w:r>
        <w:rPr>
          <w:rFonts w:ascii="Arial" w:cs="Arial" w:eastAsia="Arial" w:hAnsi="Arial"/>
          <w:sz w:val="18"/>
          <w:szCs w:val="18"/>
          <w:b w:val="1"/>
          <w:bCs w:val="1"/>
          <w:color w:val="auto"/>
        </w:rPr>
        <w:t xml:space="preserve">THAT YOU VOTE "FOR" THE PROPOSAL TO AMEND THE COMPANY'S ARTICLES OF INCORPORATION TO EFFECTUATE RECENT CHANGES IN THE LUXEMBOURG COMPANY LAW AND MAKE CERTAIN OTHER ADMINISTRATIVE CHANGES AS SET FORTH IN THE AMENDED AND RESTATED ARTICLES OF INCORPORATION ATTACHED AS </w:t>
      </w: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 xml:space="preserve"> TO THIS PROXY STATEMENT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Any situation that potentially qualifies as a conflict of interest is to be immediately disclosed to the head of the internal audit function and/or the General Counsel to assess the nature and extent of any concern as well as the appropriate next steps. The head of the internal audit function or the General Counsel will notify the Chairman of the Board of Directors or the Chairman of the Audit Committee, as appropriate, if any such situation requires Board of Directors or Audit Committee review.</w:t>
      </w: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or (iii) 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 (i) the reasons for the transaction;</w:t>
      </w:r>
    </w:p>
    <w:p>
      <w:pPr>
        <w:spacing w:after="0" w:line="1" w:lineRule="exact"/>
        <w:rPr>
          <w:sz w:val="20"/>
          <w:szCs w:val="20"/>
          <w:color w:val="auto"/>
        </w:rPr>
      </w:pPr>
    </w:p>
    <w:p>
      <w:pPr>
        <w:ind w:firstLine="8"/>
        <w:spacing w:after="0" w:line="235" w:lineRule="auto"/>
        <w:tabs>
          <w:tab w:leader="none" w:pos="2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(iv) the overall fairness of the transaction to Altisource; (x) and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or for transactions with related parties as defined by Financial Accounting Standards Board's Accounting Standards Codification Topic 850, </w:t>
      </w:r>
      <w:r>
        <w:rPr>
          <w:rFonts w:ascii="Arial" w:cs="Arial" w:eastAsia="Arial" w:hAnsi="Arial"/>
          <w:sz w:val="18"/>
          <w:szCs w:val="18"/>
          <w:i w:val="1"/>
          <w:iCs w:val="1"/>
          <w:color w:val="auto"/>
        </w:rPr>
        <w:t>Related Party Disclosure</w:t>
      </w:r>
      <w:r>
        <w:rPr>
          <w:rFonts w:ascii="Arial" w:cs="Arial" w:eastAsia="Arial" w:hAnsi="Arial"/>
          <w:sz w:val="18"/>
          <w:szCs w:val="18"/>
          <w:color w:val="auto"/>
        </w:rPr>
        <w:t>, where such transactions may present actual or potential conflicts of interests.</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significant business relationships with and provide services to Ocwen and Residential. We also provide certain services to AAMC. Our largest shareholder William C. Erbey, owns or controls common stock in each of these companies. As of December 31, 2016, Mr. Erbey owned or controlled approximately thirty-two percent (32%) of the common stock of Altisource, approximately fourteen percent (14%) of the common stock of Ocwen, approximately forty percent (40%) of the common stock of AAMC and approximately four (4%) of the common stock of Residential. As a result of his ownership interests in Ocwen and AAMC, Related Person Transactions with these entities are required to be disclosed. Because AAMC is Residential's external manager, we currently also disclose Altisource's transactions with Residential.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2016, the Company generated segment revenue from Ocwen of $481.6 million for Mortgage Services,</w:t>
      </w:r>
    </w:p>
    <w:p>
      <w:pPr>
        <w:ind w:right="60"/>
        <w:spacing w:after="0" w:line="236" w:lineRule="auto"/>
        <w:rPr>
          <w:sz w:val="20"/>
          <w:szCs w:val="20"/>
          <w:color w:val="auto"/>
        </w:rPr>
      </w:pPr>
      <w:r>
        <w:rPr>
          <w:rFonts w:ascii="Arial" w:cs="Arial" w:eastAsia="Arial" w:hAnsi="Arial"/>
          <w:sz w:val="18"/>
          <w:szCs w:val="18"/>
          <w:color w:val="auto"/>
        </w:rPr>
        <w:t>$12.9 million for Financial Services and $67.4 million for Technology Services. Services provided to Ocwen during such period included real estate asset management and sales, residential property valuation, trustee management services, property preservation and inspection services, insurance services, mortgage charge-off collections, information technology infrastructure management and software applications. Altisource derived fifty-six percent (56%) of its revenues in 2016 directly from Ocwen and revenue earned from loans serviced by Ocwen when Ocwen designates us as the service provider.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132080</wp:posOffset>
            </wp:positionV>
            <wp:extent cx="399605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9605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Company earns additional revenue on the portfolios serviced by Ocwen when a party other than Ocwen selects Altisource as the service provider. For the year ended December 31, 2016, the Company recognized revenue of $188.0 million related to the portfolios serviced by Ocwen when a party other than Ocwen selects Altisource as the service provider.</w:t>
      </w:r>
    </w:p>
    <w:p>
      <w:pPr>
        <w:spacing w:after="0" w:line="208"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At times, we have used Ocwen's contractors and/or employees to support Altisource-related services. Ocwen also provides certain valuation services to Altisource. Ocwen generally bills us for these contractors and/or employees based on their fully-allocated cost. For the year ended December 31, 2016, Ocwen billed us less than $0.1 million for these items.</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2016, we provided certain other services to Ocwen and Ocwen provided certain other services to us in connection with support services agreements. These services related to office facilities and related services. Billings for these services were generally based on the office rent per square foot and other facility-related costs. For the year ended December 31, 2016, we billed Ocwen $0.3 million for these items and Ocwen billed us $0.1 million for these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AAMC</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AAMC is an asset-management company that provides portfolio management and corporate governance services to investment vehicles that own real estate assets. Its initial client is Residential. We have an agreement with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209"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For the year ended December 31, 2016, we billed AAMC $0.4 million under the services agreements, of which $0.1 million is reflected in revenue in the consolidated statements of operations and $0.3 million is reflected as a component of SG&amp;A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have service agreements, which extend through 2027, to provide Residential with renovation management, lease management, property management real estate owned asset management, title insurance, settlement and valuation services.</w:t>
      </w:r>
    </w:p>
    <w:p>
      <w:pPr>
        <w:spacing w:after="0" w:line="209"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For the year ended December 31, 2016, we generated revenue from Residential of $59.7 million for services provided under these services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In 2016, the Company entered into one Related Person Transaction requiring disclosure involving our directors or executive officers. The Company engaged the law firm of Jones Day to provide tax-related legal services to the Company and to represent the Company, our Chief Executive Officer and our Chief Financial Officer in the </w:t>
      </w:r>
      <w:r>
        <w:rPr>
          <w:rFonts w:ascii="Arial" w:cs="Arial" w:eastAsia="Arial" w:hAnsi="Arial"/>
          <w:sz w:val="18"/>
          <w:szCs w:val="18"/>
          <w:i w:val="1"/>
          <w:iCs w:val="1"/>
          <w:color w:val="auto"/>
        </w:rPr>
        <w:t>West Palm Beach Firefighters' Pension Fund v. Altisource Portfolio Solutions S.A., William C. Erbey, William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 Shepro, and Michelle D. Esterman </w:t>
      </w:r>
      <w:r>
        <w:rPr>
          <w:rFonts w:ascii="Arial" w:cs="Arial" w:eastAsia="Arial" w:hAnsi="Arial"/>
          <w:sz w:val="18"/>
          <w:szCs w:val="18"/>
          <w:color w:val="auto"/>
        </w:rPr>
        <w:t>litigation. Geoffrey Ritts, an equity partner at Jones Day, is the brother of Gregory Ritts, our General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and is involved in the representation of the Company in the litigation. The total billings by Jones Day in 2016 and in 2017 as of March 20, 2017 were $391,887.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132715</wp:posOffset>
            </wp:positionV>
            <wp:extent cx="298450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845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 PROPOSALS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SEC rules, any proposal which a shareholder desires to have included in our proxy materials relating to our 2018 Annual Meeting of Shareholders, which is scheduled to be held on May 16, 2018, must be received at our registered office no later than December [6], 2017. In addition to any shareholders' rights under the Luxembourg Company Law and the Company's Articles of Incorporation, for any proposal that is not submitted for inclusion in the proxy statement for the 2018 Annual Meeting of Shareholders, but is instead sought to be presented directly at the 2018 Annual Meeting of Shareholders, SEC rules permit the persons appointed as proxies to vote shares represented by valid proxies in their discretion if we (i) receive the proposal before the close of business on February [19], 2018 and advise shareholders in the 2018 proxy statement about the nature of the matter and how the persons appointed as proxies intend to vote on such matter or (ii) receive notice of the proposal after the close of business on February [19], 2018.</w:t>
      </w:r>
    </w:p>
    <w:p>
      <w:pPr>
        <w:spacing w:after="0" w:line="20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Notice of intent to present a proposal at the 2018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did not receive notice of any shareholder proposals relating to the Annual Meeting.</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REPORTS</w:t>
      </w: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2016 was made available to shareholders on February 16, 2017.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We will furnish without charge to each person whose proxy is solicited and to any beneficial owner entitled to vote at the meeting, on written request, a copy of our annual report on Form 10-K for the year ended December 31, 2016, required to be filed by us with the SEC under the Exchange Act. Such requests should be directed to Investor Relations, Altisource Portfolio Solutions S.A., 40, avenue Monterey, L-2163 Luxembourg City, Grand Duchy of Luxembourg.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132715</wp:posOffset>
            </wp:positionV>
            <wp:extent cx="111506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50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2016 and this joint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compensation.</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joint proxy statement, "FOR" Proposal Two through Proposal Nine and "FOR" one year to be the frequency of future shareholder advisory votes on executive compensation ("Say-On-Frequency"); and each proxy received for the Extraordinary Meeting will be voted "FOR" the proposals identified in the agenda for the Extraordinary Meeting. Should any matter not described above be properly presented at either meeting, the persons appointed as proxies will vote according to their discretion.</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joint proxy statement, your bank or broker may only deliver one (1) copy of this joint proxy statement and our 2016 annual report to multiple shareholders who share an address unless the bank or broker has received contrary instructions from one (1) or more of the shareholders. Shareholders at an address to which a single copy of this joint proxy statement and our 2016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20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This joint proxy statement and our 2016 annual report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addition, this joint proxy statement and our 2016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wish to resume mail delivery of these documents. If you hold your common stock through a bank or broker, please refer to the information provided by that entity for instructions on how to elect this option.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7"/>
          <w:szCs w:val="17"/>
          <w:b w:val="1"/>
          <w:bCs w:val="1"/>
          <w:color w:val="auto"/>
        </w:rPr>
        <w:t>APPENDIX A—PROPOSED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33020</wp:posOffset>
            </wp:positionV>
            <wp:extent cx="6174740" cy="8129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8129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74740" cy="812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ALTISOURCE PORTFOLIO SOLUTIONS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 PROXY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 BOX 9142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FARMINGDALE, NY 11735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VOTE, MARK BLOCKS BELOW IN BLUE OR BLACK INK AS FOLLOWS:</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KEEP THIS PORTION FOR YOUR RECORDS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PORTFOLIO SOLUTIONS S.A.</w:t>
      </w:r>
    </w:p>
    <w:p>
      <w:pPr>
        <w:sectPr>
          <w:pgSz w:w="11900" w:h="16838" w:orient="portrait"/>
          <w:cols w:equalWidth="0" w:num="1">
            <w:col w:w="11420"/>
          </w:cols>
          <w:pgMar w:left="240" w:top="1440" w:right="239" w:bottom="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The Board of Directors recommends you vote FOR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4380" w:type="dxa"/>
            <w:vAlign w:val="bottom"/>
          </w:tcPr>
          <w:p>
            <w:pPr>
              <w:ind w:left="320"/>
              <w:spacing w:after="0"/>
              <w:rPr>
                <w:sz w:val="20"/>
                <w:szCs w:val="20"/>
                <w:color w:val="auto"/>
              </w:rPr>
            </w:pPr>
            <w:r>
              <w:rPr>
                <w:rFonts w:ascii="Arial" w:cs="Arial" w:eastAsia="Arial" w:hAnsi="Arial"/>
                <w:sz w:val="18"/>
                <w:szCs w:val="18"/>
                <w:color w:val="auto"/>
              </w:rPr>
              <w:t>Election of Directors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Nominees:</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Against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00" w:type="dxa"/>
            <w:vAlign w:val="bottom"/>
          </w:tcPr>
          <w:p>
            <w:pPr>
              <w:ind w:left="140"/>
              <w:spacing w:after="0"/>
              <w:rPr>
                <w:sz w:val="20"/>
                <w:szCs w:val="20"/>
                <w:color w:val="auto"/>
              </w:rPr>
            </w:pPr>
            <w:r>
              <w:rPr>
                <w:rFonts w:ascii="Arial" w:cs="Arial" w:eastAsia="Arial" w:hAnsi="Arial"/>
                <w:sz w:val="18"/>
                <w:szCs w:val="18"/>
                <w:color w:val="auto"/>
                <w:w w:val="92"/>
              </w:rPr>
              <w:t>01)</w:t>
            </w:r>
          </w:p>
        </w:tc>
        <w:tc>
          <w:tcPr>
            <w:tcW w:w="4380" w:type="dxa"/>
            <w:vAlign w:val="bottom"/>
          </w:tcPr>
          <w:p>
            <w:pPr>
              <w:ind w:left="20"/>
              <w:spacing w:after="0"/>
              <w:rPr>
                <w:sz w:val="20"/>
                <w:szCs w:val="20"/>
                <w:color w:val="auto"/>
              </w:rPr>
            </w:pPr>
            <w:r>
              <w:rPr>
                <w:rFonts w:ascii="Arial" w:cs="Arial" w:eastAsia="Arial" w:hAnsi="Arial"/>
                <w:sz w:val="18"/>
                <w:szCs w:val="18"/>
                <w:color w:val="auto"/>
              </w:rPr>
              <w:t>Orin S. Kramer</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o</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2"/>
              </w:rPr>
              <w:t>02)</w:t>
            </w:r>
          </w:p>
        </w:tc>
        <w:tc>
          <w:tcPr>
            <w:tcW w:w="4380" w:type="dxa"/>
            <w:vAlign w:val="bottom"/>
          </w:tcPr>
          <w:p>
            <w:pPr>
              <w:ind w:left="20"/>
              <w:spacing w:after="0"/>
              <w:rPr>
                <w:sz w:val="20"/>
                <w:szCs w:val="20"/>
                <w:color w:val="auto"/>
              </w:rPr>
            </w:pPr>
            <w:r>
              <w:rPr>
                <w:rFonts w:ascii="Arial" w:cs="Arial" w:eastAsia="Arial" w:hAnsi="Arial"/>
                <w:sz w:val="18"/>
                <w:szCs w:val="18"/>
                <w:color w:val="auto"/>
              </w:rPr>
              <w:t>W. Michael Linn</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o</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2"/>
              </w:rPr>
              <w:t>03)</w:t>
            </w:r>
          </w:p>
        </w:tc>
        <w:tc>
          <w:tcPr>
            <w:tcW w:w="4380" w:type="dxa"/>
            <w:vAlign w:val="bottom"/>
          </w:tcPr>
          <w:p>
            <w:pPr>
              <w:ind w:left="20"/>
              <w:spacing w:after="0"/>
              <w:rPr>
                <w:sz w:val="20"/>
                <w:szCs w:val="20"/>
                <w:color w:val="auto"/>
              </w:rPr>
            </w:pPr>
            <w:r>
              <w:rPr>
                <w:rFonts w:ascii="Arial" w:cs="Arial" w:eastAsia="Arial" w:hAnsi="Arial"/>
                <w:sz w:val="18"/>
                <w:szCs w:val="18"/>
                <w:color w:val="auto"/>
              </w:rPr>
              <w:t>Roland Müller-Ineichen</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o</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2"/>
              </w:rPr>
              <w:t>04)</w:t>
            </w:r>
          </w:p>
        </w:tc>
        <w:tc>
          <w:tcPr>
            <w:tcW w:w="438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o</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2"/>
              </w:rPr>
              <w:t>05)</w:t>
            </w:r>
          </w:p>
        </w:tc>
        <w:tc>
          <w:tcPr>
            <w:tcW w:w="4380" w:type="dxa"/>
            <w:vAlign w:val="bottom"/>
          </w:tcPr>
          <w:p>
            <w:pPr>
              <w:ind w:left="20"/>
              <w:spacing w:after="0"/>
              <w:rPr>
                <w:sz w:val="20"/>
                <w:szCs w:val="20"/>
                <w:color w:val="auto"/>
              </w:rPr>
            </w:pPr>
            <w:r>
              <w:rPr>
                <w:rFonts w:ascii="Arial" w:cs="Arial" w:eastAsia="Arial" w:hAnsi="Arial"/>
                <w:sz w:val="18"/>
                <w:szCs w:val="18"/>
                <w:color w:val="auto"/>
              </w:rPr>
              <w:t>Timo Vättö</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o</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30"/>
        </w:trPr>
        <w:tc>
          <w:tcPr>
            <w:tcW w:w="400" w:type="dxa"/>
            <w:vAlign w:val="bottom"/>
          </w:tcPr>
          <w:p>
            <w:pPr>
              <w:ind w:left="140"/>
              <w:spacing w:after="0"/>
              <w:rPr>
                <w:sz w:val="20"/>
                <w:szCs w:val="20"/>
                <w:color w:val="auto"/>
              </w:rPr>
            </w:pPr>
            <w:r>
              <w:rPr>
                <w:rFonts w:ascii="Arial" w:cs="Arial" w:eastAsia="Arial" w:hAnsi="Arial"/>
                <w:sz w:val="18"/>
                <w:szCs w:val="18"/>
                <w:color w:val="auto"/>
                <w:w w:val="92"/>
              </w:rPr>
              <w:t>06)</w:t>
            </w:r>
          </w:p>
        </w:tc>
        <w:tc>
          <w:tcPr>
            <w:tcW w:w="4380" w:type="dxa"/>
            <w:vAlign w:val="bottom"/>
          </w:tcPr>
          <w:p>
            <w:pPr>
              <w:ind w:left="20"/>
              <w:spacing w:after="0"/>
              <w:rPr>
                <w:sz w:val="20"/>
                <w:szCs w:val="20"/>
                <w:color w:val="auto"/>
              </w:rPr>
            </w:pPr>
            <w:r>
              <w:rPr>
                <w:rFonts w:ascii="Arial" w:cs="Arial" w:eastAsia="Arial" w:hAnsi="Arial"/>
                <w:sz w:val="18"/>
                <w:szCs w:val="18"/>
                <w:color w:val="auto"/>
              </w:rPr>
              <w:t>Joseph L. Morettini</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o</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For</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Against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rPr>
              <w:t>2. Proposal to approve the appointment of Mayer Hoffman McCann P.C. to be our independent</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5"/>
              </w:rPr>
              <w:t>registered certified public accounting firm for the year ending December 31, 2017 and the appointment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of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same period</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rPr>
              <w:t>3. Proposal to approve the appointment of Michelle D. Esterman, Chief Financial Officer of the</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6"/>
              </w:rPr>
              <w:t>Company, to be our supervisory auditor (</w:t>
            </w:r>
            <w:r>
              <w:rPr>
                <w:rFonts w:ascii="Arial" w:cs="Arial" w:eastAsia="Arial" w:hAnsi="Arial"/>
                <w:sz w:val="18"/>
                <w:szCs w:val="18"/>
                <w:i w:val="1"/>
                <w:iCs w:val="1"/>
                <w:color w:val="auto"/>
                <w:w w:val="96"/>
              </w:rPr>
              <w:t>Commissaire aux Comptes</w:t>
            </w:r>
            <w:r>
              <w:rPr>
                <w:rFonts w:ascii="Arial" w:cs="Arial" w:eastAsia="Arial" w:hAnsi="Arial"/>
                <w:sz w:val="18"/>
                <w:szCs w:val="18"/>
                <w:color w:val="auto"/>
                <w:w w:val="96"/>
              </w:rPr>
              <w:t>) to report on Altisource Portfolio</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7"/>
              </w:rPr>
              <w:t>Solutions S.A.’s unconsolidated annual accounts prepared in accordance with accounting principles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generally accepted in Luxembourg (the “Luxembourg Annual Accounts”) for the years ending</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7"/>
              </w:rPr>
              <w:t>December 31, 2017 through December 31, 2022, or until her successor is duly elected and qualified,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and to ratify her appointment by the Board of Directors as our supervisory auditor to report on the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w w:val="97"/>
              </w:rPr>
              <w:t>Luxembourg Annual Accounts for the years ended December 31, 2009 through December 31, 2016</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w w:val="96"/>
              </w:rPr>
              <w:t>4. Proposal to approve the Luxembourg Annual Accounts for the year ended December 31, 2016 and</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9"/>
              </w:rPr>
              <w:t>Altisource Portfolio Solutions S.A.’s consolidated financial statements prepared in accordance with</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9"/>
              </w:rPr>
              <w:t>accounting principles generally accepted in the United States including a footnote reconciliation of</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8"/>
              </w:rPr>
              <w:t>equity and net income to International Financial Reporting Standards (the “Consolidated Accounts”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5"/>
              </w:rPr>
              <w:t>and, together with the Luxembourg Annual Accounts, the “Luxembourg Statutory Accounts”) as of and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for the year ended December 31, 2016</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w w:val="94"/>
              </w:rPr>
              <w:t>5. Proposal to receive and approve the Directors’ reports for the Luxembourg Statutory Accounts for the</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4"/>
              </w:rPr>
              <w:t>year ended December 31, 2016 and to receive the reports of the supervisory auditor (</w:t>
            </w:r>
            <w:r>
              <w:rPr>
                <w:rFonts w:ascii="Arial" w:cs="Arial" w:eastAsia="Arial" w:hAnsi="Arial"/>
                <w:sz w:val="18"/>
                <w:szCs w:val="18"/>
                <w:i w:val="1"/>
                <w:iCs w:val="1"/>
                <w:color w:val="auto"/>
                <w:w w:val="94"/>
              </w:rPr>
              <w:t>Commissaire aux</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i w:val="1"/>
                <w:iCs w:val="1"/>
                <w:color w:val="auto"/>
              </w:rPr>
              <w:t>Comptes</w:t>
            </w:r>
            <w:r>
              <w:rPr>
                <w:rFonts w:ascii="Arial" w:cs="Arial" w:eastAsia="Arial" w:hAnsi="Arial"/>
                <w:sz w:val="18"/>
                <w:szCs w:val="18"/>
                <w:color w:val="auto"/>
              </w:rPr>
              <w:t>) for the Luxembourg Annual Accounts for the years ended December 31, 2009 through</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December 31, 2016</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w w:val="93"/>
              </w:rPr>
              <w:t>6. Proposal to allocate the results in the Luxembourg Annual Accounts for the year ended December 31,</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w w:val="94"/>
              </w:rPr>
              <w:t>7. Proposal to discharge each of the Directors of Altisource Portfolio Solutions S.A. for the performance</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4"/>
              </w:rPr>
              <w:t>of their mandates for the year ended December 31, 2016 and the supervisory auditor (</w:t>
            </w:r>
            <w:r>
              <w:rPr>
                <w:rFonts w:ascii="Arial" w:cs="Arial" w:eastAsia="Arial" w:hAnsi="Arial"/>
                <w:sz w:val="18"/>
                <w:szCs w:val="18"/>
                <w:i w:val="1"/>
                <w:iCs w:val="1"/>
                <w:color w:val="auto"/>
                <w:w w:val="94"/>
              </w:rPr>
              <w:t>Commissaire aux</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i w:val="1"/>
                <w:iCs w:val="1"/>
                <w:color w:val="auto"/>
              </w:rPr>
              <w:t>Comptes</w:t>
            </w:r>
            <w:r>
              <w:rPr>
                <w:rFonts w:ascii="Arial" w:cs="Arial" w:eastAsia="Arial" w:hAnsi="Arial"/>
                <w:sz w:val="18"/>
                <w:szCs w:val="18"/>
                <w:color w:val="auto"/>
              </w:rPr>
              <w:t>) for the performance of her mandate for the years ended December 31, 2009 through</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December 31, 2016</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w w:val="99"/>
              </w:rPr>
              <w:t>8. Proposal to renew our share repurchase program such that Altisource Portfolio Solutions S.A. is</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6"/>
              </w:rPr>
              <w:t>authorized, for a period of five years from the date of the Annual Meeting, to repurchase up to twenty-</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2"/>
              </w:rPr>
              <w:t>five percent (25%) of the outstanding shares of its common stock (as of the close of business on the date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5"/>
              </w:rPr>
              <w:t>of the Annual Meeting) at a minimum price of one dollar ($1.00) per share and a maximum price of five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hundred dollars ($500.00) per share</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4" w:gutter="0" w:footer="0" w:header="0"/>
        </w:sectPr>
      </w:pPr>
    </w:p>
    <w:p>
      <w:pPr>
        <w:spacing w:after="0" w:line="2" w:lineRule="exact"/>
        <w:rPr>
          <w:sz w:val="20"/>
          <w:szCs w:val="20"/>
          <w:color w:val="auto"/>
        </w:rPr>
      </w:pPr>
    </w:p>
    <w:p>
      <w:pPr>
        <w:ind w:right="200" w:firstLine="8"/>
        <w:spacing w:after="0" w:line="308"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Proposal to approve, on an advisory (non-binding) basis, the compensation of Altisource’s named executive officers as disclosed in the joint proxy statement (“Say-on-Pay”)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for “ONE YEAR” on the following proposal:</w:t>
      </w:r>
    </w:p>
    <w:p>
      <w:pPr>
        <w:spacing w:after="0" w:line="360" w:lineRule="exact"/>
        <w:rPr>
          <w:sz w:val="20"/>
          <w:szCs w:val="20"/>
          <w:color w:val="auto"/>
        </w:rPr>
      </w:pPr>
    </w:p>
    <w:p>
      <w:pPr>
        <w:ind w:right="480" w:firstLine="8"/>
        <w:spacing w:after="0" w:line="277"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Proposal to approve, on an advisory (non-binding) basis, the frequency of future shareholder advisory votes on executive compensation (“Say-on-Frequency”)</w:t>
      </w:r>
    </w:p>
    <w:p>
      <w:pPr>
        <w:spacing w:after="0" w:line="279" w:lineRule="exact"/>
        <w:rPr>
          <w:sz w:val="20"/>
          <w:szCs w:val="20"/>
          <w:color w:val="auto"/>
        </w:rPr>
      </w:pPr>
    </w:p>
    <w:p>
      <w:pPr>
        <w:ind w:left="660" w:hanging="647"/>
        <w:spacing w:after="0" w:line="277" w:lineRule="auto"/>
        <w:rPr>
          <w:sz w:val="20"/>
          <w:szCs w:val="20"/>
          <w:color w:val="auto"/>
        </w:rPr>
      </w:pPr>
      <w:r>
        <w:rPr>
          <w:rFonts w:ascii="Arial" w:cs="Arial" w:eastAsia="Arial" w:hAnsi="Arial"/>
          <w:sz w:val="18"/>
          <w:szCs w:val="18"/>
          <w:color w:val="auto"/>
        </w:rPr>
        <w:t>NOTE: Proxies will vote in their discretion upon such other matters that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0"/>
        <w:spacing w:after="0"/>
        <w:tabs>
          <w:tab w:leader="none" w:pos="1520" w:val="left"/>
          <w:tab w:leader="none" w:pos="28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80" w:val="left"/>
          <w:tab w:leader="none" w:pos="1800" w:val="left"/>
          <w:tab w:leader="none" w:pos="2680" w:val="left"/>
        </w:tabs>
        <w:rPr>
          <w:sz w:val="20"/>
          <w:szCs w:val="20"/>
          <w:color w:val="auto"/>
        </w:rPr>
      </w:pPr>
      <w:r>
        <w:rPr>
          <w:rFonts w:ascii="Arial" w:cs="Arial" w:eastAsia="Arial" w:hAnsi="Arial"/>
          <w:sz w:val="18"/>
          <w:szCs w:val="18"/>
          <w:b w:val="1"/>
          <w:bCs w:val="1"/>
          <w:color w:val="auto"/>
        </w:rPr>
        <w:t>1 Year</w:t>
      </w:r>
      <w:r>
        <w:rPr>
          <w:sz w:val="20"/>
          <w:szCs w:val="20"/>
          <w:color w:val="auto"/>
        </w:rPr>
        <w:tab/>
      </w:r>
      <w:r>
        <w:rPr>
          <w:rFonts w:ascii="Arial" w:cs="Arial" w:eastAsia="Arial" w:hAnsi="Arial"/>
          <w:sz w:val="18"/>
          <w:szCs w:val="18"/>
          <w:b w:val="1"/>
          <w:bCs w:val="1"/>
          <w:color w:val="auto"/>
        </w:rPr>
        <w:t>2 Years</w:t>
      </w:r>
      <w:r>
        <w:rPr>
          <w:sz w:val="20"/>
          <w:szCs w:val="20"/>
          <w:color w:val="auto"/>
        </w:rPr>
        <w:tab/>
      </w:r>
      <w:r>
        <w:rPr>
          <w:rFonts w:ascii="Arial" w:cs="Arial" w:eastAsia="Arial" w:hAnsi="Arial"/>
          <w:sz w:val="18"/>
          <w:szCs w:val="18"/>
          <w:b w:val="1"/>
          <w:bCs w:val="1"/>
          <w:color w:val="auto"/>
        </w:rPr>
        <w:t>3 Years</w:t>
      </w:r>
      <w:r>
        <w:rPr>
          <w:sz w:val="20"/>
          <w:szCs w:val="20"/>
          <w:color w:val="auto"/>
        </w:rPr>
        <w:tab/>
      </w:r>
      <w:r>
        <w:rPr>
          <w:rFonts w:ascii="Arial" w:cs="Arial" w:eastAsia="Arial" w:hAnsi="Arial"/>
          <w:sz w:val="16"/>
          <w:szCs w:val="16"/>
          <w:b w:val="1"/>
          <w:bCs w:val="1"/>
          <w:color w:val="auto"/>
        </w:rPr>
        <w:t>Abstain</w:t>
      </w:r>
    </w:p>
    <w:p>
      <w:pPr>
        <w:spacing w:after="0" w:line="229" w:lineRule="exact"/>
        <w:rPr>
          <w:sz w:val="20"/>
          <w:szCs w:val="20"/>
          <w:color w:val="auto"/>
        </w:rPr>
      </w:pPr>
    </w:p>
    <w:p>
      <w:pPr>
        <w:ind w:left="200"/>
        <w:spacing w:after="0"/>
        <w:tabs>
          <w:tab w:leader="none" w:pos="1120" w:val="left"/>
          <w:tab w:leader="none" w:pos="2040" w:val="left"/>
          <w:tab w:leader="none" w:pos="29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o</w:t>
      </w:r>
    </w:p>
    <w:p>
      <w:pPr>
        <w:spacing w:after="0" w:line="902" w:lineRule="exact"/>
        <w:rPr>
          <w:sz w:val="20"/>
          <w:szCs w:val="20"/>
          <w:color w:val="auto"/>
        </w:rPr>
      </w:pPr>
    </w:p>
    <w:p>
      <w:pPr>
        <w:sectPr>
          <w:pgSz w:w="11900" w:h="16838" w:orient="portrait"/>
          <w:cols w:equalWidth="0" w:num="2">
            <w:col w:w="7420" w:space="560"/>
            <w:col w:w="3440"/>
          </w:cols>
          <w:pgMar w:left="240" w:top="337" w:right="239" w:bottom="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9700" w:val="left"/>
        </w:tabs>
        <w:rPr>
          <w:sz w:val="20"/>
          <w:szCs w:val="20"/>
          <w:color w:val="auto"/>
        </w:rPr>
      </w:pPr>
      <w:r>
        <w:rPr>
          <w:rFonts w:ascii="Arial" w:cs="Arial" w:eastAsia="Arial" w:hAnsi="Arial"/>
          <w:sz w:val="18"/>
          <w:szCs w:val="18"/>
          <w:color w:val="auto"/>
        </w:rPr>
        <w:t>For address changes and/or comments, please check this box and write them on the back where indicated.</w:t>
      </w:r>
      <w:r>
        <w:rPr>
          <w:sz w:val="20"/>
          <w:szCs w:val="20"/>
          <w:color w:val="auto"/>
        </w:rPr>
        <w:tab/>
      </w:r>
      <w:r>
        <w:rPr>
          <w:rFonts w:ascii="Arial" w:cs="Arial" w:eastAsia="Arial" w:hAnsi="Arial"/>
          <w:sz w:val="14"/>
          <w:szCs w:val="14"/>
          <w:color w:val="auto"/>
        </w:rPr>
        <w:t>o</w:t>
      </w:r>
    </w:p>
    <w:p>
      <w:pPr>
        <w:spacing w:after="0" w:line="225" w:lineRule="exact"/>
        <w:rPr>
          <w:sz w:val="20"/>
          <w:szCs w:val="20"/>
          <w:color w:val="auto"/>
        </w:rPr>
      </w:pPr>
    </w:p>
    <w:p>
      <w:pPr>
        <w:spacing w:after="0"/>
        <w:tabs>
          <w:tab w:leader="none" w:pos="4940" w:val="left"/>
          <w:tab w:leader="none" w:pos="580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3" w:lineRule="exact"/>
        <w:rPr>
          <w:sz w:val="20"/>
          <w:szCs w:val="20"/>
          <w:color w:val="auto"/>
        </w:rPr>
      </w:pPr>
    </w:p>
    <w:p>
      <w:pPr>
        <w:ind w:left="4880"/>
        <w:spacing w:after="0"/>
        <w:tabs>
          <w:tab w:leader="none" w:pos="57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ectPr>
          <w:pgSz w:w="11900" w:h="16838" w:orient="portrait"/>
          <w:cols w:equalWidth="0" w:num="1">
            <w:col w:w="11420"/>
          </w:cols>
          <w:pgMar w:left="240" w:top="337" w:right="239" w:bottom="4" w:gutter="0" w:footer="0" w:header="0"/>
          <w:type w:val="continuous"/>
        </w:sectPr>
      </w:pPr>
    </w:p>
    <w:bookmarkStart w:id="95" w:name="page96"/>
    <w:bookmarkEnd w:id="95"/>
    <w:p>
      <w:pPr>
        <w:spacing w:after="0" w:line="31"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3461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46190" cy="8255"/>
                    </a:xfrm>
                    <a:prstGeom prst="rect">
                      <a:avLst/>
                    </a:prstGeom>
                    <a:noFill/>
                  </pic:spPr>
                </pic:pic>
              </a:graphicData>
            </a:graphic>
          </wp:anchor>
        </w:drawing>
      </w:r>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1"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3461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 Subject to change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are available at www.proxyvote.com.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 avenue Monterey, L-2163 Luxembourg City, Grand Duchy of Luxembourg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REVOCABLE PROXY</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THIS PROXY IS SOLICITED ON BEHALF OF THE BOARD OF DIRECTORS OF ALTISOURCE PORTFOLIO SOLUTIONS S.A. FOR USE ONLY AT THE ANNUAL MEETING OF SHAREHOLDERS TO BE HELD ON MAY 17, 2017, AND AT ANY ADJOURNMENT OR POSTPONEMENT THEREOF.</w:t>
      </w:r>
    </w:p>
    <w:p>
      <w:pPr>
        <w:spacing w:after="0" w:line="1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undersigned shareholder(s) hereby appoint(s) William B. Shepro and Kevin J. Wilcox, or either of them (the “Proxies”), as proxy, with full powers of substitution, and hereby authorizes them to represent and vote, as designated on the reverse side of this ballot, all of the shares of common stock (“Common Stock”) of Altisource Portfolio Solutions S.A. (the “Company”) that the shareholder(s) is/are entitled to vote at the Annual Meeting of Shareholders (the “Annual Meeting”) to be held at the offices of the Company located at 40, avenue Monterey L-2163 Luxembourg City, Grand Duchy of Luxembourg on Wednesday, May 17, 2017, at 9:00 a.m. Central European Time and at any adjournment or postponement thereof.</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proxy, when properly executed, will be voted in the manner directed herein. If no such direction is made, this proxy will be voted FOR the election of each of the Board of Directors’ nominees to the Board of Directors; FOR the approval of the appointment of Mayer Hoffman McCann P.C. to be our independent registered certified public accounting firm for the year ending December 31, 2017 and the appointment of Atwell S.à r.l.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the same period; FOR the approval of the appointment of Michelle D. Esterman, Chief Financial Officer of the Company, to be our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to report on Altisource Portfolio Solutions S.A.’s unconsolidated annual accounts prepared in accordance with accounting principles generally accepted in Luxembourg (the “Luxembourg Annual Accounts”) for the years ending December 31, 2017 through December 31, 2022, or until her successor is duly elected and qualified, and to ratify her appointment by the Board of Directors as our supervisory auditor to report on the Luxembourg Annual Accounts for the years ended December 31, 2009 through December 31, 2016; FOR the approval of the Luxembourg Annual Accounts for the year ended December 31, 2016 and Altisource Portfolio Solutions S.A.’s consolidated financial statements prepared in accordance with accounting principles generally accepted in the United States including a footnote reconciliation of equity and net income to International Financial Reporting Standards (the “Consolidated Accounts” and, together with the Luxembourg Annual Accounts, the “Luxembourg Statutory Accounts”) as of and for the year ended December 31, 2016; FOR the receipt and approval of the Directors’ reports for the Luxembourg Statutory Accounts for the year ended December 31, 2016 and to receive the reports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Luxembourg Annual Accounts for the years ended December 31, 2009 through December 31, 2016; FOR the allocation of the results in the Luxembourg Annual Accounts for the year ended December 31, 2016; FOR the discharge of each of the Directors of Altisource Portfolio Solutions S.A. for the performance of their mandates for the year ended December 31, 2016 and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performance of her mandate for the years ended December 31, 2009 through December 31, 2016; FOR the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of our share repurchase program such that Altisource Portfolio Solutions S.A. is authorized, for a period of five years from the date of the Annual Meeting, to repurchase up to twenty-five percent (25%) of the outstanding shares of its common stock (as of the close of business on the date of the Annual Meeting) at a minimum price of one dollar ($1.00) per share and a maximum price of five hundred dollars ($500.00) per share; FOR the approval, on an advisory (non-binding) basis, of the compensation of Altisource’s named executive officers as disclosed in the joint proxy statement (“Say-on-Pay”); For the approval, on an advisory (non-binding) basis, of “ONE YEAR” as the frequency of future shareholder advisory votes on executive compensation (“Say-on-Frequency”); and in the discretion of the Proxies on any other matter that may properly come before the Annual Meeting or any adjournment or postponement thereof. This proxy may be revoked at any time prior to the time it is voted at the Annual Meeting.</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undersigned shareholder(s) hereby acknowledge(s) receipt of the Notice of Annual Meeting of Shareholders of Altisource Portfolio Solutions S.A. to be held on May 17, 2017, or any adjournment or postponement thereof and a Proxy Statement for the Annual Meeting prior to the signing of this proxy.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any Address Changes/Comments are noted above, please mark the corresponding box on the reverse side.)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ALTISOURCE PORTFOLIO SOLUTIONS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 PROXY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 BOX 9142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FARMINGDALE, NY 11735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ectPr>
          <w:pgSz w:w="11900" w:h="16870" w:orient="portrait"/>
          <w:cols w:equalWidth="0" w:num="1">
            <w:col w:w="11420"/>
          </w:cols>
          <w:pgMar w:left="240" w:top="139" w:right="239" w:bottom="0" w:gutter="0" w:footer="0" w:header="0"/>
        </w:sectPr>
      </w:pPr>
    </w:p>
    <w:bookmarkStart w:id="96" w:name="page97"/>
    <w:bookmarkEnd w:id="96"/>
    <w:p>
      <w:pPr>
        <w:ind w:right="6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VOTE, MARK BLOCKS BELOW IN BLUE OR BLACK INK AS FOLLOWS:</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KEEP THIS PORTION FOR YOUR RECORDS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ALTISOURCE PORTFOLIO SOLUTIONS S.A.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96"/>
        </w:trPr>
        <w:tc>
          <w:tcPr>
            <w:tcW w:w="8700" w:type="dxa"/>
            <w:vAlign w:val="bottom"/>
            <w:gridSpan w:val="6"/>
            <w:vMerge w:val="continue"/>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700" w:type="dxa"/>
            <w:vAlign w:val="bottom"/>
            <w:gridSpan w:val="6"/>
          </w:tcPr>
          <w:p>
            <w:pPr>
              <w:spacing w:after="0"/>
              <w:rPr>
                <w:sz w:val="20"/>
                <w:szCs w:val="20"/>
                <w:color w:val="auto"/>
              </w:rPr>
            </w:pPr>
            <w:r>
              <w:rPr>
                <w:rFonts w:ascii="Arial" w:cs="Arial" w:eastAsia="Arial" w:hAnsi="Arial"/>
                <w:sz w:val="18"/>
                <w:szCs w:val="18"/>
                <w:color w:val="auto"/>
                <w:w w:val="99"/>
              </w:rPr>
              <w:t>1. Proposal to approve the amendment of the Company’s Articles of Incorporation to (i) renew and extend the</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o</w:t>
            </w:r>
          </w:p>
        </w:tc>
        <w:tc>
          <w:tcPr>
            <w:tcW w:w="320" w:type="dxa"/>
            <w:vAlign w:val="bottom"/>
          </w:tcPr>
          <w:p>
            <w:pPr>
              <w:spacing w:after="0"/>
              <w:rPr>
                <w:sz w:val="24"/>
                <w:szCs w:val="24"/>
                <w:color w:val="auto"/>
              </w:rPr>
            </w:pPr>
          </w:p>
        </w:tc>
        <w:tc>
          <w:tcPr>
            <w:tcW w:w="720" w:type="dxa"/>
            <w:vAlign w:val="bottom"/>
            <w:gridSpan w:val="2"/>
          </w:tcPr>
          <w:p>
            <w:pPr>
              <w:jc w:val="center"/>
              <w:ind w:right="600"/>
              <w:spacing w:after="0"/>
              <w:rPr>
                <w:sz w:val="20"/>
                <w:szCs w:val="20"/>
                <w:color w:val="auto"/>
              </w:rPr>
            </w:pPr>
            <w:r>
              <w:rPr>
                <w:rFonts w:ascii="Arial" w:cs="Arial" w:eastAsia="Arial" w:hAnsi="Arial"/>
                <w:sz w:val="18"/>
                <w:szCs w:val="18"/>
                <w:color w:val="auto"/>
                <w:w w:val="79"/>
              </w:rPr>
              <w:t>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ind w:left="160"/>
              <w:spacing w:after="0"/>
              <w:rPr>
                <w:sz w:val="20"/>
                <w:szCs w:val="20"/>
                <w:color w:val="auto"/>
              </w:rPr>
            </w:pPr>
            <w:r>
              <w:rPr>
                <w:rFonts w:ascii="Arial" w:cs="Arial" w:eastAsia="Arial" w:hAnsi="Arial"/>
                <w:sz w:val="18"/>
                <w:szCs w:val="18"/>
                <w:color w:val="auto"/>
                <w:w w:val="96"/>
              </w:rPr>
              <w:t>authorization of the Board of Directors to issue shares of the Company’s common stock, within the limits of the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ind w:left="160"/>
              <w:spacing w:after="0"/>
              <w:rPr>
                <w:sz w:val="20"/>
                <w:szCs w:val="20"/>
                <w:color w:val="auto"/>
              </w:rPr>
            </w:pPr>
            <w:r>
              <w:rPr>
                <w:rFonts w:ascii="Arial" w:cs="Arial" w:eastAsia="Arial" w:hAnsi="Arial"/>
                <w:sz w:val="18"/>
                <w:szCs w:val="18"/>
                <w:color w:val="auto"/>
                <w:w w:val="92"/>
              </w:rPr>
              <w:t>Company’s authorized share capital of one hundred million dollars ($100,000,000) and, in connection with any such</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ind w:left="160"/>
              <w:spacing w:after="0"/>
              <w:rPr>
                <w:sz w:val="20"/>
                <w:szCs w:val="20"/>
                <w:color w:val="auto"/>
              </w:rPr>
            </w:pPr>
            <w:r>
              <w:rPr>
                <w:rFonts w:ascii="Arial" w:cs="Arial" w:eastAsia="Arial" w:hAnsi="Arial"/>
                <w:sz w:val="18"/>
                <w:szCs w:val="18"/>
                <w:color w:val="auto"/>
                <w:w w:val="92"/>
              </w:rPr>
              <w:t>issuance, to limit or cancel the preferential subscription rights of shareholders, each for a period of five (5) years, as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ind w:left="160"/>
              <w:spacing w:after="0"/>
              <w:rPr>
                <w:sz w:val="20"/>
                <w:szCs w:val="20"/>
                <w:color w:val="auto"/>
              </w:rPr>
            </w:pPr>
            <w:r>
              <w:rPr>
                <w:rFonts w:ascii="Arial" w:cs="Arial" w:eastAsia="Arial" w:hAnsi="Arial"/>
                <w:sz w:val="18"/>
                <w:szCs w:val="18"/>
                <w:color w:val="auto"/>
                <w:w w:val="94"/>
              </w:rPr>
              <w:t>set forth in the proposed Amended and Restated Articles of Incorporation and (ii) receive the report issued by the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ind w:left="160"/>
              <w:spacing w:after="0"/>
              <w:rPr>
                <w:sz w:val="20"/>
                <w:szCs w:val="20"/>
                <w:color w:val="auto"/>
              </w:rPr>
            </w:pPr>
            <w:r>
              <w:rPr>
                <w:rFonts w:ascii="Arial" w:cs="Arial" w:eastAsia="Arial" w:hAnsi="Arial"/>
                <w:sz w:val="18"/>
                <w:szCs w:val="18"/>
                <w:color w:val="auto"/>
              </w:rPr>
              <w:t>Board of Directors pursuant to article 32 -3 (5) of the Luxembourg Law of 10 August 1915 on commercial</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w w:val="94"/>
              </w:rPr>
              <w:t>companies, as amended (the “Luxembourg Company Law”)</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00" w:type="dxa"/>
            <w:vAlign w:val="bottom"/>
            <w:gridSpan w:val="6"/>
          </w:tcPr>
          <w:p>
            <w:pPr>
              <w:spacing w:after="0"/>
              <w:rPr>
                <w:sz w:val="20"/>
                <w:szCs w:val="20"/>
                <w:color w:val="auto"/>
              </w:rPr>
            </w:pPr>
            <w:r>
              <w:rPr>
                <w:rFonts w:ascii="Arial" w:cs="Arial" w:eastAsia="Arial" w:hAnsi="Arial"/>
                <w:sz w:val="18"/>
                <w:szCs w:val="18"/>
                <w:color w:val="auto"/>
                <w:w w:val="93"/>
              </w:rPr>
              <w:t>2. Proposal to approve the amendment of the Company’s Articles of Incorporation to effectuate recent changes in the</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o</w:t>
            </w:r>
          </w:p>
        </w:tc>
        <w:tc>
          <w:tcPr>
            <w:tcW w:w="320" w:type="dxa"/>
            <w:vAlign w:val="bottom"/>
          </w:tcPr>
          <w:p>
            <w:pPr>
              <w:spacing w:after="0"/>
              <w:rPr>
                <w:sz w:val="24"/>
                <w:szCs w:val="24"/>
                <w:color w:val="auto"/>
              </w:rPr>
            </w:pPr>
          </w:p>
        </w:tc>
        <w:tc>
          <w:tcPr>
            <w:tcW w:w="720" w:type="dxa"/>
            <w:vAlign w:val="bottom"/>
            <w:gridSpan w:val="2"/>
          </w:tcPr>
          <w:p>
            <w:pPr>
              <w:jc w:val="center"/>
              <w:ind w:right="600"/>
              <w:spacing w:after="0"/>
              <w:rPr>
                <w:sz w:val="20"/>
                <w:szCs w:val="20"/>
                <w:color w:val="auto"/>
              </w:rPr>
            </w:pPr>
            <w:r>
              <w:rPr>
                <w:rFonts w:ascii="Arial" w:cs="Arial" w:eastAsia="Arial" w:hAnsi="Arial"/>
                <w:sz w:val="18"/>
                <w:szCs w:val="18"/>
                <w:color w:val="auto"/>
                <w:w w:val="79"/>
              </w:rPr>
              <w:t>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ind w:left="160"/>
              <w:spacing w:after="0"/>
              <w:rPr>
                <w:sz w:val="20"/>
                <w:szCs w:val="20"/>
                <w:color w:val="auto"/>
              </w:rPr>
            </w:pPr>
            <w:r>
              <w:rPr>
                <w:rFonts w:ascii="Arial" w:cs="Arial" w:eastAsia="Arial" w:hAnsi="Arial"/>
                <w:sz w:val="18"/>
                <w:szCs w:val="18"/>
                <w:color w:val="auto"/>
                <w:w w:val="92"/>
              </w:rPr>
              <w:t>Luxembourg Company Law, as the Company is required to do pursuant to the Luxembourg Law of 10 August 2016</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ind w:left="160"/>
              <w:spacing w:after="0"/>
              <w:rPr>
                <w:sz w:val="20"/>
                <w:szCs w:val="20"/>
                <w:color w:val="auto"/>
              </w:rPr>
            </w:pPr>
            <w:r>
              <w:rPr>
                <w:rFonts w:ascii="Arial" w:cs="Arial" w:eastAsia="Arial" w:hAnsi="Arial"/>
                <w:sz w:val="18"/>
                <w:szCs w:val="18"/>
                <w:color w:val="auto"/>
                <w:w w:val="95"/>
              </w:rPr>
              <w:t>and to make certain other administrative changes as set forth in the proposed Amended and Restated Articles of</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Incorporation</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gridSpan w:val="2"/>
          </w:tcPr>
          <w:p>
            <w:pPr>
              <w:spacing w:after="0"/>
              <w:rPr>
                <w:sz w:val="20"/>
                <w:szCs w:val="20"/>
                <w:color w:val="auto"/>
              </w:rPr>
            </w:pPr>
            <w:r>
              <w:rPr>
                <w:rFonts w:ascii="Arial" w:cs="Arial" w:eastAsia="Arial" w:hAnsi="Arial"/>
                <w:sz w:val="18"/>
                <w:szCs w:val="18"/>
                <w:color w:val="auto"/>
              </w:rPr>
              <w:t>NOTE:</w:t>
            </w:r>
          </w:p>
        </w:tc>
        <w:tc>
          <w:tcPr>
            <w:tcW w:w="10720" w:type="dxa"/>
            <w:vAlign w:val="bottom"/>
            <w:gridSpan w:val="10"/>
          </w:tcPr>
          <w:p>
            <w:pPr>
              <w:ind w:left="180"/>
              <w:spacing w:after="0"/>
              <w:rPr>
                <w:sz w:val="20"/>
                <w:szCs w:val="20"/>
                <w:color w:val="auto"/>
              </w:rPr>
            </w:pPr>
            <w:r>
              <w:rPr>
                <w:rFonts w:ascii="Arial" w:cs="Arial" w:eastAsia="Arial" w:hAnsi="Arial"/>
                <w:sz w:val="18"/>
                <w:szCs w:val="18"/>
                <w:color w:val="auto"/>
                <w:w w:val="94"/>
              </w:rPr>
              <w:t>Proxies will vote in their discretion upon such other matters that may properly come before the Extraordinary Meeting or any adjournment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postponement thereof.</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6"/>
          </w:tcPr>
          <w:p>
            <w:pPr>
              <w:spacing w:after="0"/>
              <w:rPr>
                <w:sz w:val="20"/>
                <w:szCs w:val="20"/>
                <w:color w:val="auto"/>
              </w:rPr>
            </w:pPr>
            <w:r>
              <w:rPr>
                <w:rFonts w:ascii="Arial" w:cs="Arial" w:eastAsia="Arial" w:hAnsi="Arial"/>
                <w:sz w:val="18"/>
                <w:szCs w:val="18"/>
                <w:color w:val="auto"/>
              </w:rPr>
              <w:t>For address changes and/or comments, please check this box and write them on the back where indicated.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o</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gridSpan w:val="3"/>
          </w:tcPr>
          <w:p>
            <w:pPr>
              <w:spacing w:after="0"/>
              <w:rPr>
                <w:sz w:val="20"/>
                <w:szCs w:val="20"/>
                <w:color w:val="auto"/>
              </w:rPr>
            </w:pPr>
            <w:r>
              <w:rPr>
                <w:rFonts w:ascii="Arial" w:cs="Arial" w:eastAsia="Arial" w:hAnsi="Arial"/>
                <w:sz w:val="18"/>
                <w:szCs w:val="18"/>
                <w:color w:val="auto"/>
              </w:rPr>
              <w:t>Please indicate if you plan to attend this meeting.</w:t>
            </w: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9"/>
              </w:rPr>
              <w:t>o</w:t>
            </w:r>
          </w:p>
        </w:tc>
        <w:tc>
          <w:tcPr>
            <w:tcW w:w="3260" w:type="dxa"/>
            <w:vAlign w:val="bottom"/>
            <w:gridSpan w:val="2"/>
          </w:tcPr>
          <w:p>
            <w:pPr>
              <w:jc w:val="center"/>
              <w:ind w:right="2330"/>
              <w:spacing w:after="0"/>
              <w:rPr>
                <w:sz w:val="20"/>
                <w:szCs w:val="20"/>
                <w:color w:val="auto"/>
              </w:rPr>
            </w:pPr>
            <w:r>
              <w:rPr>
                <w:rFonts w:ascii="Arial" w:cs="Arial" w:eastAsia="Arial" w:hAnsi="Arial"/>
                <w:sz w:val="18"/>
                <w:szCs w:val="18"/>
                <w:color w:val="auto"/>
                <w:w w:val="79"/>
              </w:rPr>
              <w:t>o</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83"/>
              </w:rPr>
              <w:t>Yes</w:t>
            </w:r>
          </w:p>
        </w:tc>
        <w:tc>
          <w:tcPr>
            <w:tcW w:w="3260" w:type="dxa"/>
            <w:vAlign w:val="bottom"/>
            <w:gridSpan w:val="2"/>
          </w:tcPr>
          <w:p>
            <w:pPr>
              <w:jc w:val="center"/>
              <w:ind w:right="2310"/>
              <w:spacing w:after="0"/>
              <w:rPr>
                <w:sz w:val="20"/>
                <w:szCs w:val="20"/>
                <w:color w:val="auto"/>
              </w:rPr>
            </w:pPr>
            <w:r>
              <w:rPr>
                <w:rFonts w:ascii="Arial" w:cs="Arial" w:eastAsia="Arial" w:hAnsi="Arial"/>
                <w:sz w:val="18"/>
                <w:szCs w:val="18"/>
                <w:color w:val="auto"/>
                <w:w w:val="95"/>
              </w:rPr>
              <w:t>No</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68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vMerge w:val="restart"/>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Signature [PLEASE SIGN WITHIN BOX]</w:t>
            </w:r>
          </w:p>
        </w:tc>
        <w:tc>
          <w:tcPr>
            <w:tcW w:w="7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Date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1"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3461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 Subject to 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Extraordinary Meeting of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 avenue Monterey, L-2163 Luxembourg City, Grand Duchy of Luxembourg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REVOCABLE PROXY</w:t>
      </w:r>
    </w:p>
    <w:p>
      <w:pPr>
        <w:spacing w:after="0" w:line="22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THIS PROXY IS SOLICITED ON BEHALF OF THE BOARD OF DIRECTORS OF ALTISOURCE PORTFOLIO SOLUTIONS S.A. FOR USE ONLY AT THE EXTRAORDINARY MEETING OF SHAREHOLDERS TO BE HELD ON MAY 17, 2017, AND AT ANY ADJOURNMENT OR POSTPONEMENT THEREOF.</w:t>
      </w:r>
    </w:p>
    <w:p>
      <w:pPr>
        <w:spacing w:after="0" w:line="1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undersigned shareholder(s) hereby appoint(s) William B. Shepro and Kevin J. Wilcox, or either of them (the “Proxies”), as proxy, with full powers of substitution, and hereby authorizes them to represent and vote, as designated on the reverse side of this ballot, all of the shares of common stock (“Common Stock”) of Altisource Portfolio Solutions S.A. (the “Company”) that the shareholder(s) is/are entitled to vote at the Extraordinary Meeting of Shareholders (the “Extraordinary Meeting”) to be held at the offices of the Company located at 40, avenue Monterey L-2163 Luxembourg City, Grand Duchy of Luxembourg on Wednesday, May 17, 2017, at 10:00 a.m. Central European Time and at any adjournment or postponement thereof.</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proxy, when properly executed, will be voted in the manner directed herein. If no such direction is made, this proxy will be voted FOR the approval of the amendment of the Company’s Articles of Incorporation to (i) renew and extend the authorization of the Board of Directors to issue shares of the Company’s common stock, within the limits of the Company’s authorized share capital of one hundred million dollars ($100,000,000) and, in connection with any such issuance, to limit or cancel the preferential subscription rights of shareholders, each for a period of five (5) years, as set forth in the proposed</w:t>
      </w:r>
    </w:p>
    <w:p>
      <w:pPr>
        <w:sectPr>
          <w:pgSz w:w="11900" w:h="16838" w:orient="portrait"/>
          <w:cols w:equalWidth="0" w:num="1">
            <w:col w:w="11420"/>
          </w:cols>
          <w:pgMar w:left="240" w:top="341" w:right="239" w:bottom="0" w:gutter="0" w:footer="0" w:header="0"/>
        </w:sectPr>
      </w:pPr>
    </w:p>
    <w:bookmarkStart w:id="97" w:name="page98"/>
    <w:bookmarkEnd w:id="97"/>
    <w:p>
      <w:pPr>
        <w:ind w:right="80"/>
        <w:spacing w:after="0" w:line="273" w:lineRule="auto"/>
        <w:rPr>
          <w:sz w:val="20"/>
          <w:szCs w:val="20"/>
          <w:color w:val="auto"/>
        </w:rPr>
      </w:pPr>
      <w:r>
        <w:rPr>
          <w:rFonts w:ascii="Arial" w:cs="Arial" w:eastAsia="Arial" w:hAnsi="Arial"/>
          <w:sz w:val="17"/>
          <w:szCs w:val="17"/>
          <w:color w:val="auto"/>
        </w:rPr>
        <w:t>Amended and Restated Articles of Incorporation and (ii) receive the report issued by the Board of Directors pursuant to article 32 -3 (5) of the Luxembourg Law of 10 August 1915 on commercial companies, as amended (the “Luxembourg Company Law”); FOR the approval of the amendment of the Company’s Articles of Incorporation to effectuate recent changes in the Luxembourg Company Law, as the Company is required to do pursuant to the Luxembourg Law of 10 August 2016 and to make certain other administrative changes as set forth in the proposed Amended and Restated Articles of Incorporation; and in the discretion of the Proxies on any other matter that may properly come before the Extraordinary Meeting or any adjournment or postponement thereof. This proxy may be revoked at any time prior to the time it is voted at the Extraordinary Meeting.</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shareholder(s) hereby acknowledge(s) receipt of the Notice of Extraordinary Meeting of Shareholders of Altisource Portfolio Solutions S.A. to be held on May 17, 2017, or any adjournment or postponement thereof and a Proxy Statement for the Extraordinary Meeting prior to the signing of this proxy.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(If any Address Changes/Comments are noted above, please mark the corresponding box on the reverse side.)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o"/>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5"/>
    </w:lvl>
  </w:abstractNum>
  <w:abstractNum w:abstractNumId="6">
    <w:nsid w:val="6CEAF087"/>
    <w:multiLevelType w:val="hybridMultilevel"/>
    <w:lvl w:ilvl="0">
      <w:lvlJc w:val="left"/>
      <w:lvlText w:val="%1)"/>
      <w:numFmt w:val="decimal"/>
    </w:lvl>
    <w:lvl w:ilvl="1">
      <w:lvlJc w:val="left"/>
      <w:lvlText w:val="o"/>
      <w:numFmt w:val="bullet"/>
      <w:start w:val="1"/>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1)"/>
      <w:numFmt w:val="decimal"/>
      <w:start w:val="4"/>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4"/>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2"/>
    </w:lvl>
  </w:abstractNum>
  <w:abstractNum w:abstractNumId="26">
    <w:nsid w:val="70A64E2A"/>
    <w:multiLevelType w:val="hybridMultilevel"/>
    <w:lvl w:ilvl="0">
      <w:lvlJc w:val="left"/>
      <w:lvlText w:val="(%1)"/>
      <w:numFmt w:val="decimal"/>
      <w:start w:val="7"/>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lvl>
    <w:lvl w:ilvl="1">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3"/>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lowerRoman"/>
      <w:start w:val="2"/>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2"/>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2"/>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4"/>
    </w:lvl>
  </w:abstractNum>
  <w:abstractNum w:abstractNumId="43">
    <w:nsid w:val="3DC240FB"/>
    <w:multiLevelType w:val="hybridMultilevel"/>
    <w:lvl w:ilvl="0">
      <w:lvlJc w:val="left"/>
      <w:lvlText w:val="(%1)"/>
      <w:numFmt w:val="decimal"/>
      <w:start w:val="16"/>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2"/>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upperLetter"/>
      <w:start w:val="35"/>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lowerRoman"/>
      <w:start w:val="2"/>
    </w:lvl>
  </w:abstractNum>
  <w:abstractNum w:abstractNumId="55">
    <w:nsid w:val="39386575"/>
    <w:multiLevelType w:val="hybridMultilevel"/>
    <w:lvl w:ilvl="0">
      <w:lvlJc w:val="left"/>
      <w:lvlText w:val="%1."/>
      <w:numFmt w:val="decimal"/>
      <w:start w:val="9"/>
    </w:lvl>
  </w:abstractNum>
  <w:abstractNum w:abstractNumId="56">
    <w:nsid w:val="1CF10FD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2019-12-07T11:09:31Z</dcterms:created>
  <dcterms:modified xsi:type="dcterms:W3CDTF">2019-12-07T11:09:31Z</dcterms:modified>
</cp:coreProperties>
</file>