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821055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779145</wp:posOffset>
            </wp:positionV>
            <wp:extent cx="65913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111760</wp:posOffset>
            </wp:positionV>
            <wp:extent cx="2002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103505</wp:posOffset>
            </wp:positionV>
            <wp:extent cx="2002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10" w:lineRule="exact"/>
        <w:rPr>
          <w:sz w:val="24"/>
          <w:szCs w:val="24"/>
          <w:color w:val="auto"/>
        </w:rPr>
      </w:pPr>
    </w:p>
    <w:p>
      <w:pPr>
        <w:ind w:left="160"/>
        <w:spacing w:after="0"/>
        <w:rPr>
          <w:sz w:val="20"/>
          <w:szCs w:val="20"/>
          <w:color w:val="auto"/>
        </w:rPr>
      </w:pPr>
      <w:r>
        <w:rPr>
          <w:rFonts w:ascii="Arial" w:cs="Arial" w:eastAsia="Arial" w:hAnsi="Arial"/>
          <w:sz w:val="14"/>
          <w:szCs w:val="14"/>
          <w:color w:val="auto"/>
        </w:rPr>
        <w:t>(Mark One)</w:t>
      </w:r>
    </w:p>
    <w:p>
      <w:pPr>
        <w:spacing w:after="0" w:line="36"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September 30, 2023</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2" w:lineRule="exact"/>
        <w:rPr>
          <w:rFonts w:ascii="MS PGothic" w:cs="MS PGothic" w:eastAsia="MS PGothic" w:hAnsi="MS PGothic"/>
          <w:sz w:val="21"/>
          <w:szCs w:val="21"/>
          <w:color w:val="auto"/>
        </w:rPr>
      </w:pPr>
    </w:p>
    <w:p>
      <w:pPr>
        <w:ind w:left="438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transition period from to</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158115</wp:posOffset>
            </wp:positionV>
            <wp:extent cx="2002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120650</wp:posOffset>
            </wp:positionV>
            <wp:extent cx="2002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jc w:val="center"/>
              <w:ind w:left="1826"/>
              <w:spacing w:after="0"/>
              <w:rPr>
                <w:sz w:val="20"/>
                <w:szCs w:val="20"/>
                <w:color w:val="auto"/>
              </w:rPr>
            </w:pPr>
            <w:r>
              <w:rPr>
                <w:rFonts w:ascii="Arial" w:cs="Arial" w:eastAsia="Arial" w:hAnsi="Arial"/>
                <w:sz w:val="18"/>
                <w:szCs w:val="18"/>
                <w:b w:val="1"/>
                <w:bCs w:val="1"/>
                <w:color w:val="auto"/>
                <w:w w:val="89"/>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5"/>
              <w:spacing w:after="0"/>
              <w:rPr>
                <w:sz w:val="20"/>
                <w:szCs w:val="20"/>
                <w:color w:val="auto"/>
              </w:rPr>
            </w:pPr>
            <w:r>
              <w:rPr>
                <w:rFonts w:ascii="Arial" w:cs="Arial" w:eastAsia="Arial" w:hAnsi="Arial"/>
                <w:sz w:val="18"/>
                <w:szCs w:val="18"/>
                <w:b w:val="1"/>
                <w:bCs w:val="1"/>
                <w:color w:val="auto"/>
              </w:rPr>
              <w:t>98-0554932</w:t>
            </w:r>
          </w:p>
        </w:tc>
      </w:tr>
      <w:tr>
        <w:trPr>
          <w:trHeight w:val="180"/>
        </w:trPr>
        <w:tc>
          <w:tcPr>
            <w:tcW w:w="7240" w:type="dxa"/>
            <w:vAlign w:val="bottom"/>
            <w:gridSpan w:val="6"/>
          </w:tcPr>
          <w:p>
            <w:pPr>
              <w:jc w:val="center"/>
              <w:ind w:right="1640"/>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4000" w:type="dxa"/>
            <w:vAlign w:val="bottom"/>
          </w:tcPr>
          <w:p>
            <w:pPr>
              <w:jc w:val="center"/>
              <w:ind w:right="1605"/>
              <w:spacing w:after="0"/>
              <w:rPr>
                <w:sz w:val="20"/>
                <w:szCs w:val="20"/>
                <w:color w:val="auto"/>
              </w:rPr>
            </w:pPr>
            <w:r>
              <w:rPr>
                <w:rFonts w:ascii="Arial" w:cs="Arial" w:eastAsia="Arial" w:hAnsi="Arial"/>
                <w:sz w:val="14"/>
                <w:szCs w:val="14"/>
                <w:color w:val="auto"/>
                <w:w w:val="94"/>
              </w:rPr>
              <w:t>(I.R.S. Employer Identification No.)</w:t>
            </w:r>
          </w:p>
        </w:tc>
      </w:tr>
      <w:tr>
        <w:trPr>
          <w:trHeight w:val="364"/>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33, Boulevard Prince Henri</w:t>
            </w:r>
          </w:p>
        </w:tc>
        <w:tc>
          <w:tcPr>
            <w:tcW w:w="4000" w:type="dxa"/>
            <w:vAlign w:val="bottom"/>
          </w:tcPr>
          <w:p>
            <w:pPr>
              <w:spacing w:after="0"/>
              <w:rPr>
                <w:sz w:val="24"/>
                <w:szCs w:val="24"/>
                <w:color w:val="auto"/>
              </w:rPr>
            </w:pPr>
          </w:p>
        </w:tc>
      </w:tr>
      <w:tr>
        <w:trPr>
          <w:trHeight w:val="212"/>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L-1724 Luxembourg</w:t>
            </w:r>
          </w:p>
        </w:tc>
        <w:tc>
          <w:tcPr>
            <w:tcW w:w="4000" w:type="dxa"/>
            <w:vAlign w:val="bottom"/>
          </w:tcPr>
          <w:p>
            <w:pPr>
              <w:spacing w:after="0"/>
              <w:rPr>
                <w:sz w:val="18"/>
                <w:szCs w:val="18"/>
                <w:color w:val="auto"/>
              </w:rPr>
            </w:pPr>
          </w:p>
        </w:tc>
      </w:tr>
      <w:tr>
        <w:trPr>
          <w:trHeight w:val="212"/>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Grand Duchy of Luxembourg</w:t>
            </w:r>
          </w:p>
        </w:tc>
        <w:tc>
          <w:tcPr>
            <w:tcW w:w="4000" w:type="dxa"/>
            <w:vAlign w:val="bottom"/>
          </w:tcPr>
          <w:p>
            <w:pPr>
              <w:spacing w:after="0"/>
              <w:rPr>
                <w:sz w:val="18"/>
                <w:szCs w:val="18"/>
                <w:color w:val="auto"/>
              </w:rPr>
            </w:pPr>
          </w:p>
        </w:tc>
      </w:tr>
      <w:tr>
        <w:trPr>
          <w:trHeight w:val="180"/>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3"/>
          </w:tcPr>
          <w:p>
            <w:pPr>
              <w:jc w:val="center"/>
              <w:ind w:right="460"/>
              <w:spacing w:after="0"/>
              <w:rPr>
                <w:sz w:val="20"/>
                <w:szCs w:val="20"/>
                <w:color w:val="auto"/>
              </w:rPr>
            </w:pPr>
            <w:r>
              <w:rPr>
                <w:rFonts w:ascii="Arial" w:cs="Arial" w:eastAsia="Arial" w:hAnsi="Arial"/>
                <w:sz w:val="14"/>
                <w:szCs w:val="14"/>
                <w:color w:val="auto"/>
                <w:w w:val="93"/>
              </w:rPr>
              <w:t>(Address of principal executive offices)</w:t>
            </w:r>
          </w:p>
        </w:tc>
        <w:tc>
          <w:tcPr>
            <w:tcW w:w="4000" w:type="dxa"/>
            <w:vAlign w:val="bottom"/>
          </w:tcPr>
          <w:p>
            <w:pPr>
              <w:spacing w:after="0"/>
              <w:rPr>
                <w:sz w:val="15"/>
                <w:szCs w:val="15"/>
                <w:color w:val="auto"/>
              </w:rPr>
            </w:pPr>
          </w:p>
        </w:tc>
      </w:tr>
      <w:tr>
        <w:trPr>
          <w:trHeight w:val="310"/>
        </w:trPr>
        <w:tc>
          <w:tcPr>
            <w:tcW w:w="3720" w:type="dxa"/>
            <w:vAlign w:val="bottom"/>
          </w:tcPr>
          <w:p>
            <w:pPr>
              <w:spacing w:after="0"/>
              <w:rPr>
                <w:sz w:val="24"/>
                <w:szCs w:val="24"/>
                <w:color w:val="auto"/>
              </w:rPr>
            </w:pPr>
          </w:p>
        </w:tc>
        <w:tc>
          <w:tcPr>
            <w:tcW w:w="3040" w:type="dxa"/>
            <w:vAlign w:val="bottom"/>
            <w:gridSpan w:val="3"/>
          </w:tcPr>
          <w:p>
            <w:pPr>
              <w:jc w:val="center"/>
              <w:ind w:left="701"/>
              <w:spacing w:after="0"/>
              <w:rPr>
                <w:sz w:val="20"/>
                <w:szCs w:val="20"/>
                <w:color w:val="auto"/>
              </w:rPr>
            </w:pPr>
            <w:r>
              <w:rPr>
                <w:rFonts w:ascii="Arial" w:cs="Arial" w:eastAsia="Arial" w:hAnsi="Arial"/>
                <w:sz w:val="18"/>
                <w:szCs w:val="18"/>
                <w:b w:val="1"/>
                <w:bCs w:val="1"/>
                <w:color w:val="auto"/>
                <w:w w:val="89"/>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0"/>
        </w:trPr>
        <w:tc>
          <w:tcPr>
            <w:tcW w:w="3720" w:type="dxa"/>
            <w:vAlign w:val="bottom"/>
          </w:tcPr>
          <w:p>
            <w:pPr>
              <w:spacing w:after="0"/>
              <w:rPr>
                <w:sz w:val="15"/>
                <w:szCs w:val="15"/>
                <w:color w:val="auto"/>
              </w:rPr>
            </w:pPr>
          </w:p>
        </w:tc>
        <w:tc>
          <w:tcPr>
            <w:tcW w:w="3520" w:type="dxa"/>
            <w:vAlign w:val="bottom"/>
            <w:gridSpan w:val="5"/>
          </w:tcPr>
          <w:p>
            <w:pPr>
              <w:jc w:val="center"/>
              <w:ind w:left="201"/>
              <w:spacing w:after="0"/>
              <w:rPr>
                <w:sz w:val="20"/>
                <w:szCs w:val="20"/>
                <w:color w:val="auto"/>
              </w:rPr>
            </w:pPr>
            <w:r>
              <w:rPr>
                <w:rFonts w:ascii="Arial" w:cs="Arial" w:eastAsia="Arial" w:hAnsi="Arial"/>
                <w:sz w:val="14"/>
                <w:szCs w:val="14"/>
                <w:color w:val="auto"/>
                <w:w w:val="91"/>
              </w:rPr>
              <w:t>(Registrant’s telephone number, including area code)</w:t>
            </w:r>
          </w:p>
        </w:tc>
        <w:tc>
          <w:tcPr>
            <w:tcW w:w="4000" w:type="dxa"/>
            <w:vAlign w:val="bottom"/>
          </w:tcPr>
          <w:p>
            <w:pPr>
              <w:spacing w:after="0"/>
              <w:rPr>
                <w:sz w:val="15"/>
                <w:szCs w:val="15"/>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305"/>
        </w:trPr>
        <w:tc>
          <w:tcPr>
            <w:tcW w:w="3720" w:type="dxa"/>
            <w:vAlign w:val="bottom"/>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Trading Symbol</w:t>
            </w:r>
          </w:p>
        </w:tc>
        <w:tc>
          <w:tcPr>
            <w:tcW w:w="4000" w:type="dxa"/>
            <w:vAlign w:val="bottom"/>
          </w:tcPr>
          <w:p>
            <w:pPr>
              <w:jc w:val="center"/>
              <w:ind w:right="305"/>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73"/>
        </w:trPr>
        <w:tc>
          <w:tcPr>
            <w:tcW w:w="3720" w:type="dxa"/>
            <w:vAlign w:val="bottom"/>
            <w:tcBorders>
              <w:top w:val="single" w:sz="8" w:color="auto"/>
            </w:tcBorders>
          </w:tcPr>
          <w:p>
            <w:pPr>
              <w:ind w:left="1320"/>
              <w:spacing w:after="0"/>
              <w:rPr>
                <w:sz w:val="20"/>
                <w:szCs w:val="20"/>
                <w:color w:val="auto"/>
              </w:rPr>
            </w:pPr>
            <w:r>
              <w:rPr>
                <w:rFonts w:ascii="Arial" w:cs="Arial" w:eastAsia="Arial" w:hAnsi="Arial"/>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ASPS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285"/>
              <w:spacing w:after="0"/>
              <w:rPr>
                <w:sz w:val="20"/>
                <w:szCs w:val="20"/>
                <w:color w:val="auto"/>
              </w:rPr>
            </w:pPr>
            <w:r>
              <w:rPr>
                <w:rFonts w:ascii="Arial" w:cs="Arial" w:eastAsia="Arial" w:hAnsi="Arial"/>
                <w:sz w:val="14"/>
                <w:szCs w:val="14"/>
                <w:color w:val="auto"/>
                <w:w w:val="95"/>
              </w:rPr>
              <w:t>NASDAQ Global Select Market</w:t>
            </w:r>
          </w:p>
        </w:tc>
      </w:tr>
    </w:tbl>
    <w:p>
      <w:pPr>
        <w:spacing w:after="0" w:line="93"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26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9" w:right="339" w:bottom="1440" w:gutter="0" w:footer="0" w:header="0"/>
        </w:sectPr>
      </w:pPr>
    </w:p>
    <w:p>
      <w:pPr>
        <w:spacing w:after="0" w:line="108" w:lineRule="exact"/>
        <w:rPr>
          <w:sz w:val="24"/>
          <w:szCs w:val="24"/>
          <w:color w:val="auto"/>
        </w:rPr>
      </w:pPr>
    </w:p>
    <w:p>
      <w:pPr>
        <w:ind w:left="140"/>
        <w:spacing w:after="0" w:line="418"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tabs>
          <w:tab w:leader="none" w:pos="130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2"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49"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1" w:lineRule="exact"/>
        <w:rPr>
          <w:sz w:val="24"/>
          <w:szCs w:val="24"/>
          <w:color w:val="auto"/>
        </w:rPr>
      </w:pPr>
    </w:p>
    <w:p>
      <w:pPr>
        <w:sectPr>
          <w:pgSz w:w="11900" w:h="16838" w:orient="portrait"/>
          <w:cols w:equalWidth="0" w:num="4">
            <w:col w:w="1420" w:space="360"/>
            <w:col w:w="5540" w:space="720"/>
            <w:col w:w="1540" w:space="520"/>
            <w:col w:w="1140"/>
          </w:cols>
          <w:pgMar w:left="320" w:top="1379" w:right="339" w:bottom="1440" w:gutter="0" w:footer="0" w:header="0"/>
          <w:type w:val="continuous"/>
        </w:sectPr>
      </w:pPr>
    </w:p>
    <w:p>
      <w:pPr>
        <w:spacing w:after="0" w:line="30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20, 2023, there were 26,492,632 outstanding shares of the registrant’s common stock (excluding 3,470,116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654050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128270</wp:posOffset>
            </wp:positionV>
            <wp:extent cx="711771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102870</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00" w:type="dxa"/>
            <w:vAlign w:val="bottom"/>
            <w:gridSpan w:val="3"/>
          </w:tcPr>
          <w:p>
            <w:pPr>
              <w:ind w:lef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120" w:type="dxa"/>
            <w:vAlign w:val="bottom"/>
            <w:gridSpan w:val="22"/>
            <w:vMerge w:val="restart"/>
          </w:tcPr>
          <w:p>
            <w:pPr>
              <w:spacing w:after="0"/>
              <w:rPr>
                <w:sz w:val="20"/>
                <w:szCs w:val="20"/>
                <w:color w:val="auto"/>
              </w:rPr>
            </w:pPr>
            <w:r>
              <w:rPr>
                <w:rFonts w:ascii="Arial" w:cs="Arial" w:eastAsia="Arial" w:hAnsi="Arial"/>
                <w:sz w:val="18"/>
                <w:szCs w:val="18"/>
                <w:color w:val="0000FF"/>
              </w:rPr>
              <w:t>PART I — Financial Information</w:t>
            </w: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120" w:type="dxa"/>
            <w:vAlign w:val="bottom"/>
            <w:gridSpan w:val="2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560" w:type="dxa"/>
            <w:vAlign w:val="bottom"/>
            <w:tcBorders>
              <w:top w:val="single" w:sz="8" w:color="0000FF"/>
            </w:tcBorders>
            <w:gridSpan w:val="13"/>
          </w:tcPr>
          <w:p>
            <w:pPr>
              <w:spacing w:after="0" w:line="205" w:lineRule="exact"/>
              <w:rPr>
                <w:sz w:val="20"/>
                <w:szCs w:val="20"/>
                <w:color w:val="auto"/>
              </w:rPr>
            </w:pPr>
            <w:r>
              <w:rPr>
                <w:rFonts w:ascii="Arial" w:cs="Arial" w:eastAsia="Arial" w:hAnsi="Arial"/>
                <w:sz w:val="18"/>
                <w:szCs w:val="18"/>
                <w:color w:val="0000FF"/>
              </w:rPr>
              <w:t>Condensed Consolidated Balance Sheets</w:t>
            </w:r>
          </w:p>
        </w:tc>
        <w:tc>
          <w:tcPr>
            <w:tcW w:w="4280" w:type="dxa"/>
            <w:vAlign w:val="bottom"/>
            <w:gridSpan w:val="3"/>
          </w:tcPr>
          <w:p>
            <w:pPr>
              <w:spacing w:after="0"/>
              <w:rPr>
                <w:sz w:val="17"/>
                <w:szCs w:val="17"/>
                <w:color w:val="auto"/>
              </w:rPr>
            </w:pPr>
          </w:p>
        </w:tc>
        <w:tc>
          <w:tcPr>
            <w:tcW w:w="600" w:type="dxa"/>
            <w:vAlign w:val="bottom"/>
            <w:gridSpan w:val="2"/>
          </w:tcPr>
          <w:p>
            <w:pPr>
              <w:jc w:val="center"/>
              <w:ind w:left="413"/>
              <w:spacing w:after="0" w:line="205" w:lineRule="exact"/>
              <w:rPr>
                <w:sz w:val="20"/>
                <w:szCs w:val="20"/>
                <w:color w:val="auto"/>
              </w:rPr>
            </w:pPr>
            <w:r>
              <w:rPr>
                <w:rFonts w:ascii="Arial" w:cs="Arial" w:eastAsia="Arial" w:hAnsi="Arial"/>
                <w:sz w:val="18"/>
                <w:szCs w:val="18"/>
                <w:color w:val="0000FF"/>
                <w:w w:val="99"/>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Arial" w:cs="Arial" w:eastAsia="Arial" w:hAnsi="Arial"/>
                <w:sz w:val="18"/>
                <w:szCs w:val="18"/>
                <w:color w:val="0000FF"/>
              </w:rPr>
              <w:t>Condensed Consolidated Statements of Operations and Comprehensive Loss</w:t>
            </w:r>
          </w:p>
        </w:tc>
        <w:tc>
          <w:tcPr>
            <w:tcW w:w="600" w:type="dxa"/>
            <w:vAlign w:val="bottom"/>
            <w:gridSpan w:val="2"/>
          </w:tcPr>
          <w:p>
            <w:pPr>
              <w:jc w:val="center"/>
              <w:ind w:left="413"/>
              <w:spacing w:after="0" w:line="205" w:lineRule="exact"/>
              <w:rPr>
                <w:sz w:val="20"/>
                <w:szCs w:val="20"/>
                <w:color w:val="auto"/>
              </w:rPr>
            </w:pPr>
            <w:r>
              <w:rPr>
                <w:rFonts w:ascii="Arial" w:cs="Arial" w:eastAsia="Arial" w:hAnsi="Arial"/>
                <w:sz w:val="18"/>
                <w:szCs w:val="18"/>
                <w:color w:val="0000FF"/>
                <w:w w:val="99"/>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20" w:type="dxa"/>
            <w:vAlign w:val="bottom"/>
            <w:tcBorders>
              <w:top w:val="single" w:sz="8" w:color="0000FF"/>
            </w:tcBorders>
            <w:gridSpan w:val="14"/>
          </w:tcPr>
          <w:p>
            <w:pPr>
              <w:spacing w:after="0" w:line="205" w:lineRule="exact"/>
              <w:rPr>
                <w:sz w:val="20"/>
                <w:szCs w:val="20"/>
                <w:color w:val="auto"/>
              </w:rPr>
            </w:pPr>
            <w:r>
              <w:rPr>
                <w:rFonts w:ascii="Arial" w:cs="Arial" w:eastAsia="Arial" w:hAnsi="Arial"/>
                <w:sz w:val="18"/>
                <w:szCs w:val="18"/>
                <w:color w:val="0000FF"/>
              </w:rPr>
              <w:t>Condensed Consolidated Statements of Equity (Deficit)</w:t>
            </w:r>
          </w:p>
        </w:tc>
        <w:tc>
          <w:tcPr>
            <w:tcW w:w="3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205" w:lineRule="exact"/>
              <w:rPr>
                <w:sz w:val="20"/>
                <w:szCs w:val="20"/>
                <w:color w:val="auto"/>
              </w:rPr>
            </w:pPr>
            <w:r>
              <w:rPr>
                <w:rFonts w:ascii="Arial" w:cs="Arial" w:eastAsia="Arial" w:hAnsi="Arial"/>
                <w:sz w:val="18"/>
                <w:szCs w:val="18"/>
                <w:color w:val="0000FF"/>
                <w:w w:val="87"/>
              </w:rPr>
              <w:t>Condensed Consolidated Statements of Cash Flows</w:t>
            </w:r>
          </w:p>
        </w:tc>
        <w:tc>
          <w:tcPr>
            <w:tcW w:w="280" w:type="dxa"/>
            <w:vAlign w:val="bottom"/>
            <w:tcBorders>
              <w:top w:val="single" w:sz="8" w:color="0000FF"/>
            </w:tcBorders>
            <w:gridSpan w:val="2"/>
          </w:tcPr>
          <w:p>
            <w:pPr>
              <w:spacing w:after="0"/>
              <w:rPr>
                <w:sz w:val="17"/>
                <w:szCs w:val="17"/>
                <w:color w:val="auto"/>
              </w:rPr>
            </w:pPr>
          </w:p>
        </w:tc>
        <w:tc>
          <w:tcPr>
            <w:tcW w:w="49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Arial" w:cs="Arial" w:eastAsia="Arial" w:hAnsi="Arial"/>
                <w:sz w:val="18"/>
                <w:szCs w:val="18"/>
                <w:color w:val="0000FF"/>
              </w:rPr>
              <w:t>Notes to Condensed Consolidated Financial Statements</w:t>
            </w:r>
          </w:p>
        </w:tc>
        <w:tc>
          <w:tcPr>
            <w:tcW w:w="600" w:type="dxa"/>
            <w:vAlign w:val="bottom"/>
            <w:gridSpan w:val="2"/>
          </w:tcPr>
          <w:p>
            <w:pPr>
              <w:jc w:val="center"/>
              <w:ind w:left="413"/>
              <w:spacing w:after="0" w:line="205" w:lineRule="exact"/>
              <w:rPr>
                <w:sz w:val="20"/>
                <w:szCs w:val="20"/>
                <w:color w:val="auto"/>
              </w:rPr>
            </w:pPr>
            <w:r>
              <w:rPr>
                <w:rFonts w:ascii="Arial" w:cs="Arial" w:eastAsia="Arial" w:hAnsi="Arial"/>
                <w:sz w:val="18"/>
                <w:szCs w:val="18"/>
                <w:color w:val="0000FF"/>
                <w:w w:val="99"/>
              </w:rPr>
              <w:t>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rPr>
              <w:t>Item 4</w:t>
            </w: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Controls and Procedures</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Arial" w:cs="Arial" w:eastAsia="Arial" w:hAnsi="Arial"/>
                <w:sz w:val="18"/>
                <w:szCs w:val="18"/>
                <w:color w:val="0000FF"/>
              </w:rPr>
              <w:t>PART II —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Legal Proceedings</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93"/>
              </w:rPr>
              <w:t>Item 1A</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Risk Factors</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80" w:type="dxa"/>
            <w:vAlign w:val="bottom"/>
            <w:gridSpan w:val="11"/>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rPr>
              <w:t>Item 6</w:t>
            </w:r>
          </w:p>
        </w:tc>
        <w:tc>
          <w:tcPr>
            <w:tcW w:w="9040" w:type="dxa"/>
            <w:vAlign w:val="bottom"/>
            <w:gridSpan w:val="18"/>
          </w:tcPr>
          <w:p>
            <w:pPr>
              <w:ind w:left="20"/>
              <w:spacing w:after="0"/>
              <w:rPr>
                <w:sz w:val="20"/>
                <w:szCs w:val="20"/>
                <w:color w:val="auto"/>
              </w:rPr>
            </w:pPr>
            <w:r>
              <w:rPr>
                <w:rFonts w:ascii="Arial" w:cs="Arial" w:eastAsia="Arial" w:hAnsi="Arial"/>
                <w:sz w:val="18"/>
                <w:szCs w:val="18"/>
                <w:color w:val="0000FF"/>
              </w:rPr>
              <w:t>Exhibits</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9"/>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w w:val="90"/>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60" w:type="dxa"/>
            <w:vAlign w:val="bottom"/>
            <w:gridSpan w:val="15"/>
          </w:tcPr>
          <w:p>
            <w:pPr>
              <w:ind w:left="448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89"/>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198"/>
        </w:trPr>
        <w:tc>
          <w:tcPr>
            <w:tcW w:w="8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828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Accounts receivable, net of allowance for doubtful accounts of $3,379 and $4,363,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12,989</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23,544</w:t>
            </w:r>
          </w:p>
        </w:tc>
      </w:tr>
      <w:tr>
        <w:trPr>
          <w:trHeight w:val="218"/>
        </w:trPr>
        <w:tc>
          <w:tcPr>
            <w:tcW w:w="82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87,558</w:t>
            </w:r>
          </w:p>
        </w:tc>
      </w:tr>
      <w:tr>
        <w:trPr>
          <w:trHeight w:val="160"/>
        </w:trPr>
        <w:tc>
          <w:tcPr>
            <w:tcW w:w="8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55,960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55,960</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31,730</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5,048</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r>
      <w:tr>
        <w:trPr>
          <w:trHeight w:val="139"/>
        </w:trPr>
        <w:tc>
          <w:tcPr>
            <w:tcW w:w="8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195,268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12"/>
        </w:trPr>
        <w:tc>
          <w:tcPr>
            <w:tcW w:w="8280" w:type="dxa"/>
            <w:vAlign w:val="bottom"/>
            <w:shd w:val="clear" w:color="auto" w:fill="CCEEFF"/>
          </w:tcPr>
          <w:p>
            <w:pPr>
              <w:ind w:left="4660"/>
              <w:spacing w:after="0"/>
              <w:rPr>
                <w:sz w:val="20"/>
                <w:szCs w:val="20"/>
                <w:color w:val="auto"/>
              </w:rPr>
            </w:pPr>
            <w:r>
              <w:rPr>
                <w:rFonts w:ascii="Arial" w:cs="Arial" w:eastAsia="Arial" w:hAnsi="Arial"/>
                <w:sz w:val="16"/>
                <w:szCs w:val="16"/>
                <w:color w:val="auto"/>
              </w:rPr>
              <w:t>LIABILITIES AND DEFICIT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3,711</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r>
      <w:tr>
        <w:trPr>
          <w:trHeight w:val="218"/>
        </w:trPr>
        <w:tc>
          <w:tcPr>
            <w:tcW w:w="82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40,085</w:t>
            </w:r>
          </w:p>
        </w:tc>
      </w:tr>
      <w:tr>
        <w:trPr>
          <w:trHeight w:val="160"/>
        </w:trPr>
        <w:tc>
          <w:tcPr>
            <w:tcW w:w="8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211,980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245,493</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19,536</w:t>
            </w:r>
          </w:p>
        </w:tc>
      </w:tr>
      <w:tr>
        <w:trPr>
          <w:trHeight w:val="160"/>
        </w:trPr>
        <w:tc>
          <w:tcPr>
            <w:tcW w:w="8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Commitments, contingencies and regulatory matters (Note 21)</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0"/>
        </w:trPr>
        <w:tc>
          <w:tcPr>
            <w:tcW w:w="8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Equity (deficit):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4"/>
        </w:trPr>
        <w:tc>
          <w:tcPr>
            <w:tcW w:w="82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6"/>
              </w:rPr>
              <w:t>Common stock ($1.00 par value; 100,000 shares authorized, 29,963 issued and 26,482 outstanding as of</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8"/>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September 30, 2023; 16,129 outstanding as of December 31, 2022)</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176,128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149,348</w:t>
            </w:r>
          </w:p>
        </w:tc>
      </w:tr>
      <w:tr>
        <w:trPr>
          <w:trHeight w:val="22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118,948</w:t>
            </w:r>
          </w:p>
        </w:tc>
      </w:tr>
      <w:tr>
        <w:trPr>
          <w:trHeight w:val="225"/>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3"/>
              </w:rPr>
              <w:t>Treasury stock, at cost (3,481 shares as of September 30, 2023 and 9,284 shares as of December 31, 2022)</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(413,358)</w:t>
            </w: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Altisource deficit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(119,649)</w:t>
            </w:r>
          </w:p>
        </w:tc>
      </w:tr>
      <w:tr>
        <w:trPr>
          <w:trHeight w:val="159"/>
        </w:trPr>
        <w:tc>
          <w:tcPr>
            <w:tcW w:w="8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18"/>
        </w:trPr>
        <w:tc>
          <w:tcPr>
            <w:tcW w:w="8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deficit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(118,874)</w:t>
            </w:r>
          </w:p>
        </w:tc>
      </w:tr>
      <w:tr>
        <w:trPr>
          <w:trHeight w:val="139"/>
        </w:trPr>
        <w:tc>
          <w:tcPr>
            <w:tcW w:w="8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Total liabilities and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195,268</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2"/>
        </w:trPr>
        <w:tc>
          <w:tcPr>
            <w:tcW w:w="6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2022</w:t>
            </w:r>
          </w:p>
        </w:tc>
      </w:tr>
      <w:tr>
        <w:trPr>
          <w:trHeight w:val="199"/>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5"/>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118,317</w:t>
            </w:r>
          </w:p>
        </w:tc>
      </w:tr>
      <w:tr>
        <w:trPr>
          <w:trHeight w:val="22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104,611</w:t>
            </w:r>
          </w:p>
        </w:tc>
      </w:tr>
      <w:tr>
        <w:trPr>
          <w:trHeight w:val="193"/>
        </w:trPr>
        <w:tc>
          <w:tcPr>
            <w:tcW w:w="6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13,706</w:t>
            </w:r>
          </w:p>
        </w:tc>
      </w:tr>
      <w:tr>
        <w:trPr>
          <w:trHeight w:val="213"/>
        </w:trPr>
        <w:tc>
          <w:tcPr>
            <w:tcW w:w="6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43,055</w:t>
            </w:r>
          </w:p>
        </w:tc>
      </w:tr>
      <w:tr>
        <w:trPr>
          <w:trHeight w:val="193"/>
        </w:trPr>
        <w:tc>
          <w:tcPr>
            <w:tcW w:w="6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(10,563)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(29,349)</w:t>
            </w: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6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(11,439)</w:t>
            </w:r>
          </w:p>
        </w:tc>
      </w:tr>
      <w:tr>
        <w:trPr>
          <w:trHeight w:val="226"/>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20" w:type="dxa"/>
            <w:vAlign w:val="bottom"/>
          </w:tcPr>
          <w:p>
            <w:pPr>
              <w:ind w:left="140"/>
              <w:spacing w:after="0"/>
              <w:rPr>
                <w:sz w:val="20"/>
                <w:szCs w:val="20"/>
                <w:color w:val="auto"/>
              </w:rPr>
            </w:pPr>
            <w:r>
              <w:rPr>
                <w:rFonts w:ascii="Arial" w:cs="Arial" w:eastAsia="Arial" w:hAnsi="Arial"/>
                <w:sz w:val="18"/>
                <w:szCs w:val="18"/>
                <w:color w:val="auto"/>
              </w:rPr>
              <w:t>Debt amendment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18"/>
        </w:trPr>
        <w:tc>
          <w:tcPr>
            <w:tcW w:w="642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(10,047)</w:t>
            </w:r>
          </w:p>
        </w:tc>
      </w:tr>
      <w:tr>
        <w:trPr>
          <w:trHeight w:val="213"/>
        </w:trPr>
        <w:tc>
          <w:tcPr>
            <w:tcW w:w="6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Loss before income taxes and non-controlling interests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(14,453)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(39,396)</w:t>
            </w:r>
          </w:p>
        </w:tc>
      </w:tr>
      <w:tr>
        <w:trPr>
          <w:trHeight w:val="225"/>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193"/>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5"/>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(14,256)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(41,606)</w:t>
            </w:r>
          </w:p>
        </w:tc>
      </w:tr>
      <w:tr>
        <w:trPr>
          <w:trHeight w:val="22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193"/>
        </w:trPr>
        <w:tc>
          <w:tcPr>
            <w:tcW w:w="6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(14,389)</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(42,074)</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9"/>
        </w:trPr>
        <w:tc>
          <w:tcPr>
            <w:tcW w:w="6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1"/>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420" w:type="dxa"/>
            <w:vAlign w:val="bottom"/>
          </w:tcPr>
          <w:p>
            <w:pPr>
              <w:ind w:left="140"/>
              <w:spacing w:after="0" w:line="198"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(0.51)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(0.89)</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8"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(2.62)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9"/>
        </w:trPr>
        <w:tc>
          <w:tcPr>
            <w:tcW w:w="6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1"/>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420" w:type="dxa"/>
            <w:vAlign w:val="bottom"/>
          </w:tcPr>
          <w:p>
            <w:pPr>
              <w:ind w:left="140"/>
              <w:spacing w:after="0" w:line="198"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22,181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16,087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20,538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16,051</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8"/>
        </w:trPr>
        <w:tc>
          <w:tcPr>
            <w:tcW w:w="6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6"/>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loss, net of tax</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(14,256)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(41,606)</w:t>
            </w:r>
          </w:p>
        </w:tc>
      </w:tr>
      <w:tr>
        <w:trPr>
          <w:trHeight w:val="225"/>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192"/>
        </w:trPr>
        <w:tc>
          <w:tcPr>
            <w:tcW w:w="6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Comprehensive loss attributable to Altisource</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(14,389)</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(42,074)</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gridSpan w:val="8"/>
          </w:tcPr>
          <w:p>
            <w:pPr>
              <w:ind w:left="20"/>
              <w:spacing w:after="0"/>
              <w:rPr>
                <w:sz w:val="20"/>
                <w:szCs w:val="20"/>
                <w:color w:val="auto"/>
              </w:rPr>
            </w:pPr>
            <w:r>
              <w:rPr>
                <w:rFonts w:ascii="Arial" w:cs="Arial" w:eastAsia="Arial" w:hAnsi="Arial"/>
                <w:sz w:val="14"/>
                <w:szCs w:val="14"/>
                <w:b w:val="1"/>
                <w:bCs w:val="1"/>
                <w:color w:val="auto"/>
              </w:rPr>
              <w:t>Altisource Equity (Deficit)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4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680" w:type="dxa"/>
            <w:vAlign w:val="bottom"/>
            <w:gridSpan w:val="4"/>
            <w:vMerge w:val="restart"/>
          </w:tcPr>
          <w:p>
            <w:pPr>
              <w:jc w:val="right"/>
              <w:ind w:right="281"/>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8"/>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144,298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186,592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(68,870)</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(12,029)</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3,032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Balance, March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145,588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(80,887)</w:t>
            </w: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 2022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146,877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145,879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(95,414)</w:t>
            </w: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(14,256)</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Distribution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Balance, September 30, 2022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148,197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131,124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(108,520)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gridSpan w:val="8"/>
          </w:tcPr>
          <w:p>
            <w:pPr>
              <w:ind w:left="20"/>
              <w:spacing w:after="0"/>
              <w:rPr>
                <w:sz w:val="20"/>
                <w:szCs w:val="20"/>
                <w:color w:val="auto"/>
              </w:rPr>
            </w:pPr>
            <w:r>
              <w:rPr>
                <w:rFonts w:ascii="Arial" w:cs="Arial" w:eastAsia="Arial" w:hAnsi="Arial"/>
                <w:sz w:val="14"/>
                <w:szCs w:val="14"/>
                <w:b w:val="1"/>
                <w:bCs w:val="1"/>
                <w:color w:val="auto"/>
              </w:rPr>
              <w:t>Altisource Equity (Deficit)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4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680" w:type="dxa"/>
            <w:vAlign w:val="bottom"/>
            <w:gridSpan w:val="4"/>
            <w:vMerge w:val="restart"/>
          </w:tcPr>
          <w:p>
            <w:pPr>
              <w:jc w:val="right"/>
              <w:ind w:right="281"/>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8"/>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149,348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(118,874)</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20,461</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3,240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06"/>
        </w:trPr>
        <w:tc>
          <w:tcPr>
            <w:tcW w:w="4020" w:type="dxa"/>
            <w:vAlign w:val="bottom"/>
          </w:tcPr>
          <w:p>
            <w:pPr>
              <w:ind w:left="16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Balance, March 31, 2023</w:t>
            </w:r>
          </w:p>
        </w:tc>
        <w:tc>
          <w:tcPr>
            <w:tcW w:w="800" w:type="dxa"/>
            <w:vAlign w:val="bottom"/>
          </w:tcPr>
          <w:p>
            <w:pPr>
              <w:jc w:val="right"/>
              <w:spacing w:after="0"/>
              <w:rPr>
                <w:sz w:val="20"/>
                <w:szCs w:val="20"/>
                <w:color w:val="auto"/>
              </w:rPr>
            </w:pPr>
            <w:r>
              <w:rPr>
                <w:rFonts w:ascii="Arial" w:cs="Arial" w:eastAsia="Arial" w:hAnsi="Arial"/>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29,963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166,704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96,243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(404,060)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(110,397)</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(18,837)</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4020" w:type="dxa"/>
            <w:vAlign w:val="bottom"/>
          </w:tcPr>
          <w:p>
            <w:pPr>
              <w:ind w:left="16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Balance, June 30, 2023</w:t>
            </w:r>
          </w:p>
        </w:tc>
        <w:tc>
          <w:tcPr>
            <w:tcW w:w="800" w:type="dxa"/>
            <w:vAlign w:val="bottom"/>
          </w:tcPr>
          <w:p>
            <w:pPr>
              <w:jc w:val="right"/>
              <w:spacing w:after="0"/>
              <w:rPr>
                <w:sz w:val="20"/>
                <w:szCs w:val="20"/>
                <w:color w:val="auto"/>
              </w:rPr>
            </w:pPr>
            <w:r>
              <w:rPr>
                <w:rFonts w:ascii="Arial" w:cs="Arial" w:eastAsia="Arial" w:hAnsi="Arial"/>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29,963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167,946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75,104</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(401,774)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(128,095)</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(11,280)</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Reclassification of warrant liability to equity</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6,951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6,951</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Sale of treasury stock, net of transaction costs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246,643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18,374</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6"/>
        </w:trPr>
        <w:tc>
          <w:tcPr>
            <w:tcW w:w="4020" w:type="dxa"/>
            <w:vAlign w:val="bottom"/>
          </w:tcPr>
          <w:p>
            <w:pPr>
              <w:ind w:left="16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6"/>
                <w:szCs w:val="16"/>
                <w:color w:val="auto"/>
              </w:rPr>
              <w:t>Balance, September 30, 2023</w:t>
            </w:r>
          </w:p>
        </w:tc>
        <w:tc>
          <w:tcPr>
            <w:tcW w:w="800" w:type="dxa"/>
            <w:vAlign w:val="bottom"/>
          </w:tcPr>
          <w:p>
            <w:pPr>
              <w:jc w:val="right"/>
              <w:spacing w:after="0"/>
              <w:rPr>
                <w:sz w:val="20"/>
                <w:szCs w:val="20"/>
                <w:color w:val="auto"/>
              </w:rPr>
            </w:pPr>
            <w:r>
              <w:rPr>
                <w:rFonts w:ascii="Arial" w:cs="Arial" w:eastAsia="Arial" w:hAnsi="Arial"/>
                <w:sz w:val="16"/>
                <w:szCs w:val="16"/>
                <w:color w:val="auto"/>
              </w:rPr>
              <w:t>29,963</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29,963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176,128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(166,125)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(153,561)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(112,934)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3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40"/>
        </w:trPr>
        <w:tc>
          <w:tcPr>
            <w:tcW w:w="8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7"/>
              </w:rPr>
              <w:t>(42,984)</w:t>
            </w:r>
          </w:p>
        </w:tc>
        <w:tc>
          <w:tcPr>
            <w:tcW w:w="1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(41,606)</w:t>
            </w:r>
          </w:p>
        </w:tc>
      </w:tr>
      <w:tr>
        <w:trPr>
          <w:trHeight w:val="214"/>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2,700</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right-of-use assets under operating leases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w:t>
            </w:r>
          </w:p>
        </w:tc>
      </w:tr>
      <w:tr>
        <w:trPr>
          <w:trHeight w:val="210"/>
        </w:trPr>
        <w:tc>
          <w:tcPr>
            <w:tcW w:w="82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PIK accrual</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8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3,899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Amortization of debt discount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fixed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280" w:type="dxa"/>
            <w:vAlign w:val="bottom"/>
          </w:tcPr>
          <w:p>
            <w:pPr>
              <w:ind w:left="140"/>
              <w:spacing w:after="0"/>
              <w:rPr>
                <w:sz w:val="20"/>
                <w:szCs w:val="20"/>
                <w:color w:val="auto"/>
              </w:rPr>
            </w:pPr>
            <w:r>
              <w:rPr>
                <w:rFonts w:ascii="Arial" w:cs="Arial" w:eastAsia="Arial" w:hAnsi="Arial"/>
                <w:sz w:val="16"/>
                <w:szCs w:val="16"/>
                <w:color w:val="auto"/>
              </w:rPr>
              <w:t>Change in fair value of warrant liability</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3,095</w:t>
            </w:r>
          </w:p>
        </w:tc>
      </w:tr>
      <w:tr>
        <w:trPr>
          <w:trHeight w:val="214"/>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12,350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0"/>
        </w:trPr>
        <w:tc>
          <w:tcPr>
            <w:tcW w:w="828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4"/>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w:t>
            </w:r>
          </w:p>
        </w:tc>
      </w:tr>
      <w:tr>
        <w:trPr>
          <w:trHeight w:val="209"/>
        </w:trPr>
        <w:tc>
          <w:tcPr>
            <w:tcW w:w="8280" w:type="dxa"/>
            <w:vAlign w:val="bottom"/>
          </w:tcPr>
          <w:p>
            <w:pPr>
              <w:ind w:left="340"/>
              <w:spacing w:after="0"/>
              <w:rPr>
                <w:sz w:val="20"/>
                <w:szCs w:val="20"/>
                <w:color w:val="auto"/>
              </w:rPr>
            </w:pPr>
            <w:r>
              <w:rPr>
                <w:rFonts w:ascii="Arial" w:cs="Arial" w:eastAsia="Arial" w:hAnsi="Arial"/>
                <w:sz w:val="16"/>
                <w:szCs w:val="16"/>
                <w:color w:val="auto"/>
              </w:rPr>
              <w:t>Current and non-current operating lease liabilities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(2,444)</w:t>
            </w:r>
          </w:p>
        </w:tc>
      </w:tr>
      <w:tr>
        <w:trPr>
          <w:trHeight w:val="215"/>
        </w:trPr>
        <w:tc>
          <w:tcPr>
            <w:tcW w:w="8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and non-current liabilities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(17,595)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(32,293)</w:t>
            </w:r>
          </w:p>
        </w:tc>
      </w:tr>
      <w:tr>
        <w:trPr>
          <w:trHeight w:val="89"/>
        </w:trPr>
        <w:tc>
          <w:tcPr>
            <w:tcW w:w="82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to premises and equipment</w:t>
            </w: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business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88"/>
        </w:trPr>
        <w:tc>
          <w:tcPr>
            <w:tcW w:w="82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net of issuance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20,461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treasury stock, net of transaction costs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18,374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80" w:type="dxa"/>
            <w:vAlign w:val="bottom"/>
          </w:tcPr>
          <w:p>
            <w:pPr>
              <w:ind w:left="140"/>
              <w:spacing w:after="0"/>
              <w:rPr>
                <w:sz w:val="20"/>
                <w:szCs w:val="20"/>
                <w:color w:val="auto"/>
              </w:rPr>
            </w:pPr>
            <w:r>
              <w:rPr>
                <w:rFonts w:ascii="Arial" w:cs="Arial" w:eastAsia="Arial" w:hAnsi="Arial"/>
                <w:sz w:val="16"/>
                <w:szCs w:val="16"/>
                <w:color w:val="auto"/>
              </w:rPr>
              <w:t>Debt issuance and amendment costs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80" w:type="dxa"/>
            <w:vAlign w:val="bottom"/>
          </w:tcPr>
          <w:p>
            <w:pPr>
              <w:ind w:left="140"/>
              <w:spacing w:after="0"/>
              <w:rPr>
                <w:sz w:val="20"/>
                <w:szCs w:val="20"/>
                <w:color w:val="auto"/>
              </w:rPr>
            </w:pPr>
            <w:r>
              <w:rPr>
                <w:rFonts w:ascii="Arial" w:cs="Arial" w:eastAsia="Arial" w:hAnsi="Arial"/>
                <w:sz w:val="16"/>
                <w:szCs w:val="16"/>
                <w:color w:val="auto"/>
              </w:rPr>
              <w:t>Distributions to non-controlling interests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(892)</w:t>
            </w:r>
          </w:p>
        </w:tc>
      </w:tr>
      <w:tr>
        <w:trPr>
          <w:trHeight w:val="214"/>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tax withholding on issuance of restricted share units and restricted shares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r>
      <w:tr>
        <w:trPr>
          <w:trHeight w:val="75"/>
        </w:trPr>
        <w:tc>
          <w:tcPr>
            <w:tcW w:w="82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7"/>
              </w:rPr>
              <w:t>(14,426)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(34,753)</w:t>
            </w: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54,273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102,149</w:t>
            </w:r>
          </w:p>
        </w:tc>
      </w:tr>
      <w:tr>
        <w:trPr>
          <w:trHeight w:val="89"/>
        </w:trPr>
        <w:tc>
          <w:tcPr>
            <w:tcW w:w="8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39,847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67,396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8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Arial" w:cs="Arial" w:eastAsia="Arial" w:hAnsi="Arial"/>
                <w:sz w:val="16"/>
                <w:szCs w:val="16"/>
                <w:color w:val="auto"/>
              </w:rPr>
              <w:t>Interest paid</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16,989</w:t>
            </w:r>
          </w:p>
        </w:tc>
        <w:tc>
          <w:tcPr>
            <w:tcW w:w="1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10,167</w:t>
            </w: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(refunded) paid, net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w:t>
            </w: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Acquisition of right-of-use assets with operating lease liabilities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Reduction of right-of-use assets from operating lease modifications or reassessments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106"/>
        </w:trPr>
        <w:tc>
          <w:tcPr>
            <w:tcW w:w="8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80" w:type="dxa"/>
            <w:vAlign w:val="bottom"/>
          </w:tcPr>
          <w:p>
            <w:pPr>
              <w:ind w:left="140"/>
              <w:spacing w:after="0"/>
              <w:rPr>
                <w:sz w:val="20"/>
                <w:szCs w:val="20"/>
                <w:color w:val="auto"/>
              </w:rPr>
            </w:pPr>
            <w:r>
              <w:rPr>
                <w:rFonts w:ascii="Arial" w:cs="Arial" w:eastAsia="Arial" w:hAnsi="Arial"/>
                <w:sz w:val="16"/>
                <w:szCs w:val="16"/>
                <w:color w:val="auto"/>
              </w:rPr>
              <w:t>Net decrease in payables for purchases of premises and equipment</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Warrants issued in connection with Amended Credit Agreement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7134860" cy="235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235585"/>
                    </a:xfrm>
                    <a:prstGeom prst="rect">
                      <a:avLst/>
                    </a:prstGeom>
                    <a:noFill/>
                  </pic:spPr>
                </pic:pic>
              </a:graphicData>
            </a:graphic>
          </wp:anchor>
        </w:drawing>
      </w:r>
    </w:p>
    <w:p>
      <w:pPr>
        <w:spacing w:after="0" w:line="89" w:lineRule="exact"/>
        <w:rPr>
          <w:sz w:val="20"/>
          <w:szCs w:val="20"/>
          <w:color w:val="auto"/>
        </w:rPr>
      </w:pPr>
    </w:p>
    <w:p>
      <w:pPr>
        <w:ind w:left="20" w:right="580"/>
        <w:spacing w:after="0" w:line="236"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0"/>
              </w:rPr>
              <w:t>September 30, 2022</w:t>
            </w:r>
          </w:p>
        </w:tc>
      </w:tr>
      <w:tr>
        <w:trPr>
          <w:trHeight w:val="40"/>
        </w:trPr>
        <w:tc>
          <w:tcPr>
            <w:tcW w:w="82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63,812</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3,584</w:t>
            </w:r>
          </w:p>
        </w:tc>
      </w:tr>
      <w:tr>
        <w:trPr>
          <w:trHeight w:val="23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reported in the statements of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67,396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conduct our operations through two reportable segments: </w:t>
      </w:r>
      <w:r>
        <w:rPr>
          <w:rFonts w:ascii="Arial" w:cs="Arial" w:eastAsia="Arial" w:hAnsi="Arial"/>
          <w:sz w:val="18"/>
          <w:szCs w:val="18"/>
          <w:i w:val="1"/>
          <w:iCs w:val="1"/>
          <w:color w:val="auto"/>
        </w:rPr>
        <w:t>Servicer and Real Estate</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Origination</w:t>
      </w:r>
      <w:r>
        <w:rPr>
          <w:rFonts w:ascii="Arial" w:cs="Arial" w:eastAsia="Arial" w:hAnsi="Arial"/>
          <w:sz w:val="18"/>
          <w:szCs w:val="18"/>
          <w:color w:val="auto"/>
        </w:rPr>
        <w:t xml:space="preserve">. In addition, we report </w:t>
      </w:r>
      <w:r>
        <w:rPr>
          <w:rFonts w:ascii="Arial" w:cs="Arial" w:eastAsia="Arial" w:hAnsi="Arial"/>
          <w:sz w:val="18"/>
          <w:szCs w:val="18"/>
          <w:i w:val="1"/>
          <w:iCs w:val="1"/>
          <w:color w:val="auto"/>
        </w:rPr>
        <w:t>Corporate and Others</w:t>
      </w:r>
      <w:r>
        <w:rPr>
          <w:rFonts w:ascii="Arial" w:cs="Arial" w:eastAsia="Arial" w:hAnsi="Arial"/>
          <w:sz w:val="18"/>
          <w:szCs w:val="18"/>
          <w:color w:val="auto"/>
        </w:rPr>
        <w:t xml:space="preserve"> separately (see Note 22 for a description of our business segments).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spacing w:after="0" w:line="3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2023, Lenders One had total assets of $0.2 million and total liabilities of $0.4 million. As of December 31, 2022, Lenders One had total assets of $1.2 million and total liabilities of $1.1 million.</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2022, as filed with the SEC on March 30, 2023.</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loans owned by others.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and nine months ended September 30, 2023, Ocwen was our largest customer, accounting for 43% of our total revenue.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nine months ended September 30, 2023 and 2022, we recognized revenue from Ocwen of $47.3 million and $47.2 million, respectively ($15.7 million and $17.2 million for the third quarter of 2023 and 2022, respectively). Revenue from Ocwen as a percentage of segment and consolidated revenue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7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680" w:type="dxa"/>
            <w:vAlign w:val="bottom"/>
            <w:gridSpan w:val="4"/>
          </w:tcPr>
          <w:p>
            <w:pPr>
              <w:ind w:lef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2780" w:type="dxa"/>
            <w:vAlign w:val="bottom"/>
            <w:gridSpan w:val="5"/>
            <w:vMerge w:val="continue"/>
          </w:tcPr>
          <w:p>
            <w:pPr>
              <w:spacing w:after="0"/>
              <w:rPr>
                <w:sz w:val="16"/>
                <w:szCs w:val="16"/>
                <w:color w:val="auto"/>
              </w:rPr>
            </w:pPr>
          </w:p>
        </w:tc>
        <w:tc>
          <w:tcPr>
            <w:tcW w:w="1840" w:type="dxa"/>
            <w:vAlign w:val="bottom"/>
            <w:gridSpan w:val="3"/>
          </w:tcPr>
          <w:p>
            <w:pPr>
              <w:ind w:left="920"/>
              <w:spacing w:after="0"/>
              <w:rPr>
                <w:sz w:val="20"/>
                <w:szCs w:val="20"/>
                <w:color w:val="auto"/>
              </w:rPr>
            </w:pPr>
            <w:r>
              <w:rPr>
                <w:rFonts w:ascii="Arial" w:cs="Arial" w:eastAsia="Arial" w:hAnsi="Arial"/>
                <w:sz w:val="14"/>
                <w:szCs w:val="14"/>
                <w:b w:val="1"/>
                <w:bCs w:val="1"/>
                <w:color w:val="auto"/>
                <w:w w:val="93"/>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3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9"/>
        </w:trPr>
        <w:tc>
          <w:tcPr>
            <w:tcW w:w="5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2"/>
              </w:rPr>
              <w:t>54 %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5"/>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Origination</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Others</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Consolidated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Arial" w:cs="Arial" w:eastAsia="Arial" w:hAnsi="Arial"/>
                <w:sz w:val="18"/>
                <w:szCs w:val="18"/>
                <w:color w:val="auto"/>
                <w:w w:val="92"/>
              </w:rPr>
              <w:t>43 %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MSRs owner selects Altisource as the service provider. For the nine months ended September 30, 2023 and 2022, we recognized revenue of $7.3 million ($2.3 million and $2.2 million for the third quarter of 2023 and 2022, respectively), of such revenue. These amounts are not included in deriving revenue from Ocwen and revenue from Ocwen as a percentage of revenue discussed above.</w:t>
      </w:r>
    </w:p>
    <w:p>
      <w:pPr>
        <w:spacing w:after="0" w:line="13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As of September 30, 2023, accounts receivable from Ocwen totaled $4.0 million, $2.8 million of which was billed and $1.2 million of which was unbilled. As of December 31, 2022, accounts receivable from Ocwen totaled $4.0 million, $3.2 million of which was billed and $0.8 million of which was unbilled.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Rithm</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Rithm Capital Corp. (individually, together with one or more of its subsidiaries or one or more of its subsidiaries individually, “Rithm”) (formerly New Residential Investment Corp.) is a real estate investment trust that invests in and manages investments primarily related to residential real estate, including MSRs and excess MSRs.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 has disclosed that Rithm is a significant client of Ocwen’s. As of June 30, 2023, approximately 16% of loans serviced and subserviced by Ocwen (measured in unpaid principal balance (“UPB”)) and approximately 68% of all delinquent loans that Ocwen services were related to Rithm MSRs or rights to MSRs (the “Subject MSRs”).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September 30, 2023 and 2022, we recognized revenue from Rithm of $2.3 million and $2.6 million, respectively ($0.7 million and $0.8 million for the third quarter of 2023 and 2022, respectively), under the Brokerage Agreement. For the nine months ended September 30, 2023 and 2022, we recognized additional revenue of $10.1 million and $10.4 million, respectively ($3.2 million and $3.0 million for the third quarter of 2023 and 2022, respectively), relating to the Subject MSRs when a party other than Rithm selects Altisource as the service provider.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17,352</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Allowance for credit losses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193"/>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expected credit losses consist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
                <w:szCs w:val="2"/>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Balance at Beginning of</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3"/>
            <w:vMerge w:val="restart"/>
          </w:tcPr>
          <w:p>
            <w:pPr>
              <w:jc w:val="right"/>
              <w:ind w:right="9"/>
              <w:spacing w:after="0"/>
              <w:rPr>
                <w:sz w:val="20"/>
                <w:szCs w:val="20"/>
                <w:color w:val="auto"/>
              </w:rPr>
            </w:pPr>
            <w:r>
              <w:rPr>
                <w:rFonts w:ascii="Arial" w:cs="Arial" w:eastAsia="Arial" w:hAnsi="Arial"/>
                <w:sz w:val="14"/>
                <w:szCs w:val="14"/>
                <w:b w:val="1"/>
                <w:bCs w:val="1"/>
                <w:color w:val="auto"/>
                <w:w w:val="93"/>
              </w:rPr>
              <w:t>Deductions Note</w:t>
            </w:r>
            <w:r>
              <w:rPr>
                <w:rFonts w:ascii="Arial" w:cs="Arial" w:eastAsia="Arial" w:hAnsi="Arial"/>
                <w:sz w:val="18"/>
                <w:szCs w:val="18"/>
                <w:b w:val="1"/>
                <w:bCs w:val="1"/>
                <w:color w:val="auto"/>
                <w:w w:val="93"/>
                <w:vertAlign w:val="superscript"/>
              </w:rPr>
              <w:t>(1)</w:t>
            </w: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4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Charged to Expenses</w:t>
            </w:r>
          </w:p>
        </w:tc>
        <w:tc>
          <w:tcPr>
            <w:tcW w:w="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8"/>
              </w:rPr>
              <w:t>Balance at End of Period</w:t>
            </w:r>
          </w:p>
        </w:tc>
        <w:tc>
          <w:tcPr>
            <w:tcW w:w="0" w:type="dxa"/>
            <w:vAlign w:val="bottom"/>
          </w:tcPr>
          <w:p>
            <w:pPr>
              <w:spacing w:after="0"/>
              <w:rPr>
                <w:sz w:val="1"/>
                <w:szCs w:val="1"/>
                <w:color w:val="auto"/>
              </w:rPr>
            </w:pPr>
          </w:p>
        </w:tc>
      </w:tr>
      <w:tr>
        <w:trPr>
          <w:trHeight w:val="195"/>
        </w:trPr>
        <w:tc>
          <w:tcPr>
            <w:tcW w:w="4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expected credit losses: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6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Three months ended September 30, 2022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289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Nine months ended September 30, 2023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1,303</w:t>
            </w:r>
          </w:p>
        </w:tc>
        <w:tc>
          <w:tcPr>
            <w:tcW w:w="360" w:type="dxa"/>
            <w:vAlign w:val="bottom"/>
            <w:gridSpan w:val="3"/>
          </w:tcPr>
          <w:p>
            <w:pPr>
              <w:jc w:val="right"/>
              <w:ind w:right="4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388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000" w:type="dxa"/>
            <w:vAlign w:val="bottom"/>
            <w:gridSpan w:val="6"/>
          </w:tcPr>
          <w:p>
            <w:pPr>
              <w:spacing w:after="0"/>
              <w:rPr>
                <w:sz w:val="20"/>
                <w:szCs w:val="20"/>
                <w:color w:val="auto"/>
              </w:rPr>
            </w:pPr>
            <w:r>
              <w:rPr>
                <w:rFonts w:ascii="Arial" w:cs="Arial" w:eastAsia="Arial" w:hAnsi="Arial"/>
                <w:sz w:val="22"/>
                <w:szCs w:val="22"/>
                <w:color w:val="auto"/>
                <w:w w:val="90"/>
                <w:vertAlign w:val="superscript"/>
              </w:rPr>
              <w:t>(1)</w:t>
            </w:r>
            <w:r>
              <w:rPr>
                <w:rFonts w:ascii="Arial" w:cs="Arial" w:eastAsia="Arial" w:hAnsi="Arial"/>
                <w:sz w:val="18"/>
                <w:szCs w:val="18"/>
                <w:color w:val="auto"/>
                <w:w w:val="90"/>
              </w:rPr>
              <w:t xml:space="preserve">   Amounts written off as uncollectible or transferred to other accounts or utilized.</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820" w:type="dxa"/>
            <w:vAlign w:val="bottom"/>
            <w:gridSpan w:val="5"/>
          </w:tcPr>
          <w:p>
            <w:pPr>
              <w:spacing w:after="0"/>
              <w:rPr>
                <w:sz w:val="20"/>
                <w:szCs w:val="20"/>
                <w:color w:val="auto"/>
              </w:rPr>
            </w:pPr>
            <w:r>
              <w:rPr>
                <w:rFonts w:ascii="Arial" w:cs="Arial" w:eastAsia="Arial" w:hAnsi="Arial"/>
                <w:sz w:val="18"/>
                <w:szCs w:val="18"/>
                <w:b w:val="1"/>
                <w:bCs w:val="1"/>
                <w:color w:val="auto"/>
              </w:rPr>
              <w:t>NOTE 4 — PREPAID EXPENSES AND OTHER CURRENT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2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left="896"/>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89"/>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3"/>
              </w:rPr>
              <w:t>510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Maintenance agreements, current portion</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Indemnity escrow receivable from Pointillist sale</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Surety bond collateral</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689"/>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11,217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5 — PREMISES AND EQUIPMENT, NET</w:t>
            </w: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00" w:type="dxa"/>
            <w:vAlign w:val="bottom"/>
            <w:gridSpan w:val="2"/>
          </w:tcPr>
          <w:p>
            <w:pPr>
              <w:spacing w:after="0"/>
              <w:rPr>
                <w:sz w:val="20"/>
                <w:szCs w:val="20"/>
                <w:color w:val="auto"/>
              </w:rPr>
            </w:pPr>
            <w:r>
              <w:rPr>
                <w:rFonts w:ascii="Arial" w:cs="Arial" w:eastAsia="Arial" w:hAnsi="Arial"/>
                <w:sz w:val="18"/>
                <w:szCs w:val="18"/>
                <w:color w:val="auto"/>
                <w:w w:val="91"/>
              </w:rPr>
              <w:t>Premises and equipment, net consists of the following:</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4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jc w:val="center"/>
              <w:ind w:left="896"/>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89"/>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46,568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Office equipment and other</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47,705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140"/>
              <w:spacing w:after="0"/>
              <w:rPr>
                <w:sz w:val="20"/>
                <w:szCs w:val="20"/>
                <w:color w:val="auto"/>
              </w:rPr>
            </w:pPr>
            <w:r>
              <w:rPr>
                <w:rFonts w:ascii="Arial" w:cs="Arial" w:eastAsia="Arial" w:hAnsi="Arial"/>
                <w:sz w:val="18"/>
                <w:szCs w:val="18"/>
                <w:color w:val="auto"/>
                <w:w w:val="97"/>
              </w:rPr>
              <w:t>Less: Accumulated depreciation and amortization</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7"/>
          </w:tcPr>
          <w:p>
            <w:pPr>
              <w:jc w:val="right"/>
              <w:spacing w:after="0"/>
              <w:rPr>
                <w:sz w:val="20"/>
                <w:szCs w:val="20"/>
                <w:color w:val="auto"/>
              </w:rPr>
            </w:pPr>
            <w:r>
              <w:rPr>
                <w:rFonts w:ascii="Arial" w:cs="Arial" w:eastAsia="Arial" w:hAnsi="Arial"/>
                <w:sz w:val="18"/>
                <w:szCs w:val="18"/>
                <w:color w:val="auto"/>
              </w:rPr>
              <w:t>(45,537)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(55,089)</w:t>
            </w:r>
          </w:p>
        </w:tc>
        <w:tc>
          <w:tcPr>
            <w:tcW w:w="0" w:type="dxa"/>
            <w:vAlign w:val="bottom"/>
          </w:tcPr>
          <w:p>
            <w:pPr>
              <w:spacing w:after="0"/>
              <w:rPr>
                <w:sz w:val="1"/>
                <w:szCs w:val="1"/>
                <w:color w:val="auto"/>
              </w:rPr>
            </w:pPr>
          </w:p>
        </w:tc>
      </w:tr>
      <w:tr>
        <w:trPr>
          <w:trHeight w:val="193"/>
        </w:trPr>
        <w:tc>
          <w:tcPr>
            <w:tcW w:w="38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689"/>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Depreciation and amortization expense amounted to $1.9 million and $2.7 million for the nine months ended September 30, 2023 and 2022, respectively ($0.6 million and $0.9 million for the third quarter of 2023 and 2022, respectively), and is included in cost of revenue for operating assets and in selling, general and administrative expenses for non-operating assets in the accompanying condensed consolidated statements of operations and comprehensive loss.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India</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Uruguay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3"/>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RIGHT-OF-USE ASSETS UNDER OPERATING LEASES, NET</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280" w:type="dxa"/>
            <w:vAlign w:val="bottom"/>
            <w:gridSpan w:val="2"/>
          </w:tcPr>
          <w:p>
            <w:pPr>
              <w:spacing w:after="0"/>
              <w:rPr>
                <w:sz w:val="20"/>
                <w:szCs w:val="20"/>
                <w:color w:val="auto"/>
              </w:rPr>
            </w:pPr>
            <w:r>
              <w:rPr>
                <w:rFonts w:ascii="Arial" w:cs="Arial" w:eastAsia="Arial" w:hAnsi="Arial"/>
                <w:sz w:val="18"/>
                <w:szCs w:val="18"/>
                <w:color w:val="auto"/>
              </w:rPr>
              <w:t>Right-of-use assets under operating leases, net consists of the following: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2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24"/>
                <w:szCs w:val="2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amortization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32"/>
        </w:trPr>
        <w:tc>
          <w:tcPr>
            <w:tcW w:w="8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Amortization of operating leases was $1.4 million and $2.3 million for the nine months ended September 30, 2023 and 2022, respectively ($0.4 million and $0.5 million for the third quarter of 2023 and 2022, respectively), and is included in cost of revenue for operating assets and in selling, general and administrative expenses for non-operating assets in the accompanying condensed consolidated statements of operations and comprehensive loss.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rPr>
              <w:t>Servicer and Real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Origination</w:t>
            </w:r>
          </w:p>
        </w:tc>
        <w:tc>
          <w:tcPr>
            <w:tcW w:w="1740" w:type="dxa"/>
            <w:vAlign w:val="bottom"/>
            <w:gridSpan w:val="7"/>
          </w:tcPr>
          <w:p>
            <w:pPr>
              <w:ind w:left="240"/>
              <w:spacing w:after="0"/>
              <w:rPr>
                <w:sz w:val="20"/>
                <w:szCs w:val="20"/>
                <w:color w:val="auto"/>
              </w:rPr>
            </w:pPr>
            <w:r>
              <w:rPr>
                <w:rFonts w:ascii="Arial" w:cs="Arial" w:eastAsia="Arial" w:hAnsi="Arial"/>
                <w:sz w:val="14"/>
                <w:szCs w:val="14"/>
                <w:b w:val="1"/>
                <w:bCs w:val="1"/>
                <w:color w:val="auto"/>
              </w:rPr>
              <w:t>Corporate and</w:t>
            </w:r>
          </w:p>
        </w:tc>
        <w:tc>
          <w:tcPr>
            <w:tcW w:w="140" w:type="dxa"/>
            <w:vAlign w:val="bottom"/>
          </w:tcPr>
          <w:p>
            <w:pPr>
              <w:spacing w:after="0"/>
              <w:rPr>
                <w:sz w:val="14"/>
                <w:szCs w:val="14"/>
                <w:color w:val="auto"/>
              </w:rPr>
            </w:pPr>
          </w:p>
        </w:tc>
        <w:tc>
          <w:tcPr>
            <w:tcW w:w="102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389"/>
              <w:spacing w:after="0"/>
              <w:rPr>
                <w:sz w:val="20"/>
                <w:szCs w:val="20"/>
                <w:color w:val="auto"/>
              </w:rPr>
            </w:pPr>
            <w:r>
              <w:rPr>
                <w:rFonts w:ascii="Arial" w:cs="Arial" w:eastAsia="Arial" w:hAnsi="Arial"/>
                <w:sz w:val="14"/>
                <w:szCs w:val="14"/>
                <w:b w:val="1"/>
                <w:bCs w:val="1"/>
                <w:color w:val="auto"/>
              </w:rPr>
              <w:t>Estate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Others</w:t>
            </w: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98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 and December 31, 2022</w:t>
            </w: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58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30,681</w:t>
            </w:r>
          </w:p>
        </w:tc>
        <w:tc>
          <w:tcPr>
            <w:tcW w:w="72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25,279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680" w:type="dxa"/>
            <w:vAlign w:val="bottom"/>
            <w:gridSpan w:val="4"/>
          </w:tcPr>
          <w:p>
            <w:pPr>
              <w:spacing w:after="0"/>
              <w:rPr>
                <w:sz w:val="20"/>
                <w:szCs w:val="20"/>
                <w:color w:val="auto"/>
              </w:rPr>
            </w:pPr>
            <w:r>
              <w:rPr>
                <w:rFonts w:ascii="Arial" w:cs="Arial" w:eastAsia="Arial" w:hAnsi="Arial"/>
                <w:sz w:val="18"/>
                <w:szCs w:val="18"/>
                <w:color w:val="auto"/>
              </w:rPr>
              <w:t>Intangible assets, net consist of the following:</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4"/>
                <w:szCs w:val="14"/>
                <w:color w:val="auto"/>
              </w:rPr>
            </w:pPr>
          </w:p>
        </w:tc>
        <w:tc>
          <w:tcPr>
            <w:tcW w:w="2300" w:type="dxa"/>
            <w:vAlign w:val="bottom"/>
            <w:gridSpan w:val="6"/>
          </w:tcPr>
          <w:p>
            <w:pPr>
              <w:jc w:val="right"/>
              <w:ind w:right="449"/>
              <w:spacing w:after="0"/>
              <w:rPr>
                <w:sz w:val="20"/>
                <w:szCs w:val="20"/>
                <w:color w:val="auto"/>
              </w:rPr>
            </w:pPr>
            <w:r>
              <w:rPr>
                <w:rFonts w:ascii="Arial" w:cs="Arial" w:eastAsia="Arial" w:hAnsi="Arial"/>
                <w:sz w:val="14"/>
                <w:szCs w:val="14"/>
                <w:b w:val="1"/>
                <w:bCs w:val="1"/>
                <w:color w:val="auto"/>
              </w:rPr>
              <w:t>Gross carrying amount</w:t>
            </w:r>
          </w:p>
        </w:tc>
        <w:tc>
          <w:tcPr>
            <w:tcW w:w="120" w:type="dxa"/>
            <w:vAlign w:val="bottom"/>
          </w:tcPr>
          <w:p>
            <w:pPr>
              <w:spacing w:after="0"/>
              <w:rPr>
                <w:sz w:val="14"/>
                <w:szCs w:val="14"/>
                <w:color w:val="auto"/>
              </w:rPr>
            </w:pPr>
          </w:p>
        </w:tc>
        <w:tc>
          <w:tcPr>
            <w:tcW w:w="210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Accumulated amortization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69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980" w:type="dxa"/>
            <w:vAlign w:val="bottom"/>
            <w:gridSpan w:val="2"/>
            <w:vMerge w:val="restart"/>
          </w:tcPr>
          <w:p>
            <w:pPr>
              <w:jc w:val="center"/>
              <w:ind w:right="120"/>
              <w:spacing w:after="0" w:line="110" w:lineRule="exact"/>
              <w:rPr>
                <w:sz w:val="20"/>
                <w:szCs w:val="20"/>
                <w:color w:val="auto"/>
              </w:rPr>
            </w:pPr>
            <w:r>
              <w:rPr>
                <w:rFonts w:ascii="Arial" w:cs="Arial" w:eastAsia="Arial" w:hAnsi="Arial"/>
                <w:sz w:val="12"/>
                <w:szCs w:val="12"/>
                <w:b w:val="1"/>
                <w:bCs w:val="1"/>
                <w:color w:val="auto"/>
              </w:rPr>
              <w:t>estimated</w:t>
            </w: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
                <w:szCs w:val="2"/>
                <w:color w:val="auto"/>
              </w:rPr>
            </w:pPr>
          </w:p>
        </w:tc>
        <w:tc>
          <w:tcPr>
            <w:tcW w:w="1000" w:type="dxa"/>
            <w:vAlign w:val="bottom"/>
            <w:gridSpan w:val="3"/>
            <w:vMerge w:val="restart"/>
          </w:tcPr>
          <w:p>
            <w:pPr>
              <w:jc w:val="right"/>
              <w:ind w:right="89"/>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
                <w:szCs w:val="2"/>
                <w:color w:val="auto"/>
              </w:rPr>
            </w:pPr>
          </w:p>
        </w:tc>
        <w:tc>
          <w:tcPr>
            <w:tcW w:w="130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
                <w:szCs w:val="2"/>
                <w:color w:val="auto"/>
              </w:rPr>
            </w:pPr>
          </w:p>
        </w:tc>
        <w:tc>
          <w:tcPr>
            <w:tcW w:w="1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
                <w:szCs w:val="2"/>
                <w:color w:val="auto"/>
              </w:rPr>
            </w:pPr>
          </w:p>
        </w:tc>
        <w:tc>
          <w:tcPr>
            <w:tcW w:w="11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2"/>
                <w:szCs w:val="2"/>
                <w:color w:val="auto"/>
              </w:rPr>
            </w:pPr>
          </w:p>
        </w:tc>
        <w:tc>
          <w:tcPr>
            <w:tcW w:w="10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line="20" w:lineRule="exact"/>
              <w:rPr>
                <w:sz w:val="1"/>
                <w:szCs w:val="1"/>
                <w:color w:val="auto"/>
              </w:rPr>
            </w:pPr>
          </w:p>
        </w:tc>
      </w:tr>
      <w:tr>
        <w:trPr>
          <w:trHeight w:val="146"/>
        </w:trPr>
        <w:tc>
          <w:tcPr>
            <w:tcW w:w="2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Arial" w:cs="Arial" w:eastAsia="Arial" w:hAnsi="Arial"/>
                <w:sz w:val="14"/>
                <w:szCs w:val="14"/>
                <w:b w:val="1"/>
                <w:bCs w:val="1"/>
                <w:color w:val="auto"/>
                <w:w w:val="88"/>
              </w:rPr>
              <w:t>useful life</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6"/>
              </w:rPr>
              <w:t>(in years)</w:t>
            </w:r>
          </w:p>
        </w:tc>
        <w:tc>
          <w:tcPr>
            <w:tcW w:w="14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300" w:type="dxa"/>
            <w:vAlign w:val="bottom"/>
            <w:gridSpan w:val="5"/>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580" w:type="dxa"/>
            <w:vAlign w:val="bottom"/>
          </w:tcPr>
          <w:p>
            <w:pPr>
              <w:ind w:left="180"/>
              <w:spacing w:after="0" w:line="173" w:lineRule="exact"/>
              <w:rPr>
                <w:sz w:val="20"/>
                <w:szCs w:val="20"/>
                <w:color w:val="auto"/>
              </w:rPr>
            </w:pPr>
            <w:r>
              <w:rPr>
                <w:rFonts w:ascii="Arial" w:cs="Arial" w:eastAsia="Arial" w:hAnsi="Arial"/>
                <w:sz w:val="18"/>
                <w:szCs w:val="18"/>
                <w:color w:val="auto"/>
              </w:rPr>
              <w:t>Customer related intangible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340"/>
              <w:spacing w:after="0"/>
              <w:rPr>
                <w:sz w:val="20"/>
                <w:szCs w:val="20"/>
                <w:color w:val="auto"/>
              </w:rPr>
            </w:pPr>
            <w:r>
              <w:rPr>
                <w:rFonts w:ascii="Arial" w:cs="Arial" w:eastAsia="Arial" w:hAnsi="Arial"/>
                <w:sz w:val="18"/>
                <w:szCs w:val="18"/>
                <w:color w:val="auto"/>
              </w:rPr>
              <w:t>assets</w:t>
            </w:r>
          </w:p>
        </w:tc>
        <w:tc>
          <w:tcPr>
            <w:tcW w:w="100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214,307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214,307</w:t>
            </w:r>
          </w:p>
        </w:tc>
        <w:tc>
          <w:tcPr>
            <w:tcW w:w="580" w:type="dxa"/>
            <w:vAlign w:val="bottom"/>
            <w:gridSpan w:val="2"/>
          </w:tcPr>
          <w:p>
            <w:pPr>
              <w:jc w:val="right"/>
              <w:ind w:right="289"/>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8"/>
              </w:rPr>
              <w:t>(199,915)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(197,594)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14,392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16,713</w:t>
            </w: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10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25"/>
        </w:trPr>
        <w:tc>
          <w:tcPr>
            <w:tcW w:w="2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Trademarks and trade names</w:t>
            </w:r>
          </w:p>
        </w:tc>
        <w:tc>
          <w:tcPr>
            <w:tcW w:w="1000" w:type="dxa"/>
            <w:vAlign w:val="bottom"/>
            <w:tcBorders>
              <w:bottom w:val="single" w:sz="8" w:color="CCEEFF"/>
            </w:tcBorders>
            <w:gridSpan w:val="2"/>
          </w:tcPr>
          <w:p>
            <w:pPr>
              <w:jc w:val="center"/>
              <w:ind w:left="12"/>
              <w:spacing w:after="0"/>
              <w:rPr>
                <w:sz w:val="20"/>
                <w:szCs w:val="20"/>
                <w:color w:val="auto"/>
              </w:rPr>
            </w:pPr>
            <w:r>
              <w:rPr>
                <w:rFonts w:ascii="Arial" w:cs="Arial" w:eastAsia="Arial" w:hAnsi="Arial"/>
                <w:sz w:val="18"/>
                <w:szCs w:val="18"/>
                <w:color w:val="auto"/>
                <w:w w:val="89"/>
              </w:rPr>
              <w:t>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(7,366)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193"/>
        </w:trPr>
        <w:tc>
          <w:tcPr>
            <w:tcW w:w="2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259,016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259,016</w:t>
            </w:r>
          </w:p>
        </w:tc>
        <w:tc>
          <w:tcPr>
            <w:tcW w:w="580" w:type="dxa"/>
            <w:vAlign w:val="bottom"/>
            <w:gridSpan w:val="2"/>
          </w:tcPr>
          <w:p>
            <w:pPr>
              <w:jc w:val="right"/>
              <w:ind w:right="289"/>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8"/>
              </w:rPr>
              <w:t>(231,198)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(227,286)</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27,818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31,730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$3.9 million and $3.8 million for the nine months ended September 30, 2023 and 2022, respectively ($1.4 million and $1.3 million for the third quarter of 2023 and 2022, respectively).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Forecasted annual definite lived intangible asset amortization expense for 2023 through 2027 is $5.2 million, $5.1 million, $5.1 million, $4.9 million and $4.7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Security deposits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193"/>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9 — ACCOUNTS PAYABLE, ACCRUED EXPENSES AND OTHER CURRENT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8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2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2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24"/>
                <w:szCs w:val="2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11,858</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193"/>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33,507</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24"/>
                <w:szCs w:val="2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8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193"/>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WARRANTS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14, 2023, the lenders under the Amended Credit Agreement (see Note 11 for additional information) received warrants (the “Warrants”) to purchase 3,223,851 shares of Altisource common stock (the “Warrant Shares”). The number of Warrant Shares is subject to reduction based on the amount of par paydowns on the senior secured term loans (“SSTL”) in the aggregate using proceeds from issuances of equity interests or from junior indebtedness made prior to February 14, 2024 (“Aggregate Paydowns”) as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ind w:left="20"/>
              <w:spacing w:after="0"/>
              <w:rPr>
                <w:sz w:val="20"/>
                <w:szCs w:val="20"/>
                <w:color w:val="auto"/>
              </w:rPr>
            </w:pPr>
            <w:r>
              <w:rPr>
                <w:rFonts w:ascii="Arial" w:cs="Arial" w:eastAsia="Arial" w:hAnsi="Arial"/>
                <w:sz w:val="14"/>
                <w:szCs w:val="14"/>
                <w:b w:val="1"/>
                <w:bCs w:val="1"/>
                <w:color w:val="auto"/>
              </w:rPr>
              <w:t>Aggregate Paydowns</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Warrant Shares</w:t>
            </w:r>
          </w:p>
        </w:tc>
      </w:tr>
      <w:tr>
        <w:trPr>
          <w:trHeight w:val="24"/>
        </w:trPr>
        <w:tc>
          <w:tcPr>
            <w:tcW w:w="9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2"/>
        </w:trPr>
        <w:tc>
          <w:tcPr>
            <w:tcW w:w="9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Less than $20 million</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3,223,851</w:t>
            </w:r>
          </w:p>
        </w:tc>
      </w:tr>
      <w:tr>
        <w:trPr>
          <w:trHeight w:val="231"/>
        </w:trPr>
        <w:tc>
          <w:tcPr>
            <w:tcW w:w="9220" w:type="dxa"/>
            <w:vAlign w:val="bottom"/>
          </w:tcPr>
          <w:p>
            <w:pPr>
              <w:ind w:left="20"/>
              <w:spacing w:after="0"/>
              <w:rPr>
                <w:sz w:val="20"/>
                <w:szCs w:val="20"/>
                <w:color w:val="auto"/>
              </w:rPr>
            </w:pPr>
            <w:r>
              <w:rPr>
                <w:rFonts w:ascii="Arial" w:cs="Arial" w:eastAsia="Arial" w:hAnsi="Arial"/>
                <w:sz w:val="18"/>
                <w:szCs w:val="18"/>
                <w:color w:val="auto"/>
              </w:rPr>
              <w:t>$20 million+ but less than below</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2,578,743</w:t>
            </w:r>
          </w:p>
        </w:tc>
      </w:tr>
      <w:tr>
        <w:trPr>
          <w:trHeight w:val="24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r>
    </w:tbl>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2023, Company made $20 million of Aggregate Paydowns. In the third quarter of 2023, the Company made an additional $10 million of Aggregate Paydowns. As a result, the number of Warrant Shares as of September 30, 2023 is 1,612,705.</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exercise price per share of common stock under each Warrant is equal to $0.01. The Warrants may be exercised at any time on and after February 14, 2024 and prior to their expiration date. The Warrants are exercisable on a cashless basis and are subject to customary anti-dilution provisions. The Warrants, if not previously exercised or terminated, will be automatically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exercised on May 22, 2027. The Warrants are subject to a lock-up agreement, subject to customary exceptions, ending on February 16, 2024.</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Company determined that the Warrants are free standing financial instruments that are legally detachable and separately exercisable from the term loans under the Amended Credit Agreement. At inception, the Company also determined that the Warrants were not considered to be indexed to the Company’s stock because the number of Warrant Shares varies based on Aggregate Paydowns and as such were required to be classified as a liability pursuant to ASC 815-40, </w:t>
      </w:r>
      <w:r>
        <w:rPr>
          <w:rFonts w:ascii="Arial" w:cs="Arial" w:eastAsia="Arial" w:hAnsi="Arial"/>
          <w:sz w:val="17"/>
          <w:szCs w:val="17"/>
          <w:i w:val="1"/>
          <w:iCs w:val="1"/>
          <w:color w:val="auto"/>
        </w:rPr>
        <w:t>Derivatives and Hedging–Contracts in Entity’s Own Equity</w:t>
      </w:r>
      <w:r>
        <w:rPr>
          <w:rFonts w:ascii="Arial" w:cs="Arial" w:eastAsia="Arial" w:hAnsi="Arial"/>
          <w:sz w:val="17"/>
          <w:szCs w:val="17"/>
          <w:color w:val="auto"/>
        </w:rPr>
        <w:t>. The outstanding Warrants were recognized as a warrant liability on the balance sheet and were measured at their inception date fair value and subsequently re-measured at each reporting period with changes being recorded as a component of other income (expense) in the statement of operations. On September 18, 2023, the Company reached the $30 million in Aggregate Paydowns threshold and the number of Warrant Shares is no longer variable. As a result, the Warrants are considered to be indexed to the Company’s stock and the Warrant Liability was reclassified to equity.</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warrant liability was based on the number of Warrant Shares that were expected to be exercisable on and after February 14, 2024 and the Altisource share price less $0.01 at the measurement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warrant liability at each of the respective valuation dates is summarized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Warrant Liability</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Warrant Shares based on</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2"/>
              </w:rPr>
              <w:t>Expected Warrant Shares that will be</w:t>
            </w:r>
          </w:p>
        </w:tc>
        <w:tc>
          <w:tcPr>
            <w:tcW w:w="1380" w:type="dxa"/>
            <w:vAlign w:val="bottom"/>
          </w:tcPr>
          <w:p>
            <w:pPr>
              <w:jc w:val="center"/>
              <w:ind w:left="18"/>
              <w:spacing w:after="0"/>
              <w:rPr>
                <w:sz w:val="20"/>
                <w:szCs w:val="20"/>
                <w:color w:val="auto"/>
              </w:rPr>
            </w:pPr>
            <w:r>
              <w:rPr>
                <w:rFonts w:ascii="Arial" w:cs="Arial" w:eastAsia="Arial" w:hAnsi="Arial"/>
                <w:sz w:val="14"/>
                <w:szCs w:val="14"/>
                <w:b w:val="1"/>
                <w:bCs w:val="1"/>
                <w:color w:val="auto"/>
                <w:w w:val="94"/>
              </w:rPr>
              <w:t>Fair Value per</w:t>
            </w:r>
          </w:p>
        </w:tc>
        <w:tc>
          <w:tcPr>
            <w:tcW w:w="240" w:type="dxa"/>
            <w:vAlign w:val="bottom"/>
          </w:tcPr>
          <w:p>
            <w:pPr>
              <w:spacing w:after="0"/>
              <w:rPr>
                <w:sz w:val="14"/>
                <w:szCs w:val="14"/>
                <w:color w:val="auto"/>
              </w:rPr>
            </w:pPr>
          </w:p>
        </w:tc>
        <w:tc>
          <w:tcPr>
            <w:tcW w:w="1340" w:type="dxa"/>
            <w:vAlign w:val="bottom"/>
          </w:tcPr>
          <w:p>
            <w:pPr>
              <w:jc w:val="right"/>
              <w:ind w:right="39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Aggregate Paydowns</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exercisable on February 14, 2024</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6"/>
              </w:rPr>
              <w:t>Warrant Share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51"/>
        </w:trPr>
        <w:tc>
          <w:tcPr>
            <w:tcW w:w="32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ind w:left="40"/>
              <w:spacing w:after="0" w:line="173" w:lineRule="exact"/>
              <w:rPr>
                <w:sz w:val="20"/>
                <w:szCs w:val="20"/>
                <w:color w:val="auto"/>
              </w:rPr>
            </w:pPr>
            <w:r>
              <w:rPr>
                <w:rFonts w:ascii="Arial" w:cs="Arial" w:eastAsia="Arial" w:hAnsi="Arial"/>
                <w:sz w:val="18"/>
                <w:szCs w:val="18"/>
                <w:color w:val="auto"/>
                <w:w w:val="98"/>
              </w:rPr>
              <w:t>Fair value at initial measurement date of</w:t>
            </w:r>
          </w:p>
        </w:tc>
        <w:tc>
          <w:tcPr>
            <w:tcW w:w="218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14, 2023</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3,223,851</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c>
          <w:tcPr>
            <w:tcW w:w="13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8"/>
              </w:rPr>
              <w:t>$5.02</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173"/>
        </w:trPr>
        <w:tc>
          <w:tcPr>
            <w:tcW w:w="3220" w:type="dxa"/>
            <w:vAlign w:val="bottom"/>
          </w:tcPr>
          <w:p>
            <w:pPr>
              <w:ind w:left="40"/>
              <w:spacing w:after="0" w:line="173" w:lineRule="exact"/>
              <w:rPr>
                <w:sz w:val="20"/>
                <w:szCs w:val="20"/>
                <w:color w:val="auto"/>
              </w:rPr>
            </w:pPr>
            <w:r>
              <w:rPr>
                <w:rFonts w:ascii="Arial" w:cs="Arial" w:eastAsia="Arial" w:hAnsi="Arial"/>
                <w:sz w:val="18"/>
                <w:szCs w:val="18"/>
                <w:color w:val="auto"/>
              </w:rPr>
              <w:t>Gain on change in fair value of warrant</w:t>
            </w:r>
          </w:p>
        </w:tc>
        <w:tc>
          <w:tcPr>
            <w:tcW w:w="21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liability</w:t>
            </w:r>
          </w:p>
        </w:tc>
        <w:tc>
          <w:tcPr>
            <w:tcW w:w="218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March 31, 2023</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2,578,743</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c>
          <w:tcPr>
            <w:tcW w:w="13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8"/>
              </w:rPr>
              <w:t>$4.59</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173"/>
        </w:trPr>
        <w:tc>
          <w:tcPr>
            <w:tcW w:w="3220" w:type="dxa"/>
            <w:vAlign w:val="bottom"/>
          </w:tcPr>
          <w:p>
            <w:pPr>
              <w:ind w:left="40"/>
              <w:spacing w:after="0" w:line="173" w:lineRule="exact"/>
              <w:rPr>
                <w:sz w:val="20"/>
                <w:szCs w:val="20"/>
                <w:color w:val="auto"/>
              </w:rPr>
            </w:pPr>
            <w:r>
              <w:rPr>
                <w:rFonts w:ascii="Arial" w:cs="Arial" w:eastAsia="Arial" w:hAnsi="Arial"/>
                <w:sz w:val="18"/>
                <w:szCs w:val="18"/>
                <w:color w:val="auto"/>
              </w:rPr>
              <w:t>Loss on change in fair value of warrant</w:t>
            </w:r>
          </w:p>
        </w:tc>
        <w:tc>
          <w:tcPr>
            <w:tcW w:w="21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liability</w:t>
            </w:r>
          </w:p>
        </w:tc>
        <w:tc>
          <w:tcPr>
            <w:tcW w:w="218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June 30, 2023</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2,578,743</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c>
          <w:tcPr>
            <w:tcW w:w="13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8"/>
              </w:rPr>
              <w:t>$5.69</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173"/>
        </w:trPr>
        <w:tc>
          <w:tcPr>
            <w:tcW w:w="3220" w:type="dxa"/>
            <w:vAlign w:val="bottom"/>
          </w:tcPr>
          <w:p>
            <w:pPr>
              <w:ind w:left="40"/>
              <w:spacing w:after="0" w:line="173" w:lineRule="exact"/>
              <w:rPr>
                <w:sz w:val="20"/>
                <w:szCs w:val="20"/>
                <w:color w:val="auto"/>
              </w:rPr>
            </w:pPr>
            <w:r>
              <w:rPr>
                <w:rFonts w:ascii="Arial" w:cs="Arial" w:eastAsia="Arial" w:hAnsi="Arial"/>
                <w:sz w:val="18"/>
                <w:szCs w:val="18"/>
                <w:color w:val="auto"/>
              </w:rPr>
              <w:t>Gain on change in fair value of warrant</w:t>
            </w:r>
          </w:p>
        </w:tc>
        <w:tc>
          <w:tcPr>
            <w:tcW w:w="21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liability</w:t>
            </w:r>
          </w:p>
        </w:tc>
        <w:tc>
          <w:tcPr>
            <w:tcW w:w="218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September 18, 2023</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1,612,705</w:t>
            </w:r>
          </w:p>
        </w:tc>
        <w:tc>
          <w:tcPr>
            <w:tcW w:w="138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8"/>
              </w:rPr>
              <w:t>$4.31</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During the nine months ended September 30, 2023, the Company recorded a gain on changes in fair value of warrant liability of $1.1 million ($2.2 million for the third quarter of 2023). During the three and nine months ended September 30, 2022, there were no warrant liabilities outstanding.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25"/>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Less: Debt issuance and amendment costs,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Unamortized discount, net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8"/>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Net Senior secured term loans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211,980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245,493</w:t>
            </w:r>
          </w:p>
        </w:tc>
        <w:tc>
          <w:tcPr>
            <w:tcW w:w="0" w:type="dxa"/>
            <w:vAlign w:val="bottom"/>
          </w:tcPr>
          <w:p>
            <w:pPr>
              <w:spacing w:after="0"/>
              <w:rPr>
                <w:sz w:val="1"/>
                <w:szCs w:val="1"/>
                <w:color w:val="auto"/>
              </w:rPr>
            </w:pPr>
          </w:p>
        </w:tc>
      </w:tr>
      <w:tr>
        <w:trPr>
          <w:trHeight w:val="213"/>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245,493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the “Guarantors”). Effective June 1, 2023, the administrative agent and collateral agent of the Amended Credit Agreement changed to Wilmington Trust, N.A.</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maturity date of the SSTL under the Amended Credit Agreement is April 30, 2025. If Aggregate Paydowns are equal to or greater than $30 million, then the maturity date of the SSTL may be extended at the Company’s option to April 30, 2026. Such extension is conditioned upon the Company’s payment of a 2% payment-in-kind extension fee on or before April 30, 2025 and subject to the representations and warranties being true and correct as of such date and there being no default or event of default being in existence as of such date. During the nine months ended September 30, 2023, Company made $30 million of Aggregate Paydowns.</w:t>
      </w:r>
    </w:p>
    <w:p>
      <w:pPr>
        <w:spacing w:after="0" w:line="14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35"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If the Company selects SOFR, the term loans initially bear interest at a rate per annum equal to SOFR plus 5.00% payable in cash plus 5.00% payable in kind (“PIK”). If the Company selects Base Rate, the loans initially bear interest at a rate per annum equal to the Base Rate plus 4.00% payable in cash plus 5.00% PIK. Base Rate term loans bear interest at a rate per annum equal to the sum of (i) the greater of (x) the Base Rate and (y) 2.00% plus (ii) 4.00%. The PIK component of the interest rate is subject to adjustment based on the amount of Aggregate Paydowns as set forth in the table below. The PIK component of the interest rate was 3.75% for the three months ended September 30, 2023 and 4.50% for the three months ended June 30, 2023. The interest rate as of September 30, 2023 was 14.09%.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ind w:left="3940"/>
              <w:spacing w:after="0"/>
              <w:rPr>
                <w:sz w:val="20"/>
                <w:szCs w:val="20"/>
                <w:color w:val="auto"/>
              </w:rPr>
            </w:pPr>
            <w:r>
              <w:rPr>
                <w:rFonts w:ascii="Arial" w:cs="Arial" w:eastAsia="Arial" w:hAnsi="Arial"/>
                <w:sz w:val="14"/>
                <w:szCs w:val="14"/>
                <w:b w:val="1"/>
                <w:bCs w:val="1"/>
                <w:color w:val="auto"/>
              </w:rPr>
              <w:t>Aggregate Paydowns</w:t>
            </w:r>
          </w:p>
        </w:tc>
        <w:tc>
          <w:tcPr>
            <w:tcW w:w="3960" w:type="dxa"/>
            <w:vAlign w:val="bottom"/>
          </w:tcPr>
          <w:p>
            <w:pPr>
              <w:jc w:val="center"/>
              <w:ind w:left="1873"/>
              <w:spacing w:after="0"/>
              <w:rPr>
                <w:sz w:val="20"/>
                <w:szCs w:val="20"/>
                <w:color w:val="auto"/>
              </w:rPr>
            </w:pPr>
            <w:r>
              <w:rPr>
                <w:rFonts w:ascii="Arial" w:cs="Arial" w:eastAsia="Arial" w:hAnsi="Arial"/>
                <w:sz w:val="14"/>
                <w:szCs w:val="14"/>
                <w:b w:val="1"/>
                <w:bCs w:val="1"/>
                <w:color w:val="auto"/>
                <w:w w:val="92"/>
              </w:rPr>
              <w:t>PIK Component of Interest Rate</w:t>
            </w:r>
          </w:p>
        </w:tc>
      </w:tr>
      <w:tr>
        <w:trPr>
          <w:trHeight w:val="24"/>
        </w:trPr>
        <w:tc>
          <w:tcPr>
            <w:tcW w:w="72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2"/>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$20 million</w:t>
            </w:r>
          </w:p>
        </w:tc>
        <w:tc>
          <w:tcPr>
            <w:tcW w:w="3960" w:type="dxa"/>
            <w:vAlign w:val="bottom"/>
            <w:shd w:val="clear" w:color="auto" w:fill="CCEEFF"/>
          </w:tcPr>
          <w:p>
            <w:pPr>
              <w:jc w:val="center"/>
              <w:ind w:left="1853"/>
              <w:spacing w:after="0"/>
              <w:rPr>
                <w:sz w:val="20"/>
                <w:szCs w:val="20"/>
                <w:color w:val="auto"/>
              </w:rPr>
            </w:pPr>
            <w:r>
              <w:rPr>
                <w:rFonts w:ascii="Arial" w:cs="Arial" w:eastAsia="Arial" w:hAnsi="Arial"/>
                <w:sz w:val="18"/>
                <w:szCs w:val="18"/>
                <w:color w:val="auto"/>
                <w:w w:val="90"/>
              </w:rPr>
              <w:t>5.00%</w:t>
            </w:r>
          </w:p>
        </w:tc>
      </w:tr>
      <w:tr>
        <w:trPr>
          <w:trHeight w:val="231"/>
        </w:trPr>
        <w:tc>
          <w:tcPr>
            <w:tcW w:w="7200" w:type="dxa"/>
            <w:vAlign w:val="bottom"/>
          </w:tcPr>
          <w:p>
            <w:pPr>
              <w:ind w:left="20"/>
              <w:spacing w:after="0"/>
              <w:rPr>
                <w:sz w:val="20"/>
                <w:szCs w:val="20"/>
                <w:color w:val="auto"/>
              </w:rPr>
            </w:pPr>
            <w:r>
              <w:rPr>
                <w:rFonts w:ascii="Arial" w:cs="Arial" w:eastAsia="Arial" w:hAnsi="Arial"/>
                <w:sz w:val="18"/>
                <w:szCs w:val="18"/>
                <w:color w:val="auto"/>
              </w:rPr>
              <w:t>$20 million+ but less than below</w:t>
            </w:r>
          </w:p>
        </w:tc>
        <w:tc>
          <w:tcPr>
            <w:tcW w:w="3960" w:type="dxa"/>
            <w:vAlign w:val="bottom"/>
          </w:tcPr>
          <w:p>
            <w:pPr>
              <w:jc w:val="center"/>
              <w:ind w:left="1853"/>
              <w:spacing w:after="0"/>
              <w:rPr>
                <w:sz w:val="20"/>
                <w:szCs w:val="20"/>
                <w:color w:val="auto"/>
              </w:rPr>
            </w:pPr>
            <w:r>
              <w:rPr>
                <w:rFonts w:ascii="Arial" w:cs="Arial" w:eastAsia="Arial" w:hAnsi="Arial"/>
                <w:sz w:val="18"/>
                <w:szCs w:val="18"/>
                <w:color w:val="auto"/>
                <w:w w:val="90"/>
              </w:rPr>
              <w:t>4.50%</w:t>
            </w:r>
          </w:p>
        </w:tc>
      </w:tr>
      <w:tr>
        <w:trPr>
          <w:trHeight w:val="24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 but less than below</w:t>
            </w:r>
          </w:p>
        </w:tc>
        <w:tc>
          <w:tcPr>
            <w:tcW w:w="3960" w:type="dxa"/>
            <w:vAlign w:val="bottom"/>
            <w:shd w:val="clear" w:color="auto" w:fill="CCEEFF"/>
          </w:tcPr>
          <w:p>
            <w:pPr>
              <w:jc w:val="center"/>
              <w:ind w:left="1853"/>
              <w:spacing w:after="0"/>
              <w:rPr>
                <w:sz w:val="20"/>
                <w:szCs w:val="20"/>
                <w:color w:val="auto"/>
              </w:rPr>
            </w:pPr>
            <w:r>
              <w:rPr>
                <w:rFonts w:ascii="Arial" w:cs="Arial" w:eastAsia="Arial" w:hAnsi="Arial"/>
                <w:sz w:val="18"/>
                <w:szCs w:val="18"/>
                <w:color w:val="auto"/>
                <w:w w:val="90"/>
              </w:rPr>
              <w:t>3.75%</w:t>
            </w:r>
          </w:p>
        </w:tc>
      </w:tr>
      <w:tr>
        <w:trPr>
          <w:trHeight w:val="231"/>
        </w:trPr>
        <w:tc>
          <w:tcPr>
            <w:tcW w:w="7200" w:type="dxa"/>
            <w:vAlign w:val="bottom"/>
          </w:tcPr>
          <w:p>
            <w:pPr>
              <w:ind w:left="20"/>
              <w:spacing w:after="0"/>
              <w:rPr>
                <w:sz w:val="20"/>
                <w:szCs w:val="20"/>
                <w:color w:val="auto"/>
              </w:rPr>
            </w:pPr>
            <w:r>
              <w:rPr>
                <w:rFonts w:ascii="Arial" w:cs="Arial" w:eastAsia="Arial" w:hAnsi="Arial"/>
                <w:sz w:val="18"/>
                <w:szCs w:val="18"/>
                <w:color w:val="auto"/>
              </w:rPr>
              <w:t>$40 million+ but less than below</w:t>
            </w:r>
          </w:p>
        </w:tc>
        <w:tc>
          <w:tcPr>
            <w:tcW w:w="3960" w:type="dxa"/>
            <w:vAlign w:val="bottom"/>
          </w:tcPr>
          <w:p>
            <w:pPr>
              <w:jc w:val="center"/>
              <w:ind w:left="1853"/>
              <w:spacing w:after="0"/>
              <w:rPr>
                <w:sz w:val="20"/>
                <w:szCs w:val="20"/>
                <w:color w:val="auto"/>
              </w:rPr>
            </w:pPr>
            <w:r>
              <w:rPr>
                <w:rFonts w:ascii="Arial" w:cs="Arial" w:eastAsia="Arial" w:hAnsi="Arial"/>
                <w:sz w:val="18"/>
                <w:szCs w:val="18"/>
                <w:color w:val="auto"/>
                <w:w w:val="90"/>
              </w:rPr>
              <w:t>3.50%</w:t>
            </w:r>
          </w:p>
        </w:tc>
      </w:tr>
      <w:tr>
        <w:trPr>
          <w:trHeight w:val="24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 million+ but less than below</w:t>
            </w:r>
          </w:p>
        </w:tc>
        <w:tc>
          <w:tcPr>
            <w:tcW w:w="3960" w:type="dxa"/>
            <w:vAlign w:val="bottom"/>
            <w:shd w:val="clear" w:color="auto" w:fill="CCEEFF"/>
          </w:tcPr>
          <w:p>
            <w:pPr>
              <w:jc w:val="center"/>
              <w:ind w:left="1853"/>
              <w:spacing w:after="0"/>
              <w:rPr>
                <w:sz w:val="20"/>
                <w:szCs w:val="20"/>
                <w:color w:val="auto"/>
              </w:rPr>
            </w:pPr>
            <w:r>
              <w:rPr>
                <w:rFonts w:ascii="Arial" w:cs="Arial" w:eastAsia="Arial" w:hAnsi="Arial"/>
                <w:sz w:val="18"/>
                <w:szCs w:val="18"/>
                <w:color w:val="auto"/>
                <w:w w:val="90"/>
              </w:rPr>
              <w:t>3.00%</w:t>
            </w:r>
          </w:p>
        </w:tc>
      </w:tr>
      <w:tr>
        <w:trPr>
          <w:trHeight w:val="231"/>
        </w:trPr>
        <w:tc>
          <w:tcPr>
            <w:tcW w:w="7200" w:type="dxa"/>
            <w:vAlign w:val="bottom"/>
          </w:tcPr>
          <w:p>
            <w:pPr>
              <w:ind w:left="20"/>
              <w:spacing w:after="0"/>
              <w:rPr>
                <w:sz w:val="20"/>
                <w:szCs w:val="20"/>
                <w:color w:val="auto"/>
              </w:rPr>
            </w:pPr>
            <w:r>
              <w:rPr>
                <w:rFonts w:ascii="Arial" w:cs="Arial" w:eastAsia="Arial" w:hAnsi="Arial"/>
                <w:sz w:val="18"/>
                <w:szCs w:val="18"/>
                <w:color w:val="auto"/>
              </w:rPr>
              <w:t>$50 million+ but less than below</w:t>
            </w:r>
          </w:p>
        </w:tc>
        <w:tc>
          <w:tcPr>
            <w:tcW w:w="3960" w:type="dxa"/>
            <w:vAlign w:val="bottom"/>
          </w:tcPr>
          <w:p>
            <w:pPr>
              <w:jc w:val="center"/>
              <w:ind w:left="1853"/>
              <w:spacing w:after="0"/>
              <w:rPr>
                <w:sz w:val="20"/>
                <w:szCs w:val="20"/>
                <w:color w:val="auto"/>
              </w:rPr>
            </w:pPr>
            <w:r>
              <w:rPr>
                <w:rFonts w:ascii="Arial" w:cs="Arial" w:eastAsia="Arial" w:hAnsi="Arial"/>
                <w:sz w:val="18"/>
                <w:szCs w:val="18"/>
                <w:color w:val="auto"/>
                <w:w w:val="90"/>
              </w:rPr>
              <w:t>2.50%</w:t>
            </w:r>
          </w:p>
        </w:tc>
      </w:tr>
      <w:tr>
        <w:trPr>
          <w:trHeight w:val="24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 million+ but less than below</w:t>
            </w:r>
          </w:p>
        </w:tc>
        <w:tc>
          <w:tcPr>
            <w:tcW w:w="3960" w:type="dxa"/>
            <w:vAlign w:val="bottom"/>
            <w:shd w:val="clear" w:color="auto" w:fill="CCEEFF"/>
          </w:tcPr>
          <w:p>
            <w:pPr>
              <w:jc w:val="center"/>
              <w:ind w:left="1853"/>
              <w:spacing w:after="0"/>
              <w:rPr>
                <w:sz w:val="20"/>
                <w:szCs w:val="20"/>
                <w:color w:val="auto"/>
              </w:rPr>
            </w:pPr>
            <w:r>
              <w:rPr>
                <w:rFonts w:ascii="Arial" w:cs="Arial" w:eastAsia="Arial" w:hAnsi="Arial"/>
                <w:sz w:val="18"/>
                <w:szCs w:val="18"/>
                <w:color w:val="auto"/>
                <w:w w:val="90"/>
              </w:rPr>
              <w:t>2.00%</w:t>
            </w:r>
          </w:p>
        </w:tc>
      </w:tr>
      <w:tr>
        <w:trPr>
          <w:trHeight w:val="231"/>
        </w:trPr>
        <w:tc>
          <w:tcPr>
            <w:tcW w:w="7200" w:type="dxa"/>
            <w:vAlign w:val="bottom"/>
          </w:tcPr>
          <w:p>
            <w:pPr>
              <w:ind w:left="20"/>
              <w:spacing w:after="0"/>
              <w:rPr>
                <w:sz w:val="20"/>
                <w:szCs w:val="20"/>
                <w:color w:val="auto"/>
              </w:rPr>
            </w:pPr>
            <w:r>
              <w:rPr>
                <w:rFonts w:ascii="Arial" w:cs="Arial" w:eastAsia="Arial" w:hAnsi="Arial"/>
                <w:sz w:val="18"/>
                <w:szCs w:val="18"/>
                <w:color w:val="auto"/>
              </w:rPr>
              <w:t>$60 million+ but less than below</w:t>
            </w:r>
          </w:p>
        </w:tc>
        <w:tc>
          <w:tcPr>
            <w:tcW w:w="3960" w:type="dxa"/>
            <w:vAlign w:val="bottom"/>
          </w:tcPr>
          <w:p>
            <w:pPr>
              <w:jc w:val="center"/>
              <w:ind w:left="1853"/>
              <w:spacing w:after="0"/>
              <w:rPr>
                <w:sz w:val="20"/>
                <w:szCs w:val="20"/>
                <w:color w:val="auto"/>
              </w:rPr>
            </w:pPr>
            <w:r>
              <w:rPr>
                <w:rFonts w:ascii="Arial" w:cs="Arial" w:eastAsia="Arial" w:hAnsi="Arial"/>
                <w:sz w:val="18"/>
                <w:szCs w:val="18"/>
                <w:color w:val="auto"/>
                <w:w w:val="90"/>
              </w:rPr>
              <w:t>1.00%</w:t>
            </w:r>
          </w:p>
        </w:tc>
      </w:tr>
      <w:tr>
        <w:trPr>
          <w:trHeight w:val="24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 million+ but less than below</w:t>
            </w:r>
          </w:p>
        </w:tc>
        <w:tc>
          <w:tcPr>
            <w:tcW w:w="3960" w:type="dxa"/>
            <w:vAlign w:val="bottom"/>
            <w:shd w:val="clear" w:color="auto" w:fill="CCEEFF"/>
          </w:tcPr>
          <w:p>
            <w:pPr>
              <w:jc w:val="center"/>
              <w:ind w:left="1853"/>
              <w:spacing w:after="0"/>
              <w:rPr>
                <w:sz w:val="20"/>
                <w:szCs w:val="20"/>
                <w:color w:val="auto"/>
              </w:rPr>
            </w:pPr>
            <w:r>
              <w:rPr>
                <w:rFonts w:ascii="Arial" w:cs="Arial" w:eastAsia="Arial" w:hAnsi="Arial"/>
                <w:sz w:val="18"/>
                <w:szCs w:val="18"/>
                <w:color w:val="auto"/>
                <w:w w:val="90"/>
              </w:rPr>
              <w:t>0.50%</w:t>
            </w:r>
          </w:p>
        </w:tc>
      </w:tr>
      <w:tr>
        <w:trPr>
          <w:trHeight w:val="224"/>
        </w:trPr>
        <w:tc>
          <w:tcPr>
            <w:tcW w:w="7200" w:type="dxa"/>
            <w:vAlign w:val="bottom"/>
          </w:tcPr>
          <w:p>
            <w:pPr>
              <w:ind w:left="20"/>
              <w:spacing w:after="0"/>
              <w:rPr>
                <w:sz w:val="20"/>
                <w:szCs w:val="20"/>
                <w:color w:val="auto"/>
              </w:rPr>
            </w:pPr>
            <w:r>
              <w:rPr>
                <w:rFonts w:ascii="Arial" w:cs="Arial" w:eastAsia="Arial" w:hAnsi="Arial"/>
                <w:sz w:val="18"/>
                <w:szCs w:val="18"/>
                <w:color w:val="auto"/>
              </w:rPr>
              <w:t>$70 million+</w:t>
            </w:r>
          </w:p>
        </w:tc>
        <w:tc>
          <w:tcPr>
            <w:tcW w:w="3960" w:type="dxa"/>
            <w:vAlign w:val="bottom"/>
          </w:tcPr>
          <w:p>
            <w:pPr>
              <w:jc w:val="center"/>
              <w:ind w:left="1853"/>
              <w:spacing w:after="0"/>
              <w:rPr>
                <w:sz w:val="20"/>
                <w:szCs w:val="20"/>
                <w:color w:val="auto"/>
              </w:rPr>
            </w:pPr>
            <w:r>
              <w:rPr>
                <w:rFonts w:ascii="Arial" w:cs="Arial" w:eastAsia="Arial" w:hAnsi="Arial"/>
                <w:sz w:val="18"/>
                <w:szCs w:val="18"/>
                <w:color w:val="auto"/>
                <w:w w:val="90"/>
              </w:rPr>
              <w:t>0.00%</w:t>
            </w:r>
          </w:p>
        </w:tc>
      </w:tr>
    </w:tbl>
    <w:p>
      <w:pPr>
        <w:spacing w:after="0" w:line="254"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Amended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Amended Credit Agreement contains certain events of default including (i) failure to pay principal when due or interest or any other amount owing on any other obligation under the Amended Credit Agreement within five days of becoming due, (ii) material incorrectness of representations and warranties when made, (iii) breach of certain other covenants, subject to cure periods described in the Amended Credit Agreement, (iv) failure to pay principal or interest on any other debt that equals or exceeds $5.0 million when due, (v) default on any other debt that equals or exceeds $5.0 million that causes, or gives the holder or holders of such debt the ability to cause, an acceleration of such debt, (vi) occurrence of a Change of Control, (vii) bankruptcy and insolvency events, (viii) entry by a court of one or more judgments against us in an aggregate amount in excess of $10.0 million that remain unbonded, undischarged or unstayed for a certain number of days after the entry thereof, (ix) the occurrence of certain ERISA events, (x) the failure of certain Loan Documents to be in full force and effect and (xi) failure to comply in any material respects with the terms of the Warrants or the Warrant Purchase Agreement. If any event of default occurs and is not cured within applicable grace periods set forth in the Credit Agreement or waived, all loans and other obligations could become due and immediately payable and the facility could be terminated.</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lenders under the Amended Credit Agreement received Warrants to purchase shares of Altisource common stock. The number of Warrant Shares is subject to reduction based on the amount of Aggregate Paydowns (see Note 10 for additional information).</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the Warrants on February 14, 2023 was $8.1 million and was recorded as an increase in debt discount. In connection with Amendment No. 2, the Company paid $4.9 million to the lenders and to third parties on behalf of the lenders. The $4.9 million payment was recorded as an increase in debt issuance and amendment costs. In connection with Amendment No. 2, the Company paid $3.4 million to advisors and recorded these payments as other expense in the condensed consolidated statements of operations and comprehensive loss.</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Deer Park Road Management Company, LP (“Deer Park”), a related party, owns approximately 15% of Altisource’s common stock and $40.2 million of Altisource debt under the Amended Credit Agreement as of September 30, 2023. Deer Park’s Chief Investment Officer and managing partner was a member of Altisource’s Board of Directors until his resignation on March 1, 2022. The replacement director appointed by the Board of Directors is a current employee of Deer Park. In connection with the Amended Credit Agreement, Deer Park received 583 thousand Warrants. During the nine months ended September 30, 2023, Deer Park received interest of $2.0 million from the Altisource SSTL.</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2023, debt issuance and amendment costs were $3.9 million, net of $5.5 million of accumulated amortization. As of December 31, 2022, debt issuance costs were $0.9 million, net of $3.6 million of accumulated amortization.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On June 22, 2021 Altisource S.à r.l, a subsidiary of Altisource Portfolio Solutions S.A., entered into a revolving credit facility with STS Master Fund, Ltd.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(“STS”) (the “Revolver”). STS is an investment fund managed by Deer Park.</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2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Amended Revolver contains certain events of default including (i) failure to pay principal when due or interest or any other amount owing on any other obligation under the Amended Revolver within three business days of becoming due, (ii) failure to perform or observe any material provisions of the Amended Revolver Documents to be performed or complied with and such failure continues for a period of 30 days after written notice is given by the Lender to the Borrower,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aggregate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Amended Revolver or waived, all loans and other obligations could become due and immediately payable and the facility could be terminated.</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2023 and December 31, 2022, there was no outstanding debt under the Amended Revolver and Revolver, respectively. As of September 30, 2023 and December 31, 2022, debt issuance costs were $0.2 million, net of $0.4 million of accumulated amortization, and $0.3 million, net of $0.3 million of accumulated amortization, respectively. Debt issuance costs for the Amended Revolver and Revolver are included in other assets in the accompanying consolidated balance sheet.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NON-CURRENT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4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4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3"/>
        </w:trPr>
        <w:tc>
          <w:tcPr>
            <w:tcW w:w="3760" w:type="dxa"/>
            <w:vAlign w:val="bottom"/>
            <w:shd w:val="clear" w:color="auto" w:fill="CCEEFF"/>
          </w:tcPr>
          <w:p>
            <w:pPr>
              <w:spacing w:after="0"/>
              <w:rPr>
                <w:sz w:val="16"/>
                <w:szCs w:val="16"/>
                <w:color w:val="auto"/>
              </w:rPr>
            </w:pPr>
          </w:p>
        </w:tc>
        <w:tc>
          <w:tcPr>
            <w:tcW w:w="4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47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18,232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19,536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400" w:type="dxa"/>
            <w:vAlign w:val="bottom"/>
            <w:vMerge w:val="restart"/>
          </w:tcPr>
          <w:p>
            <w:pPr>
              <w:jc w:val="right"/>
              <w:ind w:right="235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37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76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AND FINANCIAL INSTRUMENTS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September 30, 2023 and December 31, 2022. The following fair values are estimated using market information and what the Company believes to be appropriate valuation methodologies under GAAP: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September 30, 2023</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2022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6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1"/>
              </w:rPr>
              <w:t>Fair value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78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78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1"/>
        </w:trPr>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receivable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177,585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our SSTL is based on quoted market prices. Based on the frequency of trading, we do not believe that there is an active market for our debt.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Therefore, the quoted prices are considered Level 2 inputs.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sale of Pointillist on December 1, 2021, $3.5 million was deposited into an escrow account to satisfy certain indemnification claims that may arise on or prior to the first anniversary of the sale closing. The deposit was recorded as a short-term receivable. We measure short-term receivables without a stated interest rate based on the present value of the future payments.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43% of its revenue from Ocwen for the three and nine months ended September 30, 2023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35" w:lineRule="exact"/>
        <w:rPr>
          <w:sz w:val="20"/>
          <w:szCs w:val="20"/>
          <w:color w:val="auto"/>
        </w:rPr>
      </w:pPr>
    </w:p>
    <w:p>
      <w:pPr>
        <w:ind w:right="4760"/>
        <w:spacing w:after="0" w:line="433" w:lineRule="auto"/>
        <w:rPr>
          <w:sz w:val="20"/>
          <w:szCs w:val="20"/>
          <w:color w:val="auto"/>
        </w:rPr>
      </w:pPr>
      <w:r>
        <w:rPr>
          <w:rFonts w:ascii="Arial" w:cs="Arial" w:eastAsia="Arial" w:hAnsi="Arial"/>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September 30, 2023, approximately 3.1 million shares of common stock remain available for repurchase under the program. There were no purchases of shares of common stock during the nine months ended September 30, 2023 and 2022. Luxembourg law limits share repurchases to the balance of Altisource Portfolio Solutions S.A. (unconsolidated parent company) retained earnings, less the value of shares repurchased. As of September 30, 2023, we can repurchase up to approximately $60 million of our common stock under Luxembourg law. Under the Amended Credit Agreement, we are not permitted to repurchase shares except for limited circumstances.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 of Common Stock</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On September 7, 2023, Altisource closed on an underwritten public offering to sell 5,590,277 shares of its common stock, at a price of $3.60 per share, generating net proceeds of $18.4 million, after deducting the underwriting discounts and commissions and other offering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$3.9 million and $3.9 million for the nine months ended September 30, 2023 and 2022, respectively ($1.2 million and $1.3 million for the third quarter of 2023 and 2022, respectively). As of September 30, 2023, estimated unrecognized compensation costs related to share-based awards amounted to $3.2 million, which we expect to recognize over a weighted average remaining requisite service period of approximately 1.16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64" w:lineRule="exact"/>
        <w:rPr>
          <w:sz w:val="20"/>
          <w:szCs w:val="20"/>
          <w:color w:val="auto"/>
        </w:rPr>
      </w:pPr>
    </w:p>
    <w:p>
      <w:pPr>
        <w:jc w:val="both"/>
        <w:ind w:left="320"/>
        <w:spacing w:after="0" w:line="365" w:lineRule="auto"/>
        <w:rPr>
          <w:sz w:val="20"/>
          <w:szCs w:val="20"/>
          <w:color w:val="auto"/>
        </w:rPr>
      </w:pPr>
      <w:r>
        <w:rPr>
          <w:rFonts w:ascii="Arial" w:cs="Arial" w:eastAsia="Arial" w:hAnsi="Arial"/>
          <w:sz w:val="15"/>
          <w:szCs w:val="15"/>
          <w:i w:val="1"/>
          <w:iCs w:val="1"/>
          <w:color w:val="auto"/>
        </w:rPr>
        <w:t xml:space="preserve">Service-Based Options. </w:t>
      </w:r>
      <w:r>
        <w:rPr>
          <w:rFonts w:ascii="Arial" w:cs="Arial" w:eastAsia="Arial" w:hAnsi="Arial"/>
          <w:sz w:val="15"/>
          <w:szCs w:val="15"/>
          <w:color w:val="auto"/>
        </w:rPr>
        <w:t>These options generally vest over three or four years with equal annual vesting and generally expire on the earlier of ten years</w:t>
      </w:r>
      <w:r>
        <w:rPr>
          <w:rFonts w:ascii="Arial" w:cs="Arial" w:eastAsia="Arial" w:hAnsi="Arial"/>
          <w:sz w:val="15"/>
          <w:szCs w:val="15"/>
          <w:i w:val="1"/>
          <w:iCs w:val="1"/>
          <w:color w:val="auto"/>
        </w:rPr>
        <w:t xml:space="preserve"> </w:t>
      </w:r>
      <w:r>
        <w:rPr>
          <w:rFonts w:ascii="Arial" w:cs="Arial" w:eastAsia="Arial" w:hAnsi="Arial"/>
          <w:sz w:val="15"/>
          <w:szCs w:val="15"/>
          <w:color w:val="auto"/>
        </w:rPr>
        <w:t>after the date of grant or following termination of service. A total of 182 thousand service-based options were outstanding as of September 30, 2023.</w:t>
      </w:r>
    </w:p>
    <w:p>
      <w:pPr>
        <w:spacing w:after="0" w:line="58"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September 30, 2023.</w:t>
      </w:r>
    </w:p>
    <w:p>
      <w:pPr>
        <w:spacing w:after="0" w:line="129"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generally will vest if certain specific financial measures are achieved; typically with one-fourth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September 30, 2023.</w:t>
      </w:r>
    </w:p>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stock option grants during the nine months ended September 30, 2023. The Company granted 105 thousand stock options (at a weighted average exercise price of $11.86 per share) for the nine months ended September 30,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performance-based options are determined using the Black-Scholes option pricing model. The following assumptions were used to determine the fair values as of the grant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Nine months ended</w:t>
            </w:r>
          </w:p>
        </w:tc>
      </w:tr>
      <w:tr>
        <w:trPr>
          <w:trHeight w:val="189"/>
        </w:trPr>
        <w:tc>
          <w:tcPr>
            <w:tcW w:w="9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0"/>
              </w:rPr>
              <w:t>September 30, 2022</w:t>
            </w:r>
          </w:p>
        </w:tc>
      </w:tr>
      <w:tr>
        <w:trPr>
          <w:trHeight w:val="191"/>
        </w:trPr>
        <w:tc>
          <w:tcPr>
            <w:tcW w:w="9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7"/>
              </w:rPr>
              <w:t>Black-Scholes</w:t>
            </w:r>
          </w:p>
        </w:tc>
      </w:tr>
      <w:tr>
        <w:trPr>
          <w:trHeight w:val="199"/>
        </w:trPr>
        <w:tc>
          <w:tcPr>
            <w:tcW w:w="9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5"/>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5"/>
        </w:trPr>
        <w:tc>
          <w:tcPr>
            <w:tcW w:w="9580" w:type="dxa"/>
            <w:vAlign w:val="bottom"/>
          </w:tcPr>
          <w:p>
            <w:pPr>
              <w:ind w:left="20"/>
              <w:spacing w:after="0"/>
              <w:rPr>
                <w:sz w:val="20"/>
                <w:szCs w:val="20"/>
                <w:color w:val="auto"/>
              </w:rPr>
            </w:pPr>
            <w:r>
              <w:rPr>
                <w:rFonts w:ascii="Arial" w:cs="Arial" w:eastAsia="Arial" w:hAnsi="Arial"/>
                <w:sz w:val="18"/>
                <w:szCs w:val="18"/>
                <w:color w:val="auto"/>
              </w:rPr>
              <w:t>Expected stock price volatility (%)</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67.75</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580" w:type="dxa"/>
            <w:vAlign w:val="bottom"/>
          </w:tcPr>
          <w:p>
            <w:pPr>
              <w:ind w:left="20"/>
              <w:spacing w:after="0"/>
              <w:rPr>
                <w:sz w:val="20"/>
                <w:szCs w:val="20"/>
                <w:color w:val="auto"/>
              </w:rPr>
            </w:pPr>
            <w:r>
              <w:rPr>
                <w:rFonts w:ascii="Arial" w:cs="Arial" w:eastAsia="Arial" w:hAnsi="Arial"/>
                <w:sz w:val="18"/>
                <w:szCs w:val="18"/>
                <w:color w:val="auto"/>
              </w:rPr>
              <w:t>Expected option life (in years)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bl>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 date fair value of stock options that vested during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3"/>
          </w:tcPr>
          <w:p>
            <w:pPr>
              <w:jc w:val="right"/>
              <w:ind w:right="38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81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2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Weighted average grant date fair value of stock options granted per share</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778"/>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778"/>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98"/>
              <w:spacing w:after="0"/>
              <w:rPr>
                <w:sz w:val="20"/>
                <w:szCs w:val="20"/>
                <w:color w:val="auto"/>
              </w:rPr>
            </w:pPr>
            <w:r>
              <w:rPr>
                <w:rFonts w:ascii="Arial" w:cs="Arial" w:eastAsia="Arial" w:hAnsi="Arial"/>
                <w:sz w:val="18"/>
                <w:szCs w:val="18"/>
                <w:color w:val="auto"/>
                <w:w w:val="89"/>
              </w:rPr>
              <w:t>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449"/>
        </w:trPr>
        <w:tc>
          <w:tcPr>
            <w:tcW w:w="5200" w:type="dxa"/>
            <w:vAlign w:val="bottom"/>
          </w:tcPr>
          <w:p>
            <w:pPr>
              <w:spacing w:after="0"/>
              <w:rPr>
                <w:sz w:val="20"/>
                <w:szCs w:val="20"/>
                <w:color w:val="auto"/>
              </w:rPr>
            </w:pPr>
            <w:r>
              <w:rPr>
                <w:rFonts w:ascii="Arial" w:cs="Arial" w:eastAsia="Arial" w:hAnsi="Arial"/>
                <w:sz w:val="18"/>
                <w:szCs w:val="18"/>
                <w:color w:val="auto"/>
                <w:w w:val="91"/>
              </w:rPr>
              <w:t>The following table summarizes the activity related to our stock options: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Weighted average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 average</w:t>
            </w:r>
          </w:p>
        </w:tc>
        <w:tc>
          <w:tcPr>
            <w:tcW w:w="180" w:type="dxa"/>
            <w:vAlign w:val="bottom"/>
          </w:tcPr>
          <w:p>
            <w:pPr>
              <w:spacing w:after="0"/>
              <w:rPr>
                <w:sz w:val="24"/>
                <w:szCs w:val="24"/>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0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2"/>
              </w:rPr>
              <w:t>contractual term</w:t>
            </w:r>
          </w:p>
        </w:tc>
        <w:tc>
          <w:tcPr>
            <w:tcW w:w="180" w:type="dxa"/>
            <w:vAlign w:val="bottom"/>
          </w:tcPr>
          <w:p>
            <w:pPr>
              <w:spacing w:after="0"/>
              <w:rPr>
                <w:sz w:val="12"/>
                <w:szCs w:val="12"/>
                <w:color w:val="auto"/>
              </w:rPr>
            </w:pPr>
          </w:p>
        </w:tc>
        <w:tc>
          <w:tcPr>
            <w:tcW w:w="1240" w:type="dxa"/>
            <w:vAlign w:val="bottom"/>
          </w:tcPr>
          <w:p>
            <w:pPr>
              <w:jc w:val="center"/>
              <w:ind w:right="98"/>
              <w:spacing w:after="0" w:line="146"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exercise price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6"/>
              </w:rPr>
              <w:t>(in years)</w:t>
            </w:r>
          </w:p>
        </w:tc>
        <w:tc>
          <w:tcPr>
            <w:tcW w:w="18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i w:val="1"/>
                <w:iCs w:val="1"/>
                <w:color w:val="auto"/>
                <w:w w:val="87"/>
              </w:rPr>
              <w:t>(in thousands)</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58"/>
              <w:spacing w:after="0"/>
              <w:rPr>
                <w:sz w:val="20"/>
                <w:szCs w:val="20"/>
                <w:color w:val="auto"/>
              </w:rPr>
            </w:pPr>
            <w:r>
              <w:rPr>
                <w:rFonts w:ascii="Arial" w:cs="Arial" w:eastAsia="Arial" w:hAnsi="Arial"/>
                <w:sz w:val="18"/>
                <w:szCs w:val="18"/>
                <w:color w:val="auto"/>
                <w:w w:val="85"/>
              </w:rPr>
              <w:t>4.83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858"/>
              <w:spacing w:after="0"/>
              <w:rPr>
                <w:sz w:val="20"/>
                <w:szCs w:val="20"/>
                <w:color w:val="auto"/>
              </w:rPr>
            </w:pPr>
            <w:r>
              <w:rPr>
                <w:rFonts w:ascii="Arial" w:cs="Arial" w:eastAsia="Arial" w:hAnsi="Arial"/>
                <w:sz w:val="18"/>
                <w:szCs w:val="18"/>
                <w:color w:val="auto"/>
                <w:w w:val="85"/>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858"/>
              <w:spacing w:after="0"/>
              <w:rPr>
                <w:sz w:val="20"/>
                <w:szCs w:val="20"/>
                <w:color w:val="auto"/>
              </w:rPr>
            </w:pPr>
            <w:r>
              <w:rPr>
                <w:rFonts w:ascii="Arial" w:cs="Arial" w:eastAsia="Arial" w:hAnsi="Arial"/>
                <w:sz w:val="18"/>
                <w:szCs w:val="18"/>
                <w:color w:val="auto"/>
                <w:w w:val="85"/>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other share-based and similar types of awards are comprised of restricted shares and restricted share units. The restricted shares and restricted share units are comprised of a combination of service-based awards, performance-based awards, market-based awards and performance and market-based awards.</w:t>
      </w:r>
    </w:p>
    <w:p>
      <w:pPr>
        <w:spacing w:after="0" w:line="13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one-to-four-year periods. A total of 907 thousand service-based awards were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w:t>
      </w:r>
    </w:p>
    <w:p>
      <w:pPr>
        <w:spacing w:after="0" w:line="128"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generally one-third vests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141 thousand performance-based awards were outstanding as of September 30, 2023.</w:t>
      </w:r>
    </w:p>
    <w:p>
      <w:pPr>
        <w:spacing w:after="0" w:line="126"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i w:val="1"/>
          <w:iCs w:val="1"/>
          <w:color w:val="auto"/>
        </w:rPr>
        <w:t xml:space="preserve">Market-Based Awards. </w:t>
      </w:r>
      <w:r>
        <w:rPr>
          <w:rFonts w:ascii="Arial" w:cs="Arial" w:eastAsia="Arial" w:hAnsi="Arial"/>
          <w:sz w:val="18"/>
          <w:szCs w:val="18"/>
          <w:color w:val="auto"/>
        </w:rPr>
        <w:t>50% of these awards generally vest if certain specific market conditions are achieved over a 30-day period and the remaining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awards generally vest on the one year anniversary of the initial vesting. The</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Company estimates the grant date fair value of these awards using a lattice (binomial) model. A total of 112 thousand market-based awards were outstanding as of September 30, 2023.</w:t>
      </w:r>
    </w:p>
    <w:p>
      <w:pPr>
        <w:spacing w:after="0" w:line="128" w:lineRule="exact"/>
        <w:rPr>
          <w:sz w:val="20"/>
          <w:szCs w:val="20"/>
          <w:color w:val="auto"/>
        </w:rPr>
      </w:pPr>
    </w:p>
    <w:p>
      <w:pPr>
        <w:jc w:val="both"/>
        <w:ind w:left="320"/>
        <w:spacing w:after="0" w:line="249" w:lineRule="auto"/>
        <w:rPr>
          <w:sz w:val="20"/>
          <w:szCs w:val="20"/>
          <w:color w:val="auto"/>
        </w:rPr>
      </w:pPr>
      <w:r>
        <w:rPr>
          <w:rFonts w:ascii="Arial" w:cs="Arial" w:eastAsia="Arial" w:hAnsi="Arial"/>
          <w:sz w:val="18"/>
          <w:szCs w:val="18"/>
          <w:i w:val="1"/>
          <w:iCs w:val="1"/>
          <w:color w:val="auto"/>
        </w:rPr>
        <w:t xml:space="preserve">Performance-Based and Market-Based Awards. </w:t>
      </w:r>
      <w:r>
        <w:rPr>
          <w:rFonts w:ascii="Arial" w:cs="Arial" w:eastAsia="Arial" w:hAnsi="Arial"/>
          <w:sz w:val="18"/>
          <w:szCs w:val="18"/>
          <w:color w:val="auto"/>
        </w:rPr>
        <w:t>These awards generally vest if certain specific financial measures are achieved and if certain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125 thousand performance-based and market-based awards were outstanding as of September 30, 2023.</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granted 891 thousand restricted share units (at a weighted average grant date fair value of $4.82 per share) during the nine months ended September 30, 2023. These grants include 57 thousand awards that include both a performance condition and a market condition and 57 thousand performance-based awards, for the nine months ended September 30, 2023. The Company granted 46 thousand awards that include both a performance condition and a market condition and 46 thousand performance-based awards, for the nine months ended September 30,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42"/>
        </w:trPr>
        <w:tc>
          <w:tcPr>
            <w:tcW w:w="960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shares and restricted</w:t>
            </w:r>
          </w:p>
        </w:tc>
      </w:tr>
      <w:tr>
        <w:trPr>
          <w:trHeight w:val="192"/>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 units</w:t>
            </w:r>
          </w:p>
        </w:tc>
      </w:tr>
      <w:tr>
        <w:trPr>
          <w:trHeight w:val="199"/>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5"/>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755,006</w:t>
            </w:r>
          </w:p>
        </w:tc>
      </w:tr>
      <w:tr>
        <w:trPr>
          <w:trHeight w:val="225"/>
        </w:trPr>
        <w:tc>
          <w:tcPr>
            <w:tcW w:w="96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890,810</w:t>
            </w:r>
          </w:p>
        </w:tc>
      </w:tr>
      <w:tr>
        <w:trPr>
          <w:trHeight w:val="226"/>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(213,576)</w:t>
            </w:r>
          </w:p>
        </w:tc>
      </w:tr>
      <w:tr>
        <w:trPr>
          <w:trHeight w:val="225"/>
        </w:trPr>
        <w:tc>
          <w:tcPr>
            <w:tcW w:w="9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(147,241)</w:t>
            </w:r>
          </w:p>
        </w:tc>
      </w:tr>
      <w:tr>
        <w:trPr>
          <w:trHeight w:val="193"/>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25"/>
        </w:trPr>
        <w:tc>
          <w:tcPr>
            <w:tcW w:w="9600" w:type="dxa"/>
            <w:vAlign w:val="bottom"/>
          </w:tcPr>
          <w:p>
            <w:pPr>
              <w:ind w:left="20"/>
              <w:spacing w:after="0"/>
              <w:rPr>
                <w:sz w:val="20"/>
                <w:szCs w:val="20"/>
                <w:color w:val="auto"/>
              </w:rPr>
            </w:pPr>
            <w:r>
              <w:rPr>
                <w:rFonts w:ascii="Arial" w:cs="Arial" w:eastAsia="Arial" w:hAnsi="Arial"/>
                <w:sz w:val="18"/>
                <w:szCs w:val="18"/>
                <w:color w:val="auto"/>
              </w:rPr>
              <w:t>Outstanding as of September 30, 2023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1,284,999</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Pr>
          <w:p>
            <w:pPr>
              <w:spacing w:after="0"/>
              <w:rPr>
                <w:sz w:val="14"/>
                <w:szCs w:val="14"/>
                <w:color w:val="auto"/>
              </w:rPr>
            </w:pPr>
          </w:p>
        </w:tc>
        <w:tc>
          <w:tcPr>
            <w:tcW w:w="20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120" w:type="dxa"/>
            <w:vAlign w:val="bottom"/>
            <w:gridSpan w:val="3"/>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111,691</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8"/>
                <w:szCs w:val="18"/>
                <w:color w:val="auto"/>
              </w:rPr>
              <w:t>Reimbursable expenses</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20" w:type="dxa"/>
            <w:vAlign w:val="bottom"/>
            <w:gridSpan w:val="3"/>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118,317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61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36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6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segment and major source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September 30, 2023</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Revenue recognized</w:t>
            </w:r>
          </w:p>
        </w:tc>
        <w:tc>
          <w:tcPr>
            <w:tcW w:w="156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0"/>
              </w:rPr>
              <w:t>Revenue related to</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when services are</w:t>
            </w:r>
          </w:p>
        </w:tc>
        <w:tc>
          <w:tcPr>
            <w:tcW w:w="15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technology platforms</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Reimbursable expenses</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vMerge w:val="restart"/>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performed or assets</w:t>
            </w:r>
          </w:p>
        </w:tc>
        <w:tc>
          <w:tcPr>
            <w:tcW w:w="15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7"/>
              </w:rPr>
              <w:t>and professional</w:t>
            </w:r>
          </w:p>
        </w:tc>
        <w:tc>
          <w:tcPr>
            <w:tcW w:w="1540" w:type="dxa"/>
            <w:vAlign w:val="bottom"/>
            <w:gridSpan w:val="2"/>
            <w:vMerge w:val="continue"/>
          </w:tcPr>
          <w:p>
            <w:pPr>
              <w:spacing w:after="0"/>
              <w:rPr>
                <w:sz w:val="12"/>
                <w:szCs w:val="12"/>
                <w:color w:val="auto"/>
              </w:rPr>
            </w:pPr>
          </w:p>
        </w:tc>
        <w:tc>
          <w:tcPr>
            <w:tcW w:w="1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are sold</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services</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24,223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28,702</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7,264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31,487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Three months ended September 30,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8"/>
              </w:rPr>
              <w:t>Revenue recognized</w:t>
            </w:r>
          </w:p>
        </w:tc>
        <w:tc>
          <w:tcPr>
            <w:tcW w:w="140" w:type="dxa"/>
            <w:vAlign w:val="bottom"/>
          </w:tcPr>
          <w:p>
            <w:pPr>
              <w:spacing w:after="0"/>
              <w:rPr>
                <w:sz w:val="10"/>
                <w:szCs w:val="10"/>
                <w:color w:val="auto"/>
              </w:rPr>
            </w:pPr>
          </w:p>
        </w:tc>
        <w:tc>
          <w:tcPr>
            <w:tcW w:w="142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0"/>
              </w:rPr>
              <w:t>Revenue related to</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00"/>
              <w:spacing w:after="0" w:line="137" w:lineRule="exact"/>
              <w:rPr>
                <w:sz w:val="20"/>
                <w:szCs w:val="20"/>
                <w:color w:val="auto"/>
              </w:rPr>
            </w:pPr>
            <w:r>
              <w:rPr>
                <w:rFonts w:ascii="Arial" w:cs="Arial" w:eastAsia="Arial" w:hAnsi="Arial"/>
                <w:sz w:val="14"/>
                <w:szCs w:val="14"/>
                <w:b w:val="1"/>
                <w:bCs w:val="1"/>
                <w:color w:val="auto"/>
                <w:w w:val="87"/>
              </w:rPr>
              <w:t>when services are</w:t>
            </w:r>
          </w:p>
        </w:tc>
        <w:tc>
          <w:tcPr>
            <w:tcW w:w="1560" w:type="dxa"/>
            <w:vAlign w:val="bottom"/>
            <w:gridSpan w:val="3"/>
          </w:tcPr>
          <w:p>
            <w:pPr>
              <w:jc w:val="center"/>
              <w:ind w:right="120"/>
              <w:spacing w:after="0" w:line="137" w:lineRule="exact"/>
              <w:rPr>
                <w:sz w:val="20"/>
                <w:szCs w:val="20"/>
                <w:color w:val="auto"/>
              </w:rPr>
            </w:pPr>
            <w:r>
              <w:rPr>
                <w:rFonts w:ascii="Arial" w:cs="Arial" w:eastAsia="Arial" w:hAnsi="Arial"/>
                <w:sz w:val="14"/>
                <w:szCs w:val="14"/>
                <w:b w:val="1"/>
                <w:bCs w:val="1"/>
                <w:color w:val="auto"/>
                <w:w w:val="89"/>
              </w:rPr>
              <w:t>technology platforms</w:t>
            </w: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4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performed or assets</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87"/>
              </w:rPr>
              <w:t>and professional</w:t>
            </w:r>
          </w:p>
        </w:tc>
        <w:tc>
          <w:tcPr>
            <w:tcW w:w="15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3"/>
              </w:rPr>
              <w:t>Reimbursable expenses</w:t>
            </w:r>
          </w:p>
        </w:tc>
        <w:tc>
          <w:tcPr>
            <w:tcW w:w="220" w:type="dxa"/>
            <w:vAlign w:val="bottom"/>
          </w:tcPr>
          <w:p>
            <w:pPr>
              <w:spacing w:after="0"/>
              <w:rPr>
                <w:sz w:val="13"/>
                <w:szCs w:val="13"/>
                <w:color w:val="auto"/>
              </w:rPr>
            </w:pPr>
          </w:p>
        </w:tc>
        <w:tc>
          <w:tcPr>
            <w:tcW w:w="12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are sold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services</w:t>
            </w:r>
          </w:p>
        </w:tc>
        <w:tc>
          <w:tcPr>
            <w:tcW w:w="30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30,866</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33,779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Nine months ended September 30, 2023</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88"/>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Revenue related to</w:t>
            </w: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7"/>
              </w:rPr>
              <w:t>when services are</w:t>
            </w:r>
          </w:p>
        </w:tc>
        <w:tc>
          <w:tcPr>
            <w:tcW w:w="1560" w:type="dxa"/>
            <w:vAlign w:val="bottom"/>
            <w:gridSpan w:val="3"/>
          </w:tcPr>
          <w:p>
            <w:pPr>
              <w:jc w:val="center"/>
              <w:ind w:right="120"/>
              <w:spacing w:after="0" w:line="146" w:lineRule="exact"/>
              <w:rPr>
                <w:sz w:val="20"/>
                <w:szCs w:val="20"/>
                <w:color w:val="auto"/>
              </w:rPr>
            </w:pPr>
            <w:r>
              <w:rPr>
                <w:rFonts w:ascii="Arial" w:cs="Arial" w:eastAsia="Arial" w:hAnsi="Arial"/>
                <w:sz w:val="14"/>
                <w:szCs w:val="14"/>
                <w:b w:val="1"/>
                <w:bCs w:val="1"/>
                <w:color w:val="auto"/>
                <w:w w:val="89"/>
              </w:rPr>
              <w:t>technology platforms</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Reimbursable expenses</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7"/>
              </w:rPr>
              <w:t>and professional</w:t>
            </w:r>
          </w:p>
        </w:tc>
        <w:tc>
          <w:tcPr>
            <w:tcW w:w="1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are sold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services</w:t>
            </w:r>
          </w:p>
        </w:tc>
        <w:tc>
          <w:tcPr>
            <w:tcW w:w="30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73,314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87,495</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22,908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23,414</w:t>
            </w: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96,222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110,909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Nine months ended September 30,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88"/>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Revenue related to</w:t>
            </w: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when services are</w:t>
            </w:r>
          </w:p>
        </w:tc>
        <w:tc>
          <w:tcPr>
            <w:tcW w:w="15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technology platforms</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Reimbursable expenses</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89"/>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7"/>
              </w:rPr>
              <w:t>and professional</w:t>
            </w:r>
          </w:p>
        </w:tc>
        <w:tc>
          <w:tcPr>
            <w:tcW w:w="1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8"/>
              </w:rPr>
              <w:t>Total revenue</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are sold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services</w:t>
            </w:r>
          </w:p>
        </w:tc>
        <w:tc>
          <w:tcPr>
            <w:tcW w:w="30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77,947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91,349</w:t>
            </w:r>
          </w:p>
        </w:tc>
        <w:tc>
          <w:tcPr>
            <w:tcW w:w="0" w:type="dxa"/>
            <w:vAlign w:val="bottom"/>
          </w:tcPr>
          <w:p>
            <w:pPr>
              <w:spacing w:after="0"/>
              <w:rPr>
                <w:sz w:val="1"/>
                <w:szCs w:val="1"/>
                <w:color w:val="auto"/>
              </w:rPr>
            </w:pPr>
          </w:p>
        </w:tc>
      </w:tr>
      <w:tr>
        <w:trPr>
          <w:trHeight w:val="225"/>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26,968</w:t>
            </w: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104,480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2022, John G. Aldridge, Jr., the Managing Partner of Aldridge Pite LLP (“Aldridge Pite”), joined the Board of Directors of Altisource. Aldridge Pite provides eviction and other real estate related services to the Company. The Company recognized $0.1 million and $0.1 million for the nine months ended September 30, 2023 and 2022, respectively (less than $0.1 million and less than $0.1 million for the third quarter of 2023 and 2022, respectively) of service revenue relating to services provided to Aldridge Pite.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Revenue recognized that was included in the contract liability at the beginning of the period was $3.3 million and $3.7 million for the nine months ended September 30, 2023 and 2022, respectively ($0.5 million and $0.8 million for the third quarter of 2023 and 2022, respectively).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COST OF REVENUE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b w:val="1"/>
                <w:bCs w:val="1"/>
                <w:color w:val="auto"/>
                <w:w w:val="89"/>
              </w:rPr>
              <w:t>2022</w:t>
            </w: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2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Outside fees and services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42,573</w:t>
            </w:r>
          </w:p>
        </w:tc>
      </w:tr>
      <w:tr>
        <w:trPr>
          <w:trHeight w:val="225"/>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39,231</w:t>
            </w:r>
          </w:p>
        </w:tc>
      </w:tr>
      <w:tr>
        <w:trPr>
          <w:trHeight w:val="22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r>
      <w:tr>
        <w:trPr>
          <w:trHeight w:val="225"/>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6,158</w:t>
            </w:r>
          </w:p>
        </w:tc>
      </w:tr>
      <w:tr>
        <w:trPr>
          <w:trHeight w:val="22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193"/>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104,611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recognized $0.6 million and $0.3 million for the nine months ended September 30, 2023 and 2022, respectively ($0.2 million and $0.1 million for the third quarter of 2023 and 2022, respectively) of reimbursable expenses relating to services provided to Aldridge Pite. As of September 30, 2023, the Company had no payable to Aldridge Pite.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SELLING, GENERAL AND ADMINISTRATIVE EXPENSES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Three months ended</w:t>
            </w:r>
          </w:p>
        </w:tc>
        <w:tc>
          <w:tcPr>
            <w:tcW w:w="260" w:type="dxa"/>
            <w:vAlign w:val="bottom"/>
          </w:tcPr>
          <w:p>
            <w:pPr>
              <w:spacing w:after="0"/>
              <w:rPr>
                <w:sz w:val="14"/>
                <w:szCs w:val="14"/>
                <w:color w:val="auto"/>
              </w:rPr>
            </w:pPr>
          </w:p>
        </w:tc>
        <w:tc>
          <w:tcPr>
            <w:tcW w:w="204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5"/>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w:t>
            </w:r>
          </w:p>
        </w:tc>
        <w:tc>
          <w:tcPr>
            <w:tcW w:w="0" w:type="dxa"/>
            <w:vAlign w:val="bottom"/>
          </w:tcPr>
          <w:p>
            <w:pPr>
              <w:spacing w:after="0"/>
              <w:rPr>
                <w:sz w:val="1"/>
                <w:szCs w:val="1"/>
                <w:color w:val="auto"/>
              </w:rPr>
            </w:pPr>
          </w:p>
        </w:tc>
      </w:tr>
      <w:tr>
        <w:trPr>
          <w:trHeight w:val="225"/>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2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5"/>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2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25"/>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193"/>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18 — OTHER INCOME (EXPENSE), NET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5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52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Three months ended</w:t>
            </w:r>
          </w:p>
        </w:tc>
        <w:tc>
          <w:tcPr>
            <w:tcW w:w="260" w:type="dxa"/>
            <w:vAlign w:val="bottom"/>
          </w:tcPr>
          <w:p>
            <w:pPr>
              <w:spacing w:after="0"/>
              <w:rPr>
                <w:sz w:val="24"/>
                <w:szCs w:val="24"/>
                <w:color w:val="auto"/>
              </w:rPr>
            </w:pPr>
          </w:p>
        </w:tc>
        <w:tc>
          <w:tcPr>
            <w:tcW w:w="204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193"/>
        </w:trPr>
        <w:tc>
          <w:tcPr>
            <w:tcW w:w="6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17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recognized an income tax (provision) benefit of $(2.6) million and $(2.2) million for the nine months ended September 30, 2023 and 2022, respectively ($(0.4) million and $0.2 million for the third quarter of 2023 and 2022, respectively). Income tax (provision) benefit for the three and nine months ended September 30, 2023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LOSS PER SHARE</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Basic loss per share is computed by dividing loss available to common shareholders by the weighted average number of common shares outstanding for the period. In accordance with ASC 260, penny warrants are included in the calculation of weighted average basic and diluted earnings (loss) per share for the period of time that they are classified as equity. For the three and nine months ended, September 30, 2023, 0.2 million and 0.1 million penny warrants have been included in the calculation of weighted average basic and diluted loss per share. Diluted net loss per share excludes all dilutive securities because their impact would be anti-dilutive, as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are calculated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5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5"/>
              <w:spacing w:after="0"/>
              <w:rPr>
                <w:sz w:val="20"/>
                <w:szCs w:val="20"/>
                <w:color w:val="auto"/>
              </w:rPr>
            </w:pPr>
            <w:r>
              <w:rPr>
                <w:rFonts w:ascii="Arial" w:cs="Arial" w:eastAsia="Arial" w:hAnsi="Arial"/>
                <w:sz w:val="14"/>
                <w:szCs w:val="14"/>
                <w:b w:val="1"/>
                <w:bCs w:val="1"/>
                <w:color w:val="auto"/>
                <w:w w:val="89"/>
              </w:rPr>
              <w:t>2022</w:t>
            </w: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(42,074)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24"/>
        </w:trPr>
        <w:tc>
          <w:tcPr>
            <w:tcW w:w="6520" w:type="dxa"/>
            <w:vAlign w:val="bottom"/>
            <w:tcBorders>
              <w:bottom w:val="single" w:sz="8" w:color="CCEEFF"/>
            </w:tcBorders>
            <w:gridSpan w:val="2"/>
            <w:shd w:val="clear" w:color="auto" w:fill="CCEEFF"/>
          </w:tcPr>
          <w:p>
            <w:pPr>
              <w:ind w:left="20"/>
              <w:spacing w:after="0" w:line="199" w:lineRule="exact"/>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22,181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16,087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20,538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16,051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16,051</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2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3"/>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2023 and 2022, 1.5 million and 1.3 million, respectively (1.5 million and 1.3 million for the third quarter of 2023 and 2022, respectively), stock options, restricted shares and restricted share units, were excluded from the computation of loss per share, as a result of the following:</w:t>
      </w:r>
    </w:p>
    <w:p>
      <w:pPr>
        <w:spacing w:after="0" w:line="135" w:lineRule="exact"/>
        <w:rPr>
          <w:sz w:val="20"/>
          <w:szCs w:val="20"/>
          <w:color w:val="auto"/>
        </w:rPr>
      </w:pPr>
    </w:p>
    <w:p>
      <w:pPr>
        <w:jc w:val="both"/>
        <w:ind w:left="480" w:hanging="315"/>
        <w:spacing w:after="0" w:line="255"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nine months ended September 30, 2023 and 2022, 0.3 million and 0.2 million, respectively (0.4 million and 0.2 million for the third quarter of 2023 and 2022, respectively), stock options, restricted shares and restricted share units were anti-dilutive and have been excluded from the computation of diluted loss per share because the Company incurred a net loss</w:t>
      </w:r>
    </w:p>
    <w:p>
      <w:pPr>
        <w:spacing w:after="0" w:line="29" w:lineRule="exact"/>
        <w:rPr>
          <w:rFonts w:ascii="Arial" w:cs="Arial" w:eastAsia="Arial" w:hAnsi="Arial"/>
          <w:sz w:val="18"/>
          <w:szCs w:val="18"/>
          <w:color w:val="auto"/>
        </w:rPr>
      </w:pPr>
    </w:p>
    <w:p>
      <w:pPr>
        <w:jc w:val="both"/>
        <w:ind w:left="480" w:hanging="315"/>
        <w:spacing w:after="0" w:line="255"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nine months ended September 30, 2023 and 2022, 0.3 million and 0.2 million, respectively (0.2 million and 0.2 million for the third quarter of 2023 and 2022, respectively), stock options were anti-dilutive and have been excluded from the computation of diluted loss per share because their exercise price was greater than the average market price of our common stock</w:t>
      </w:r>
    </w:p>
    <w:p>
      <w:pPr>
        <w:spacing w:after="0" w:line="29" w:lineRule="exact"/>
        <w:rPr>
          <w:rFonts w:ascii="Arial" w:cs="Arial" w:eastAsia="Arial" w:hAnsi="Arial"/>
          <w:sz w:val="18"/>
          <w:szCs w:val="18"/>
          <w:color w:val="auto"/>
        </w:rPr>
      </w:pPr>
    </w:p>
    <w:p>
      <w:pPr>
        <w:jc w:val="both"/>
        <w:ind w:left="480" w:hanging="315"/>
        <w:spacing w:after="0" w:line="271" w:lineRule="auto"/>
        <w:tabs>
          <w:tab w:leader="none" w:pos="475"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nine months ended September 30, 2023 and 2022, 0.9 million and 0.9 million, respectively (0.9 million and 0.9 million for the third quarter of 2023 and 2022, respectively) ,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COMMITMENTS, CONTINGENCIES AND REGULATORY MATTERS</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discussed in Note 2, during the three and nine months ended September 30, 2023, Ocwen was our largest customer, accounting for 43% of our total revenue. Additionally, 7% of our revenue for the nine months ended September 30, 2023 (6% of our revenue for the third quarter of 2023) was earned on the loan portfolios serviced by Ocwen, when a party other than Ocwen or the MSRs owner selected Altisource as the service provider.</w:t>
      </w:r>
    </w:p>
    <w:p>
      <w:pPr>
        <w:spacing w:after="0" w:line="11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Ocwen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or proceed with default-related actions on the loans it services. Existing or future similar matters could result in adverse regulatory or other actions against Ocwen. In addition to the above, Ocwen may become subject to future adverse regulatory or other actions.</w:t>
      </w:r>
    </w:p>
    <w:p>
      <w:pPr>
        <w:spacing w:after="0" w:line="9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Ocwen has disclosed that Rithm is a significant client of Ocwen’s. As of June 30, 2023, approximately 16% of loans serviced and subserviced by Ocwen (measured in UPB) and approximately 68% of all delinquent loans that Ocwen services were related to Rithm MSRs or rights to MSRs.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2"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58"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58" w:lineRule="exact"/>
        <w:rPr>
          <w:rFonts w:ascii="Arial" w:cs="Arial" w:eastAsia="Arial" w:hAnsi="Arial"/>
          <w:sz w:val="18"/>
          <w:szCs w:val="18"/>
          <w:color w:val="auto"/>
        </w:rPr>
      </w:pPr>
    </w:p>
    <w:p>
      <w:pPr>
        <w:ind w:left="640" w:hanging="316"/>
        <w:spacing w:after="0" w:line="292"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Arial" w:cs="Arial" w:eastAsia="Arial" w:hAnsi="Arial"/>
          <w:sz w:val="17"/>
          <w:szCs w:val="17"/>
          <w:color w:val="auto"/>
        </w:rPr>
      </w:pPr>
    </w:p>
    <w:p>
      <w:pPr>
        <w:ind w:left="640" w:right="20" w:hanging="316"/>
        <w:spacing w:after="0" w:line="292"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Management cannot predict whether any of these events will occur or the amount of any impact they may have on Altisource.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$0.1 million and $0.4 million for the nine months ended September 30, 2023 and 2022, respectively (less than $0.1 million and less than $0.1 million for the third quarter of 2023 and 2022, respectively). The amortization periods of right-of-use assets are generally limited by the expected lease term. Our leases generally have expected lease terms at adoption of one to six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were as follows for the nine months ended September 30: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78"/>
              <w:spacing w:after="0"/>
              <w:rPr>
                <w:sz w:val="20"/>
                <w:szCs w:val="20"/>
                <w:color w:val="auto"/>
              </w:rPr>
            </w:pPr>
            <w:r>
              <w:rPr>
                <w:rFonts w:ascii="Arial" w:cs="Arial" w:eastAsia="Arial" w:hAnsi="Arial"/>
                <w:sz w:val="14"/>
                <w:szCs w:val="14"/>
                <w:b w:val="1"/>
                <w:bCs w:val="1"/>
                <w:color w:val="auto"/>
                <w:w w:val="89"/>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4"/>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5.66 %</w:t>
            </w:r>
          </w:p>
        </w:tc>
        <w:tc>
          <w:tcPr>
            <w:tcW w:w="0" w:type="dxa"/>
            <w:vAlign w:val="bottom"/>
          </w:tcPr>
          <w:p>
            <w:pPr>
              <w:spacing w:after="0"/>
              <w:rPr>
                <w:sz w:val="1"/>
                <w:szCs w:val="1"/>
                <w:color w:val="auto"/>
              </w:rPr>
            </w:pPr>
          </w:p>
        </w:tc>
      </w:tr>
      <w:tr>
        <w:trPr>
          <w:trHeight w:val="464"/>
        </w:trPr>
        <w:tc>
          <w:tcPr>
            <w:tcW w:w="6520" w:type="dxa"/>
            <w:vAlign w:val="bottom"/>
            <w:gridSpan w:val="2"/>
          </w:tcPr>
          <w:p>
            <w:pPr>
              <w:spacing w:after="0"/>
              <w:rPr>
                <w:sz w:val="20"/>
                <w:szCs w:val="20"/>
                <w:color w:val="auto"/>
              </w:rPr>
            </w:pPr>
            <w:r>
              <w:rPr>
                <w:rFonts w:ascii="Arial" w:cs="Arial" w:eastAsia="Arial" w:hAnsi="Arial"/>
                <w:sz w:val="18"/>
                <w:szCs w:val="18"/>
                <w:color w:val="auto"/>
              </w:rPr>
              <w:t>Our lease activity during the period was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2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5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3"/>
              </w:rPr>
              <w:t>2022</w:t>
            </w: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1,638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5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w w:val="97"/>
              </w:rPr>
              <w:t>Cash used in operating activities for amounts included in the measurement of lease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1,638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Short-term (twelve months or less) lease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1,638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652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September 30, 2023 are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5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Operating lease</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88"/>
              </w:rPr>
              <w:t>obligations</w:t>
            </w:r>
          </w:p>
        </w:tc>
        <w:tc>
          <w:tcPr>
            <w:tcW w:w="0" w:type="dxa"/>
            <w:vAlign w:val="bottom"/>
          </w:tcPr>
          <w:p>
            <w:pPr>
              <w:spacing w:after="0"/>
              <w:rPr>
                <w:sz w:val="1"/>
                <w:szCs w:val="1"/>
                <w:color w:val="auto"/>
              </w:rPr>
            </w:pPr>
          </w:p>
        </w:tc>
      </w:tr>
      <w:tr>
        <w:trPr>
          <w:trHeight w:val="195"/>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93"/>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$39.0 million and $13.2 million as of September 30, 2023 and December 31,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REPORTING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conduct our operations through two reportable segments: </w:t>
      </w:r>
      <w:r>
        <w:rPr>
          <w:rFonts w:ascii="Arial" w:cs="Arial" w:eastAsia="Arial" w:hAnsi="Arial"/>
          <w:sz w:val="18"/>
          <w:szCs w:val="18"/>
          <w:i w:val="1"/>
          <w:iCs w:val="1"/>
          <w:color w:val="auto"/>
        </w:rPr>
        <w:t>Servicer and Real Estate</w:t>
      </w:r>
      <w:r>
        <w:rPr>
          <w:rFonts w:ascii="Arial" w:cs="Arial" w:eastAsia="Arial" w:hAnsi="Arial"/>
          <w:sz w:val="18"/>
          <w:szCs w:val="18"/>
          <w:color w:val="auto"/>
        </w:rPr>
        <w:t xml:space="preserve"> and </w:t>
      </w:r>
      <w:r>
        <w:rPr>
          <w:rFonts w:ascii="Arial" w:cs="Arial" w:eastAsia="Arial" w:hAnsi="Arial"/>
          <w:sz w:val="18"/>
          <w:szCs w:val="18"/>
          <w:i w:val="1"/>
          <w:iCs w:val="1"/>
          <w:color w:val="auto"/>
        </w:rPr>
        <w:t>Origination</w:t>
      </w:r>
      <w:r>
        <w:rPr>
          <w:rFonts w:ascii="Arial" w:cs="Arial" w:eastAsia="Arial" w:hAnsi="Arial"/>
          <w:sz w:val="18"/>
          <w:szCs w:val="18"/>
          <w:color w:val="auto"/>
        </w:rPr>
        <w:t xml:space="preserve">. In addition, we report </w:t>
      </w:r>
      <w:r>
        <w:rPr>
          <w:rFonts w:ascii="Arial" w:cs="Arial" w:eastAsia="Arial" w:hAnsi="Arial"/>
          <w:sz w:val="18"/>
          <w:szCs w:val="18"/>
          <w:i w:val="1"/>
          <w:iCs w:val="1"/>
          <w:color w:val="auto"/>
        </w:rPr>
        <w:t>Corporate and Others</w:t>
      </w:r>
      <w:r>
        <w:rPr>
          <w:rFonts w:ascii="Arial" w:cs="Arial" w:eastAsia="Arial" w:hAnsi="Arial"/>
          <w:sz w:val="18"/>
          <w:szCs w:val="18"/>
          <w:color w:val="auto"/>
        </w:rPr>
        <w:t xml:space="preserve"> separately.</w:t>
      </w:r>
    </w:p>
    <w:p>
      <w:pPr>
        <w:spacing w:after="0" w:line="12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Servicer and Real Estate</w:t>
      </w:r>
      <w:r>
        <w:rPr>
          <w:rFonts w:ascii="Arial" w:cs="Arial" w:eastAsia="Arial" w:hAnsi="Arial"/>
          <w:sz w:val="15"/>
          <w:szCs w:val="15"/>
          <w:color w:val="auto"/>
        </w:rPr>
        <w:t xml:space="preserve"> segment provides loan servicers and real estate investors with solutions and technologies that span the mortgage and real estate lifecycle. The </w:t>
      </w:r>
      <w:r>
        <w:rPr>
          <w:rFonts w:ascii="Arial" w:cs="Arial" w:eastAsia="Arial" w:hAnsi="Arial"/>
          <w:sz w:val="15"/>
          <w:szCs w:val="15"/>
          <w:i w:val="1"/>
          <w:iCs w:val="1"/>
          <w:color w:val="auto"/>
        </w:rPr>
        <w:t>Origination</w:t>
      </w:r>
      <w:r>
        <w:rPr>
          <w:rFonts w:ascii="Arial" w:cs="Arial" w:eastAsia="Arial" w:hAnsi="Arial"/>
          <w:sz w:val="15"/>
          <w:szCs w:val="15"/>
          <w:color w:val="auto"/>
        </w:rPr>
        <w:t xml:space="preserve"> segment provides originators with solutions and technologies that span the mortgage origination lifecycle. </w:t>
      </w:r>
      <w:r>
        <w:rPr>
          <w:rFonts w:ascii="Arial" w:cs="Arial" w:eastAsia="Arial" w:hAnsi="Arial"/>
          <w:sz w:val="15"/>
          <w:szCs w:val="15"/>
          <w:i w:val="1"/>
          <w:iCs w:val="1"/>
          <w:color w:val="auto"/>
        </w:rPr>
        <w:t>Corporate and Others</w:t>
      </w:r>
      <w:r>
        <w:rPr>
          <w:rFonts w:ascii="Arial" w:cs="Arial" w:eastAsia="Arial" w:hAnsi="Arial"/>
          <w:sz w:val="15"/>
          <w:szCs w:val="15"/>
          <w:color w:val="auto"/>
        </w:rPr>
        <w:t xml:space="preserve"> includes interest expense and costs related to corporate functions including executive, infrastructure and certain technology groups, finance, law, compliance, human resources, vendor management, facilities, risk management, as well as eliminations between reportable segments.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 2023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6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1"/>
              </w:rPr>
              <w:t>Servicer and Real</w:t>
            </w:r>
          </w:p>
        </w:tc>
        <w:tc>
          <w:tcPr>
            <w:tcW w:w="14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11"/>
                <w:szCs w:val="11"/>
                <w:color w:val="auto"/>
              </w:rPr>
            </w:pPr>
          </w:p>
        </w:tc>
        <w:tc>
          <w:tcPr>
            <w:tcW w:w="1440" w:type="dxa"/>
            <w:vAlign w:val="bottom"/>
            <w:gridSpan w:val="3"/>
          </w:tcPr>
          <w:p>
            <w:pPr>
              <w:jc w:val="center"/>
              <w:ind w:right="440"/>
              <w:spacing w:after="0" w:line="130" w:lineRule="exact"/>
              <w:rPr>
                <w:sz w:val="20"/>
                <w:szCs w:val="20"/>
                <w:color w:val="auto"/>
              </w:rPr>
            </w:pPr>
            <w:r>
              <w:rPr>
                <w:rFonts w:ascii="Arial" w:cs="Arial" w:eastAsia="Arial" w:hAnsi="Arial"/>
                <w:sz w:val="14"/>
                <w:szCs w:val="14"/>
                <w:b w:val="1"/>
                <w:bCs w:val="1"/>
                <w:color w:val="auto"/>
                <w:w w:val="91"/>
              </w:rPr>
              <w:t>Corporate and</w:t>
            </w:r>
          </w:p>
        </w:tc>
        <w:tc>
          <w:tcPr>
            <w:tcW w:w="1140" w:type="dxa"/>
            <w:vAlign w:val="bottom"/>
          </w:tcPr>
          <w:p>
            <w:pPr>
              <w:jc w:val="right"/>
              <w:ind w:right="176"/>
              <w:spacing w:after="0" w:line="130"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Others</w:t>
            </w:r>
          </w:p>
        </w:tc>
        <w:tc>
          <w:tcPr>
            <w:tcW w:w="1140" w:type="dxa"/>
            <w:vAlign w:val="bottom"/>
          </w:tcPr>
          <w:p>
            <w:pPr>
              <w:jc w:val="right"/>
              <w:ind w:right="276"/>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36,213</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29,024</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2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193"/>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0"/>
        <w:spacing w:after="0"/>
        <w:rPr>
          <w:sz w:val="20"/>
          <w:szCs w:val="20"/>
          <w:color w:val="auto"/>
        </w:rPr>
      </w:pPr>
      <w:r>
        <w:rPr>
          <w:rFonts w:ascii="Arial" w:cs="Arial" w:eastAsia="Arial" w:hAnsi="Arial"/>
          <w:sz w:val="15"/>
          <w:szCs w:val="15"/>
          <w:color w:val="auto"/>
        </w:rPr>
        <w:t>Income (loss) before income taxes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35166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2"/>
        </w:trPr>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4"/>
                <w:szCs w:val="14"/>
                <w:b w:val="1"/>
                <w:bCs w:val="1"/>
                <w:color w:val="auto"/>
                <w:w w:val="98"/>
              </w:rPr>
              <w:t>Three months ended September 30, 2022</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130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Servicer and Real</w:t>
            </w:r>
          </w:p>
        </w:tc>
        <w:tc>
          <w:tcPr>
            <w:tcW w:w="140" w:type="dxa"/>
            <w:vAlign w:val="bottom"/>
          </w:tcPr>
          <w:p>
            <w:pPr>
              <w:spacing w:after="0"/>
              <w:rPr>
                <w:sz w:val="10"/>
                <w:szCs w:val="10"/>
                <w:color w:val="auto"/>
              </w:rPr>
            </w:pPr>
          </w:p>
        </w:tc>
        <w:tc>
          <w:tcPr>
            <w:tcW w:w="118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Origination</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Corporate and</w:t>
            </w:r>
          </w:p>
        </w:tc>
        <w:tc>
          <w:tcPr>
            <w:tcW w:w="180" w:type="dxa"/>
            <w:vAlign w:val="bottom"/>
          </w:tcPr>
          <w:p>
            <w:pPr>
              <w:spacing w:after="0"/>
              <w:rPr>
                <w:sz w:val="10"/>
                <w:szCs w:val="10"/>
                <w:color w:val="auto"/>
              </w:rPr>
            </w:pPr>
          </w:p>
        </w:tc>
        <w:tc>
          <w:tcPr>
            <w:tcW w:w="1140" w:type="dxa"/>
            <w:vAlign w:val="bottom"/>
          </w:tcPr>
          <w:p>
            <w:pPr>
              <w:jc w:val="center"/>
              <w:ind w:right="103"/>
              <w:spacing w:after="0" w:line="126"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Estate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8"/>
              </w:rPr>
              <w:t>Others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bl>
    <w:p>
      <w:pPr>
        <w:spacing w:after="0" w:line="199" w:lineRule="exact"/>
        <w:rPr>
          <w:sz w:val="20"/>
          <w:szCs w:val="20"/>
          <w:color w:val="auto"/>
        </w:rPr>
      </w:pPr>
    </w:p>
    <w:p>
      <w:pPr>
        <w:sectPr>
          <w:pgSz w:w="11900" w:h="16838" w:orient="portrait"/>
          <w:cols w:equalWidth="0" w:num="2">
            <w:col w:w="4940" w:space="720"/>
            <w:col w:w="55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38,380</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34,387</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w:t>
            </w:r>
          </w:p>
        </w:tc>
        <w:tc>
          <w:tcPr>
            <w:tcW w:w="0" w:type="dxa"/>
            <w:vAlign w:val="bottom"/>
          </w:tcPr>
          <w:p>
            <w:pPr>
              <w:spacing w:after="0"/>
              <w:rPr>
                <w:sz w:val="1"/>
                <w:szCs w:val="1"/>
                <w:color w:val="auto"/>
              </w:rPr>
            </w:pPr>
          </w:p>
        </w:tc>
      </w:tr>
      <w:tr>
        <w:trPr>
          <w:trHeight w:val="22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193"/>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66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(17,771)</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(14,453)</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Nine months ended September 30, 2023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6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1"/>
              </w:rPr>
              <w:t>Servicer and Real</w:t>
            </w:r>
          </w:p>
        </w:tc>
        <w:tc>
          <w:tcPr>
            <w:tcW w:w="140" w:type="dxa"/>
            <w:vAlign w:val="bottom"/>
          </w:tcPr>
          <w:p>
            <w:pPr>
              <w:spacing w:after="0"/>
              <w:rPr>
                <w:sz w:val="11"/>
                <w:szCs w:val="11"/>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1"/>
              </w:rPr>
              <w:t>Corporate and</w:t>
            </w:r>
          </w:p>
        </w:tc>
        <w:tc>
          <w:tcPr>
            <w:tcW w:w="180" w:type="dxa"/>
            <w:vAlign w:val="bottom"/>
          </w:tcPr>
          <w:p>
            <w:pPr>
              <w:spacing w:after="0"/>
              <w:rPr>
                <w:sz w:val="11"/>
                <w:szCs w:val="11"/>
                <w:color w:val="auto"/>
              </w:rPr>
            </w:pPr>
          </w:p>
        </w:tc>
        <w:tc>
          <w:tcPr>
            <w:tcW w:w="1140" w:type="dxa"/>
            <w:vAlign w:val="bottom"/>
          </w:tcPr>
          <w:p>
            <w:pPr>
              <w:jc w:val="right"/>
              <w:ind w:right="174"/>
              <w:spacing w:after="0" w:line="130"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Others</w:t>
            </w:r>
          </w:p>
        </w:tc>
        <w:tc>
          <w:tcPr>
            <w:tcW w:w="180" w:type="dxa"/>
            <w:vAlign w:val="bottom"/>
          </w:tcPr>
          <w:p>
            <w:pPr>
              <w:spacing w:after="0"/>
              <w:rPr>
                <w:sz w:val="16"/>
                <w:szCs w:val="16"/>
                <w:color w:val="auto"/>
              </w:rPr>
            </w:pPr>
          </w:p>
        </w:tc>
        <w:tc>
          <w:tcPr>
            <w:tcW w:w="1140" w:type="dxa"/>
            <w:vAlign w:val="bottom"/>
          </w:tcPr>
          <w:p>
            <w:pPr>
              <w:jc w:val="right"/>
              <w:ind w:right="274"/>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110,909</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89,684</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35,169</w:t>
            </w:r>
          </w:p>
        </w:tc>
        <w:tc>
          <w:tcPr>
            <w:tcW w:w="0" w:type="dxa"/>
            <w:vAlign w:val="bottom"/>
          </w:tcPr>
          <w:p>
            <w:pPr>
              <w:spacing w:after="0"/>
              <w:rPr>
                <w:sz w:val="1"/>
                <w:szCs w:val="1"/>
                <w:color w:val="auto"/>
              </w:rPr>
            </w:pPr>
          </w:p>
        </w:tc>
      </w:tr>
      <w:tr>
        <w:trPr>
          <w:trHeight w:val="21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2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(26,454)</w:t>
            </w:r>
          </w:p>
        </w:tc>
        <w:tc>
          <w:tcPr>
            <w:tcW w:w="0" w:type="dxa"/>
            <w:vAlign w:val="bottom"/>
          </w:tcPr>
          <w:p>
            <w:pPr>
              <w:spacing w:after="0"/>
              <w:rPr>
                <w:sz w:val="1"/>
                <w:szCs w:val="1"/>
                <w:color w:val="auto"/>
              </w:rPr>
            </w:pPr>
          </w:p>
        </w:tc>
      </w:tr>
      <w:tr>
        <w:trPr>
          <w:trHeight w:val="193"/>
        </w:trPr>
        <w:tc>
          <w:tcPr>
            <w:tcW w:w="5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60" w:type="dxa"/>
            <w:vAlign w:val="bottom"/>
            <w:gridSpan w:val="2"/>
          </w:tcPr>
          <w:p>
            <w:pPr>
              <w:ind w:left="20"/>
              <w:spacing w:after="0" w:line="187" w:lineRule="exact"/>
              <w:rPr>
                <w:sz w:val="20"/>
                <w:szCs w:val="20"/>
                <w:color w:val="auto"/>
              </w:rPr>
            </w:pPr>
            <w:r>
              <w:rPr>
                <w:rFonts w:ascii="Arial" w:cs="Arial" w:eastAsia="Arial" w:hAnsi="Arial"/>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24,515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(59,831)</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(40,398)</w:t>
            </w:r>
          </w:p>
        </w:tc>
        <w:tc>
          <w:tcPr>
            <w:tcW w:w="0" w:type="dxa"/>
            <w:vAlign w:val="bottom"/>
          </w:tcPr>
          <w:p>
            <w:pPr>
              <w:spacing w:after="0"/>
              <w:rPr>
                <w:sz w:val="1"/>
                <w:szCs w:val="1"/>
                <w:color w:val="auto"/>
              </w:rPr>
            </w:pPr>
          </w:p>
        </w:tc>
      </w:tr>
      <w:tr>
        <w:trPr>
          <w:trHeight w:val="203"/>
        </w:trPr>
        <w:tc>
          <w:tcPr>
            <w:tcW w:w="566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Nine months ended September 30, 2022</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3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1"/>
              </w:rPr>
              <w:t>Servicer and Real</w:t>
            </w: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1"/>
              </w:rPr>
              <w:t>Corporate and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7"/>
              <w:spacing w:after="0" w:line="130"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36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Others</w:t>
            </w: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94"/>
        </w:trPr>
        <w:tc>
          <w:tcPr>
            <w:tcW w:w="4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360" w:type="dxa"/>
            <w:vAlign w:val="bottom"/>
          </w:tcPr>
          <w:p>
            <w:pPr>
              <w:ind w:left="20"/>
              <w:spacing w:after="0" w:line="173" w:lineRule="exact"/>
              <w:rPr>
                <w:sz w:val="20"/>
                <w:szCs w:val="20"/>
                <w:color w:val="auto"/>
              </w:rPr>
            </w:pPr>
            <w:r>
              <w:rPr>
                <w:rFonts w:ascii="Arial" w:cs="Arial" w:eastAsia="Arial" w:hAnsi="Arial"/>
                <w:sz w:val="18"/>
                <w:szCs w:val="18"/>
                <w:color w:val="auto"/>
              </w:rPr>
              <w:t>Income (loss) before income taxes and</w:t>
            </w:r>
          </w:p>
        </w:tc>
        <w:tc>
          <w:tcPr>
            <w:tcW w:w="1300" w:type="dxa"/>
            <w:vAlign w:val="bottom"/>
            <w:gridSpan w:val="2"/>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(51,310)</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(39,396)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300" w:type="dxa"/>
            <w:vAlign w:val="bottom"/>
            <w:gridSpan w:val="2"/>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43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Servicer and Real</w:t>
            </w:r>
          </w:p>
        </w:tc>
        <w:tc>
          <w:tcPr>
            <w:tcW w:w="140" w:type="dxa"/>
            <w:vAlign w:val="bottom"/>
          </w:tcPr>
          <w:p>
            <w:pPr>
              <w:spacing w:after="0"/>
              <w:rPr>
                <w:sz w:val="24"/>
                <w:szCs w:val="2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Corporate and</w:t>
            </w:r>
          </w:p>
        </w:tc>
        <w:tc>
          <w:tcPr>
            <w:tcW w:w="1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6"/>
        </w:trPr>
        <w:tc>
          <w:tcPr>
            <w:tcW w:w="436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Others</w:t>
            </w:r>
          </w:p>
        </w:tc>
        <w:tc>
          <w:tcPr>
            <w:tcW w:w="1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94"/>
        </w:trPr>
        <w:tc>
          <w:tcPr>
            <w:tcW w:w="4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tcPr>
          <w:p>
            <w:pPr>
              <w:ind w:left="120"/>
              <w:spacing w:after="0"/>
              <w:rPr>
                <w:sz w:val="20"/>
                <w:szCs w:val="20"/>
                <w:color w:val="auto"/>
              </w:rPr>
            </w:pPr>
            <w:r>
              <w:rPr>
                <w:rFonts w:ascii="Arial" w:cs="Arial" w:eastAsia="Arial" w:hAnsi="Arial"/>
                <w:sz w:val="18"/>
                <w:szCs w:val="18"/>
                <w:color w:val="auto"/>
              </w:rPr>
              <w:t>September 30, 2023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57,143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51,191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54,302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2022</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3"/>
        </w:trPr>
        <w:tc>
          <w:tcPr>
            <w:tcW w:w="43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2022 filed with the Securities and Exchange Commission (“SEC”) on March 30,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99"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affect anticipated expense reductions in response to lower revenue due to COVID-19 or other factors;</w:t>
      </w:r>
    </w:p>
    <w:p>
      <w:pPr>
        <w:spacing w:after="0" w:line="8"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about the variable nature of our cost structure that would allow us to realign our cost structure in line with revenue;</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assumptions regarding the impacts of the COVID-19 pandemic and the timeliness and effectiveness of actions taken in response thereto;</w:t>
      </w:r>
    </w:p>
    <w:p>
      <w:pPr>
        <w:spacing w:after="0" w:line="56"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64"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 xml:space="preserve">Important factors that could cause actual results to differ materially from those suggested by the forward-looking statements include, but are not limited to, the risks discussed in the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section of our Form 10-K for the year ended December 31, 2022 as updated by this Form 10-Q including:</w:t>
      </w:r>
    </w:p>
    <w:p>
      <w:pPr>
        <w:spacing w:after="0" w:line="58" w:lineRule="exact"/>
        <w:rPr>
          <w:sz w:val="20"/>
          <w:szCs w:val="20"/>
          <w:color w:val="auto"/>
        </w:rPr>
      </w:pPr>
    </w:p>
    <w:p>
      <w:pPr>
        <w:jc w:val="both"/>
        <w:ind w:left="64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the anticipated increase in default related referrals following the expiration of foreclosure and eviction moratoriums, forbearance programs and temporary governmental or servicer loss mitigation requirements, the timing of the expiration of such moratoriums, programs and requirements, and any other delays occasioned by government, investor or servicer actions;</w:t>
      </w:r>
    </w:p>
    <w:p>
      <w:pPr>
        <w:spacing w:after="0" w:line="29"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8" w:lineRule="exact"/>
        <w:rPr>
          <w:rFonts w:ascii="Arial" w:cs="Arial" w:eastAsia="Arial" w:hAnsi="Arial"/>
          <w:sz w:val="18"/>
          <w:szCs w:val="18"/>
          <w:color w:val="auto"/>
        </w:rPr>
      </w:pPr>
    </w:p>
    <w:p>
      <w:pPr>
        <w:ind w:left="640" w:hanging="316"/>
        <w:spacing w:after="0" w:line="322" w:lineRule="auto"/>
        <w:tabs>
          <w:tab w:leader="none" w:pos="635"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retain Rithm Capital Corp. (individually, together with one or more of its subsidiaries, or one or more of its subsidiaries individually, “Rithm”) (formerly New Residential Investment Corp.) as a customer or our ability to receive the anticipated volume of referrals from Rithm;</w:t>
      </w:r>
    </w:p>
    <w:p>
      <w:pPr>
        <w:ind w:left="640" w:hanging="316"/>
        <w:spacing w:after="0" w:line="292"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develop, launch and gain market acceptance of new solutions or recoup our investments in developing such new solutions;</w:t>
      </w:r>
    </w:p>
    <w:p>
      <w:pPr>
        <w:spacing w:after="0" w:line="56" w:lineRule="exact"/>
        <w:rPr>
          <w:rFonts w:ascii="Arial" w:cs="Arial" w:eastAsia="Arial" w:hAnsi="Arial"/>
          <w:sz w:val="17"/>
          <w:szCs w:val="17"/>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 and</w:t>
      </w:r>
    </w:p>
    <w:p>
      <w:pPr>
        <w:spacing w:after="0" w:line="44" w:lineRule="exact"/>
        <w:rPr>
          <w:rFonts w:ascii="Arial" w:cs="Arial" w:eastAsia="Arial" w:hAnsi="Arial"/>
          <w:sz w:val="18"/>
          <w:szCs w:val="18"/>
          <w:color w:val="auto"/>
        </w:rPr>
      </w:pPr>
    </w:p>
    <w:p>
      <w:pPr>
        <w:jc w:val="both"/>
        <w:ind w:left="640" w:hanging="316"/>
        <w:spacing w:after="0" w:line="318"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risks and uncertainties related to pandemics, epidemics or other force majeure events, including the COVID-19 pandemic, and associated impacts and the duration of such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conduct our operations through two reportable segments: </w:t>
      </w:r>
      <w:r>
        <w:rPr>
          <w:rFonts w:ascii="Arial" w:cs="Arial" w:eastAsia="Arial" w:hAnsi="Arial"/>
          <w:sz w:val="18"/>
          <w:szCs w:val="18"/>
          <w:i w:val="1"/>
          <w:iCs w:val="1"/>
          <w:color w:val="auto"/>
        </w:rPr>
        <w:t>Servicer and Real Estate and Origination.</w:t>
      </w:r>
      <w:r>
        <w:rPr>
          <w:rFonts w:ascii="Arial" w:cs="Arial" w:eastAsia="Arial" w:hAnsi="Arial"/>
          <w:sz w:val="18"/>
          <w:szCs w:val="18"/>
          <w:color w:val="auto"/>
        </w:rPr>
        <w:t xml:space="preserve"> In addition, we report </w:t>
      </w:r>
      <w:r>
        <w:rPr>
          <w:rFonts w:ascii="Arial" w:cs="Arial" w:eastAsia="Arial" w:hAnsi="Arial"/>
          <w:sz w:val="18"/>
          <w:szCs w:val="18"/>
          <w:i w:val="1"/>
          <w:iCs w:val="1"/>
          <w:color w:val="auto"/>
        </w:rPr>
        <w:t>Corporate and Others</w:t>
      </w:r>
      <w:r>
        <w:rPr>
          <w:rFonts w:ascii="Arial" w:cs="Arial" w:eastAsia="Arial" w:hAnsi="Arial"/>
          <w:sz w:val="18"/>
          <w:szCs w:val="18"/>
          <w:color w:val="auto"/>
        </w:rPr>
        <w:t xml:space="preserve"> separately.</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Servicer and Real Estate</w:t>
      </w:r>
      <w:r>
        <w:rPr>
          <w:rFonts w:ascii="Arial" w:cs="Arial" w:eastAsia="Arial" w:hAnsi="Arial"/>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Solutions</w:t>
      </w:r>
    </w:p>
    <w:p>
      <w:pPr>
        <w:spacing w:after="0" w:line="98" w:lineRule="exact"/>
        <w:rPr>
          <w:sz w:val="20"/>
          <w:szCs w:val="20"/>
          <w:color w:val="auto"/>
        </w:rPr>
      </w:pPr>
    </w:p>
    <w:p>
      <w:pPr>
        <w:jc w:val="both"/>
        <w:ind w:left="640"/>
        <w:spacing w:after="0" w:line="278" w:lineRule="auto"/>
        <w:rPr>
          <w:sz w:val="20"/>
          <w:szCs w:val="20"/>
          <w:color w:val="auto"/>
        </w:rPr>
      </w:pPr>
      <w:r>
        <w:rPr>
          <w:rFonts w:ascii="Arial" w:cs="Arial" w:eastAsia="Arial" w:hAnsi="Arial"/>
          <w:sz w:val="17"/>
          <w:szCs w:val="17"/>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Marketplace</w:t>
      </w:r>
    </w:p>
    <w:p>
      <w:pPr>
        <w:spacing w:after="0" w:line="104" w:lineRule="exact"/>
        <w:rPr>
          <w:sz w:val="20"/>
          <w:szCs w:val="20"/>
          <w:color w:val="auto"/>
        </w:rPr>
      </w:pPr>
    </w:p>
    <w:p>
      <w:pPr>
        <w:jc w:val="both"/>
        <w:ind w:left="640"/>
        <w:spacing w:after="0" w:line="230" w:lineRule="auto"/>
        <w:rPr>
          <w:sz w:val="20"/>
          <w:szCs w:val="20"/>
          <w:color w:val="auto"/>
        </w:rPr>
      </w:pPr>
      <w:r>
        <w:rPr>
          <w:rFonts w:ascii="Arial" w:cs="Arial" w:eastAsia="Arial" w:hAnsi="Arial"/>
          <w:sz w:val="18"/>
          <w:szCs w:val="18"/>
          <w:color w:val="auto"/>
        </w:rPr>
        <w:t>Our Marketplace business includes the Hubzu</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online real estate auction platform and real estate auction, real estate brokerage and asset management services.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Technology and software-as-a-service (“SaaS”) Products</w:t>
      </w:r>
    </w:p>
    <w:p>
      <w:pPr>
        <w:spacing w:after="0" w:line="104" w:lineRule="exact"/>
        <w:rPr>
          <w:sz w:val="20"/>
          <w:szCs w:val="20"/>
          <w:color w:val="auto"/>
        </w:rPr>
      </w:pPr>
    </w:p>
    <w:p>
      <w:pPr>
        <w:jc w:val="both"/>
        <w:ind w:left="640"/>
        <w:spacing w:after="0" w:line="215" w:lineRule="auto"/>
        <w:rPr>
          <w:sz w:val="20"/>
          <w:szCs w:val="20"/>
          <w:color w:val="auto"/>
        </w:rPr>
      </w:pPr>
      <w:r>
        <w:rPr>
          <w:rFonts w:ascii="Arial" w:cs="Arial" w:eastAsia="Arial" w:hAnsi="Arial"/>
          <w:sz w:val="18"/>
          <w:szCs w:val="18"/>
          <w:color w:val="auto"/>
        </w:rPr>
        <w:t>Our Technology and SaaS Products business includes Equator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 SaaS-based technology to manage real estate owned (“REO”), short sales, foreclosure, bankruptcy and eviction processes), Vendorly Invoice (a vendor invoicing and payment system), RentRange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 single family rental data, analytics and rent-based valuation solution), REALSynergy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 commercial loan servicing platform), and NestRange</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(an automated valuation model and analytics solution).</w:t>
      </w:r>
    </w:p>
    <w:p>
      <w:pPr>
        <w:spacing w:after="0" w:line="1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Origination</w:t>
      </w:r>
      <w:r>
        <w:rPr>
          <w:rFonts w:ascii="Arial" w:cs="Arial" w:eastAsia="Arial" w:hAnsi="Arial"/>
          <w:sz w:val="18"/>
          <w:szCs w:val="18"/>
          <w:color w:val="auto"/>
        </w:rPr>
        <w:t xml:space="preserve"> segment provides originators with solutions and technologies that span the mortgage origination lifecycle. Within the Origination segment we provide: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Solutions</w:t>
      </w:r>
    </w:p>
    <w:p>
      <w:pPr>
        <w:spacing w:after="0" w:line="111"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Lenders One</w:t>
      </w:r>
    </w:p>
    <w:p>
      <w:pPr>
        <w:spacing w:after="0" w:line="104" w:lineRule="exact"/>
        <w:rPr>
          <w:sz w:val="20"/>
          <w:szCs w:val="20"/>
          <w:color w:val="auto"/>
        </w:rPr>
      </w:pPr>
    </w:p>
    <w:p>
      <w:pPr>
        <w:jc w:val="both"/>
        <w:ind w:left="640"/>
        <w:spacing w:after="0" w:line="269" w:lineRule="auto"/>
        <w:rPr>
          <w:sz w:val="20"/>
          <w:szCs w:val="20"/>
          <w:color w:val="auto"/>
        </w:rPr>
      </w:pPr>
      <w:r>
        <w:rPr>
          <w:rFonts w:ascii="Arial" w:cs="Arial" w:eastAsia="Arial" w:hAnsi="Arial"/>
          <w:sz w:val="16"/>
          <w:szCs w:val="16"/>
          <w:color w:val="auto"/>
        </w:rPr>
        <w:t>Our Lenders One business includes management services provided to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and certain loan manufacturing and capital markets services provided to the members of the Lenders One cooperative.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Technology and SaaS Products</w:t>
      </w:r>
    </w:p>
    <w:p>
      <w:pPr>
        <w:spacing w:after="0" w:line="111" w:lineRule="exact"/>
        <w:rPr>
          <w:sz w:val="20"/>
          <w:szCs w:val="20"/>
          <w:color w:val="auto"/>
        </w:rPr>
      </w:pPr>
    </w:p>
    <w:p>
      <w:pPr>
        <w:jc w:val="both"/>
        <w:ind w:left="640"/>
        <w:spacing w:after="0" w:line="236" w:lineRule="auto"/>
        <w:rPr>
          <w:sz w:val="20"/>
          <w:szCs w:val="20"/>
          <w:color w:val="auto"/>
        </w:rPr>
      </w:pPr>
      <w:r>
        <w:rPr>
          <w:rFonts w:ascii="Arial" w:cs="Arial" w:eastAsia="Arial" w:hAnsi="Arial"/>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(technology to manage the workflow and automate components of the loan fulfillment, pre and post-close quality control and service transfer processes), and ADMS (a document management and data analytics delivery platform).</w:t>
      </w:r>
    </w:p>
    <w:p>
      <w:pPr>
        <w:spacing w:after="0" w:line="14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i w:val="1"/>
          <w:iCs w:val="1"/>
          <w:color w:val="auto"/>
        </w:rPr>
        <w:t xml:space="preserve">Corporate and Others </w:t>
      </w:r>
      <w:r>
        <w:rPr>
          <w:rFonts w:ascii="Arial" w:cs="Arial" w:eastAsia="Arial" w:hAnsi="Arial"/>
          <w:sz w:val="17"/>
          <w:szCs w:val="17"/>
          <w:color w:val="auto"/>
        </w:rPr>
        <w:t>includes interest expense and costs related to corporate functions including executive, infrastructure and certain technology groups,</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law, compliance, human resources, vendor management, facilities, risk management and eliminations between reportable segments.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our businesses to provide long term value to our customers and shareholders.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and Real Estate:</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Through our offerings that support residential real estate and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Rithm. We believe we are one of only a few providers with a broad suite of servicer solutions, nationwide coverage and scalability. Further, we believe we are well positioned to gain market share from existing and new customers as they consolidate to larger, full-service providers or outsource services that have historically been performed in-house.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i w:val="1"/>
          <w:iCs w:val="1"/>
          <w:color w:val="auto"/>
        </w:rPr>
        <w:t xml:space="preserve">Corporate and Others </w:t>
      </w:r>
      <w:r>
        <w:rPr>
          <w:rFonts w:ascii="Arial" w:cs="Arial" w:eastAsia="Arial" w:hAnsi="Arial"/>
          <w:sz w:val="17"/>
          <w:szCs w:val="17"/>
          <w:color w:val="auto"/>
        </w:rPr>
        <w:t>includes interest expense and costs related to corporate functions including executive, infrastructure and certain technology groups,</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law, compliance, human resources, vendor management, facilities, risk management and eliminations between reportable segments.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response to the COVID-19 pandemic, beginning in March 2020, various governmental entities and servicers implemented unprecedented foreclosure and eviction moratoriums, forbearance programs and loss mitigation measures to help mitigate the impact to borrowers and renters. The Federal government’s foreclosure moratorium expired on July 31, 2021 and the Consumer Financial Protection Bureau’s (“CFPB’s”) temporary loss mitigation measures expired on December 31, 2021. Despite the expiration of such governmental measures, we believe servicers are proceeding slowly with foreclosure initiations for borrowers in default. Industrywide foreclosure initiations were 7% lower for the nine months ended September 30, 2023 compared to the same period in 2022, and 30% lower than the same period in 2019. Industrywide foreclosure sales were 11% higher for the nine months ended September 30, 2023 compared to the same period in 2022, although still 46% lower than the same pre-COVID-19 period in 2019. The decline in foreclosure initiations and foreclosure sales throughout the pandemic, partially offset by the restart of the default market, significantly decreased default related referrals to Altisource and continues to negatively impact virtually all of Altisource’s default related services revenue.</w:t>
      </w:r>
    </w:p>
    <w:p>
      <w:pPr>
        <w:spacing w:after="0" w:line="13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cannot predict whether the default market will return to a pre-pandemic operating environment or the timing of such return or future government and industry actions. Based on the expirations of the Federal government’s foreclosure and eviction moratoriums and the CFPB’s rules on temporary loss mitigation measures, we believe the demand for our Default business will grow. We estimate that in today’s environment it typically takes on average two years to convert foreclosure initiations to foreclosure sales and six months to market and sell the REO. Due to this timing, we anticipate that our later stage foreclosure auction and REO asset management services will not fully benefit from the early 2022 higher foreclosure initiations until late 2023 or early 2024.</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2022 and the nine months ended September 2023,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and (3) add new Lenders One members, launch new solutions and increase customer adoption of our solutions to accelerate the growth of our origination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September 30, 2023, approximately 3.1 million shares of common stock remain available for repurchase under the program. There were no purchases of shares of common stock during the nine months ended September 30, 2023 and 2022. Luxembourg law limits share repurchases to the balance of Altisource Portfolio Solutions S.A. (unconsolidated parent company) retained earnings, less the value of shares repurchased. As of September 30, 2023, we can repurchase up to approximately $60 million of our common stock under Luxembourg law. Under the Amended Credit Agreement, we are not permitted to repurchase shares except for limited circumstances.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During the three and nine months ended September 30, 2023, Ocwen was our largest customer, accounting for 43% of our total revenue. Additionally, 7% of our revenue for the nine months ended September 30, 2023 (6% of our revenue for the third quarter of 2023) was earned on the loan portfolios serviced by Ocwen, when a party other than Ocwen or the mortgage servicing rights (“MSRs”) owner selected Altisource as the service provider.</w:t>
      </w:r>
    </w:p>
    <w:p>
      <w:pPr>
        <w:spacing w:after="0" w:line="8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Ocwen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or proceed with default-related actions on the loans it services. Existing or future similar matters could result in adverse regulatory or other actions against Ocwen. In addition to the above, Ocwen may become subject to future adverse regulatory or other actions.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Ocwen has disclosed that Rithm is a significant client of Ocwen’s. As of June 30, 2023, approximately 16% of loans serviced and subserviced by Ocwen (measured in unpaid principal balance) and approximately 68% of all delinquent loans that Ocwen services were related to Rithm MSRs or rights to MSRs.</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2"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58"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58" w:lineRule="exact"/>
        <w:rPr>
          <w:rFonts w:ascii="Arial" w:cs="Arial" w:eastAsia="Arial" w:hAnsi="Arial"/>
          <w:sz w:val="18"/>
          <w:szCs w:val="18"/>
          <w:color w:val="auto"/>
        </w:rPr>
      </w:pPr>
    </w:p>
    <w:p>
      <w:pPr>
        <w:ind w:left="640" w:hanging="316"/>
        <w:spacing w:after="0" w:line="292"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Arial" w:cs="Arial" w:eastAsia="Arial" w:hAnsi="Arial"/>
          <w:sz w:val="17"/>
          <w:szCs w:val="17"/>
          <w:color w:val="auto"/>
        </w:rPr>
      </w:pPr>
    </w:p>
    <w:p>
      <w:pPr>
        <w:ind w:left="640" w:right="20" w:hanging="316"/>
        <w:spacing w:after="0" w:line="292"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Ocwen is subject to stays, moratoriums, suspensions or other restrictions that limit or delay default-related actions on the loans it services</w:t>
      </w:r>
    </w:p>
    <w:p>
      <w:pPr>
        <w:spacing w:after="0" w:line="69"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foregoing list is not intended to be exhaustive. Management cannot predict whether any of these events or other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11" w:lineRule="exact"/>
        <w:rPr>
          <w:sz w:val="20"/>
          <w:szCs w:val="20"/>
          <w:color w:val="auto"/>
        </w:rPr>
      </w:pPr>
    </w:p>
    <w:p>
      <w:pPr>
        <w:ind w:left="640" w:hanging="316"/>
        <w:spacing w:after="0" w:line="264" w:lineRule="auto"/>
        <w:tabs>
          <w:tab w:leader="none" w:pos="63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Industrywide foreclosure initiations were 7% lower for the nine months ended September 30, 2023 compared to the same period in 2022, and 30% lower than the same pre-COVID-19 period in 2019.</w:t>
      </w:r>
    </w:p>
    <w:p>
      <w:pPr>
        <w:spacing w:after="0" w:line="21" w:lineRule="exact"/>
        <w:rPr>
          <w:rFonts w:ascii="Arial" w:cs="Arial" w:eastAsia="Arial" w:hAnsi="Arial"/>
          <w:sz w:val="18"/>
          <w:szCs w:val="18"/>
          <w:b w:val="1"/>
          <w:bCs w:val="1"/>
          <w:color w:val="auto"/>
        </w:rPr>
      </w:pPr>
    </w:p>
    <w:p>
      <w:pPr>
        <w:ind w:left="640" w:hanging="316"/>
        <w:spacing w:after="0" w:line="264" w:lineRule="auto"/>
        <w:tabs>
          <w:tab w:leader="none" w:pos="63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Industrywide foreclosure sales were 11% higher for the nine months ended September 30, 2023 compared to the same period in 2022, although still 46% lower than the same pre-COVID-19 period in 2019.</w:t>
      </w:r>
    </w:p>
    <w:p>
      <w:pPr>
        <w:spacing w:after="0" w:line="21" w:lineRule="exact"/>
        <w:rPr>
          <w:rFonts w:ascii="Arial" w:cs="Arial" w:eastAsia="Arial" w:hAnsi="Arial"/>
          <w:sz w:val="18"/>
          <w:szCs w:val="18"/>
          <w:b w:val="1"/>
          <w:bCs w:val="1"/>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Temporary delay in certain California foreclosures during the three months ended June 30, 2023 negatively impacted revenue in the Servicer and Real Estate segment</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on the Company’s senior secured term loans was 14.09% for the nine months ended September 30, 2023 compared to 5.01% for the same period in 2022</w:t>
      </w:r>
    </w:p>
    <w:p>
      <w:pPr>
        <w:spacing w:after="0" w:line="2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February 14, 2023, Altisource Portfolio Solutions S.A. and its wholly-owned subsidiary, Altisource S.à r.l., entered into Amendment No. 2 to the Credit Agreement. In connection with Amendment No. 2, the Company paid $3.4 million to advisors and recorded these payments as other expense in the condensed consolidated statements of operations and comprehensive loss</w:t>
      </w:r>
    </w:p>
    <w:p>
      <w:pPr>
        <w:spacing w:after="0" w:line="29"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recognized an income tax (provision) benefit of $(2.6) million and $(2.2) million for the nine months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ended September 30, 2023 and 2022, respectively ($(0.4) million and $0.2 million for the third quarter of 2023 and 2022, respectively). The income tax (provision) benefit for the nine months ended September 30, 2023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6"/>
          </w:tcPr>
          <w:p>
            <w:pPr>
              <w:ind w:left="540"/>
              <w:spacing w:after="0"/>
              <w:rPr>
                <w:sz w:val="20"/>
                <w:szCs w:val="20"/>
                <w:color w:val="auto"/>
              </w:rPr>
            </w:pPr>
            <w:r>
              <w:rPr>
                <w:rFonts w:ascii="Arial" w:cs="Arial" w:eastAsia="Arial" w:hAnsi="Arial"/>
                <w:sz w:val="14"/>
                <w:szCs w:val="14"/>
                <w:b w:val="1"/>
                <w:bCs w:val="1"/>
                <w:color w:val="auto"/>
                <w:w w:val="89"/>
              </w:rPr>
              <w:t>Three months ended September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6"/>
          </w:tcPr>
          <w:p>
            <w:pPr>
              <w:ind w:left="580"/>
              <w:spacing w:after="0"/>
              <w:rPr>
                <w:sz w:val="20"/>
                <w:szCs w:val="20"/>
                <w:color w:val="auto"/>
              </w:rPr>
            </w:pPr>
            <w:r>
              <w:rPr>
                <w:rFonts w:ascii="Arial" w:cs="Arial" w:eastAsia="Arial" w:hAnsi="Arial"/>
                <w:sz w:val="14"/>
                <w:szCs w:val="14"/>
                <w:b w:val="1"/>
                <w:bCs w:val="1"/>
                <w:color w:val="auto"/>
                <w:w w:val="90"/>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4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5"/>
              <w:spacing w:after="0" w:line="130" w:lineRule="exact"/>
              <w:rPr>
                <w:sz w:val="20"/>
                <w:szCs w:val="20"/>
                <w:color w:val="auto"/>
              </w:rPr>
            </w:pPr>
            <w:r>
              <w:rPr>
                <w:rFonts w:ascii="Arial" w:cs="Arial" w:eastAsia="Arial" w:hAnsi="Arial"/>
                <w:sz w:val="14"/>
                <w:szCs w:val="14"/>
                <w:b w:val="1"/>
                <w:bCs w:val="1"/>
                <w:color w:val="auto"/>
                <w:w w:val="92"/>
              </w:rPr>
              <w:t>% Increase</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55"/>
              <w:spacing w:after="0" w:line="130"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3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(decrease)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94"/>
        </w:trPr>
        <w:tc>
          <w:tcPr>
            <w:tcW w:w="3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20" w:type="dxa"/>
            <w:vAlign w:val="bottom"/>
            <w:gridSpan w:val="2"/>
          </w:tcPr>
          <w:p>
            <w:pPr>
              <w:ind w:left="120"/>
              <w:spacing w:after="0"/>
              <w:rPr>
                <w:sz w:val="20"/>
                <w:szCs w:val="20"/>
                <w:color w:val="auto"/>
              </w:rPr>
            </w:pPr>
            <w:r>
              <w:rPr>
                <w:rFonts w:ascii="Arial" w:cs="Arial" w:eastAsia="Arial" w:hAnsi="Arial"/>
                <w:sz w:val="18"/>
                <w:szCs w:val="18"/>
                <w:color w:val="auto"/>
              </w:rPr>
              <w:t>Servicer and Real Estate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26,900</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29,020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81,579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85,601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Origination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7,212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7,270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22,777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26,090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3420" w:type="dxa"/>
            <w:vAlign w:val="bottom"/>
            <w:gridSpan w:val="2"/>
          </w:tcPr>
          <w:p>
            <w:pPr>
              <w:ind w:left="240"/>
              <w:spacing w:after="0"/>
              <w:rPr>
                <w:sz w:val="20"/>
                <w:szCs w:val="20"/>
                <w:color w:val="auto"/>
              </w:rPr>
            </w:pPr>
            <w:r>
              <w:rPr>
                <w:rFonts w:ascii="Arial" w:cs="Arial" w:eastAsia="Arial" w:hAnsi="Arial"/>
                <w:sz w:val="18"/>
                <w:szCs w:val="18"/>
                <w:color w:val="auto"/>
              </w:rPr>
              <w:t>Total service revenue</w:t>
            </w:r>
          </w:p>
        </w:tc>
        <w:tc>
          <w:tcPr>
            <w:tcW w:w="32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34,112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36,290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5"/>
              <w:spacing w:after="0"/>
              <w:rPr>
                <w:sz w:val="20"/>
                <w:szCs w:val="20"/>
                <w:color w:val="auto"/>
              </w:rPr>
            </w:pPr>
            <w:r>
              <w:rPr>
                <w:rFonts w:ascii="Arial" w:cs="Arial" w:eastAsia="Arial" w:hAnsi="Arial"/>
                <w:sz w:val="18"/>
                <w:szCs w:val="18"/>
                <w:color w:val="auto"/>
              </w:rPr>
              <w:t>104,356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111,691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6,158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36,213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38,380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110,909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118,317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29,024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34,387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89,684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104,611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13,706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4"/>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10,734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14,556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35,169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43,055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(29,349)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tbl>
      <w:tblPr>
        <w:tblLayout w:type="fixed"/>
        <w:tblInd w:w="2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(9,890)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(4,349)</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(26,554)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(11,439)</w:t>
            </w:r>
          </w:p>
        </w:tc>
        <w:tc>
          <w:tcPr>
            <w:tcW w:w="0" w:type="dxa"/>
            <w:vAlign w:val="bottom"/>
          </w:tcPr>
          <w:p>
            <w:pPr>
              <w:spacing w:after="0"/>
              <w:rPr>
                <w:sz w:val="1"/>
                <w:szCs w:val="1"/>
                <w:color w:val="auto"/>
              </w:rPr>
            </w:pPr>
          </w:p>
        </w:tc>
      </w:tr>
      <w:tr>
        <w:trPr>
          <w:trHeight w:val="225"/>
        </w:trPr>
        <w:tc>
          <w:tcPr>
            <w:tcW w:w="340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92"/>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400" w:type="dxa"/>
            <w:vAlign w:val="bottom"/>
          </w:tcPr>
          <w:p>
            <w:pPr>
              <w:ind w:left="120"/>
              <w:spacing w:after="0"/>
              <w:rPr>
                <w:sz w:val="20"/>
                <w:szCs w:val="20"/>
                <w:color w:val="auto"/>
              </w:rPr>
            </w:pPr>
            <w:r>
              <w:rPr>
                <w:rFonts w:ascii="Arial" w:cs="Arial" w:eastAsia="Arial" w:hAnsi="Arial"/>
                <w:sz w:val="18"/>
                <w:szCs w:val="18"/>
                <w:color w:val="auto"/>
              </w:rPr>
              <w:t>Debt amendment costs</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492"/>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40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459</w:t>
            </w:r>
          </w:p>
        </w:tc>
        <w:tc>
          <w:tcPr>
            <w:tcW w:w="1160" w:type="dxa"/>
            <w:vAlign w:val="bottom"/>
          </w:tcPr>
          <w:p>
            <w:pPr>
              <w:jc w:val="center"/>
              <w:ind w:left="512"/>
              <w:spacing w:after="0"/>
              <w:rPr>
                <w:sz w:val="20"/>
                <w:szCs w:val="20"/>
                <w:color w:val="auto"/>
              </w:rPr>
            </w:pPr>
            <w:r>
              <w:rPr>
                <w:rFonts w:ascii="Arial" w:cs="Arial" w:eastAsia="Arial" w:hAnsi="Arial"/>
                <w:sz w:val="18"/>
                <w:szCs w:val="18"/>
                <w:color w:val="auto"/>
                <w:w w:val="87"/>
              </w:rPr>
              <w:t>(11)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8"/>
        </w:trPr>
        <w:tc>
          <w:tcPr>
            <w:tcW w:w="3400" w:type="dxa"/>
            <w:vAlign w:val="bottom"/>
          </w:tcPr>
          <w:p>
            <w:pPr>
              <w:ind w:left="3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(3,890)</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(26,454)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(10,047)</w:t>
            </w:r>
          </w:p>
        </w:tc>
        <w:tc>
          <w:tcPr>
            <w:tcW w:w="0" w:type="dxa"/>
            <w:vAlign w:val="bottom"/>
          </w:tcPr>
          <w:p>
            <w:pPr>
              <w:spacing w:after="0"/>
              <w:rPr>
                <w:sz w:val="1"/>
                <w:szCs w:val="1"/>
                <w:color w:val="auto"/>
              </w:rPr>
            </w:pPr>
          </w:p>
        </w:tc>
      </w:tr>
      <w:tr>
        <w:trPr>
          <w:trHeight w:val="386"/>
        </w:trPr>
        <w:tc>
          <w:tcPr>
            <w:tcW w:w="3400" w:type="dxa"/>
            <w:vAlign w:val="bottom"/>
          </w:tcPr>
          <w:p>
            <w:pPr>
              <w:ind w:left="20"/>
              <w:spacing w:after="0"/>
              <w:rPr>
                <w:sz w:val="20"/>
                <w:szCs w:val="20"/>
                <w:color w:val="auto"/>
              </w:rPr>
            </w:pPr>
            <w:r>
              <w:rPr>
                <w:rFonts w:ascii="Arial" w:cs="Arial" w:eastAsia="Arial" w:hAnsi="Arial"/>
                <w:sz w:val="18"/>
                <w:szCs w:val="18"/>
                <w:color w:val="auto"/>
                <w:w w:val="92"/>
              </w:rPr>
              <w:t>Loss before income taxes and non-controlling</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3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(10,862)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(14,453)</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(40,398)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(39,396)</w:t>
            </w: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197</w:t>
            </w:r>
          </w:p>
        </w:tc>
        <w:tc>
          <w:tcPr>
            <w:tcW w:w="1160" w:type="dxa"/>
            <w:vAlign w:val="bottom"/>
          </w:tcPr>
          <w:p>
            <w:pPr>
              <w:jc w:val="center"/>
              <w:ind w:left="492"/>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417"/>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(11,280)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(14,256)</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(42,984)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(41,606)</w:t>
            </w:r>
          </w:p>
        </w:tc>
        <w:tc>
          <w:tcPr>
            <w:tcW w:w="0" w:type="dxa"/>
            <w:vAlign w:val="bottom"/>
          </w:tcPr>
          <w:p>
            <w:pPr>
              <w:spacing w:after="0"/>
              <w:rPr>
                <w:sz w:val="1"/>
                <w:szCs w:val="1"/>
                <w:color w:val="auto"/>
              </w:rPr>
            </w:pPr>
          </w:p>
        </w:tc>
      </w:tr>
      <w:tr>
        <w:trPr>
          <w:trHeight w:val="174"/>
        </w:trPr>
        <w:tc>
          <w:tcPr>
            <w:tcW w:w="3400" w:type="dxa"/>
            <w:vAlign w:val="bottom"/>
          </w:tcPr>
          <w:p>
            <w:pPr>
              <w:ind w:left="20"/>
              <w:spacing w:after="0" w:line="174" w:lineRule="exact"/>
              <w:rPr>
                <w:sz w:val="20"/>
                <w:szCs w:val="20"/>
                <w:color w:val="auto"/>
              </w:rPr>
            </w:pPr>
            <w:r>
              <w:rPr>
                <w:rFonts w:ascii="Arial" w:cs="Arial" w:eastAsia="Arial" w:hAnsi="Arial"/>
                <w:sz w:val="18"/>
                <w:szCs w:val="18"/>
                <w:color w:val="auto"/>
              </w:rPr>
              <w:t>Net income attributable to non-controlling</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(133)</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418"/>
        </w:trPr>
        <w:tc>
          <w:tcPr>
            <w:tcW w:w="340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(11,342)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(14,389)</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(43,139)</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(42,074)</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Margins:</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120"/>
              <w:spacing w:after="0"/>
              <w:rPr>
                <w:sz w:val="20"/>
                <w:szCs w:val="20"/>
                <w:color w:val="auto"/>
              </w:rPr>
            </w:pPr>
            <w:r>
              <w:rPr>
                <w:rFonts w:ascii="Arial" w:cs="Arial" w:eastAsia="Arial" w:hAnsi="Arial"/>
                <w:sz w:val="18"/>
                <w:szCs w:val="18"/>
                <w:color w:val="auto"/>
              </w:rPr>
              <w:t>Gross profit/service revenue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5"/>
        </w:trPr>
        <w:tc>
          <w:tcPr>
            <w:tcW w:w="3400" w:type="dxa"/>
            <w:vAlign w:val="bottom"/>
          </w:tcPr>
          <w:p>
            <w:pPr>
              <w:ind w:left="120"/>
              <w:spacing w:after="0"/>
              <w:rPr>
                <w:sz w:val="20"/>
                <w:szCs w:val="20"/>
                <w:color w:val="auto"/>
              </w:rPr>
            </w:pPr>
            <w:r>
              <w:rPr>
                <w:rFonts w:ascii="Arial" w:cs="Arial" w:eastAsia="Arial" w:hAnsi="Arial"/>
                <w:sz w:val="18"/>
                <w:szCs w:val="18"/>
                <w:color w:val="auto"/>
              </w:rPr>
              <w:t>Loss from operations/service revenue</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7"/>
        </w:trPr>
        <w:tc>
          <w:tcPr>
            <w:tcW w:w="3400" w:type="dxa"/>
            <w:vAlign w:val="bottom"/>
          </w:tcPr>
          <w:p>
            <w:pPr>
              <w:spacing w:after="0"/>
              <w:rPr>
                <w:sz w:val="20"/>
                <w:szCs w:val="20"/>
                <w:color w:val="auto"/>
              </w:rPr>
            </w:pPr>
            <w:r>
              <w:rPr>
                <w:rFonts w:ascii="Arial" w:cs="Arial" w:eastAsia="Arial" w:hAnsi="Arial"/>
                <w:sz w:val="18"/>
                <w:szCs w:val="18"/>
                <w:color w:val="auto"/>
              </w:rPr>
              <w:t>Loss per share:</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(0.89)</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(0.89)</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22,181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16,087</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20,538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16,051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22,181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16,087</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20,538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16,051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-3903345</wp:posOffset>
            </wp:positionV>
            <wp:extent cx="7117715" cy="14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-3616960</wp:posOffset>
            </wp:positionV>
            <wp:extent cx="7117715"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-3331210</wp:posOffset>
            </wp:positionV>
            <wp:extent cx="7117715" cy="151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7715"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-3044825</wp:posOffset>
            </wp:positionV>
            <wp:extent cx="7117715" cy="260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7715"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-2640965</wp:posOffset>
            </wp:positionV>
            <wp:extent cx="7117715"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7715"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-2363470</wp:posOffset>
            </wp:positionV>
            <wp:extent cx="7117715" cy="260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7715"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-1967865</wp:posOffset>
            </wp:positionV>
            <wp:extent cx="7117715" cy="160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7715"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-1673860</wp:posOffset>
            </wp:positionV>
            <wp:extent cx="7117715"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-1387475</wp:posOffset>
            </wp:positionV>
            <wp:extent cx="7117715"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-1109980</wp:posOffset>
            </wp:positionV>
            <wp:extent cx="7117715" cy="142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-807085</wp:posOffset>
            </wp:positionV>
            <wp:extent cx="7117715" cy="176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7715" cy="1765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-495935</wp:posOffset>
            </wp:positionV>
            <wp:extent cx="7117715"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-193040</wp:posOffset>
            </wp:positionV>
            <wp:extent cx="7117715" cy="176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7715" cy="17653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132</w:t>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N/M</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N/M</w:t>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163</w:t>
      </w: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17</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67</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w:t>
      </w:r>
    </w:p>
    <w:p>
      <w:pPr>
        <w:spacing w:after="0" w:line="902" w:lineRule="exact"/>
        <w:rPr>
          <w:sz w:val="20"/>
          <w:szCs w:val="20"/>
          <w:color w:val="auto"/>
        </w:rPr>
      </w:pPr>
    </w:p>
    <w:p>
      <w:pPr>
        <w:sectPr>
          <w:pgSz w:w="11900" w:h="16838" w:orient="portrait"/>
          <w:cols w:equalWidth="0" w:num="2">
            <w:col w:w="10160" w:space="700"/>
            <w:col w:w="380"/>
          </w:cols>
          <w:pgMar w:left="320" w:top="127" w:right="339" w:bottom="1440" w:gutter="0" w:footer="0" w:header="0"/>
          <w:type w:val="continuous"/>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recognized service revenue of $104.4 million for the nine months ended September 30, 2023, a 7% decrease compared to the nine months ended September 30, 2022 ($34.1 million for the third quarter of 2023, a 6% decrease compared to the third quarter of 2022). The decline in service revenue for the nine months ended September 30, 2023 is driven by lower revenue in both segments. Revenue was lower in the Servicer and Real Estate segment from the exit of a low margin customer care business in the fourth quarter 2022 and the apparent decline in a customer’s propensity to order services in two of our lower margin default related businesses. Revenue was lower in the Origination segment from the overall market decline in mortgage originations. The decline in service revenue for the three months ended September 30, 2023 is primarily driven by the apparent decline in a customer’s propensity to order services in two of our lower margin default related businesses, partially offset by growth in our foreclosure trustee business within the Servicer and Real Estate segment.</w:t>
      </w:r>
    </w:p>
    <w:p>
      <w:pPr>
        <w:spacing w:after="0" w:line="10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recognized reimbursable expense revenue of $6.4 million for the nine months ended September 30, 2023, a 4% increase compared to the nine months ended September 30, 2022 ($2.0 million for the third quarter of 2023, a 4% increase compared to the third quarter of 2022). The increase in reimbursable expenses for the nine months ended September 30, 2023 is primarily driven by an increase in property preservation services in the Solutions business within the Servicer and Real Estate segment partially offset by lower asset resolution and asset management activities in the Marketplace business within the Servicer and Real Estate segment. The increase in reimbursable expenses for the three months ended September 30, 2023 is primarily driven by an increase in asset resolution and asset management activities in the Marketplace business within the Servicer and Real Estate segment.</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and the rapid rise in mortgage interest rates, the seasonal impact to revenue may not follow historical patterns.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2"/>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76"/>
              <w:spacing w:after="0" w:line="130" w:lineRule="exact"/>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3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Outside fees and services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1,957</w:t>
            </w:r>
          </w:p>
        </w:tc>
        <w:tc>
          <w:tcPr>
            <w:tcW w:w="1100" w:type="dxa"/>
            <w:vAlign w:val="bottom"/>
            <w:gridSpan w:val="2"/>
          </w:tcPr>
          <w:p>
            <w:pPr>
              <w:jc w:val="right"/>
              <w:ind w:right="9"/>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recognized cost of revenue of $89.7 million for the nine months ended September 30, 2023, a 14% decrease compared to the nine months ended September 30, 2022 ($29.0 million for the third quarter of 2023, a 16% decrease compared to the third quarter of 2022). Compensation and benefits for the three and nine months ended September 30, 2023 decreased primarily due to efficiency initiatives and cost savings measures taken in 2022 and 2023. Technology and telecommunications for the three and nine months ended September 30, 2023 decreased primarily due to the renegotiation of certain contracts and lower overall headcount. Outside fees and services for the nine months ended September 30, 2023 increased primarily from growth of reseller products in the Origination segment, partially offset by lower costs in certain default related businesses from fewer orders in the Servicer and Real Estate segment. Outside fees and services for the three months ended September 30, 2023 decreased primarily from fewer orders in certain default related businesses in the Servicer and Real Estate segment. In addition, changes in reimbursable expenses for the three and nine months ended September 30, 2023 are consistent with the changes in reimbursable expense revenue discussed in the revenue section above.</w:t>
      </w:r>
    </w:p>
    <w:p>
      <w:pPr>
        <w:spacing w:after="0" w:line="3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Gross profit increased to $21.2 million, representing 20% of service revenue, for the nine months ended September 30, 2023 compared to $13.7 million, representing 12% of service revenue, for the nine months ended September 30, 2022 (increased to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$7.2 million, representing 21% of service revenue, for the third quarter of 2023, compared to $4.0 million, representing 11% of service revenue, for the third quarter of 2022). Gross profit as a percentage of service revenue for the three and nine months ended September 30, 2023 increased compared to the three and nine months ended September 30, 2022 primarily due to margin expansion in both the Servicer and Real Estate segment and the Origination segment from efficiency initiatives and lower corporate costs as a percentage of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(“SG&amp;A”) expenses includes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2"/>
              </w:rPr>
              <w:t>% Increase</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75"/>
              <w:spacing w:after="0" w:line="130" w:lineRule="exact"/>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4"/>
        </w:trPr>
        <w:tc>
          <w:tcPr>
            <w:tcW w:w="3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1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w:t>
            </w:r>
          </w:p>
        </w:tc>
        <w:tc>
          <w:tcPr>
            <w:tcW w:w="1100" w:type="dxa"/>
            <w:vAlign w:val="bottom"/>
            <w:gridSpan w:val="2"/>
          </w:tcPr>
          <w:p>
            <w:pPr>
              <w:jc w:val="right"/>
              <w:ind w:right="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3"/>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Selling, general and administrative expenses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SG&amp;A expenses for the nine months ended September 30, 2023 of $35.2 million decreased by 18% compared to the nine months ended September 30, 2022 ($10.7 million for the third quarter of 2023, a 26% decrease compared to the third quarter of 2022). The decrease for the three and nine months ended September 30, 2022 was primarily driven by lower compensation and benefits, professional services and marketing costs. Compensation and benefits and marketing costs for the three and nine months ended September 30, 2023 decreased from efficiency initiatives and cost savings measures. Professional services for the three and nine months ended September 30, 2023 decreased primarily due to lower legal and litigation fees.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6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Loss from operations for the nine months ended September 30, 2023 was $(13.9) million, representing (13)% of service revenue, compared to $(29.3) million, representing (26)% of service revenue, for the nine months ended September 30, 2022 (decreased to $(3.5) million, representing (10)% of service revenue, for the third quarter of 2023, compared to $(10.6) million representing (29)% of service revenue for the third quarter of 2022). Loss from operations as a percentage of service revenue improved for the three and nine months ended September 30, 2023 compared to the three and nine months ended September 30, 2022, primarily as a result of higher gross profit margins and the percentage reduction in SG&amp;A expenses in excess of the percentage change in revenue.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income (expense), net was $(26.5) million for the nine months ended September 30, 2023 compared to $(10.0) million for the nine months ended September 30, 2022 ($(7.3) million for the third quarter of 2023 and $(3.9) million for the third quarter of 2022). The change for the three and nine months ended September 30, 2023 was primarily driven by higher interest expense and debt amendment costs, partially offset by a gain on the change in fair value of the warrant liability and higher interest and other income. The higher interest expense was driven by higher interest rates, higher interest rates on our amended SSTL and higher amortization of debt discount and debt issuance and amendment costs.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recognized an income tax (provision) benefit of $(2.6) million and $(2.2) million for the nine months ended September 30, 2023 and 2022, respectively ($(0.4) million and $0.2 million for the third quarter of 2023 and 2022, respectively). The income tax (provision) benefit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 2023</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3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Servicer and Real</w:t>
            </w:r>
          </w:p>
        </w:tc>
        <w:tc>
          <w:tcPr>
            <w:tcW w:w="140" w:type="dxa"/>
            <w:vAlign w:val="bottom"/>
          </w:tcPr>
          <w:p>
            <w:pPr>
              <w:spacing w:after="0"/>
              <w:rPr>
                <w:sz w:val="11"/>
                <w:szCs w:val="11"/>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1"/>
                <w:szCs w:val="11"/>
                <w:color w:val="auto"/>
              </w:rPr>
            </w:pPr>
          </w:p>
        </w:tc>
        <w:tc>
          <w:tcPr>
            <w:tcW w:w="1200" w:type="dxa"/>
            <w:vAlign w:val="bottom"/>
          </w:tcPr>
          <w:p>
            <w:pPr>
              <w:jc w:val="center"/>
              <w:ind w:right="114"/>
              <w:spacing w:after="0" w:line="130"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Others</w:t>
            </w:r>
          </w:p>
        </w:tc>
        <w:tc>
          <w:tcPr>
            <w:tcW w:w="20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94"/>
        </w:trPr>
        <w:tc>
          <w:tcPr>
            <w:tcW w:w="5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gridSpan w:val="2"/>
          </w:tcPr>
          <w:p>
            <w:pPr>
              <w:ind w:left="12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26,900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34,112</w:t>
            </w:r>
          </w:p>
        </w:tc>
        <w:tc>
          <w:tcPr>
            <w:tcW w:w="0" w:type="dxa"/>
            <w:vAlign w:val="bottom"/>
          </w:tcPr>
          <w:p>
            <w:pPr>
              <w:spacing w:after="0"/>
              <w:rPr>
                <w:sz w:val="1"/>
                <w:szCs w:val="1"/>
                <w:color w:val="auto"/>
              </w:rPr>
            </w:pPr>
          </w:p>
        </w:tc>
      </w:tr>
      <w:tr>
        <w:trPr>
          <w:trHeight w:val="226"/>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7,511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36,213</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18,312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7,151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29,024</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25"/>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193"/>
        </w:trPr>
        <w:tc>
          <w:tcPr>
            <w:tcW w:w="5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320" w:type="dxa"/>
            <w:vAlign w:val="bottom"/>
            <w:gridSpan w:val="2"/>
          </w:tcPr>
          <w:p>
            <w:pPr>
              <w:ind w:left="40"/>
              <w:spacing w:after="0" w:line="173" w:lineRule="exact"/>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4"/>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74"/>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(17,849)</w:t>
            </w:r>
          </w:p>
        </w:tc>
        <w:tc>
          <w:tcPr>
            <w:tcW w:w="12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ind w:right="74"/>
              <w:spacing w:after="0"/>
              <w:rPr>
                <w:sz w:val="20"/>
                <w:szCs w:val="20"/>
                <w:color w:val="auto"/>
              </w:rPr>
            </w:pPr>
            <w:r>
              <w:rPr>
                <w:rFonts w:ascii="Arial" w:cs="Arial" w:eastAsia="Arial" w:hAnsi="Arial"/>
                <w:sz w:val="18"/>
                <w:szCs w:val="18"/>
                <w:color w:val="auto"/>
              </w:rPr>
              <w:t>(10,862)</w:t>
            </w:r>
          </w:p>
        </w:tc>
        <w:tc>
          <w:tcPr>
            <w:tcW w:w="0" w:type="dxa"/>
            <w:vAlign w:val="bottom"/>
          </w:tcPr>
          <w:p>
            <w:pPr>
              <w:spacing w:after="0"/>
              <w:rPr>
                <w:sz w:val="1"/>
                <w:szCs w:val="1"/>
                <w:color w:val="auto"/>
              </w:rPr>
            </w:pPr>
          </w:p>
        </w:tc>
      </w:tr>
      <w:tr>
        <w:trPr>
          <w:trHeight w:val="216"/>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 /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4"/>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 / service revenue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5"/>
        </w:trPr>
        <w:tc>
          <w:tcPr>
            <w:tcW w:w="522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2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 2022</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0"/>
                <w:szCs w:val="10"/>
                <w:color w:val="auto"/>
              </w:rPr>
            </w:pPr>
          </w:p>
        </w:tc>
        <w:tc>
          <w:tcPr>
            <w:tcW w:w="138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0"/>
              </w:rPr>
              <w:t>Servicer and Real</w:t>
            </w:r>
          </w:p>
        </w:tc>
        <w:tc>
          <w:tcPr>
            <w:tcW w:w="140" w:type="dxa"/>
            <w:vAlign w:val="bottom"/>
          </w:tcPr>
          <w:p>
            <w:pPr>
              <w:spacing w:after="0"/>
              <w:rPr>
                <w:sz w:val="10"/>
                <w:szCs w:val="10"/>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0"/>
                <w:szCs w:val="10"/>
                <w:color w:val="auto"/>
              </w:rPr>
            </w:pPr>
          </w:p>
        </w:tc>
        <w:tc>
          <w:tcPr>
            <w:tcW w:w="1200" w:type="dxa"/>
            <w:vAlign w:val="bottom"/>
          </w:tcPr>
          <w:p>
            <w:pPr>
              <w:jc w:val="center"/>
              <w:ind w:right="114"/>
              <w:spacing w:after="0" w:line="126"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6"/>
        </w:trPr>
        <w:tc>
          <w:tcPr>
            <w:tcW w:w="5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Others</w:t>
            </w:r>
          </w:p>
        </w:tc>
        <w:tc>
          <w:tcPr>
            <w:tcW w:w="200" w:type="dxa"/>
            <w:vAlign w:val="bottom"/>
          </w:tcPr>
          <w:p>
            <w:pPr>
              <w:spacing w:after="0"/>
              <w:rPr>
                <w:sz w:val="17"/>
                <w:szCs w:val="17"/>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87"/>
              </w:rPr>
              <w:t>Altisource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gridSpan w:val="2"/>
          </w:tcPr>
          <w:p>
            <w:pPr>
              <w:ind w:left="12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29,020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7,270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36,290</w:t>
            </w:r>
          </w:p>
        </w:tc>
        <w:tc>
          <w:tcPr>
            <w:tcW w:w="0" w:type="dxa"/>
            <w:vAlign w:val="bottom"/>
          </w:tcPr>
          <w:p>
            <w:pPr>
              <w:spacing w:after="0"/>
              <w:rPr>
                <w:sz w:val="1"/>
                <w:szCs w:val="1"/>
                <w:color w:val="auto"/>
              </w:rPr>
            </w:pPr>
          </w:p>
        </w:tc>
      </w:tr>
      <w:tr>
        <w:trPr>
          <w:trHeight w:val="226"/>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7,514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38,380</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22,082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7,654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34,387</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2,399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(10,563)</w:t>
            </w:r>
          </w:p>
        </w:tc>
        <w:tc>
          <w:tcPr>
            <w:tcW w:w="0" w:type="dxa"/>
            <w:vAlign w:val="bottom"/>
          </w:tcPr>
          <w:p>
            <w:pPr>
              <w:spacing w:after="0"/>
              <w:rPr>
                <w:sz w:val="1"/>
                <w:szCs w:val="1"/>
                <w:color w:val="auto"/>
              </w:rPr>
            </w:pPr>
          </w:p>
        </w:tc>
      </w:tr>
      <w:tr>
        <w:trPr>
          <w:trHeight w:val="225"/>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193"/>
        </w:trPr>
        <w:tc>
          <w:tcPr>
            <w:tcW w:w="5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32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4"/>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74"/>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(17,771)</w:t>
            </w:r>
          </w:p>
        </w:tc>
        <w:tc>
          <w:tcPr>
            <w:tcW w:w="12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ind w:right="74"/>
              <w:spacing w:after="0"/>
              <w:rPr>
                <w:sz w:val="20"/>
                <w:szCs w:val="20"/>
                <w:color w:val="auto"/>
              </w:rPr>
            </w:pPr>
            <w:r>
              <w:rPr>
                <w:rFonts w:ascii="Arial" w:cs="Arial" w:eastAsia="Arial" w:hAnsi="Arial"/>
                <w:sz w:val="18"/>
                <w:szCs w:val="18"/>
                <w:color w:val="auto"/>
              </w:rPr>
              <w:t>(14,453)</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 /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4"/>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 / service revenue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2023</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3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1"/>
              </w:rPr>
              <w:t>Servicer and Real</w:t>
            </w:r>
          </w:p>
        </w:tc>
        <w:tc>
          <w:tcPr>
            <w:tcW w:w="160" w:type="dxa"/>
            <w:vAlign w:val="bottom"/>
          </w:tcPr>
          <w:p>
            <w:pPr>
              <w:spacing w:after="0"/>
              <w:rPr>
                <w:sz w:val="11"/>
                <w:szCs w:val="11"/>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1"/>
              </w:rPr>
              <w:t>Corporate and</w:t>
            </w:r>
          </w:p>
        </w:tc>
        <w:tc>
          <w:tcPr>
            <w:tcW w:w="200" w:type="dxa"/>
            <w:vAlign w:val="bottom"/>
          </w:tcPr>
          <w:p>
            <w:pPr>
              <w:spacing w:after="0"/>
              <w:rPr>
                <w:sz w:val="11"/>
                <w:szCs w:val="11"/>
                <w:color w:val="auto"/>
              </w:rPr>
            </w:pPr>
          </w:p>
        </w:tc>
        <w:tc>
          <w:tcPr>
            <w:tcW w:w="1220" w:type="dxa"/>
            <w:vAlign w:val="bottom"/>
          </w:tcPr>
          <w:p>
            <w:pPr>
              <w:jc w:val="center"/>
              <w:ind w:right="114"/>
              <w:spacing w:after="0" w:line="130"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5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Estate</w:t>
            </w: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Others</w:t>
            </w:r>
          </w:p>
        </w:tc>
        <w:tc>
          <w:tcPr>
            <w:tcW w:w="200" w:type="dxa"/>
            <w:vAlign w:val="bottom"/>
          </w:tcPr>
          <w:p>
            <w:pPr>
              <w:spacing w:after="0"/>
              <w:rPr>
                <w:sz w:val="16"/>
                <w:szCs w:val="16"/>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4"/>
        </w:trPr>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81,579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22,777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104,356</w:t>
            </w:r>
          </w:p>
        </w:tc>
        <w:tc>
          <w:tcPr>
            <w:tcW w:w="0" w:type="dxa"/>
            <w:vAlign w:val="bottom"/>
          </w:tcPr>
          <w:p>
            <w:pPr>
              <w:spacing w:after="0"/>
              <w:rPr>
                <w:sz w:val="1"/>
                <w:szCs w:val="1"/>
                <w:color w:val="auto"/>
              </w:rPr>
            </w:pPr>
          </w:p>
        </w:tc>
      </w:tr>
      <w:tr>
        <w:trPr>
          <w:trHeight w:val="226"/>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87,495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110,909</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56,075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22,623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89,684</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31,420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21,225</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5,873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35,169</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(26,454)</w:t>
            </w:r>
          </w:p>
        </w:tc>
        <w:tc>
          <w:tcPr>
            <w:tcW w:w="0" w:type="dxa"/>
            <w:vAlign w:val="bottom"/>
          </w:tcPr>
          <w:p>
            <w:pPr>
              <w:spacing w:after="0"/>
              <w:rPr>
                <w:sz w:val="1"/>
                <w:szCs w:val="1"/>
                <w:color w:val="auto"/>
              </w:rPr>
            </w:pPr>
          </w:p>
        </w:tc>
      </w:tr>
      <w:tr>
        <w:trPr>
          <w:trHeight w:val="193"/>
        </w:trPr>
        <w:tc>
          <w:tcPr>
            <w:tcW w:w="5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34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4"/>
              <w:spacing w:after="0"/>
              <w:rPr>
                <w:sz w:val="20"/>
                <w:szCs w:val="20"/>
                <w:color w:val="auto"/>
              </w:rPr>
            </w:pPr>
            <w:r>
              <w:rPr>
                <w:rFonts w:ascii="Arial" w:cs="Arial" w:eastAsia="Arial" w:hAnsi="Arial"/>
                <w:sz w:val="18"/>
                <w:szCs w:val="18"/>
                <w:color w:val="auto"/>
              </w:rPr>
              <w:t>24,515</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94"/>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(59,831)</w:t>
            </w:r>
          </w:p>
        </w:tc>
        <w:tc>
          <w:tcPr>
            <w:tcW w:w="10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94"/>
              <w:spacing w:after="0"/>
              <w:rPr>
                <w:sz w:val="20"/>
                <w:szCs w:val="20"/>
                <w:color w:val="auto"/>
              </w:rPr>
            </w:pPr>
            <w:r>
              <w:rPr>
                <w:rFonts w:ascii="Arial" w:cs="Arial" w:eastAsia="Arial" w:hAnsi="Arial"/>
                <w:sz w:val="18"/>
                <w:szCs w:val="18"/>
                <w:color w:val="auto"/>
              </w:rPr>
              <w:t>(40,398)</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 /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4"/>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 / service revenue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5"/>
        </w:trPr>
        <w:tc>
          <w:tcPr>
            <w:tcW w:w="522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 2022</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0"/>
                <w:szCs w:val="10"/>
                <w:color w:val="auto"/>
              </w:rPr>
            </w:pPr>
          </w:p>
        </w:tc>
        <w:tc>
          <w:tcPr>
            <w:tcW w:w="13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Servicer and Real</w:t>
            </w:r>
          </w:p>
        </w:tc>
        <w:tc>
          <w:tcPr>
            <w:tcW w:w="160" w:type="dxa"/>
            <w:vAlign w:val="bottom"/>
          </w:tcPr>
          <w:p>
            <w:pPr>
              <w:spacing w:after="0"/>
              <w:rPr>
                <w:sz w:val="10"/>
                <w:szCs w:val="10"/>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Corporate and</w:t>
            </w:r>
          </w:p>
        </w:tc>
        <w:tc>
          <w:tcPr>
            <w:tcW w:w="200" w:type="dxa"/>
            <w:vAlign w:val="bottom"/>
          </w:tcPr>
          <w:p>
            <w:pPr>
              <w:spacing w:after="0"/>
              <w:rPr>
                <w:sz w:val="10"/>
                <w:szCs w:val="10"/>
                <w:color w:val="auto"/>
              </w:rPr>
            </w:pPr>
          </w:p>
        </w:tc>
        <w:tc>
          <w:tcPr>
            <w:tcW w:w="1220" w:type="dxa"/>
            <w:vAlign w:val="bottom"/>
          </w:tcPr>
          <w:p>
            <w:pPr>
              <w:jc w:val="center"/>
              <w:ind w:right="114"/>
              <w:spacing w:after="0" w:line="126" w:lineRule="exact"/>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Estate</w:t>
            </w: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Others</w:t>
            </w:r>
          </w:p>
        </w:tc>
        <w:tc>
          <w:tcPr>
            <w:tcW w:w="20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12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85,601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26,090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111,691</w:t>
            </w:r>
          </w:p>
        </w:tc>
        <w:tc>
          <w:tcPr>
            <w:tcW w:w="0" w:type="dxa"/>
            <w:vAlign w:val="bottom"/>
          </w:tcPr>
          <w:p>
            <w:pPr>
              <w:spacing w:after="0"/>
              <w:rPr>
                <w:sz w:val="1"/>
                <w:szCs w:val="1"/>
                <w:color w:val="auto"/>
              </w:rPr>
            </w:pPr>
          </w:p>
        </w:tc>
      </w:tr>
      <w:tr>
        <w:trPr>
          <w:trHeight w:val="226"/>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91,349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118,317</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64,235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26,206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104,611</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27,114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13,706</w:t>
            </w:r>
          </w:p>
        </w:tc>
        <w:tc>
          <w:tcPr>
            <w:tcW w:w="0" w:type="dxa"/>
            <w:vAlign w:val="bottom"/>
          </w:tcPr>
          <w:p>
            <w:pPr>
              <w:spacing w:after="0"/>
              <w:rPr>
                <w:sz w:val="1"/>
                <w:szCs w:val="1"/>
                <w:color w:val="auto"/>
              </w:rPr>
            </w:pPr>
          </w:p>
        </w:tc>
      </w:tr>
      <w:tr>
        <w:trPr>
          <w:trHeight w:val="225"/>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6,739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43,055</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(29,349)</w:t>
            </w: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(10,047)</w:t>
            </w:r>
          </w:p>
        </w:tc>
        <w:tc>
          <w:tcPr>
            <w:tcW w:w="0" w:type="dxa"/>
            <w:vAlign w:val="bottom"/>
          </w:tcPr>
          <w:p>
            <w:pPr>
              <w:spacing w:after="0"/>
              <w:rPr>
                <w:sz w:val="1"/>
                <w:szCs w:val="1"/>
                <w:color w:val="auto"/>
              </w:rPr>
            </w:pPr>
          </w:p>
        </w:tc>
      </w:tr>
      <w:tr>
        <w:trPr>
          <w:trHeight w:val="193"/>
        </w:trPr>
        <w:tc>
          <w:tcPr>
            <w:tcW w:w="5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34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4"/>
              <w:spacing w:after="0"/>
              <w:rPr>
                <w:sz w:val="20"/>
                <w:szCs w:val="20"/>
                <w:color w:val="auto"/>
              </w:rPr>
            </w:pPr>
            <w:r>
              <w:rPr>
                <w:rFonts w:ascii="Arial" w:cs="Arial" w:eastAsia="Arial" w:hAnsi="Arial"/>
                <w:sz w:val="18"/>
                <w:szCs w:val="18"/>
                <w:color w:val="auto"/>
              </w:rPr>
              <w:t>17,891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94"/>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(51,310)</w:t>
            </w:r>
          </w:p>
        </w:tc>
        <w:tc>
          <w:tcPr>
            <w:tcW w:w="10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94"/>
              <w:spacing w:after="0"/>
              <w:rPr>
                <w:sz w:val="20"/>
                <w:szCs w:val="20"/>
                <w:color w:val="auto"/>
              </w:rPr>
            </w:pPr>
            <w:r>
              <w:rPr>
                <w:rFonts w:ascii="Arial" w:cs="Arial" w:eastAsia="Arial" w:hAnsi="Arial"/>
                <w:sz w:val="18"/>
                <w:szCs w:val="18"/>
                <w:color w:val="auto"/>
              </w:rPr>
              <w:t>(39,396)</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 / 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4"/>
        </w:trPr>
        <w:tc>
          <w:tcPr>
            <w:tcW w:w="53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 / service revenue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and Real Estate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4"/>
        </w:trPr>
        <w:tc>
          <w:tcPr>
            <w:tcW w:w="3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Solutions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16,744</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50,420</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1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SaaS Products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11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Solutions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1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3580" w:type="dxa"/>
            <w:vAlign w:val="bottom"/>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recognized service revenue of $81.6 million for the nine months ended September 30, 2023, a 5% decrease compared to the nine months ended September 30, 2022 ($26.9 million for the third quarter of 2023, a 7% decrease compared to the third quarter of 2022). We also recognized reimbursable expense revenue of $5.9 million for the nine months ended September 30, 2023, a 3% increase compared to the nine months ended September 30, 2022 ($1.8 million for the third quarter of 2023, a 2% decrease compared to the third quarter of 2022). The decrease in service revenue for the nine months ended September 30, 2023 was driven by the exit of a low margin customer care business in the fourth quarter 2022 and the apparent decline in a customer’s propensity to order services in two of our lower margin businesses within our Solutions business. The decline in service revenue for the three months ended September 30, 2023 is primarily driven by the apparent decline in a customer’s propensity to order services in two of our lower margin businesses within our Solutions business, partially offset by growth in our foreclosure trustee business in the Solutions business within the Servicer and Real Estate segment.</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pandemic and related measures and the rapid rise in mortgage interest rates the seasonal impact to revenue may not follow historical patterns.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6"/>
              <w:spacing w:after="0" w:line="157" w:lineRule="exact"/>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6"/>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3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Outside fees and services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Cost of revenue for the nine months ended September 30, 2023 of $56.1 million decreased by 13% compared to the nine months ended September 30, 2022 ($18.3 million for the third quarter of 2023, a 17% decrease compared to the third quarter of 2022). The decrease in cost of revenue for the nine months ended September 30, 2023 is primarily driven by lower compensation and benefits primarily due to cost savings initiatives, outside fees and services from lower revenue and lower technology and telecommunications due to a change in the terms of a vendor agreement for property management technologies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Solutions business within the Servicer and Real Estate segment and other cost savings initiatives. The decrease in cost of revenue for the three months ended September 30, 2023 is driven by a decrease in outside fees and services from lower revenue and lower compensation and benefits primarily due to cost savings initiatives.</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Gross profit increased to $31.4 million, representing 39% of service revenue, for the nine months ended September 30, 2023 compared to $27.1 million, representing 32% of service revenue, for the nine months ended September 30, 2022 (increased to $10.4 million, representing 39% of service revenue, for the third quarter of 2023, compared to $8.8 million, representing 30% of service revenue, for the third quarter of 2022). Gross profit as a percentage of service revenue for the three and nine months ended September 30, 2023 increased primarily due to efficiency initiatives and cost savings measures. Our margins can vary substantially depending upon the service revenue mix.</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80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85"/>
              </w:rPr>
              <w:t>(decrease)</w:t>
            </w:r>
          </w:p>
        </w:tc>
        <w:tc>
          <w:tcPr>
            <w:tcW w:w="0" w:type="dxa"/>
            <w:vAlign w:val="bottom"/>
          </w:tcPr>
          <w:p>
            <w:pPr>
              <w:spacing w:after="0"/>
              <w:rPr>
                <w:sz w:val="1"/>
                <w:szCs w:val="1"/>
                <w:color w:val="auto"/>
              </w:rPr>
            </w:pPr>
          </w:p>
        </w:tc>
      </w:tr>
      <w:tr>
        <w:trPr>
          <w:trHeight w:val="194"/>
        </w:trPr>
        <w:tc>
          <w:tcPr>
            <w:tcW w:w="3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1,885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415"/>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Marketing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415"/>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415"/>
              <w:spacing w:after="0"/>
              <w:rPr>
                <w:sz w:val="20"/>
                <w:szCs w:val="20"/>
                <w:color w:val="auto"/>
              </w:rPr>
            </w:pPr>
            <w:r>
              <w:rPr>
                <w:rFonts w:ascii="Arial" w:cs="Arial" w:eastAsia="Arial" w:hAnsi="Arial"/>
                <w:sz w:val="18"/>
                <w:szCs w:val="18"/>
                <w:color w:val="auto"/>
                <w:w w:val="87"/>
              </w:rPr>
              <w:t>(80)</w:t>
            </w: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(64)</w:t>
            </w:r>
          </w:p>
        </w:tc>
        <w:tc>
          <w:tcPr>
            <w:tcW w:w="0" w:type="dxa"/>
            <w:vAlign w:val="bottom"/>
          </w:tcPr>
          <w:p>
            <w:pPr>
              <w:spacing w:after="0"/>
              <w:rPr>
                <w:sz w:val="1"/>
                <w:szCs w:val="1"/>
                <w:color w:val="auto"/>
              </w:rPr>
            </w:pPr>
          </w:p>
        </w:tc>
      </w:tr>
      <w:tr>
        <w:trPr>
          <w:trHeight w:val="193"/>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Selling, general and administrative expenses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6,905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415"/>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SG&amp;A for the nine months ended September 30, 2023 of $6.9 million decreased by 25% compared to the nine months ended September 30, 2022 ($2.0 million for the third quarter of 2023, a 33% decrease compared to the third quarter of 2022). The decrease in SG&amp;A for the three and nine months ended September 30, 2023 is primarily due to lower professional services, marketing costs, compensation and benefits, occupancy related costs and Other expenses. Professional services for the nine months ended September 30, 2023 decreased primarily due to certain non-recurring expenses incurred in the first quarter of 2022. Compensation and benefits, occupancy related costs, marketing costs and Other expenses for the three and nine months ended September 30, 2023 decreased from efficiency and cost reduction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Income from operations increased to $24.5 million, representing 30% of service revenue, for the nine months ended September 30, 2023 compared to $17.9 million, representing 21% of service revenue, for the nine months ended September 30, 2022 (decreased to $8.4 million, representing 31% of service revenue, for the third quarter of 2023, compared to $5.9 million, representing 20% of service revenue for the third quarter of 2022). The increase in operating income as a percentage of service revenue for the three and nine months ended September 30, 2023 is primarily the result of higher gross profit margins and a percentage reduction in SG&amp;A in excess of the percentage reduction in revenue.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85"/>
              </w:rPr>
              <w:t>(decrease)</w:t>
            </w:r>
          </w:p>
        </w:tc>
        <w:tc>
          <w:tcPr>
            <w:tcW w:w="0" w:type="dxa"/>
            <w:vAlign w:val="bottom"/>
          </w:tcPr>
          <w:p>
            <w:pPr>
              <w:spacing w:after="0"/>
              <w:rPr>
                <w:sz w:val="1"/>
                <w:szCs w:val="1"/>
                <w:color w:val="auto"/>
              </w:rPr>
            </w:pPr>
          </w:p>
        </w:tc>
      </w:tr>
      <w:tr>
        <w:trPr>
          <w:trHeight w:val="194"/>
        </w:trPr>
        <w:tc>
          <w:tcPr>
            <w:tcW w:w="3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140"/>
              <w:spacing w:after="0"/>
              <w:rPr>
                <w:sz w:val="20"/>
                <w:szCs w:val="20"/>
                <w:color w:val="auto"/>
              </w:rPr>
            </w:pPr>
            <w:r>
              <w:rPr>
                <w:rFonts w:ascii="Arial" w:cs="Arial" w:eastAsia="Arial" w:hAnsi="Arial"/>
                <w:sz w:val="18"/>
                <w:szCs w:val="18"/>
                <w:color w:val="auto"/>
              </w:rPr>
              <w:t>Lenders One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4,962</w:t>
            </w: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18,028</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435"/>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Solutions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SaaS Products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ind w:left="415"/>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Solutions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10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ind w:left="435"/>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reimbursable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1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(67)</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415"/>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recognized service revenue of $22.8 million for the nine months ended September 30, 2023, a 13% decrease compared to the nine months ended September 30, 2022 ($7.2 million for the third quarter of 2023, a 1% decrease compared to the third quarter of 2022). We also recognized reimbursable expense revenue of $0.5 million for the nine months ended September 30, 2023, a 18% increase compared to the nine months ended September 30, 2022 ($0.2 million for the third quarter of 2023, a 114% increase compared to the third quarter of 2022). The decrease in service revenue in the Origination segment for the three and nine months ended September 30, 2023 is primarily driven by the overall market decline in mortgage originations partially offset by Lenders One growth with our new reseller products. The decline in the Solutions business revenue was greater than the overall market decline as a greater percentage of revenue in some of our Solutions businesses was derived from refinance transactions which declined at a greater rate than the overall market.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40" w:type="dxa"/>
            <w:vAlign w:val="bottom"/>
            <w:gridSpan w:val="6"/>
          </w:tcPr>
          <w:p>
            <w:pPr>
              <w:ind w:left="560"/>
              <w:spacing w:after="0"/>
              <w:rPr>
                <w:sz w:val="20"/>
                <w:szCs w:val="20"/>
                <w:color w:val="auto"/>
              </w:rPr>
            </w:pPr>
            <w:r>
              <w:rPr>
                <w:rFonts w:ascii="Arial" w:cs="Arial" w:eastAsia="Arial" w:hAnsi="Arial"/>
                <w:sz w:val="14"/>
                <w:szCs w:val="14"/>
                <w:b w:val="1"/>
                <w:bCs w:val="1"/>
                <w:color w:val="auto"/>
                <w:w w:val="89"/>
              </w:rPr>
              <w:t>Nine months ended September 30,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6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3"/>
                <w:szCs w:val="13"/>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76"/>
              <w:spacing w:after="0" w:line="157" w:lineRule="exact"/>
              <w:rPr>
                <w:sz w:val="20"/>
                <w:szCs w:val="20"/>
                <w:color w:val="auto"/>
              </w:rPr>
            </w:pPr>
            <w:r>
              <w:rPr>
                <w:rFonts w:ascii="Arial" w:cs="Arial" w:eastAsia="Arial" w:hAnsi="Arial"/>
                <w:sz w:val="14"/>
                <w:szCs w:val="14"/>
                <w:b w:val="1"/>
                <w:bCs w:val="1"/>
                <w:color w:val="auto"/>
                <w:w w:val="90"/>
              </w:rPr>
              <w:t>% Increase</w:t>
            </w:r>
          </w:p>
        </w:tc>
        <w:tc>
          <w:tcPr>
            <w:tcW w:w="0" w:type="dxa"/>
            <w:vAlign w:val="bottom"/>
          </w:tcPr>
          <w:p>
            <w:pPr>
              <w:spacing w:after="0"/>
              <w:rPr>
                <w:sz w:val="1"/>
                <w:szCs w:val="1"/>
                <w:color w:val="auto"/>
              </w:rPr>
            </w:pPr>
          </w:p>
        </w:tc>
      </w:tr>
      <w:tr>
        <w:trPr>
          <w:trHeight w:val="196"/>
        </w:trPr>
        <w:tc>
          <w:tcPr>
            <w:tcW w:w="3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16"/>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3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Outside fees and services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1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6"/>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1100" w:type="dxa"/>
            <w:vAlign w:val="bottom"/>
            <w:gridSpan w:val="2"/>
          </w:tcPr>
          <w:p>
            <w:pPr>
              <w:jc w:val="right"/>
              <w:ind w:right="9"/>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revenue for the nine months ended September 30, 2023 of $22.6 million decreased by 14% compared to the nine months ended September 30, 2022 ($7.2 million for the third quarter of 2023, a 7% decrease compared to the third quarter of 2022). The decrease in cost of revenue for the three and nine months ended September 30, 2023 was primarily driven by the alignment of compensation and benefits with lower service revenue discussed above, partially offset by an increase in outside fees and services from growth in sales of certain Lenders One reseller solutions.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to $0.8 million, representing 3% of service revenue, for the nine months ended September 30, 2023 compared to $0.8 million, representing 3% of service revenue, for the nine months ended September 30, 2022 (increased to $0.4 million, representing 5% of service revenue, for the third quarter of 2023, compared to $(0.1) million, representing (2)% of</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revenue for the third quarter of 2022). Gross profit as a percentage of service revenue for the three months ended September 30, 2022 increased from margin expansion from efficiency initiatives and cost savings measures.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4"/>
        </w:trPr>
        <w:tc>
          <w:tcPr>
            <w:tcW w:w="3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1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w:t>
            </w:r>
          </w:p>
        </w:tc>
        <w:tc>
          <w:tcPr>
            <w:tcW w:w="1100" w:type="dxa"/>
            <w:vAlign w:val="bottom"/>
            <w:gridSpan w:val="2"/>
          </w:tcPr>
          <w:p>
            <w:pPr>
              <w:jc w:val="right"/>
              <w:ind w:right="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1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Marketing costs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w:t>
            </w:r>
          </w:p>
        </w:tc>
        <w:tc>
          <w:tcPr>
            <w:tcW w:w="1100" w:type="dxa"/>
            <w:vAlign w:val="bottom"/>
            <w:gridSpan w:val="2"/>
          </w:tcPr>
          <w:p>
            <w:pPr>
              <w:jc w:val="center"/>
              <w:ind w:left="652"/>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1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center"/>
              <w:ind w:left="443"/>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3"/>
        </w:trPr>
        <w:tc>
          <w:tcPr>
            <w:tcW w:w="3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w w:val="99"/>
              </w:rPr>
              <w:t>Selling, general and administrative expenses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100" w:type="dxa"/>
            <w:vAlign w:val="bottom"/>
            <w:gridSpan w:val="2"/>
          </w:tcPr>
          <w:p>
            <w:pPr>
              <w:jc w:val="center"/>
              <w:ind w:left="652"/>
              <w:spacing w:after="0"/>
              <w:rPr>
                <w:sz w:val="20"/>
                <w:szCs w:val="20"/>
                <w:color w:val="auto"/>
              </w:rPr>
            </w:pPr>
            <w:r>
              <w:rPr>
                <w:rFonts w:ascii="Arial" w:cs="Arial" w:eastAsia="Arial" w:hAnsi="Arial"/>
                <w:sz w:val="18"/>
                <w:szCs w:val="18"/>
                <w:color w:val="auto"/>
                <w:w w:val="87"/>
              </w:rPr>
              <w:t>(25)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w w:val="92"/>
              </w:rPr>
              <w:t>_____________________________________</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5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SG&amp;A for the nine months ended September 30, 2023 of $5.9 million decreased by 13% compared to the nine months ended September 30, 2022 ($1.8 million for the third quarter of 2023, decreased by 25% compared to the third quarter of 2022). The decrease in SG&amp;A for the nine months ended September 30, 2023 is primarily due to lower marketing costs and compensation and benefits from efficiency and cost reduction measures and lower occupancy related costs partially offset by non-recurring professional services expenses for the first nine months of 2023 of $0.4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Loss from operations decreased to $(5.1) million, representing (22)% of service revenue, for the nine months ended September 30, 2023 compared to $(6.0) million, representing (23)% of service revenue, for the nine months ended September 30, 2022 (decreased to $(1.4) million, representing (20)% of service revenue for the third quarter of 2023, compared to $(2.5) million, representing (35)% of service revenue for the third quarter of 2022). The improvement in operating loss as a percentage of service revenue for the nine months ended September 30, 2023 is primarily from a greater percentage reduction in SG&amp;A expenses than the percentage change in revenue. The improvement in operating loss as a percentage of service revenue for the three months ended September 30, 2023 is primarily from higher gross profit margins and from a greater percentage reduction in SG&amp;A expenses than the percentage change in revenue.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8"/>
              <w:spacing w:after="0" w:line="157" w:lineRule="exact"/>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6"/>
        </w:trPr>
        <w:tc>
          <w:tcPr>
            <w:tcW w:w="3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8"/>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3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for the nine months ended September 30, 2023 of $11.0 million decreased by 22% compared to the nine months ended September 30, 2022 ($3.6 million for the third quarter of 2023, a 23% decrease compared to the third quarter of</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2022). The decrease in cost of revenue for the three and nine months ended September 30, 2023 is primarily driven by lower technology and telecommunications and compensation and benefits due to efficiency initiatives and cost savings initiatives.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gridSpan w:val="7"/>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620" w:type="dxa"/>
            <w:vAlign w:val="bottom"/>
            <w:gridSpan w:val="6"/>
          </w:tcPr>
          <w:p>
            <w:pPr>
              <w:ind w:left="560"/>
              <w:spacing w:after="0"/>
              <w:rPr>
                <w:sz w:val="20"/>
                <w:szCs w:val="20"/>
                <w:color w:val="auto"/>
              </w:rPr>
            </w:pPr>
            <w:r>
              <w:rPr>
                <w:rFonts w:ascii="Arial" w:cs="Arial" w:eastAsia="Arial" w:hAnsi="Arial"/>
                <w:sz w:val="14"/>
                <w:szCs w:val="14"/>
                <w:b w:val="1"/>
                <w:bCs w:val="1"/>
                <w:color w:val="auto"/>
                <w:w w:val="88"/>
              </w:rPr>
              <w:t>Nine months ended September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3"/>
                <w:szCs w:val="13"/>
                <w:color w:val="auto"/>
              </w:rPr>
            </w:pPr>
          </w:p>
        </w:tc>
        <w:tc>
          <w:tcPr>
            <w:tcW w:w="9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(decrease)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4"/>
        </w:trPr>
        <w:tc>
          <w:tcPr>
            <w:tcW w:w="3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1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1,877</w:t>
            </w:r>
          </w:p>
        </w:tc>
        <w:tc>
          <w:tcPr>
            <w:tcW w:w="1100" w:type="dxa"/>
            <w:vAlign w:val="bottom"/>
            <w:gridSpan w:val="2"/>
          </w:tcPr>
          <w:p>
            <w:pPr>
              <w:jc w:val="center"/>
              <w:ind w:left="652"/>
              <w:spacing w:after="0"/>
              <w:rPr>
                <w:sz w:val="20"/>
                <w:szCs w:val="20"/>
                <w:color w:val="auto"/>
              </w:rPr>
            </w:pPr>
            <w:r>
              <w:rPr>
                <w:rFonts w:ascii="Arial" w:cs="Arial" w:eastAsia="Arial" w:hAnsi="Arial"/>
                <w:sz w:val="18"/>
                <w:szCs w:val="18"/>
                <w:color w:val="auto"/>
                <w:w w:val="87"/>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1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1100" w:type="dxa"/>
            <w:vAlign w:val="bottom"/>
            <w:gridSpan w:val="2"/>
          </w:tcPr>
          <w:p>
            <w:pPr>
              <w:jc w:val="center"/>
              <w:ind w:left="652"/>
              <w:spacing w:after="0"/>
              <w:rPr>
                <w:sz w:val="20"/>
                <w:szCs w:val="20"/>
                <w:color w:val="auto"/>
              </w:rPr>
            </w:pPr>
            <w:r>
              <w:rPr>
                <w:rFonts w:ascii="Arial" w:cs="Arial" w:eastAsia="Arial" w:hAnsi="Arial"/>
                <w:sz w:val="18"/>
                <w:szCs w:val="18"/>
                <w:color w:val="auto"/>
                <w:w w:val="87"/>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87"/>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100" w:type="dxa"/>
            <w:vAlign w:val="bottom"/>
            <w:tcBorders>
              <w:bottom w:val="single" w:sz="8" w:color="CCEEFF"/>
            </w:tcBorders>
            <w:gridSpan w:val="2"/>
          </w:tcPr>
          <w:p>
            <w:pPr>
              <w:jc w:val="center"/>
              <w:ind w:left="652"/>
              <w:spacing w:after="0"/>
              <w:rPr>
                <w:sz w:val="20"/>
                <w:szCs w:val="20"/>
                <w:color w:val="auto"/>
              </w:rPr>
            </w:pPr>
            <w:r>
              <w:rPr>
                <w:rFonts w:ascii="Arial" w:cs="Arial" w:eastAsia="Arial" w:hAnsi="Arial"/>
                <w:sz w:val="18"/>
                <w:szCs w:val="18"/>
                <w:color w:val="auto"/>
                <w:w w:val="87"/>
              </w:rPr>
              <w:t>(30)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3"/>
        </w:trPr>
        <w:tc>
          <w:tcPr>
            <w:tcW w:w="3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tcPr>
          <w:p>
            <w:pPr>
              <w:ind w:left="20"/>
              <w:spacing w:after="0"/>
              <w:rPr>
                <w:sz w:val="20"/>
                <w:szCs w:val="20"/>
                <w:color w:val="auto"/>
              </w:rPr>
            </w:pPr>
            <w:r>
              <w:rPr>
                <w:rFonts w:ascii="Arial" w:cs="Arial" w:eastAsia="Arial" w:hAnsi="Arial"/>
                <w:sz w:val="18"/>
                <w:szCs w:val="18"/>
                <w:color w:val="auto"/>
                <w:w w:val="99"/>
              </w:rPr>
              <w:t>Selling, general and administrative expenses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9,226</w:t>
            </w:r>
          </w:p>
        </w:tc>
        <w:tc>
          <w:tcPr>
            <w:tcW w:w="1100" w:type="dxa"/>
            <w:vAlign w:val="bottom"/>
            <w:gridSpan w:val="2"/>
          </w:tcPr>
          <w:p>
            <w:pPr>
              <w:jc w:val="center"/>
              <w:ind w:left="652"/>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SG&amp;A for the nine months ended September 30, 2023 of $22.4 million decreased by 17% compared to the nine months ended September 30, 2022 ($7.0 million for the third quarter of 2023, a 24% decrease compared to third quarter of 2022). The decrease for the three and nine months ended September 30, 2023 is primarily driven by lower compensation and benefits, professional services and Other expenses. The decrease for the three and nine months ended September 30, 2023 in compensation and benefits was driven by lower cash incentive compensation accruals, efficiency initiatives and cost savings measures. Professional services for the three and nine months ended September 30, 2023 decreased due to lower insurance, legal and audit related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Other income (expense), net was $(26.5) million for the nine months ended September 30, 2023 compared to $(10.0) million for the nine months ended September 30, 2022 ($(7.3) million for the third quarter of 2023 and $(3.9) million for the third quarter of 2022). The change for the three and nine months ended September 30, 2023 was primarily driven by higher interest expense and debt amendment costs, partially offset by a gain on the change in fair value of the warrant liability and higher interest and other income. The higher interest expense was driven by higher interest rates, higher interest rates on our amended SSTL and higher amortization of debt discount and debt issuance and amendment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Our primary source of liquidity has historically been cash flow from operations, cash proceeds from sales of businesses, cash proceeds from the sale of equity securities and cash on hand. However, due to governmental and market responses to the COVID-19 pandemic, revenue has declined significantly. The lower revenue, partially offset by cost savings initiatives, resulted in negative operating cash flow from operations for the nine months ended September 30, 2023 and 2022. We believe our anticipated revenue growth from the return of the default market, on-boarding sales wins, and revenue mix together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sale of equity securities or other similar actions that are aligned with our strategy.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Loans</w:t>
      </w:r>
    </w:p>
    <w:p>
      <w:pPr>
        <w:spacing w:after="0" w:line="16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maturity date of the SSTL under the Amended Credit Agreement is April 30, 2025. If Aggregate Paydowns are equal to or greater than $30 million, then (subject to the representations and warranties being true and correct as of such date and there being no default or event of default being in existence as of such date) the maturity date of the SSTL may be extended at the Company’s option to April 30, 2026. Such extension is conditioned upon the Company’s payment of a 2% payment-in-kind extension fee on or before April 30, 2025.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Company made $30 million of Aggregate Paydowns.</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35" w:lineRule="exact"/>
        <w:rPr>
          <w:sz w:val="20"/>
          <w:szCs w:val="20"/>
          <w:color w:val="auto"/>
        </w:rPr>
      </w:pPr>
    </w:p>
    <w:p>
      <w:pPr>
        <w:jc w:val="both"/>
        <w:ind w:right="80"/>
        <w:spacing w:after="0" w:line="306" w:lineRule="auto"/>
        <w:rPr>
          <w:sz w:val="20"/>
          <w:szCs w:val="20"/>
          <w:color w:val="auto"/>
        </w:rPr>
      </w:pPr>
      <w:r>
        <w:rPr>
          <w:rFonts w:ascii="Arial" w:cs="Arial" w:eastAsia="Arial" w:hAnsi="Arial"/>
          <w:sz w:val="15"/>
          <w:szCs w:val="15"/>
          <w:color w:val="auto"/>
        </w:rPr>
        <w:t>Through March 29, 2023, the SSTL’s interest rate was the Adjusted Eurodollar Rate plus 4.00%. Beginning March 30, 2023, the SSTL bears interest at rates based upon, at our option, the Secured Overnight Financing Rate (“SOFR”) or the Base Rate. If the Company selects SOFR, the term loans initially bear interest at a rate per annum equal to SOFR plus 5.00% payable in cash plus 5.00% payable in kind (“PIK”). If the Company selects Base Rate, the loans initially bear interest at a rate per annum equal to the Base Rate plus 4.00% payable in cash plus 5.00% PIK. Base Rate term loans bear interest at a rate per annum equal to the sum of (i) the greater of (x) the Base Rate and (y) 2.00% plus (ii) 4.00%. The PIK component of the interest rate is subject to adjustment based on the amount of Aggregate Paydowns as set forth in the table below. The PIK component of the interest rate was 3.75% for the three months ended September 30, 2023 and 4.50% for the three months ended June 30, 2023. The interest rate as of September 30, 2023 was 14.09%.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ind w:left="3940"/>
              <w:spacing w:after="0"/>
              <w:rPr>
                <w:sz w:val="20"/>
                <w:szCs w:val="20"/>
                <w:color w:val="auto"/>
              </w:rPr>
            </w:pPr>
            <w:r>
              <w:rPr>
                <w:rFonts w:ascii="Arial" w:cs="Arial" w:eastAsia="Arial" w:hAnsi="Arial"/>
                <w:sz w:val="14"/>
                <w:szCs w:val="14"/>
                <w:b w:val="1"/>
                <w:bCs w:val="1"/>
                <w:color w:val="auto"/>
                <w:w w:val="99"/>
              </w:rPr>
              <w:t>Aggregate Paydowns</w:t>
            </w:r>
          </w:p>
        </w:tc>
        <w:tc>
          <w:tcPr>
            <w:tcW w:w="5860" w:type="dxa"/>
            <w:vAlign w:val="bottom"/>
            <w:gridSpan w:val="2"/>
          </w:tcPr>
          <w:p>
            <w:pPr>
              <w:jc w:val="center"/>
              <w:ind w:left="3613"/>
              <w:spacing w:after="0"/>
              <w:rPr>
                <w:sz w:val="20"/>
                <w:szCs w:val="20"/>
                <w:color w:val="auto"/>
              </w:rPr>
            </w:pPr>
            <w:r>
              <w:rPr>
                <w:rFonts w:ascii="Arial" w:cs="Arial" w:eastAsia="Arial" w:hAnsi="Arial"/>
                <w:sz w:val="14"/>
                <w:szCs w:val="14"/>
                <w:b w:val="1"/>
                <w:bCs w:val="1"/>
                <w:color w:val="auto"/>
                <w:w w:val="92"/>
              </w:rPr>
              <w:t>PIK Component of Interest Rate</w:t>
            </w:r>
          </w:p>
        </w:tc>
      </w:tr>
      <w:tr>
        <w:trPr>
          <w:trHeight w:val="24"/>
        </w:trPr>
        <w:tc>
          <w:tcPr>
            <w:tcW w:w="538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2"/>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$20 million</w:t>
            </w:r>
          </w:p>
        </w:tc>
        <w:tc>
          <w:tcPr>
            <w:tcW w:w="5780" w:type="dxa"/>
            <w:vAlign w:val="bottom"/>
            <w:shd w:val="clear" w:color="auto" w:fill="CCEEFF"/>
          </w:tcPr>
          <w:p>
            <w:pPr>
              <w:jc w:val="center"/>
              <w:ind w:left="3673"/>
              <w:spacing w:after="0"/>
              <w:rPr>
                <w:sz w:val="20"/>
                <w:szCs w:val="20"/>
                <w:color w:val="auto"/>
              </w:rPr>
            </w:pPr>
            <w:r>
              <w:rPr>
                <w:rFonts w:ascii="Arial" w:cs="Arial" w:eastAsia="Arial" w:hAnsi="Arial"/>
                <w:sz w:val="18"/>
                <w:szCs w:val="18"/>
                <w:color w:val="auto"/>
                <w:w w:val="90"/>
              </w:rPr>
              <w:t>5.00%</w:t>
            </w:r>
          </w:p>
        </w:tc>
        <w:tc>
          <w:tcPr>
            <w:tcW w:w="80" w:type="dxa"/>
            <w:vAlign w:val="bottom"/>
          </w:tcPr>
          <w:p>
            <w:pPr>
              <w:spacing w:after="0"/>
              <w:rPr>
                <w:sz w:val="20"/>
                <w:szCs w:val="20"/>
                <w:color w:val="auto"/>
              </w:rPr>
            </w:pPr>
          </w:p>
        </w:tc>
      </w:tr>
      <w:tr>
        <w:trPr>
          <w:trHeight w:val="231"/>
        </w:trPr>
        <w:tc>
          <w:tcPr>
            <w:tcW w:w="5380" w:type="dxa"/>
            <w:vAlign w:val="bottom"/>
          </w:tcPr>
          <w:p>
            <w:pPr>
              <w:ind w:left="20"/>
              <w:spacing w:after="0"/>
              <w:rPr>
                <w:sz w:val="20"/>
                <w:szCs w:val="20"/>
                <w:color w:val="auto"/>
              </w:rPr>
            </w:pPr>
            <w:r>
              <w:rPr>
                <w:rFonts w:ascii="Arial" w:cs="Arial" w:eastAsia="Arial" w:hAnsi="Arial"/>
                <w:sz w:val="18"/>
                <w:szCs w:val="18"/>
                <w:color w:val="auto"/>
              </w:rPr>
              <w:t>$20 million+ but less than below</w:t>
            </w:r>
          </w:p>
        </w:tc>
        <w:tc>
          <w:tcPr>
            <w:tcW w:w="5780" w:type="dxa"/>
            <w:vAlign w:val="bottom"/>
          </w:tcPr>
          <w:p>
            <w:pPr>
              <w:jc w:val="center"/>
              <w:ind w:left="3673"/>
              <w:spacing w:after="0"/>
              <w:rPr>
                <w:sz w:val="20"/>
                <w:szCs w:val="20"/>
                <w:color w:val="auto"/>
              </w:rPr>
            </w:pPr>
            <w:r>
              <w:rPr>
                <w:rFonts w:ascii="Arial" w:cs="Arial" w:eastAsia="Arial" w:hAnsi="Arial"/>
                <w:sz w:val="18"/>
                <w:szCs w:val="18"/>
                <w:color w:val="auto"/>
                <w:w w:val="90"/>
              </w:rPr>
              <w:t>4.50%</w:t>
            </w:r>
          </w:p>
        </w:tc>
        <w:tc>
          <w:tcPr>
            <w:tcW w:w="80" w:type="dxa"/>
            <w:vAlign w:val="bottom"/>
          </w:tcPr>
          <w:p>
            <w:pPr>
              <w:spacing w:after="0"/>
              <w:rPr>
                <w:sz w:val="20"/>
                <w:szCs w:val="20"/>
                <w:color w:val="auto"/>
              </w:rPr>
            </w:pPr>
          </w:p>
        </w:tc>
      </w:tr>
      <w:tr>
        <w:trPr>
          <w:trHeight w:val="24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 but less than below</w:t>
            </w:r>
          </w:p>
        </w:tc>
        <w:tc>
          <w:tcPr>
            <w:tcW w:w="5780" w:type="dxa"/>
            <w:vAlign w:val="bottom"/>
            <w:shd w:val="clear" w:color="auto" w:fill="CCEEFF"/>
          </w:tcPr>
          <w:p>
            <w:pPr>
              <w:jc w:val="center"/>
              <w:ind w:left="3673"/>
              <w:spacing w:after="0"/>
              <w:rPr>
                <w:sz w:val="20"/>
                <w:szCs w:val="20"/>
                <w:color w:val="auto"/>
              </w:rPr>
            </w:pPr>
            <w:r>
              <w:rPr>
                <w:rFonts w:ascii="Arial" w:cs="Arial" w:eastAsia="Arial" w:hAnsi="Arial"/>
                <w:sz w:val="18"/>
                <w:szCs w:val="18"/>
                <w:color w:val="auto"/>
                <w:w w:val="90"/>
              </w:rPr>
              <w:t>3.75%</w:t>
            </w:r>
          </w:p>
        </w:tc>
        <w:tc>
          <w:tcPr>
            <w:tcW w:w="80" w:type="dxa"/>
            <w:vAlign w:val="bottom"/>
          </w:tcPr>
          <w:p>
            <w:pPr>
              <w:spacing w:after="0"/>
              <w:rPr>
                <w:sz w:val="21"/>
                <w:szCs w:val="21"/>
                <w:color w:val="auto"/>
              </w:rPr>
            </w:pPr>
          </w:p>
        </w:tc>
      </w:tr>
      <w:tr>
        <w:trPr>
          <w:trHeight w:val="231"/>
        </w:trPr>
        <w:tc>
          <w:tcPr>
            <w:tcW w:w="5380" w:type="dxa"/>
            <w:vAlign w:val="bottom"/>
          </w:tcPr>
          <w:p>
            <w:pPr>
              <w:ind w:left="20"/>
              <w:spacing w:after="0"/>
              <w:rPr>
                <w:sz w:val="20"/>
                <w:szCs w:val="20"/>
                <w:color w:val="auto"/>
              </w:rPr>
            </w:pPr>
            <w:r>
              <w:rPr>
                <w:rFonts w:ascii="Arial" w:cs="Arial" w:eastAsia="Arial" w:hAnsi="Arial"/>
                <w:sz w:val="18"/>
                <w:szCs w:val="18"/>
                <w:color w:val="auto"/>
              </w:rPr>
              <w:t>$40 million+ but less than below</w:t>
            </w:r>
          </w:p>
        </w:tc>
        <w:tc>
          <w:tcPr>
            <w:tcW w:w="5780" w:type="dxa"/>
            <w:vAlign w:val="bottom"/>
          </w:tcPr>
          <w:p>
            <w:pPr>
              <w:jc w:val="center"/>
              <w:ind w:left="3673"/>
              <w:spacing w:after="0"/>
              <w:rPr>
                <w:sz w:val="20"/>
                <w:szCs w:val="20"/>
                <w:color w:val="auto"/>
              </w:rPr>
            </w:pPr>
            <w:r>
              <w:rPr>
                <w:rFonts w:ascii="Arial" w:cs="Arial" w:eastAsia="Arial" w:hAnsi="Arial"/>
                <w:sz w:val="18"/>
                <w:szCs w:val="18"/>
                <w:color w:val="auto"/>
                <w:w w:val="90"/>
              </w:rPr>
              <w:t>3.50%</w:t>
            </w:r>
          </w:p>
        </w:tc>
        <w:tc>
          <w:tcPr>
            <w:tcW w:w="80" w:type="dxa"/>
            <w:vAlign w:val="bottom"/>
          </w:tcPr>
          <w:p>
            <w:pPr>
              <w:spacing w:after="0"/>
              <w:rPr>
                <w:sz w:val="20"/>
                <w:szCs w:val="20"/>
                <w:color w:val="auto"/>
              </w:rPr>
            </w:pPr>
          </w:p>
        </w:tc>
      </w:tr>
      <w:tr>
        <w:trPr>
          <w:trHeight w:val="24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 million+ but less than below</w:t>
            </w:r>
          </w:p>
        </w:tc>
        <w:tc>
          <w:tcPr>
            <w:tcW w:w="5780" w:type="dxa"/>
            <w:vAlign w:val="bottom"/>
            <w:shd w:val="clear" w:color="auto" w:fill="CCEEFF"/>
          </w:tcPr>
          <w:p>
            <w:pPr>
              <w:jc w:val="center"/>
              <w:ind w:left="3673"/>
              <w:spacing w:after="0"/>
              <w:rPr>
                <w:sz w:val="20"/>
                <w:szCs w:val="20"/>
                <w:color w:val="auto"/>
              </w:rPr>
            </w:pPr>
            <w:r>
              <w:rPr>
                <w:rFonts w:ascii="Arial" w:cs="Arial" w:eastAsia="Arial" w:hAnsi="Arial"/>
                <w:sz w:val="18"/>
                <w:szCs w:val="18"/>
                <w:color w:val="auto"/>
                <w:w w:val="90"/>
              </w:rPr>
              <w:t>3.00%</w:t>
            </w:r>
          </w:p>
        </w:tc>
        <w:tc>
          <w:tcPr>
            <w:tcW w:w="80" w:type="dxa"/>
            <w:vAlign w:val="bottom"/>
          </w:tcPr>
          <w:p>
            <w:pPr>
              <w:spacing w:after="0"/>
              <w:rPr>
                <w:sz w:val="21"/>
                <w:szCs w:val="21"/>
                <w:color w:val="auto"/>
              </w:rPr>
            </w:pPr>
          </w:p>
        </w:tc>
      </w:tr>
      <w:tr>
        <w:trPr>
          <w:trHeight w:val="231"/>
        </w:trPr>
        <w:tc>
          <w:tcPr>
            <w:tcW w:w="5380" w:type="dxa"/>
            <w:vAlign w:val="bottom"/>
          </w:tcPr>
          <w:p>
            <w:pPr>
              <w:ind w:left="20"/>
              <w:spacing w:after="0"/>
              <w:rPr>
                <w:sz w:val="20"/>
                <w:szCs w:val="20"/>
                <w:color w:val="auto"/>
              </w:rPr>
            </w:pPr>
            <w:r>
              <w:rPr>
                <w:rFonts w:ascii="Arial" w:cs="Arial" w:eastAsia="Arial" w:hAnsi="Arial"/>
                <w:sz w:val="18"/>
                <w:szCs w:val="18"/>
                <w:color w:val="auto"/>
              </w:rPr>
              <w:t>$50 million+ but less than below</w:t>
            </w:r>
          </w:p>
        </w:tc>
        <w:tc>
          <w:tcPr>
            <w:tcW w:w="5780" w:type="dxa"/>
            <w:vAlign w:val="bottom"/>
          </w:tcPr>
          <w:p>
            <w:pPr>
              <w:jc w:val="center"/>
              <w:ind w:left="3673"/>
              <w:spacing w:after="0"/>
              <w:rPr>
                <w:sz w:val="20"/>
                <w:szCs w:val="20"/>
                <w:color w:val="auto"/>
              </w:rPr>
            </w:pPr>
            <w:r>
              <w:rPr>
                <w:rFonts w:ascii="Arial" w:cs="Arial" w:eastAsia="Arial" w:hAnsi="Arial"/>
                <w:sz w:val="18"/>
                <w:szCs w:val="18"/>
                <w:color w:val="auto"/>
                <w:w w:val="90"/>
              </w:rPr>
              <w:t>2.50%</w:t>
            </w:r>
          </w:p>
        </w:tc>
        <w:tc>
          <w:tcPr>
            <w:tcW w:w="80" w:type="dxa"/>
            <w:vAlign w:val="bottom"/>
          </w:tcPr>
          <w:p>
            <w:pPr>
              <w:spacing w:after="0"/>
              <w:rPr>
                <w:sz w:val="20"/>
                <w:szCs w:val="20"/>
                <w:color w:val="auto"/>
              </w:rPr>
            </w:pPr>
          </w:p>
        </w:tc>
      </w:tr>
      <w:tr>
        <w:trPr>
          <w:trHeight w:val="24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 million+ but less than below</w:t>
            </w:r>
          </w:p>
        </w:tc>
        <w:tc>
          <w:tcPr>
            <w:tcW w:w="5780" w:type="dxa"/>
            <w:vAlign w:val="bottom"/>
            <w:shd w:val="clear" w:color="auto" w:fill="CCEEFF"/>
          </w:tcPr>
          <w:p>
            <w:pPr>
              <w:jc w:val="center"/>
              <w:ind w:left="3673"/>
              <w:spacing w:after="0"/>
              <w:rPr>
                <w:sz w:val="20"/>
                <w:szCs w:val="20"/>
                <w:color w:val="auto"/>
              </w:rPr>
            </w:pPr>
            <w:r>
              <w:rPr>
                <w:rFonts w:ascii="Arial" w:cs="Arial" w:eastAsia="Arial" w:hAnsi="Arial"/>
                <w:sz w:val="18"/>
                <w:szCs w:val="18"/>
                <w:color w:val="auto"/>
                <w:w w:val="90"/>
              </w:rPr>
              <w:t>2.00%</w:t>
            </w:r>
          </w:p>
        </w:tc>
        <w:tc>
          <w:tcPr>
            <w:tcW w:w="80" w:type="dxa"/>
            <w:vAlign w:val="bottom"/>
          </w:tcPr>
          <w:p>
            <w:pPr>
              <w:spacing w:after="0"/>
              <w:rPr>
                <w:sz w:val="21"/>
                <w:szCs w:val="21"/>
                <w:color w:val="auto"/>
              </w:rPr>
            </w:pPr>
          </w:p>
        </w:tc>
      </w:tr>
      <w:tr>
        <w:trPr>
          <w:trHeight w:val="231"/>
        </w:trPr>
        <w:tc>
          <w:tcPr>
            <w:tcW w:w="5380" w:type="dxa"/>
            <w:vAlign w:val="bottom"/>
          </w:tcPr>
          <w:p>
            <w:pPr>
              <w:ind w:left="20"/>
              <w:spacing w:after="0"/>
              <w:rPr>
                <w:sz w:val="20"/>
                <w:szCs w:val="20"/>
                <w:color w:val="auto"/>
              </w:rPr>
            </w:pPr>
            <w:r>
              <w:rPr>
                <w:rFonts w:ascii="Arial" w:cs="Arial" w:eastAsia="Arial" w:hAnsi="Arial"/>
                <w:sz w:val="18"/>
                <w:szCs w:val="18"/>
                <w:color w:val="auto"/>
              </w:rPr>
              <w:t>$60 million+ but less than below</w:t>
            </w:r>
          </w:p>
        </w:tc>
        <w:tc>
          <w:tcPr>
            <w:tcW w:w="5780" w:type="dxa"/>
            <w:vAlign w:val="bottom"/>
          </w:tcPr>
          <w:p>
            <w:pPr>
              <w:jc w:val="center"/>
              <w:ind w:left="3673"/>
              <w:spacing w:after="0"/>
              <w:rPr>
                <w:sz w:val="20"/>
                <w:szCs w:val="20"/>
                <w:color w:val="auto"/>
              </w:rPr>
            </w:pPr>
            <w:r>
              <w:rPr>
                <w:rFonts w:ascii="Arial" w:cs="Arial" w:eastAsia="Arial" w:hAnsi="Arial"/>
                <w:sz w:val="18"/>
                <w:szCs w:val="18"/>
                <w:color w:val="auto"/>
                <w:w w:val="90"/>
              </w:rPr>
              <w:t>1.00%</w:t>
            </w:r>
          </w:p>
        </w:tc>
        <w:tc>
          <w:tcPr>
            <w:tcW w:w="80" w:type="dxa"/>
            <w:vAlign w:val="bottom"/>
          </w:tcPr>
          <w:p>
            <w:pPr>
              <w:spacing w:after="0"/>
              <w:rPr>
                <w:sz w:val="20"/>
                <w:szCs w:val="20"/>
                <w:color w:val="auto"/>
              </w:rPr>
            </w:pPr>
          </w:p>
        </w:tc>
      </w:tr>
      <w:tr>
        <w:trPr>
          <w:trHeight w:val="24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 million+ but less than below</w:t>
            </w:r>
          </w:p>
        </w:tc>
        <w:tc>
          <w:tcPr>
            <w:tcW w:w="5780" w:type="dxa"/>
            <w:vAlign w:val="bottom"/>
            <w:shd w:val="clear" w:color="auto" w:fill="CCEEFF"/>
          </w:tcPr>
          <w:p>
            <w:pPr>
              <w:jc w:val="center"/>
              <w:ind w:left="3673"/>
              <w:spacing w:after="0"/>
              <w:rPr>
                <w:sz w:val="20"/>
                <w:szCs w:val="20"/>
                <w:color w:val="auto"/>
              </w:rPr>
            </w:pPr>
            <w:r>
              <w:rPr>
                <w:rFonts w:ascii="Arial" w:cs="Arial" w:eastAsia="Arial" w:hAnsi="Arial"/>
                <w:sz w:val="18"/>
                <w:szCs w:val="18"/>
                <w:color w:val="auto"/>
                <w:w w:val="90"/>
              </w:rPr>
              <w:t>0.50%</w:t>
            </w:r>
          </w:p>
        </w:tc>
        <w:tc>
          <w:tcPr>
            <w:tcW w:w="80" w:type="dxa"/>
            <w:vAlign w:val="bottom"/>
          </w:tcPr>
          <w:p>
            <w:pPr>
              <w:spacing w:after="0"/>
              <w:rPr>
                <w:sz w:val="21"/>
                <w:szCs w:val="2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8"/>
                <w:szCs w:val="18"/>
                <w:color w:val="auto"/>
              </w:rPr>
              <w:t>$70 million+</w:t>
            </w:r>
          </w:p>
        </w:tc>
        <w:tc>
          <w:tcPr>
            <w:tcW w:w="5780" w:type="dxa"/>
            <w:vAlign w:val="bottom"/>
          </w:tcPr>
          <w:p>
            <w:pPr>
              <w:jc w:val="center"/>
              <w:ind w:left="3673"/>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19"/>
                <w:szCs w:val="19"/>
                <w:color w:val="auto"/>
              </w:rPr>
            </w:pPr>
          </w:p>
        </w:tc>
      </w:tr>
      <w:tr>
        <w:trPr>
          <w:trHeight w:val="901"/>
        </w:trPr>
        <w:tc>
          <w:tcPr>
            <w:tcW w:w="5380" w:type="dxa"/>
            <w:vAlign w:val="bottom"/>
          </w:tcPr>
          <w:p>
            <w:pPr>
              <w:spacing w:after="0"/>
              <w:rPr>
                <w:sz w:val="24"/>
                <w:szCs w:val="24"/>
                <w:color w:val="auto"/>
              </w:rPr>
            </w:pPr>
          </w:p>
        </w:tc>
        <w:tc>
          <w:tcPr>
            <w:tcW w:w="5780" w:type="dxa"/>
            <w:vAlign w:val="bottom"/>
          </w:tcPr>
          <w:p>
            <w:pPr>
              <w:jc w:val="right"/>
              <w:ind w:right="5353"/>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r>
      <w:tr>
        <w:trPr>
          <w:trHeight w:val="114"/>
        </w:trPr>
        <w:tc>
          <w:tcPr>
            <w:tcW w:w="5380" w:type="dxa"/>
            <w:vAlign w:val="bottom"/>
            <w:tcBorders>
              <w:bottom w:val="single" w:sz="8" w:color="9A9A9A"/>
            </w:tcBorders>
          </w:tcPr>
          <w:p>
            <w:pPr>
              <w:spacing w:after="0"/>
              <w:rPr>
                <w:sz w:val="9"/>
                <w:szCs w:val="9"/>
                <w:color w:val="auto"/>
              </w:rPr>
            </w:pPr>
          </w:p>
        </w:tc>
        <w:tc>
          <w:tcPr>
            <w:tcW w:w="5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Amended Credit Agreement includes covenants that restrict or limit, among other things, our ability, subject to certain exceptions and baskets, to incur additional debt, pay dividends and repurchase shares of our common stock. Under the Amended Credit Agreement, we are not permitted to repurchase shares except for limited circumstances. In the event we require additional liquidity, our ability to obtain it may be limited by the Credit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outstanding principal balance of the SSTL was $222.0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June 22, 2021 Altisource S.à r.l, a subsidiary of Altisource Portfolio Solutions S.A., entered into a revolving credit facility with a related party, STS Master Fund, Ltd. (“STS”) (the “Revolver”). STS is an investment fund managed by Deer Park. Deer Park owns approximately 15% of Altisource’s common stock as of September 30, 2023 and owns Altisource debt as a lender under the Amended Credit Agreement. Deer Park’s Chief Investment Officer and managing partner was a member of Altisource’s Board of Directors until his resignation on March 1, 2022. The replacement director appointed by the Board of Directors is a current employee of Deer Park.</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there was no outstanding debt under the Amended Revolver.</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20" w:type="dxa"/>
            <w:vAlign w:val="bottom"/>
          </w:tcPr>
          <w:p>
            <w:pPr>
              <w:ind w:left="40"/>
              <w:spacing w:after="0"/>
              <w:rPr>
                <w:sz w:val="20"/>
                <w:szCs w:val="20"/>
                <w:color w:val="auto"/>
              </w:rPr>
            </w:pPr>
            <w:r>
              <w:rPr>
                <w:rFonts w:ascii="Arial" w:cs="Arial" w:eastAsia="Arial" w:hAnsi="Arial"/>
                <w:sz w:val="14"/>
                <w:szCs w:val="14"/>
                <w:b w:val="1"/>
                <w:bCs w:val="1"/>
                <w:color w:val="auto"/>
                <w:w w:val="92"/>
              </w:rPr>
              <w:t>% Increase (decrease)</w:t>
            </w: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25"/>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(32,293)</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3"/>
              </w:rPr>
              <w:t>(46)</w:t>
            </w:r>
          </w:p>
        </w:tc>
      </w:tr>
      <w:tr>
        <w:trPr>
          <w:trHeight w:val="225"/>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1540" w:type="dxa"/>
            <w:vAlign w:val="bottom"/>
            <w:gridSpan w:val="2"/>
          </w:tcPr>
          <w:p>
            <w:pPr>
              <w:ind w:left="1200"/>
              <w:spacing w:after="0"/>
              <w:rPr>
                <w:sz w:val="20"/>
                <w:szCs w:val="20"/>
                <w:color w:val="auto"/>
              </w:rPr>
            </w:pPr>
            <w:r>
              <w:rPr>
                <w:rFonts w:ascii="Arial" w:cs="Arial" w:eastAsia="Arial" w:hAnsi="Arial"/>
                <w:sz w:val="18"/>
                <w:szCs w:val="18"/>
                <w:color w:val="auto"/>
              </w:rPr>
              <w:t>100</w:t>
            </w:r>
          </w:p>
        </w:tc>
      </w:tr>
      <w:tr>
        <w:trPr>
          <w:trHeight w:val="22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263</w:t>
            </w:r>
          </w:p>
        </w:tc>
      </w:tr>
      <w:tr>
        <w:trPr>
          <w:trHeight w:val="218"/>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(34,753)</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w w:val="93"/>
              </w:rPr>
              <w:t>(58)</w:t>
            </w:r>
          </w:p>
        </w:tc>
      </w:tr>
      <w:tr>
        <w:trPr>
          <w:trHeight w:val="225"/>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102,149</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3"/>
              </w:rPr>
              <w:t>(47)</w:t>
            </w:r>
          </w:p>
        </w:tc>
      </w:tr>
      <w:tr>
        <w:trPr>
          <w:trHeight w:val="193"/>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67,396</w:t>
            </w: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w w:val="93"/>
              </w:rPr>
              <w:t>(41)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Cash flows from operating activities generally consist of the cash effects of transactions and events that enter into the determination of net loss. For the nine months ended September 30, 2023, net cash used in operating activities was $(17.6) million compared to net cash used in operating activities of $(32.3) million for the nine months ended September 30, 2022. During the nine months ended September 30, 2023, the decrease in cash used in operating activities was driven by a $9.5 million improvement in cash provided by (used for) working capital and a $8.3 million increase in non-cash interest expense (amortization of debt discount and amortization of debt issuance and amendment costs), partially offset by a $1.4 million increase in net loss and a $0.6 million decrease in non-cash depreciation, amortization of intangibles, stock based compensation expenses and deferred income tax expenses. The increase in net loss was primarily due to higher interest expense driven by higher interest rates on our SSTL and debt amendment costs, partially offset by lower corporate costs and higher gross profit in the Servicer and Real Estate segment from our cash cost savings measures and lower SG&amp;A expenses. The improvement in cash provided by (used for) changes in working capital was primarily driven by the $4.0 million net collection of taxes receivable for the nine months ended September 30, 2023 compared to a net payment of taxes of $2.6 million for the nine months ended September 30, 2022, a $2.0 million return of surety bonds, and no cash bonuses paid in the nine months ended September 30, 2023. Non-cash interest expense increased as a result of the February 2023 Amended Credit Agreement.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Cash flows from investing activities for the nine months ended September 30, 2022 consisted of additions to premises and equipment and proceeds from the sale of a business. Net cash used in investing activities was $(0.5) million for the nine months ended September 30, 2022 (no comparable amount for the nine months ended September 30, 2023). We used $0.9 million for the nine months ended September 30, 2022 (no comparable amount for the nine months ended September 30, 2023), for additions to premises and equipment primarily related to the purchase of technology hardware.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6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Net cash provided by (used in) financing activities were $3.2 million and $(1.9) million for the nine months ended September 30, 2023 and 2022, respectively. During the nine months ended September 30, 2023, we received $20.5 million in proceeds from the issuance of common stock, net of issuance costs, received $18.4 million in proceeds from the issuance of treasury stock, net of issuance costs and used $30.0 million of the proceeds for repayment of debt. Also during the nine months ended September 30, 2023, we paid $4.9 million to lenders or others on behalf of the lenders related to the debt amendment. During the nine months ended September 30, 2023 and 2022, we made payments of $0.5 million and $1.1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nine months ended September 30, 2023 and 2022, we distributed $0.3 million and $0.9 million, respectively, to non-controlling interests.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significant future liquidity obligations primarily pertain to the maturity of the Amended Credit Agreement, interest expense under the Amended Credit Agreement (see Liquidity section above), and operating lease payments on certain of our premises and equipment.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Significant future uses of cash include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2024-2025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2026-2027</w:t>
            </w:r>
          </w:p>
        </w:tc>
        <w:tc>
          <w:tcPr>
            <w:tcW w:w="0" w:type="dxa"/>
            <w:vAlign w:val="bottom"/>
          </w:tcPr>
          <w:p>
            <w:pPr>
              <w:spacing w:after="0"/>
              <w:rPr>
                <w:sz w:val="1"/>
                <w:szCs w:val="1"/>
                <w:color w:val="auto"/>
              </w:rPr>
            </w:pPr>
          </w:p>
        </w:tc>
      </w:tr>
      <w:tr>
        <w:trPr>
          <w:trHeight w:val="194"/>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2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Senior secured term loans </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Interest expense payments </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payments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270,869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jc w:val="both"/>
        <w:ind w:left="240" w:hanging="234"/>
        <w:spacing w:after="0" w:line="237" w:lineRule="auto"/>
        <w:tabs>
          <w:tab w:leader="none" w:pos="35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outstanding balance of our SSTL as of September 30, 2023 is $222.0 million and is due on April 30, 2025. If Aggregate Paydowns are equal to or greater than $30 million, then (subject to a payment of a 2% payment-in-kind extension fee on or before April 30, 2025 and subject to the representations and warranties being true and correct as of such date and there being no default or event of default being in existence as of such date) the maturity date of the SSTL may be extended at the Company’s option to April 30, 2026. During the nine month ended September 30, 2023, Company made $30 million of Aggregate Paydowns. The table herein reflects a maturity of April 2025. The increase in outstanding balance is from the PIK component of our interest expense and is assumed to be paid in kind.</w:t>
      </w:r>
    </w:p>
    <w:p>
      <w:pPr>
        <w:ind w:left="240" w:hanging="234"/>
        <w:spacing w:after="0" w:line="215" w:lineRule="auto"/>
        <w:tabs>
          <w:tab w:leader="none" w:pos="316"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Estimated future interest payments based on the SOFR interest rate as of September 30, 2023 and the April 30, 2025 maturity date. Based on the April 30, 2025 maturity date, no interest expense has been included beyond April 30, 2025.</w:t>
      </w:r>
    </w:p>
    <w:p>
      <w:pPr>
        <w:spacing w:after="0" w:line="14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We anticipate funding future liquidity requirements with a combination of existing cash balances, cash anticipated to be generated by operating activities and, as needed, proceeds from the Amended Revolver. For further information, see Note 11 and Note 21 to the condensed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arrangements.</w:t>
      </w:r>
    </w:p>
    <w:p>
      <w:pPr>
        <w:spacing w:after="0" w:line="16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condensed consolidated balance sheets. Amounts held in escrow accounts were $39.0 million and $13.2 million as of September 30, 2023 and December 31, 2022,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2023, there were no significant changes to our contractual obligations from those identified in our Form 10-K for the fiscal year ended December 31, 2022 and this Form 10-Q, other than those that occur in the normal course of business. See Note 21 to the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Our critical accounting policies are described in the MD&amp;A section of our Form 10-K for the year ended December 31, 2022 filed with the SEC on March 30, 2023. There have been no material changes to our critical accounting policies during the nine months ended September 30, 2023.</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condensed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terms of the Amended Credit Agreement, the initial interest rate charged on the SSTL is SOFR (as defined in the Amended Credit Agreement) with a minimum floor of 1.00% plus 5.00% paid in cash plus 5.00% PIK. Based on par paydowns of $30 million during the nine months ended September 30, 2023, the PIK component was reduced to 3.75% and may be further reduced on a prospective basis based on the Aggregate Paydowns made prior to February 14, 2024.</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 principal amount outstanding and SOFR as of September 30, 2023, a one percentage point increase in SOFR above the minimum floor would increase our annual interest expense by approximately $2.2 million. There would be a $2.2 million decrease in our annual interest expense if there was a one percentage point decrease in SOFR.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third quarter of 2023, a one percentage point increase or decrease in value of the Indian rupee in relation to the United States dollar would increase or decrease our annual expenses by approximately $0.2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6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September 30, 2023,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2023.</w:t>
      </w:r>
    </w:p>
    <w:p>
      <w:pPr>
        <w:spacing w:after="0" w:line="138"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64"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There were no changes in our internal control over financial reporting (as defined in the Exchange Act Rules 13a-15(f) and 15d-15(f)) that occurred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disclosure below relating to potential risks around the extension of the maturity of our Amended Credit Agreement and Revolver contains material changes and/or additions to the risk factors disclosed in Part I, Item 1A, of our Form 10-K for the year ended December 31, 2022 filed with the SEC on March 30, 2023.</w:t>
      </w:r>
    </w:p>
    <w:p>
      <w:pPr>
        <w:spacing w:after="0" w:line="13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i w:val="1"/>
          <w:iCs w:val="1"/>
          <w:color w:val="auto"/>
        </w:rPr>
        <w:t>We may be unable to exercise the option to extend the maturity of our Amended Credit Agreement and Revolver from April 2025 to April 2026. We may be unable to repay or refinance the balance of our loans under the Amended Credit Agreement or Revolver upon maturity, particularly if cash from operations fails to significantly improve, assets are not readily available for sale and sold or we are unable to timely refinance on favorable terms or at all.</w:t>
      </w:r>
    </w:p>
    <w:p>
      <w:pPr>
        <w:spacing w:after="0" w:line="8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loan agreements require us to repay the outstanding balance due in April 2025, with an option to extend to April 2026 if we make par paydowns from the proceeds of issuances of equity interests or from junior indebtedness totaling at least $30 million on or before February 13, 2024, and there is no continuing default of the loan agreements. We satisfied the $30 million paydown requirement through a par paydown in the amount of $20 million in February 2023 and an additional par paydown of $10 million in September 2023 each from the proceeds of equity issuances, providing us with the option to be able to extend the maturity date of our debt to April 2026. However, there can be no assurance that we will be permitted under our Amended Credit Agreement and Revolver to exercise the option to extend the maturity of our Amended Credit Agreement and Revolver to April 2026.</w:t>
      </w:r>
    </w:p>
    <w:p>
      <w:pPr>
        <w:spacing w:after="0" w:line="9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If our cash from operations fails to significantly improve, there can be no assurance that our cash balances and other assets readily available for sale and sold would be sufficient to fully repay borrowings under our outstanding Amended Credit Agreement and Revolver upon maturity, or that we will be able to refinance the remaining portion of the debt sufficiently prior to the due date or on terms acceptable to us. If we were to default on our debt, our lenders could take action adverse to our interests under the terms of the loan agreements, including seeking to take possession of the applicable collateral. In addition, a default under the loan agreements could constitute a termination event under certain of our client or vendor agreements, which could adversely impact our revenue or cash flow or our ability to provide products and services. Under such circumstances, if we are not able to agree upon a resolution with our lenders, we might seek applicable legal protections including under bankruptcy law, which further could provide certain of our customers or vendors the ability to terminate our agreements. If we refinance the loans under less favorable terms, we may be required to accept a higher interest rate and debt-related costs, as well as additional restrictions and covenants which constrain our ability to finance and operate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filing, there have been no other material changes in our risk factors from those previously disclosed.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were no purchases of shares of common stock during the three months ended September 30, 2023. On May 16, 2023, our shareholders approved the renewal and amendment of the share repurchase program previously approved by the shareholders on May 15, 2018. Under the program, we are authorized to purchase up to 3.1 million shares of our common stock in the open market, subject to certain parameters, for a period of five years from the date of approval. As of September 30, 2023,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maximum number of shares that may be purchased under the repurchase program is 3.1 million shares of the Company’s common stock. In addition to the share repurchase program, during the three months ended September 30, 2023, 94,442 common shares were withheld from employees to satisfy tax withholding obligations that arose from the vesting of restricted shares.</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February 14, 2023, the lenders under the Amended Credit Agreement received warrants to purchase 3,223,851 shares of Altisource common stock (the “Warrant Shares”). The Warrants may be exercised at any time on and after February 14, 2024 and prior to their expiration date. The exercise price per share of common stock under each Warrant is equal to $0.01. The number of Warrant Shares was subject to reduction based on the amount of par paydowns on the SSTL in the aggregate using proceeds from issuances of equity interests or from junior indebtedness made prior to February 14, 2024 (“Aggregate Paydowns”) as set forth in the table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Aggregate Paydowns</w:t>
            </w:r>
          </w:p>
        </w:tc>
        <w:tc>
          <w:tcPr>
            <w:tcW w:w="5200" w:type="dxa"/>
            <w:vAlign w:val="bottom"/>
          </w:tcPr>
          <w:p>
            <w:pPr>
              <w:jc w:val="center"/>
              <w:ind w:left="3096"/>
              <w:spacing w:after="0"/>
              <w:rPr>
                <w:sz w:val="20"/>
                <w:szCs w:val="20"/>
                <w:color w:val="auto"/>
              </w:rPr>
            </w:pPr>
            <w:r>
              <w:rPr>
                <w:rFonts w:ascii="Arial" w:cs="Arial" w:eastAsia="Arial" w:hAnsi="Arial"/>
                <w:sz w:val="14"/>
                <w:szCs w:val="14"/>
                <w:b w:val="1"/>
                <w:bCs w:val="1"/>
                <w:color w:val="auto"/>
                <w:w w:val="94"/>
              </w:rPr>
              <w:t>Warrant Shares</w:t>
            </w:r>
          </w:p>
        </w:tc>
      </w:tr>
      <w:tr>
        <w:trPr>
          <w:trHeight w:val="24"/>
        </w:trPr>
        <w:tc>
          <w:tcPr>
            <w:tcW w:w="604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32"/>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$20 million</w:t>
            </w:r>
          </w:p>
        </w:tc>
        <w:tc>
          <w:tcPr>
            <w:tcW w:w="5200" w:type="dxa"/>
            <w:vAlign w:val="bottom"/>
            <w:shd w:val="clear" w:color="auto" w:fill="CCEEFF"/>
          </w:tcPr>
          <w:p>
            <w:pPr>
              <w:jc w:val="center"/>
              <w:ind w:left="3096"/>
              <w:spacing w:after="0"/>
              <w:rPr>
                <w:sz w:val="20"/>
                <w:szCs w:val="20"/>
                <w:color w:val="auto"/>
              </w:rPr>
            </w:pPr>
            <w:r>
              <w:rPr>
                <w:rFonts w:ascii="Arial" w:cs="Arial" w:eastAsia="Arial" w:hAnsi="Arial"/>
                <w:sz w:val="18"/>
                <w:szCs w:val="18"/>
                <w:color w:val="auto"/>
                <w:w w:val="87"/>
              </w:rPr>
              <w:t>3,223,851</w:t>
            </w:r>
          </w:p>
        </w:tc>
      </w:tr>
      <w:tr>
        <w:trPr>
          <w:trHeight w:val="231"/>
        </w:trPr>
        <w:tc>
          <w:tcPr>
            <w:tcW w:w="6040" w:type="dxa"/>
            <w:vAlign w:val="bottom"/>
          </w:tcPr>
          <w:p>
            <w:pPr>
              <w:ind w:left="20"/>
              <w:spacing w:after="0"/>
              <w:rPr>
                <w:sz w:val="20"/>
                <w:szCs w:val="20"/>
                <w:color w:val="auto"/>
              </w:rPr>
            </w:pPr>
            <w:r>
              <w:rPr>
                <w:rFonts w:ascii="Arial" w:cs="Arial" w:eastAsia="Arial" w:hAnsi="Arial"/>
                <w:sz w:val="18"/>
                <w:szCs w:val="18"/>
                <w:color w:val="auto"/>
              </w:rPr>
              <w:t>$20 million+ but less than below</w:t>
            </w:r>
          </w:p>
        </w:tc>
        <w:tc>
          <w:tcPr>
            <w:tcW w:w="5200" w:type="dxa"/>
            <w:vAlign w:val="bottom"/>
          </w:tcPr>
          <w:p>
            <w:pPr>
              <w:jc w:val="center"/>
              <w:ind w:left="3096"/>
              <w:spacing w:after="0"/>
              <w:rPr>
                <w:sz w:val="20"/>
                <w:szCs w:val="20"/>
                <w:color w:val="auto"/>
              </w:rPr>
            </w:pPr>
            <w:r>
              <w:rPr>
                <w:rFonts w:ascii="Arial" w:cs="Arial" w:eastAsia="Arial" w:hAnsi="Arial"/>
                <w:sz w:val="18"/>
                <w:szCs w:val="18"/>
                <w:color w:val="auto"/>
                <w:w w:val="87"/>
              </w:rPr>
              <w:t>2,578,743</w:t>
            </w:r>
          </w:p>
        </w:tc>
      </w:tr>
      <w:tr>
        <w:trPr>
          <w:trHeight w:val="24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w:t>
            </w:r>
          </w:p>
        </w:tc>
        <w:tc>
          <w:tcPr>
            <w:tcW w:w="5200" w:type="dxa"/>
            <w:vAlign w:val="bottom"/>
            <w:shd w:val="clear" w:color="auto" w:fill="CCEEFF"/>
          </w:tcPr>
          <w:p>
            <w:pPr>
              <w:jc w:val="center"/>
              <w:ind w:left="3096"/>
              <w:spacing w:after="0"/>
              <w:rPr>
                <w:sz w:val="20"/>
                <w:szCs w:val="20"/>
                <w:color w:val="auto"/>
              </w:rPr>
            </w:pPr>
            <w:r>
              <w:rPr>
                <w:rFonts w:ascii="Arial" w:cs="Arial" w:eastAsia="Arial" w:hAnsi="Arial"/>
                <w:sz w:val="18"/>
                <w:szCs w:val="18"/>
                <w:color w:val="auto"/>
                <w:w w:val="87"/>
              </w:rPr>
              <w:t>1,612,705</w:t>
            </w:r>
          </w:p>
        </w:tc>
      </w:tr>
    </w:tbl>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2023, the Company made payments toward the determination of Aggregate Paydowns of $30.0 million. As a result, the number of Warrant Shares as of September 30, 2023 is 1,612,705.</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19"/>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r>
              <w:rPr>
                <w:rFonts w:ascii="Arial" w:cs="Arial" w:eastAsia="Arial" w:hAnsi="Arial"/>
                <w:sz w:val="18"/>
                <w:szCs w:val="18"/>
                <w:color w:val="2C2C2C"/>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0000FF"/>
              </w:rPr>
              <w:t>Section 302 Certification of the Chief Executive Officer pursuant to Exchange Act Rule 13a-14(a)</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Arial" w:cs="Arial" w:eastAsia="Arial" w:hAnsi="Arial"/>
                <w:sz w:val="18"/>
                <w:szCs w:val="18"/>
                <w:color w:val="0000FF"/>
              </w:rPr>
              <w:t>Section 302 Certification of the Chief Financial Officer pursuant to Exchange Act Rule 13a-14(a)</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Arial" w:cs="Arial" w:eastAsia="Arial" w:hAnsi="Arial"/>
                <w:sz w:val="18"/>
                <w:szCs w:val="18"/>
                <w:color w:val="0000FF"/>
                <w:w w:val="98"/>
              </w:rPr>
              <w:t>Certification by the Chief Executive Officer and Chief Financial Officer pursuant to Section 906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1"/>
                <w:szCs w:val="21"/>
                <w:color w:val="auto"/>
              </w:rPr>
            </w:pPr>
          </w:p>
        </w:tc>
        <w:tc>
          <w:tcPr>
            <w:tcW w:w="10140" w:type="dxa"/>
            <w:vAlign w:val="bottom"/>
            <w:gridSpan w:val="4"/>
          </w:tcPr>
          <w:p>
            <w:pPr>
              <w:ind w:left="20"/>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40" w:type="dxa"/>
            <w:vAlign w:val="bottom"/>
            <w:gridSpan w:val="4"/>
          </w:tcPr>
          <w:p>
            <w:pPr>
              <w:ind w:left="20"/>
              <w:spacing w:after="0" w:line="186" w:lineRule="exact"/>
              <w:rPr>
                <w:sz w:val="20"/>
                <w:szCs w:val="20"/>
                <w:color w:val="auto"/>
              </w:rPr>
            </w:pPr>
            <w:r>
              <w:rPr>
                <w:rFonts w:ascii="Arial" w:cs="Arial" w:eastAsia="Arial" w:hAnsi="Arial"/>
                <w:sz w:val="18"/>
                <w:szCs w:val="18"/>
                <w:color w:val="auto"/>
                <w:w w:val="94"/>
              </w:rPr>
              <w:t>period ended September 30, 2023 is formatted in Inline XBRL interactive data files: (i) Condensed Consolidated Balance Sheets as of</w:t>
            </w: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4"/>
          </w:tcPr>
          <w:p>
            <w:pPr>
              <w:ind w:left="20"/>
              <w:spacing w:after="0" w:line="172" w:lineRule="exact"/>
              <w:rPr>
                <w:sz w:val="20"/>
                <w:szCs w:val="20"/>
                <w:color w:val="auto"/>
              </w:rPr>
            </w:pPr>
            <w:r>
              <w:rPr>
                <w:rFonts w:ascii="Arial" w:cs="Arial" w:eastAsia="Arial" w:hAnsi="Arial"/>
                <w:sz w:val="18"/>
                <w:szCs w:val="18"/>
                <w:color w:val="auto"/>
                <w:w w:val="90"/>
              </w:rPr>
              <w:t>September 30, 2023 and December 31, 2022; (ii) Condensed Consolidated Statements of Operations and Comprehensive Loss for the three</w:t>
            </w: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4"/>
          </w:tcPr>
          <w:p>
            <w:pPr>
              <w:ind w:left="20"/>
              <w:spacing w:after="0" w:line="172" w:lineRule="exact"/>
              <w:rPr>
                <w:sz w:val="20"/>
                <w:szCs w:val="20"/>
                <w:color w:val="auto"/>
              </w:rPr>
            </w:pPr>
            <w:r>
              <w:rPr>
                <w:rFonts w:ascii="Arial" w:cs="Arial" w:eastAsia="Arial" w:hAnsi="Arial"/>
                <w:sz w:val="18"/>
                <w:szCs w:val="18"/>
                <w:color w:val="auto"/>
                <w:w w:val="95"/>
              </w:rPr>
              <w:t>and nine months ended September 30, 2023 and 2022; (iii) Condensed Consolidated Statements of Equity for the nine months ended</w:t>
            </w: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40" w:type="dxa"/>
            <w:vAlign w:val="bottom"/>
            <w:gridSpan w:val="4"/>
          </w:tcPr>
          <w:p>
            <w:pPr>
              <w:ind w:left="20"/>
              <w:spacing w:after="0" w:line="186" w:lineRule="exact"/>
              <w:rPr>
                <w:sz w:val="20"/>
                <w:szCs w:val="20"/>
                <w:color w:val="auto"/>
              </w:rPr>
            </w:pPr>
            <w:r>
              <w:rPr>
                <w:rFonts w:ascii="Arial" w:cs="Arial" w:eastAsia="Arial" w:hAnsi="Arial"/>
                <w:sz w:val="18"/>
                <w:szCs w:val="18"/>
                <w:color w:val="auto"/>
                <w:w w:val="90"/>
              </w:rPr>
              <w:t>September 30, 2023 and 2022; (iv) Condensed Consolidated Statements of Cash Flows for the nine months ended September 30, 2023 and</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40" w:type="dxa"/>
            <w:vAlign w:val="bottom"/>
            <w:gridSpan w:val="4"/>
          </w:tcPr>
          <w:p>
            <w:pPr>
              <w:ind w:left="20"/>
              <w:spacing w:after="0"/>
              <w:rPr>
                <w:sz w:val="20"/>
                <w:szCs w:val="20"/>
                <w:color w:val="auto"/>
              </w:rPr>
            </w:pPr>
            <w:r>
              <w:rPr>
                <w:rFonts w:ascii="Arial" w:cs="Arial" w:eastAsia="Arial" w:hAnsi="Arial"/>
                <w:sz w:val="18"/>
                <w:szCs w:val="18"/>
                <w:color w:val="auto"/>
              </w:rPr>
              <w:t>2022; and (v) Notes to Condensed Consolidated Financial Statements.</w:t>
            </w:r>
          </w:p>
        </w:tc>
      </w:tr>
      <w:tr>
        <w:trPr>
          <w:trHeight w:val="278"/>
        </w:trPr>
        <w:tc>
          <w:tcPr>
            <w:tcW w:w="1000" w:type="dxa"/>
            <w:vAlign w:val="bottom"/>
            <w:gridSpan w:val="3"/>
          </w:tcPr>
          <w:p>
            <w:pPr>
              <w:ind w:left="2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______________________________________</w:t>
      </w:r>
    </w:p>
    <w:p>
      <w:pPr>
        <w:spacing w:after="0" w:line="18" w:lineRule="exact"/>
        <w:rPr>
          <w:sz w:val="20"/>
          <w:szCs w:val="20"/>
          <w:color w:val="auto"/>
        </w:rPr>
      </w:pPr>
    </w:p>
    <w:p>
      <w:pPr>
        <w:ind w:left="1120" w:hanging="1096"/>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ALTISOURCE PORTFOLIO SOLUTIONS S.A.</w:t>
      </w:r>
    </w:p>
    <w:p>
      <w:pPr>
        <w:spacing w:after="0" w:line="1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10795</wp:posOffset>
            </wp:positionV>
            <wp:extent cx="27851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Michelle D. Esterman</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(On behalf of the Registrant and as its Principal Financial</w:t>
      </w:r>
    </w:p>
    <w:p>
      <w:pPr>
        <w:ind w:left="688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Altisource Portfolio Solutions S.A.;</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40" w:hanging="316"/>
        <w:spacing w:after="0" w:line="294" w:lineRule="auto"/>
        <w:tabs>
          <w:tab w:leader="none" w:pos="67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7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960" w:hanging="318"/>
        <w:spacing w:after="0" w:line="255" w:lineRule="auto"/>
        <w:tabs>
          <w:tab w:leader="none" w:pos="105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960" w:hanging="318"/>
        <w:spacing w:after="0" w:line="255" w:lineRule="auto"/>
        <w:tabs>
          <w:tab w:leader="none" w:pos="113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960" w:hanging="318"/>
        <w:spacing w:after="0" w:line="365" w:lineRule="auto"/>
        <w:tabs>
          <w:tab w:leader="none" w:pos="1147"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jc w:val="both"/>
        <w:ind w:left="960" w:hanging="318"/>
        <w:spacing w:after="0" w:line="255" w:lineRule="auto"/>
        <w:tabs>
          <w:tab w:leader="none" w:pos="10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40" w:hanging="316"/>
        <w:spacing w:after="0" w:line="294" w:lineRule="auto"/>
        <w:tabs>
          <w:tab w:leader="none" w:pos="6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7"/>
          <w:szCs w:val="17"/>
          <w:color w:val="auto"/>
        </w:rPr>
      </w:pPr>
    </w:p>
    <w:p>
      <w:pPr>
        <w:ind w:left="960" w:hanging="318"/>
        <w:spacing w:after="0" w:line="294" w:lineRule="auto"/>
        <w:tabs>
          <w:tab w:leader="none" w:pos="1042"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7"/>
          <w:szCs w:val="17"/>
          <w:color w:val="auto"/>
        </w:rPr>
      </w:pPr>
    </w:p>
    <w:p>
      <w:pPr>
        <w:ind w:left="960" w:hanging="318"/>
        <w:spacing w:after="0" w:line="264" w:lineRule="auto"/>
        <w:tabs>
          <w:tab w:leader="none" w:pos="104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Date: October 26, 2023</w:t>
            </w:r>
          </w:p>
        </w:tc>
        <w:tc>
          <w:tcPr>
            <w:tcW w:w="7060" w:type="dxa"/>
            <w:vAlign w:val="bottom"/>
            <w:gridSpan w:val="2"/>
          </w:tcPr>
          <w:p>
            <w:pPr>
              <w:ind w:left="2200"/>
              <w:spacing w:after="0"/>
              <w:rPr>
                <w:sz w:val="20"/>
                <w:szCs w:val="20"/>
                <w:color w:val="auto"/>
              </w:rPr>
            </w:pPr>
            <w:r>
              <w:rPr>
                <w:rFonts w:ascii="Arial" w:cs="Arial" w:eastAsia="Arial" w:hAnsi="Arial"/>
                <w:sz w:val="18"/>
                <w:szCs w:val="18"/>
                <w:color w:val="auto"/>
              </w:rPr>
              <w:t>By:   /s/ William B. Shepro</w:t>
            </w:r>
          </w:p>
        </w:tc>
      </w:tr>
      <w:tr>
        <w:trPr>
          <w:trHeight w:val="218"/>
        </w:trPr>
        <w:tc>
          <w:tcPr>
            <w:tcW w:w="3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William B. Shepro</w:t>
            </w:r>
          </w:p>
        </w:tc>
      </w:tr>
      <w:tr>
        <w:trPr>
          <w:trHeight w:val="225"/>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25"/>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7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Altisource Portfolio Solutions S.A.;</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40" w:hanging="316"/>
        <w:spacing w:after="0" w:line="294" w:lineRule="auto"/>
        <w:tabs>
          <w:tab w:leader="none" w:pos="67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7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960" w:hanging="318"/>
        <w:spacing w:after="0" w:line="255" w:lineRule="auto"/>
        <w:tabs>
          <w:tab w:leader="none" w:pos="105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960" w:hanging="318"/>
        <w:spacing w:after="0" w:line="255" w:lineRule="auto"/>
        <w:tabs>
          <w:tab w:leader="none" w:pos="113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960" w:hanging="318"/>
        <w:spacing w:after="0" w:line="365" w:lineRule="auto"/>
        <w:tabs>
          <w:tab w:leader="none" w:pos="1147"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5"/>
          <w:szCs w:val="15"/>
          <w:color w:val="auto"/>
        </w:rPr>
      </w:pPr>
    </w:p>
    <w:p>
      <w:pPr>
        <w:jc w:val="both"/>
        <w:ind w:left="960" w:hanging="318"/>
        <w:spacing w:after="0" w:line="255" w:lineRule="auto"/>
        <w:tabs>
          <w:tab w:leader="none" w:pos="10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640" w:hanging="316"/>
        <w:spacing w:after="0" w:line="294" w:lineRule="auto"/>
        <w:tabs>
          <w:tab w:leader="none" w:pos="6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7"/>
          <w:szCs w:val="17"/>
          <w:color w:val="auto"/>
        </w:rPr>
      </w:pPr>
    </w:p>
    <w:p>
      <w:pPr>
        <w:ind w:left="960" w:hanging="318"/>
        <w:spacing w:after="0" w:line="294" w:lineRule="auto"/>
        <w:tabs>
          <w:tab w:leader="none" w:pos="1042"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7"/>
          <w:szCs w:val="17"/>
          <w:color w:val="auto"/>
        </w:rPr>
      </w:pPr>
    </w:p>
    <w:p>
      <w:pPr>
        <w:ind w:left="960" w:hanging="318"/>
        <w:spacing w:after="0" w:line="264" w:lineRule="auto"/>
        <w:tabs>
          <w:tab w:leader="none" w:pos="104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Date: October 26, 2023</w:t>
            </w:r>
          </w:p>
        </w:tc>
        <w:tc>
          <w:tcPr>
            <w:tcW w:w="7060" w:type="dxa"/>
            <w:vAlign w:val="bottom"/>
            <w:gridSpan w:val="2"/>
          </w:tcPr>
          <w:p>
            <w:pPr>
              <w:ind w:left="2200"/>
              <w:spacing w:after="0"/>
              <w:rPr>
                <w:sz w:val="20"/>
                <w:szCs w:val="20"/>
                <w:color w:val="auto"/>
              </w:rPr>
            </w:pPr>
            <w:r>
              <w:rPr>
                <w:rFonts w:ascii="Arial" w:cs="Arial" w:eastAsia="Arial" w:hAnsi="Arial"/>
                <w:sz w:val="18"/>
                <w:szCs w:val="18"/>
                <w:color w:val="auto"/>
              </w:rPr>
              <w:t>By:   /s/ Michelle D. Esterman</w:t>
            </w:r>
          </w:p>
        </w:tc>
      </w:tr>
      <w:tr>
        <w:trPr>
          <w:trHeight w:val="218"/>
        </w:trPr>
        <w:tc>
          <w:tcPr>
            <w:tcW w:w="3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D. Esterman</w:t>
            </w:r>
          </w:p>
        </w:tc>
      </w:tr>
      <w:tr>
        <w:trPr>
          <w:trHeight w:val="225"/>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4"/>
        </w:trPr>
        <w:tc>
          <w:tcPr>
            <w:tcW w:w="3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400" w:type="dxa"/>
            <w:vAlign w:val="bottom"/>
          </w:tcPr>
          <w:p>
            <w:pPr>
              <w:ind w:left="20"/>
              <w:spacing w:after="0" w:line="174" w:lineRule="exact"/>
              <w:rPr>
                <w:sz w:val="20"/>
                <w:szCs w:val="20"/>
                <w:color w:val="auto"/>
              </w:rPr>
            </w:pPr>
            <w:r>
              <w:rPr>
                <w:rFonts w:ascii="Arial" w:cs="Arial" w:eastAsia="Arial" w:hAnsi="Arial"/>
                <w:sz w:val="18"/>
                <w:szCs w:val="18"/>
                <w:color w:val="auto"/>
              </w:rPr>
              <w:t>(Principal Financial Officer and</w:t>
            </w:r>
          </w:p>
        </w:tc>
      </w:tr>
      <w:tr>
        <w:trPr>
          <w:trHeight w:val="223"/>
        </w:trPr>
        <w:tc>
          <w:tcPr>
            <w:tcW w:w="3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87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2023</w:t>
      </w:r>
    </w:p>
    <w:p>
      <w:pPr>
        <w:spacing w:after="0" w:line="13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connection with the Quarterly Report on Form 10-Q of Altisource Portfolio Solutions S.A. (the “Company”) for the quarterly period ended September 30, 2023,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84" w:lineRule="exact"/>
        <w:rPr>
          <w:sz w:val="20"/>
          <w:szCs w:val="20"/>
          <w:color w:val="auto"/>
        </w:rPr>
      </w:pPr>
    </w:p>
    <w:p>
      <w:pPr>
        <w:ind w:left="700" w:hanging="376"/>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75" w:lineRule="exact"/>
        <w:rPr>
          <w:rFonts w:ascii="Arial" w:cs="Arial" w:eastAsia="Arial" w:hAnsi="Arial"/>
          <w:sz w:val="17"/>
          <w:szCs w:val="17"/>
          <w:color w:val="auto"/>
        </w:rPr>
      </w:pPr>
    </w:p>
    <w:p>
      <w:pPr>
        <w:ind w:left="700" w:hanging="376"/>
        <w:spacing w:after="0"/>
        <w:tabs>
          <w:tab w:leader="none" w:pos="7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00" w:type="dxa"/>
            <w:vAlign w:val="bottom"/>
          </w:tcPr>
          <w:p>
            <w:pPr>
              <w:ind w:left="4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18"/>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25"/>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October 26, 2023</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October 26, 2023</w:t>
            </w:r>
          </w:p>
        </w:tc>
      </w:tr>
    </w:tbl>
    <w:p>
      <w:pPr>
        <w:spacing w:after="0" w:line="1" w:lineRule="exact"/>
        <w:rPr>
          <w:sz w:val="20"/>
          <w:szCs w:val="20"/>
          <w:color w:val="auto"/>
        </w:rPr>
      </w:pP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2023-10-26T06:17:05Z</dcterms:created>
  <dcterms:modified xsi:type="dcterms:W3CDTF">2023-10-26T06:17:05Z</dcterms:modified>
</cp:coreProperties>
</file>