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780" w:right="10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 the quarterly period ended March 31, 2014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10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206375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ALTISOURCE PORTFOLIO SOLUTIONS S.A.</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98-0554932</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40" w:space="720"/>
            <w:col w:w="4020"/>
          </w:cols>
          <w:pgMar w:left="240" w:top="233" w:right="27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380"/>
          </w:cols>
          <w:pgMar w:left="240" w:top="233" w:right="279" w:bottom="0" w:gutter="0" w:footer="0" w:header="0"/>
          <w:type w:val="continuous"/>
        </w:sectPr>
      </w:pPr>
    </w:p>
    <w:p>
      <w:pPr>
        <w:spacing w:after="0" w:line="170" w:lineRule="exact"/>
        <w:rPr>
          <w:sz w:val="24"/>
          <w:szCs w:val="24"/>
          <w:color w:val="auto"/>
        </w:rPr>
      </w:pPr>
    </w:p>
    <w:p>
      <w:pPr>
        <w:ind w:left="140"/>
        <w:spacing w:after="0"/>
        <w:rPr>
          <w:sz w:val="20"/>
          <w:szCs w:val="20"/>
          <w:color w:val="auto"/>
        </w:rPr>
      </w:pPr>
      <w:r>
        <w:rPr>
          <w:rFonts w:ascii="Arial" w:cs="Arial" w:eastAsia="Arial" w:hAnsi="Arial"/>
          <w:sz w:val="18"/>
          <w:szCs w:val="18"/>
          <w:color w:val="auto"/>
        </w:rPr>
        <w:t>Large accelerated filer x</w:t>
      </w:r>
    </w:p>
    <w:p>
      <w:pPr>
        <w:spacing w:after="0" w:line="23" w:lineRule="exact"/>
        <w:rPr>
          <w:sz w:val="24"/>
          <w:szCs w:val="24"/>
          <w:color w:val="auto"/>
        </w:rPr>
      </w:pPr>
    </w:p>
    <w:p>
      <w:pPr>
        <w:ind w:left="14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7660" w:space="720"/>
            <w:col w:w="3000"/>
          </w:cols>
          <w:pgMar w:left="240" w:top="233" w:right="27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As of April 19, 2014, there were 22,256,172 outstanding shares of the registrant’s shares of beneficial interest (excluding 3,156,576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ectPr>
          <w:pgSz w:w="11900" w:h="16838" w:orient="portrait"/>
          <w:cols w:equalWidth="0" w:num="1">
            <w:col w:w="11380"/>
          </w:cols>
          <w:pgMar w:left="240" w:top="233" w:right="2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00" w:type="dxa"/>
            <w:vAlign w:val="bottom"/>
            <w:gridSpan w:val="22"/>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00" w:type="dxa"/>
            <w:vAlign w:val="bottom"/>
            <w:gridSpan w:val="22"/>
            <w:vMerge w:val="continue"/>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872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Interim Condensed Consolidated Financial Statements</w:t>
              </w:r>
            </w:hyperlink>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w:t>
              </w:r>
            </w:hyperlink>
          </w:p>
        </w:tc>
        <w:tc>
          <w:tcPr>
            <w:tcW w:w="800" w:type="dxa"/>
            <w:vAlign w:val="bottom"/>
            <w:tcBorders>
              <w:top w:val="single" w:sz="8" w:color="0000EE"/>
            </w:tcBorders>
            <w:gridSpan w:val="4"/>
          </w:tcPr>
          <w:p>
            <w:pPr>
              <w:spacing w:after="0"/>
              <w:rPr>
                <w:sz w:val="17"/>
                <w:szCs w:val="17"/>
                <w:color w:val="auto"/>
              </w:rPr>
            </w:pPr>
          </w:p>
        </w:tc>
        <w:tc>
          <w:tcPr>
            <w:tcW w:w="4800" w:type="dxa"/>
            <w:vAlign w:val="bottom"/>
            <w:gridSpan w:val="4"/>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2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Equity</w:t>
              </w:r>
            </w:hyperlink>
          </w:p>
        </w:tc>
        <w:tc>
          <w:tcPr>
            <w:tcW w:w="300" w:type="dxa"/>
            <w:vAlign w:val="bottom"/>
            <w:tcBorders>
              <w:top w:val="single" w:sz="8" w:color="0000EE"/>
            </w:tcBorders>
          </w:tcPr>
          <w:p>
            <w:pPr>
              <w:spacing w:after="0"/>
              <w:rPr>
                <w:sz w:val="17"/>
                <w:szCs w:val="17"/>
                <w:color w:val="auto"/>
              </w:rPr>
            </w:pPr>
          </w:p>
        </w:tc>
        <w:tc>
          <w:tcPr>
            <w:tcW w:w="4880" w:type="dxa"/>
            <w:vAlign w:val="bottom"/>
            <w:gridSpan w:val="6"/>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w:t>
              </w:r>
            </w:hyperlink>
          </w:p>
        </w:tc>
        <w:tc>
          <w:tcPr>
            <w:tcW w:w="4820" w:type="dxa"/>
            <w:vAlign w:val="bottom"/>
            <w:gridSpan w:val="5"/>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Notes to Condensed Consolidated Financial Statements</w:t>
              </w:r>
            </w:hyperlink>
          </w:p>
        </w:tc>
        <w:tc>
          <w:tcPr>
            <w:tcW w:w="4540" w:type="dxa"/>
            <w:vAlign w:val="bottom"/>
            <w:gridSpan w:val="3"/>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420" w:type="dxa"/>
            <w:vAlign w:val="bottom"/>
          </w:tcPr>
          <w:p>
            <w:pPr>
              <w:spacing w:after="0"/>
              <w:rPr>
                <w:sz w:val="24"/>
                <w:szCs w:val="24"/>
                <w:color w:val="auto"/>
              </w:rPr>
            </w:pPr>
          </w:p>
        </w:tc>
        <w:tc>
          <w:tcPr>
            <w:tcW w:w="872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3</w:t>
              </w:r>
            </w:hyperlink>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4</w:t>
              </w:r>
            </w:hyperlink>
          </w:p>
        </w:tc>
        <w:tc>
          <w:tcPr>
            <w:tcW w:w="540" w:type="dxa"/>
            <w:vAlign w:val="bottom"/>
            <w:gridSpan w:val="2"/>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6940" w:type="dxa"/>
            <w:vAlign w:val="bottom"/>
            <w:gridSpan w:val="10"/>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28"/>
        </w:trPr>
        <w:tc>
          <w:tcPr>
            <w:tcW w:w="220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PART II — Other Information</w:t>
              </w:r>
            </w:hyperlink>
          </w:p>
        </w:tc>
        <w:tc>
          <w:tcPr>
            <w:tcW w:w="8700" w:type="dxa"/>
            <w:vAlign w:val="bottom"/>
            <w:gridSpan w:val="15"/>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w:t>
              </w:r>
            </w:hyperlink>
          </w:p>
        </w:tc>
        <w:tc>
          <w:tcPr>
            <w:tcW w:w="54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7380" w:type="dxa"/>
            <w:vAlign w:val="bottom"/>
            <w:gridSpan w:val="11"/>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Item 1A</w:t>
              </w:r>
            </w:hyperlink>
          </w:p>
        </w:tc>
        <w:tc>
          <w:tcPr>
            <w:tcW w:w="420" w:type="dxa"/>
            <w:vAlign w:val="bottom"/>
          </w:tcPr>
          <w:p>
            <w:pPr>
              <w:spacing w:after="0"/>
              <w:rPr>
                <w:sz w:val="24"/>
                <w:szCs w:val="24"/>
                <w:color w:val="auto"/>
              </w:rPr>
            </w:pPr>
          </w:p>
        </w:tc>
        <w:tc>
          <w:tcPr>
            <w:tcW w:w="872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4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2</w:t>
              </w:r>
            </w:hyperlink>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Issuer Purchases of Equity Securities</w:t>
              </w:r>
            </w:hyperlink>
          </w:p>
        </w:tc>
        <w:tc>
          <w:tcPr>
            <w:tcW w:w="6040" w:type="dxa"/>
            <w:vAlign w:val="bottom"/>
            <w:gridSpan w:val="9"/>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872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SIGNATURES</w:t>
              </w:r>
            </w:hyperlink>
          </w:p>
        </w:tc>
        <w:tc>
          <w:tcPr>
            <w:tcW w:w="460" w:type="dxa"/>
            <w:vAlign w:val="bottom"/>
            <w:tcBorders>
              <w:top w:val="single" w:sz="8" w:color="0000EE"/>
            </w:tcBorders>
          </w:tcPr>
          <w:p>
            <w:pPr>
              <w:spacing w:after="0"/>
              <w:rPr>
                <w:sz w:val="24"/>
                <w:szCs w:val="24"/>
                <w:color w:val="auto"/>
              </w:rPr>
            </w:pPr>
          </w:p>
        </w:tc>
        <w:tc>
          <w:tcPr>
            <w:tcW w:w="560" w:type="dxa"/>
            <w:vAlign w:val="bottom"/>
            <w:gridSpan w:val="3"/>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68"/>
        </w:trPr>
        <w:tc>
          <w:tcPr>
            <w:tcW w:w="1100" w:type="dxa"/>
            <w:vAlign w:val="bottom"/>
            <w:tcBorders>
              <w:top w:val="single" w:sz="8" w:color="0000EE"/>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226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jc w:val="right"/>
              <w:ind w:right="2500"/>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assets: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116,376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122,141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2,837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254,590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94,539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266,996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Goodwill</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99,414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jc w:val="right"/>
              <w:ind w:right="1740"/>
              <w:spacing w:after="0"/>
              <w:rPr>
                <w:sz w:val="20"/>
                <w:szCs w:val="20"/>
                <w:color w:val="auto"/>
              </w:rPr>
            </w:pPr>
            <w:r>
              <w:rPr>
                <w:rFonts w:ascii="Arial" w:cs="Arial" w:eastAsia="Arial" w:hAnsi="Arial"/>
                <w:sz w:val="18"/>
                <w:szCs w:val="18"/>
                <w:color w:val="auto"/>
              </w:rPr>
              <w:t>LIABILITIES AND EQUITY</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liabilities: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89,909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30,206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10,404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390,333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46,697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Commitments and contingencies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13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Common stock ($1.00 par value; 100,000 shares authorized; 25,413 issued and 22,337 outstanding as of</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25,413</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2014; 25,413 issued and 22,629 outstanding as of December 31, 2013)</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89,931</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89,273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277,460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w w:val="94"/>
              </w:rPr>
              <w:t>Treasury stock, at cost (3,076 shares as of March 31, 2014 and 2,784 shares as of December 31, 2013)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(231,181)</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(197,548)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Altisource equity</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161,623</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162,527</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734,051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726,877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239,269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revenue</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147,805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96,962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Gross profit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91,464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47,930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tax provision</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40,146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39,631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Basic</w:t>
            </w:r>
          </w:p>
        </w:tc>
        <w:tc>
          <w:tcPr>
            <w:tcW w:w="2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Basic</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22,509</w:t>
            </w:r>
          </w:p>
        </w:tc>
        <w:tc>
          <w:tcPr>
            <w:tcW w:w="3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24,662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Revenue</w:t>
            </w:r>
          </w:p>
        </w:tc>
        <w:tc>
          <w:tcPr>
            <w:tcW w:w="2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145,558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Altisource Equity</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230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Additional</w:t>
            </w:r>
          </w:p>
        </w:tc>
        <w:tc>
          <w:tcPr>
            <w:tcW w:w="11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Retained</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Treasury stock,</w:t>
            </w:r>
          </w:p>
        </w:tc>
        <w:tc>
          <w:tcPr>
            <w:tcW w:w="20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controlling</w:t>
            </w: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300" w:type="dxa"/>
            <w:vAlign w:val="bottom"/>
            <w:gridSpan w:val="3"/>
            <w:vMerge w:val="continue"/>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paid-in capital</w:t>
            </w: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earnings</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at cost</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6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1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4"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124,127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(77,954)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27,518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holders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88,297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151,441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(99,291)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239,561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(197,548)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39,631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40,146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Repurchase of shares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(35,766)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Balance, March 31, 2014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25,413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25,413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89,931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277,460</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(231,181)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162,527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40,146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6,246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658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losses of investment in affiliate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1,755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discount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Loss on disposal of fixed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(22,599)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(5,042)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(12,945)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Proceeds from loan to Ocwen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(35,766)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130,324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vMerge w:val="continue"/>
          </w:tcPr>
          <w:p>
            <w:pPr>
              <w:spacing w:after="0"/>
              <w:rPr>
                <w:sz w:val="22"/>
                <w:szCs w:val="22"/>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the end of the period</w:t>
            </w:r>
          </w:p>
        </w:tc>
        <w:tc>
          <w:tcPr>
            <w:tcW w:w="1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116,376</w:t>
            </w:r>
          </w:p>
        </w:tc>
        <w:tc>
          <w:tcPr>
            <w:tcW w:w="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4" w:name="page5"/>
    <w:bookmarkEnd w:id="4"/>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Supplemental cash flow information:</w:t>
            </w:r>
          </w:p>
        </w:tc>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2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Income taxes paid, net</w:t>
            </w:r>
          </w:p>
        </w:tc>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 purchased on account</w:t>
            </w:r>
          </w:p>
        </w:tc>
        <w:tc>
          <w:tcPr>
            <w:tcW w:w="2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Altisource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operations are conducted through three reporting segments: Mortgage Services, Financial Services and Technology Services. In addition, we report our corporate-related expenditures and eliminations separately (see Note 19 for a description of our business segments).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these estimates. All significant intercompany and inter-segment transactions and accounts have been eliminated in consolidation.</w:t>
      </w:r>
    </w:p>
    <w:p>
      <w:pPr>
        <w:spacing w:after="0" w:line="19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Mortgage Partnership of America, L.L.C. (“MPA”), a wholly-owned subsidiary of Altisource, serves as the manager of Best Partners Mortgage Cooperative, Inc. (“BPMC”) doing business as Lenders One Mortgage Cooperative (“Lenders One”). MPA provides services to Lenders One under a management agreement that ends on December 31, 2025. The management agreement between MPA and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members,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interests. As of March 31, 2014, Lenders One had total assets of $5.0 million and total liabilities of $4.1 million. As of December 31, 2013, Lenders One had total assets of $4.6 million and total liabilities of $3.5 million.</w:t>
      </w:r>
    </w:p>
    <w:p>
      <w:pPr>
        <w:spacing w:after="0" w:line="17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consolidated financial statements and notes thereto contained in our Form 10-K for the year ended December 31, 2013, filed with the SEC on February 13, 2014, which contains a summary of our significant accounting policies. Certain footnote detail in the Form 10-K is omitted from the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Our financial assets and liabilities primarily include cash and cash equivalents, restricted cash, long-term debt and acquisition-related contingent consideration. Cash and cash equivalents and restricted cash are carried at amounts that approximate their fair value due to the short-term nature of these instruments. The fair value was determined by level 1 of the three level hierarchy established by the Financial Accounting Standards Board’s Accounting Standards Codification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using quoted prices in active markets for identical assets. The carrying amount of the long-term debt approximates fair value due to the variable interest rate. The fair value was determined by level 2 of the three level hierarchy in ASC Topic 820 using inputs other than quoted prices that are observable, either directly or indirectly. The Company estimates the fair value of acquisition-related contingent consideration, related to the acquisition of Equator, LLC (“Equator”) on November 15, 2013, to be $46.0 million. The fair value was determined by level 3 of the three level hierarchy in ASC Topic 820 using unobservable inputs that are supported by little or no market activity and that are significant to the fair value of the assets or liabilities using a discounted probability-weighted approach.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ectPr>
          <w:pgSz w:w="11900" w:h="16888" w:orient="portrait"/>
          <w:cols w:equalWidth="0" w:num="1">
            <w:col w:w="11420"/>
          </w:cols>
          <w:pgMar w:left="240" w:top="120"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r>
        <w:rPr>
          <w:rFonts w:ascii="Arial" w:cs="Arial" w:eastAsia="Arial" w:hAnsi="Arial"/>
          <w:sz w:val="23"/>
          <w:szCs w:val="23"/>
          <w:color w:val="auto"/>
          <w:vertAlign w:val="superscript"/>
        </w:rPr>
        <w:t>®</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Ocwen Financial Corporation (“Ocwen”), together with its subsidiaries, is our largest customer. Our Chairman is also the Executive Chairman of Ocwen. Ocwen and its subsidiaries are contractually obligated to purchase certain mortgage services and technology services from us through August 2025 under the terms of master services agreements and amendments to the master services agreements (collectively, the “Service Agreements”). The Service Agreements, among other things, contain a “most favored nations” provision and the parties to the Service Agreements have the right to renegotiate pricing. In connection with our acquisition from Ocwen of the fee-based businesses of Homeward Residential, Inc. (“Homeward”) that closed on March 29, 2013 and the transaction with Ocwen related to the fee-based businesses of Residential Capital, LLC (“ResCap”) that closed on April 12, 2013 (see Note 3), our Service Agreements with Ocwen were amended to extend the term from 2020 to 2025. Further, as part of the amendments, we are the exclusive provider of services to Ocwen with respect to the Homeward and ResCap servicing portfolios, and Ocwen agreed not to establish similar fee-based businesses that would directly or indirectly compete with Altisource’s services with respect to the Homeward and ResCap businesses. We settle amounts with Ocwen on a daily, weekly or monthly basis depending upon the nature of the service and when the service is provided.</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Related party revenue consists of revenue earned directly from Ocwen and its subsidiaries and revenue earned from the loans serviced by Ocwen and its subsidiaries when Ocwen designates us as the service provider. We earn additional revenue on the portfolios serviced by Ocwen and its subsidiaries that are not considered related party revenue when a party other than Ocwen selects Altisource as the service provider. Related party revenue as a percentage of segment and consolidated revenue was as follows for the three months ended March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Financial Services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26%</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&lt;1%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Technology Services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Consolidated revenue</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61%</w:t>
            </w:r>
          </w:p>
        </w:tc>
        <w:tc>
          <w:tcPr>
            <w:tcW w:w="2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record revenue we earn from Ocwen and its subsidiaries under various long-term services contracts at rates we believe to be market rates as we believe they are consistent with one or more of the following: the fees we charge to other customers for comparable services, the fees Ocwen pays to other service providers and fees charged by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Support Services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support services agreements with Ocwen and its subsidiaries. These services include such areas as human resources, vendor management, corporate services, operational effectiveness, quality assurance, quantitative analytics and treasury. Payment for the services provided is on the fully-allocated cost of providing the service based on an estimate of the time and expense of providing the service. For the three months ended March 31, 2014 and 2013, we billed Ocwen and its subsidiaries $0.8 million and $0.6 million, respectively, and Ocwen and its subsidiaries billed us $0.8 million and $0.7 million, respectively, for services provided under these agreements. These amounts are reflected as a component of selling, general and administrative expenses in the condensed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Unsecured Term Loan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shall at no time be less than 1.50%. On February 15, 2013, Ocwen repaid the outstanding principal amount of $75.0 million, plus all accrued and unpaid interest and the term loan was terminated. Interest income related to this loan was $0.8 million for the three months ended March 31, 2013 (no comparative amount for the three months ended March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 Related to Fee-Based Businesses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ResCap servicing portfolios. Ocwen acquired the Homeward servicing portfolio on December 27, 2012 and the ResCap servicing portfolio on February 15, 2013. Altisource acquired the Homeward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fee-based businesses from Ocwen on March 29, 2013 (see Note 3). Altisource entered into an agreement with Ocwen on April 12, 2013 to establish additional terms related to our services in connection with the ResCap fee-based businesses (see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and HLSS</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July 2011, we acquired an equity interest in Correspondent One S.A. (“Correspondent One”). Correspondent One purchased closed conforming and government guaranteed residential mortgages from approved mortgage bankers. On March 31, 2013, we sold our 49% interest in Correspondent One to Ocwen for $12.6 million. We received the proceeds from the sale on April 2, 2013. Under a support services agreement, we provided Correspondent One certain finance, human resources, legal support, facilities, technology, vendor management and risk management services. For the three months ended March 31, 2013, we billed Correspondent One less than $0.1 million (no comparative amount for the three months ended March 31, 2014). We also provided certain origination related services to Correspondent One. We earned revenue of $0.1 million for the three months ended March 31, 2013 for these services (no comparative amount for the three months ended March 31, 2014).</w:t>
      </w:r>
    </w:p>
    <w:p>
      <w:pPr>
        <w:sectPr>
          <w:pgSz w:w="11900" w:h="16838" w:orient="portrait"/>
          <w:cols w:equalWidth="0" w:num="1">
            <w:col w:w="11420"/>
          </w:cols>
          <w:pgMar w:left="240" w:top="337" w:right="239" w:bottom="0" w:gutter="0" w:footer="0" w:header="0"/>
        </w:sectPr>
      </w:pPr>
    </w:p>
    <w:bookmarkStart w:id="6" w:name="page7"/>
    <w:bookmarkEnd w:id="6"/>
    <w:p>
      <w:pPr>
        <w:ind w:right="140"/>
        <w:spacing w:after="0" w:line="264" w:lineRule="auto"/>
        <w:rPr>
          <w:sz w:val="20"/>
          <w:szCs w:val="20"/>
          <w:color w:val="auto"/>
        </w:rPr>
      </w:pPr>
      <w:r>
        <w:rPr>
          <w:rFonts w:ascii="Arial" w:cs="Arial" w:eastAsia="Arial" w:hAnsi="Arial"/>
          <w:sz w:val="18"/>
          <w:szCs w:val="18"/>
          <w:color w:val="auto"/>
        </w:rPr>
        <w:t>Home Loan Servicing Solutions, Ltd. (“HLSS”) is a publicly traded company whose primary objective is the acquisition of mortgage servicing rights and advances. Our Chairman is also the Chairman of HLSS. Under a support services agreement, we provide HLSS certain finance, human resources and legal support services. We billed HLSS $0.2 million for each of the three months ended March 31, 2014 and 2013.</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reflected as a component of selling, general and administrative expenses in the condensed consolidated statements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Altisource Residential Corporation (“Residential”) and Altisource Asset Management Corporation (“AAMC”) were established, capitalized and their equity was distributed to our shareholders on December 21, 2012 and are each separate publicly traded companies. Residential is focused on acquiring and managing single family rental properties by acquiring portfolios of sub-performing and non-performing residential mortgage loans throughout the United States. AAMC is an asset management company providing portfolio management and corporate governance services to Residential. Our Chairman is also the Chairman of Residential and AAMC.</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purposes of governing certain ongoing relationships between Altisource, Residential and AAMC, and to provide for an orderly transition, we entered into certain agreements with Residential and AAMC. We have agreements to provide Residential with renovation management, lease management and property management services. In addition, we have agreements with Residential and AAMC to provide support services such as finance, human resources, legal support, facilities, technology, vendor management and risk management. Further, we have separate agreements for certain services related to income tax matters, trademark licenses and technology products and services. For the three months ended March 31, 2014 and 2013, we billed Residential $0.8 million and $0.2 million, respectively. For the three months ended March 31, 2014 and 2013, we billed AAMC less than $0.1 million and $0.1 million, respectively, under these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Fee-Based Businesses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29, 2013, we acquired certain fee-based businesses associated with Ocwen’s acquisition of Homeward. As part of the acquisition, Ocwen agreed not to develop similar fee-based businesses that would directly or indirectly compete with services provided by Altisource relative to the Homeward servicing portfolio. Additionally, the terms of our Service Agreements with Ocwen were amended to extend the term from 2020 to 2025 (see Note 2). We paid $75.8 million, after a working capital and net income adjustment of $11.1 million.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the acquisition date, management adjusted the purchase price allocation and assigned associated asset lives based upon information that has become available. In addition to the working capital adjustment, we also reduced premises and equipment by $1.2 million based on a post-acquisition detailed analysis of software licenses received and increased current liabilities by $2.0 million based on a subsequent detailed analysis of obligations payable as of the closing date. Consequently, the Company has retrospectively adjusted the fair value of the assets acquired and liabilities assumed in the condensed consolidated balance sheet as of December 31, 2013 as well as the corresponding amounts in the condensed consolidated statement of cash flows for the three months ended March 31, 2013.</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280" w:type="dxa"/>
            <w:vAlign w:val="bottom"/>
            <w:gridSpan w:val="2"/>
          </w:tcPr>
          <w:p>
            <w:pPr>
              <w:ind w:left="3180"/>
              <w:spacing w:after="0"/>
              <w:rPr>
                <w:sz w:val="20"/>
                <w:szCs w:val="20"/>
                <w:color w:val="auto"/>
              </w:rPr>
            </w:pPr>
            <w:r>
              <w:rPr>
                <w:rFonts w:ascii="Arial" w:cs="Arial" w:eastAsia="Arial" w:hAnsi="Arial"/>
                <w:sz w:val="18"/>
                <w:szCs w:val="18"/>
                <w:b w:val="1"/>
                <w:bCs w:val="1"/>
                <w:color w:val="auto"/>
              </w:rPr>
              <w:t>ALTISOURCE PORTFOLIO SOLUTIONS S.A.</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8280" w:type="dxa"/>
            <w:vAlign w:val="bottom"/>
            <w:gridSpan w:val="2"/>
          </w:tcPr>
          <w:p>
            <w:pPr>
              <w:ind w:left="2460"/>
              <w:spacing w:after="0"/>
              <w:rPr>
                <w:sz w:val="20"/>
                <w:szCs w:val="20"/>
                <w:color w:val="auto"/>
              </w:rPr>
            </w:pPr>
            <w:r>
              <w:rPr>
                <w:rFonts w:ascii="Arial" w:cs="Arial" w:eastAsia="Arial" w:hAnsi="Arial"/>
                <w:sz w:val="18"/>
                <w:szCs w:val="18"/>
                <w:b w:val="1"/>
                <w:bCs w:val="1"/>
                <w:color w:val="auto"/>
                <w:w w:val="99"/>
              </w:rPr>
              <w:t>Notes to Condensed Consolidated Financial Statements (</w:t>
            </w:r>
            <w:r>
              <w:rPr>
                <w:rFonts w:ascii="Arial" w:cs="Arial" w:eastAsia="Arial" w:hAnsi="Arial"/>
                <w:sz w:val="18"/>
                <w:szCs w:val="18"/>
                <w:b w:val="1"/>
                <w:bCs w:val="1"/>
                <w:i w:val="1"/>
                <w:iCs w:val="1"/>
                <w:color w:val="auto"/>
                <w:w w:val="99"/>
              </w:rPr>
              <w:t>Continued</w:t>
            </w: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40" w:type="dxa"/>
            <w:vAlign w:val="bottom"/>
            <w:gridSpan w:val="3"/>
          </w:tcPr>
          <w:p>
            <w:pPr>
              <w:spacing w:after="0"/>
              <w:rPr>
                <w:sz w:val="20"/>
                <w:szCs w:val="20"/>
                <w:color w:val="auto"/>
              </w:rPr>
            </w:pPr>
            <w:r>
              <w:rPr>
                <w:rFonts w:ascii="Arial" w:cs="Arial" w:eastAsia="Arial" w:hAnsi="Arial"/>
                <w:sz w:val="18"/>
                <w:szCs w:val="18"/>
                <w:color w:val="auto"/>
              </w:rPr>
              <w:t>The final adjusted allocation of the purchase price is as follows: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40" w:type="dxa"/>
            <w:vAlign w:val="bottom"/>
            <w:gridSpan w:val="3"/>
          </w:tcPr>
          <w:p>
            <w:pPr>
              <w:ind w:left="6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8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75,609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75,817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Estimated life</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Fee-Based Businesses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April 12, 2013, we entered into an agreement with Ocwen to establish additional terms related to the existing servicing arrangements between Altisource and Ocwen in connection with certain mortgage servicing platform assets of ResCap (the “ResCap Business”). The agreement provides that (i) Altisource will be the exclusive provider, except as prohibited by applicable law, to Ocwen of certain services related to the ResCap Business, (ii) Ocwen will not establish similar fee-based businesses that would directly or indirectly compete with Altisource’s services as they relate to the ResCap Business and</w:t>
      </w:r>
    </w:p>
    <w:p>
      <w:pPr>
        <w:spacing w:after="0" w:line="2" w:lineRule="exact"/>
        <w:rPr>
          <w:sz w:val="20"/>
          <w:szCs w:val="20"/>
          <w:color w:val="auto"/>
        </w:rPr>
      </w:pPr>
    </w:p>
    <w:p>
      <w:pPr>
        <w:ind w:right="200" w:firstLine="8"/>
        <w:spacing w:after="0" w:line="255"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Ocwen will market and promote the utilization of Altisource’s services to their various third party relationships. Additionally, the parties agreed to use commercially reasonable best efforts to ensure that the loans associated with the ResCap Business are boarded onto Altisource’s mortgage servicing platform. We paid $128.8 million to Ocwen in connection with the ResCap fee-based businesses agreement.</w:t>
      </w:r>
    </w:p>
    <w:p>
      <w:pPr>
        <w:spacing w:after="0" w:line="19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acquired no tangible assets and assumed no liabilities in connection with the ResCap transaction. However, certain employees as well as practices and processes developed to support the ResCap servicing portfolio were components of the transaction. We accounted for this transaction as a business</w:t>
      </w:r>
    </w:p>
    <w:p>
      <w:pPr>
        <w:sectPr>
          <w:pgSz w:w="11900" w:h="16838" w:orient="portrait"/>
          <w:cols w:equalWidth="0" w:num="1">
            <w:col w:w="11380"/>
          </w:cols>
          <w:pgMar w:left="240" w:top="125" w:right="27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xml:space="preserve">combination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Management prepared a final purchase price allocation and assigned associated asset lives based upon available information at the time of the agreement and through the date of filing. The agreement consideration of $128.8 million was fully allocated to the customer relationship intangible asset with an estimated average useful life of 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Equator</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Acquisition</w:t>
      </w:r>
    </w:p>
    <w:p>
      <w:pPr>
        <w:spacing w:after="0" w:line="17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November 15, 2013, we completed the acquisition of all of the outstanding limited liability company interests of Equator pursuant to the previously reported Purchase and Sale Agreement dated as of August 19, 2013 (the “Purchase Agreement”). Pursuant to the terms of the Purchase Agreement, we paid $63.4 million at closing in cash (net of closing working capital adjustments), subject to certain post-closing adjustments based on current assets and current liabilities of Equator at closing. The Purchase Agreement provides for the determination of any working capital adjustment within 90 days of the closing date. The final determination of any post-closing adjustment is in process. Additionally, the Purchase Agreement provides for the payment of up to $80 million in potential additional consideration (the “Earn Out”). The Earn Out is determined based on Equator’s Adjusted EBITA (as defined in the Purchase Agreement) in the three consecutive 12-month periods following closing. Up to $22.5 million of the Earn Out can be earned in each of the first two 12-month periods, and up to $35.0 million can be earned in the third 12-month period. Any amounts earned upon the achievement of Adjusted EBITA thresholds are payable through 2017. We may, in our discretion, pay up to 20% of each payment of any Earn Out in shares of Company restricted stock, with the balance to be paid in cash.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adjusted allocation of the purchase price is estimated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Customer relationships and trade names</w:t>
            </w:r>
          </w:p>
        </w:tc>
        <w:tc>
          <w:tcPr>
            <w:tcW w:w="4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Assets acquired</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(7,232)</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Liabilities assumed</w:t>
            </w:r>
          </w:p>
        </w:tc>
        <w:tc>
          <w:tcPr>
            <w:tcW w:w="4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(43,921)</w:t>
            </w:r>
          </w:p>
        </w:tc>
        <w:tc>
          <w:tcPr>
            <w:tcW w:w="12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Equator purchase price includes the fair value of the Earn Out of $46.0 million, determined based on the present value of future estimated Earn Out payments.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(excluding internally developed software)</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Internally developed software (included in premises and equipment)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7 - 15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Trade names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unaudited pro forma consolidated results of operations as if the Homeward, ResCap Business and Equator transactions had occurred at the beginning of the period presented.</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4"/>
                <w:szCs w:val="14"/>
                <w:b w:val="1"/>
                <w:bCs w:val="1"/>
                <w:color w:val="auto"/>
                <w:w w:val="94"/>
              </w:rPr>
              <w:t>March 31, 2013</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As reported</w:t>
            </w:r>
          </w:p>
        </w:tc>
        <w:tc>
          <w:tcPr>
            <w:tcW w:w="340" w:type="dxa"/>
            <w:vAlign w:val="bottom"/>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148,827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27,518</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28,052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unaudited pro forma information presents the combined operating results of Altisource and the Homeward, ResCap Business and Equator transactions. The Homeward, ResCap Business and Equator operating results were derived from their historical financial statements for the most comparable periods available. The results prior to the acquisition dates have been adjusted to include the pro forma impact of the adjustment of amortization of the acquired intangible assets based on the purchase price allocations, the adjustment of interest expense reflecting the portion of our senior secured term loan used in the Homeward, ResCap Business and Equator transactions and to reflect the impact of income taxes on the pro forma adjustments utilizing Altisource’s effective income tax rate.</w:t>
      </w:r>
    </w:p>
    <w:p>
      <w:pPr>
        <w:spacing w:after="0" w:line="19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unaudited pro forma results are presented for illustrative purposes only and do not reflect additional revenue opportunities, the realization of any potential cost savings and any related integration costs. Certain revenue opportunities and cost savings may result from the transactions and the conversion to the Altisource model; however, there can be no assurance that these revenue opportunities and cost savings will be achieved. These pro forma results do not</w:t>
      </w:r>
    </w:p>
    <w:p>
      <w:pPr>
        <w:sectPr>
          <w:pgSz w:w="11900" w:h="16838" w:orient="portrait"/>
          <w:cols w:equalWidth="0" w:num="1">
            <w:col w:w="11400"/>
          </w:cols>
          <w:pgMar w:left="240" w:top="125" w:right="259" w:bottom="0" w:gutter="0" w:footer="0" w:header="0"/>
        </w:sectPr>
      </w:pPr>
    </w:p>
    <w:bookmarkStart w:id="8" w:name="page9"/>
    <w:bookmarkEnd w:id="8"/>
    <w:p>
      <w:pPr>
        <w:ind w:right="60"/>
        <w:spacing w:after="0" w:line="277" w:lineRule="auto"/>
        <w:rPr>
          <w:sz w:val="20"/>
          <w:szCs w:val="20"/>
          <w:color w:val="auto"/>
        </w:rPr>
      </w:pPr>
      <w:r>
        <w:rPr>
          <w:rFonts w:ascii="Arial" w:cs="Arial" w:eastAsia="Arial" w:hAnsi="Arial"/>
          <w:sz w:val="18"/>
          <w:szCs w:val="18"/>
          <w:color w:val="auto"/>
        </w:rPr>
        <w:t>purport to be indicative of the results that would have actually been obtained if the transactions occurred as of the beginning of the period presented, nor is the pro forma data intended to be a projection of results that may be obtained in the future.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2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Billed</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Arial" w:cs="Arial" w:eastAsia="Arial" w:hAnsi="Arial"/>
                <w:sz w:val="18"/>
                <w:szCs w:val="18"/>
                <w:color w:val="auto"/>
              </w:rPr>
              <w:t>Non-related parties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45,902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Arial" w:cs="Arial" w:eastAsia="Arial" w:hAnsi="Arial"/>
                <w:sz w:val="18"/>
                <w:szCs w:val="18"/>
                <w:color w:val="auto"/>
              </w:rPr>
              <w:t>HLSS</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AAMC</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63,758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Unbilled</w:t>
            </w:r>
          </w:p>
        </w:tc>
        <w:tc>
          <w:tcPr>
            <w:tcW w:w="728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Arial" w:cs="Arial" w:eastAsia="Arial" w:hAnsi="Arial"/>
                <w:sz w:val="18"/>
                <w:szCs w:val="18"/>
                <w:color w:val="auto"/>
              </w:rPr>
              <w:t>Non-related parties</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43,087</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129,474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122,141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 current portion</w:t>
            </w:r>
          </w:p>
        </w:tc>
        <w:tc>
          <w:tcPr>
            <w:tcW w:w="3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current assets</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13,236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PREMISES AND EQUIPMENT, NET</w:t>
            </w: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Premises and equipment, net consist of the following:</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3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30,632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28,057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18,585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17,574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170,759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157,422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(76,220)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(70,170)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94,539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87,252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60" w:type="dxa"/>
            <w:vAlign w:val="bottom"/>
            <w:vMerge w:val="restart"/>
          </w:tcPr>
          <w:p>
            <w:pPr>
              <w:jc w:val="right"/>
              <w:ind w:right="173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74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ectPr>
          <w:pgSz w:w="11900" w:h="16838" w:orient="portrait"/>
          <w:cols w:equalWidth="0" w:num="1">
            <w:col w:w="11460"/>
          </w:cols>
          <w:pgMar w:left="240" w:top="125" w:right="199" w:bottom="180" w:gutter="0" w:footer="0" w:header="0"/>
        </w:sectPr>
      </w:pPr>
    </w:p>
    <w:bookmarkStart w:id="9" w:name="page10"/>
    <w:bookmarkEnd w:id="9"/>
    <w:p>
      <w:pPr>
        <w:ind w:right="60"/>
        <w:spacing w:after="0" w:line="264" w:lineRule="auto"/>
        <w:rPr>
          <w:sz w:val="20"/>
          <w:szCs w:val="20"/>
          <w:color w:val="auto"/>
        </w:rPr>
      </w:pPr>
      <w:r>
        <w:rPr>
          <w:rFonts w:ascii="Arial" w:cs="Arial" w:eastAsia="Arial" w:hAnsi="Arial"/>
          <w:sz w:val="18"/>
          <w:szCs w:val="18"/>
          <w:color w:val="auto"/>
        </w:rPr>
        <w:t>Depreciation and amortization expense, inclusive of capital leases, amounted to $6.2 million and $4.7 million for the three months ended March 31, 2014 and 2013, respectively, and is included in cost of revenue for operating assets and in selling, general and administrative expenses for non-operating assets in the accompanying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goodwill during the three months ended March 31, 2014. The following is a summary of goodwill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Technology</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r>
              <w:rPr>
                <w:rFonts w:ascii="Arial" w:cs="Arial" w:eastAsia="Arial" w:hAnsi="Arial"/>
                <w:sz w:val="8"/>
                <w:szCs w:val="8"/>
                <w:b w:val="1"/>
                <w:bCs w:val="1"/>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 and December 31, 2013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27"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December 31, 2013 goodwill has been revised to reflect a purchase accounting measurement period adjustment related to the Homeward acquisition. See Note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Gross carrying 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9"/>
              </w:rPr>
              <w:t>Accumulated amortization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vMerge w:val="restart"/>
          </w:tcPr>
          <w:p>
            <w:pPr>
              <w:ind w:left="46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estimated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useful life</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5"/>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5"/>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5"/>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Definite lived intangible assets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Trademarks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12,249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(4,534)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Customer-related intangible assets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284,484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(53,093)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231,391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Operating agreement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(7,292)</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(6,854)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27,708</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332,033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333,033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(65,037)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(56,871)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266,996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276,162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Amortization expense for definite lived intangible assets was $9.5 million and $1.2 million for the three months ended March 31, 2014 and 2013, respectively. Expected annual definite lived intangible asset amortization for 2014 through 2018 is $43.4 million, $40.6 million, $34.6 million, $29.2 million and $24.1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INVESTMENT IN EQUITY AFFILIATE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Correspondent One purchased closed conforming residential mortgages from approved mortgage bankers. Prior to the sale of our interest in Correspondent One to Ocwen on March 31, 2013 (see Note 2), we had significant influence over the general operations of Correspondent One consistent with our 49% ownership level, and therefore, accounted for our investment under the equity method. On March 31, 2013, we sold our 49% interest in Correspondent One to Ocwen for $12.6 million.</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net loss on this investment using the equity method was $0.2 million for the three months ended March 31, 2013 (no comparative amount for the three months ended March 31,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Security deposits, net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Debt issuance costs, net</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agreements, non-current portion</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1,620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p>
      <w:pPr>
        <w:ind w:left="8280"/>
        <w:spacing w:after="0"/>
        <w:tabs>
          <w:tab w:leader="none" w:pos="980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ectPr>
          <w:pgSz w:w="11900" w:h="16838" w:orient="portrait"/>
          <w:cols w:equalWidth="0" w:num="1">
            <w:col w:w="11420"/>
          </w:cols>
          <w:pgMar w:left="240" w:top="125" w:right="23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17"/>
                <w:szCs w:val="17"/>
                <w:b w:val="1"/>
                <w:bCs w:val="1"/>
                <w:color w:val="auto"/>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22,986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Accrued expenses - general</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25,207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21,770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13,073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Payable to AAMC</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89,909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20" w:hanging="332"/>
        <w:spacing w:after="0" w:line="227"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December 31, 2013 payables have been revised to reflect a purchase accounting measurement period adjustment related to the Homeward acquisition. See Note 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overdrafts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6,693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10,404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4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395,509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396,503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unamortized discount, net</w:t>
            </w:r>
          </w:p>
        </w:tc>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(1,247)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3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394,308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395,256</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current portion</w:t>
            </w:r>
          </w:p>
        </w:tc>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(3,975)</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(3,975)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390,333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391,281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500" w:type="dxa"/>
            <w:vAlign w:val="bottom"/>
            <w:vMerge w:val="restart"/>
          </w:tcPr>
          <w:p>
            <w:pPr>
              <w:jc w:val="right"/>
              <w:ind w:right="173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November 27, 2012, we entered into a senior secured term loan agreement, as subsequently amended, with Bank of America, N.A., as administrative agent, and certain lenders, pursuant to which we borrowed $200.0 million. The senior secured term loan was issued with a 1.0% original issue discount of $2.0 million, resulting in net proceeds of $198.0 million, with the Company and certain wholly-owned subsidiaries acting as guarantors (collectively, the “Guarantors”).</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May 7, 2013, we amended the senior secured term loan agreement to increase the principal amount of the senior secured term loan by $200.0 million (the “Incremental Term Loan”), which was issued with a $1.0 million original issue premium, resulting in gross proceeds to the Company of $201.0 million. Additionally, the Incremental Term Loan amended the senior secured term loan agreement to, among other changes, provide for an additional $200.0 million incremental term loan facility accordion and increase the maximum amount of Restricted Junior Payments (as defined in the senior secured term loan agreement) that may be made by us including increasing the amount of Company share repurchases permitted.</w:t>
      </w:r>
    </w:p>
    <w:p>
      <w:pPr>
        <w:spacing w:after="0" w:line="17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December 9, 2013, we entered into an Amendment No. 2 (“Second Amendment”) to the senior secured term loan agreement in which we incurred indebtedness in the form of Refinancing Debt (as defined in the senior secured term loan agreement), the proceeds of which were used to refinance, in full, the $397.5 million of term loans outstanding under the senior secured term loan agreement immediately prior to the effectiveness of the Second Amendment. The Refinancing Debt bears interest at lower rates and has a maturity date approximately one year later than the prior term loans. The Second Amendment further modified the senior secured term loan agreement to, among other changes, increase the maximum permitted amount of Restricted Junior Payments (as defined in the senior secured term loan agreement) including share repurchases by the Company.</w:t>
      </w:r>
    </w:p>
    <w:p>
      <w:pPr>
        <w:spacing w:after="0" w:line="17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Refinancing Debt must be repaid in equal consecutive quarterly principal installments of $1.0 million commencing on December 31, 2013, with the balance due at maturity. After giving effect to the Second Amendment,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 Required Lenders (as defined in the senior secured term loan agreement) upon the occurrence of any event of default under the senior secured term loan agreement.</w:t>
      </w:r>
    </w:p>
    <w:p>
      <w:pPr>
        <w:spacing w:after="0" w:line="1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addition to the scheduled principal payments, the Refinancing Debt is (with certain exceptions) subject to mandatory prepayment upon issuances of debt, casualty and condemnation events and sales of assets, as well as from a percentage of excess cash flow (as defined in the senior secured term loan agreement) if the leverage ratio (as defined in the senior secured term loan agreement) is greater than 2.75 to 1.00. No mandatory prepayments were owed for the three months ended March 31, 2014. We are permitted to make voluntary prepayments without penalty after June 9, 2014. If prepayments are made prior to June 9, 2014, a fee of 1.0% of the principal amount of the prepaid term loans will be incurred.</w:t>
      </w:r>
    </w:p>
    <w:p>
      <w:pPr>
        <w:sectPr>
          <w:pgSz w:w="11900" w:h="16838" w:orient="portrait"/>
          <w:cols w:equalWidth="0" w:num="1">
            <w:col w:w="11460"/>
          </w:cols>
          <w:pgMar w:left="240" w:top="93" w:right="199" w:bottom="0" w:gutter="0" w:footer="0" w:header="0"/>
        </w:sectPr>
      </w:pPr>
    </w:p>
    <w:bookmarkStart w:id="11" w:name="page12"/>
    <w:bookmarkEnd w:id="11"/>
    <w:p>
      <w:pPr>
        <w:ind w:right="220"/>
        <w:spacing w:after="0" w:line="257" w:lineRule="auto"/>
        <w:rPr>
          <w:sz w:val="20"/>
          <w:szCs w:val="20"/>
          <w:color w:val="auto"/>
        </w:rPr>
      </w:pPr>
      <w:r>
        <w:rPr>
          <w:rFonts w:ascii="Arial" w:cs="Arial" w:eastAsia="Arial" w:hAnsi="Arial"/>
          <w:sz w:val="18"/>
          <w:szCs w:val="18"/>
          <w:color w:val="auto"/>
        </w:rPr>
        <w:t>After giving effect to the Second Amendment, all of the term loans outstanding under the senior secured term loan bear interest at rates based upon, at our option, the Adjusted Eurodollar Rate or the Base Rate (each as defined in the senior secured term loan agreement).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March 31, 2014 was 4.50%.</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Payments under the senior secured term loan agreement are guaranteed by the Guarantors and are secured by a pledge of all equity interests of certain subsidiaries, as well as a lien on substantially all of the assets of Altisource Solutions S.à r.l., a wholly-owned subsidiary of Altisource, and the Guarantors, subject to certain exceptions.</w:t>
      </w:r>
    </w:p>
    <w:p>
      <w:pPr>
        <w:spacing w:after="0" w:line="18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senior secured term loan agreement includes covenants that restrict or limit, among other things, our ability to: create liens and encumbrances; incur additional indebtedness; sell, transfer or dispose of assets;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its fiscal year and engage in mergers and consolidations.</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5 days of becoming due, (ii) material incorrectness of representations and warranties when made, (iii) breach of covenants, (iv) failure to pay principal or interest on any other debt that equals or exceeds $40.0 million when due,</w:t>
      </w:r>
    </w:p>
    <w:p>
      <w:pPr>
        <w:ind w:right="180" w:firstLine="8"/>
        <w:spacing w:after="0" w:line="28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default on any other debt that equals or exceeds $40.0 million that causes, or gives the holder or holders of such debt the ability to cause, an acceleration of such debt, (vi) occurrence of a Change in Control (as defined in the senior secured term loan agreement), (vii) bankruptcy and insolvency events (as defined in the senior secured term loan agreement), (viii) entry by a court of one or more judgments against us (as defined in the senior secured term loan agreement) in an amount in excess of $40.0 million that remain unbonded, undischarged or unstayed for a certain number of days after the entry thereof,</w:t>
      </w:r>
    </w:p>
    <w:p>
      <w:pPr>
        <w:spacing w:after="0" w:line="2" w:lineRule="exact"/>
        <w:rPr>
          <w:rFonts w:ascii="Arial" w:cs="Arial" w:eastAsia="Arial" w:hAnsi="Arial"/>
          <w:sz w:val="16"/>
          <w:szCs w:val="16"/>
          <w:color w:val="auto"/>
        </w:rPr>
      </w:pPr>
    </w:p>
    <w:p>
      <w:pPr>
        <w:jc w:val="both"/>
        <w:ind w:right="40" w:firstLine="8"/>
        <w:spacing w:after="0" w:line="277" w:lineRule="auto"/>
        <w:tabs>
          <w:tab w:leader="none" w:pos="30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occurrence of certain ERISA events and (x) the failure of certain Loan Documents (as defined in the senior secured term loan agreement)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March 31, 2014, debt issuance costs were $6.4 million, net of $1.3 million of accumulated amortization. At December 31, 2013, debt issuance costs were $6.7 million, net of $1.0 million of accumulated amortization. Debt issuance costs are included in other assets in the accompanying condensed consolidated balance sheets.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on the term loans, including amortization of debt issuance costs and the net debt discount, totaled $4.8 million and $3.2 million for the three months ended March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NON-CURRENT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(Earn Out)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3,751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46,697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45,476</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13 — EQUITY AND SHARE-BASED COMPENSATION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Stock Repurchase Plan</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February 28, 2014, our shareholders approved a new stock repurchase program, which replaced the previous stock repurchase program. Under the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March 31, 2014, we have purchased approximately 4.1 million shares of our common stock in the open market at an average price of $66.79 per share. We purchased 0.3 million shares of common stock at an average price of $109.97 per share during the three months ended March 31, 2014 and 0.3 million shares at an average price of $82.58 per share during the three months ended March 31, 2013. As of March 31, 2014, approximately 3.3 million shares of common stock remain available for repurchase under the new program. Luxembourg law also limits share repurchases to approximately the balance of Altisource Portfolio Solutions S.A. (unconsolidated parent company) retained earnings, less the value of shares repurchased. As of March 31, 2014, approximately $15 million was available to repurchase our common stock under Luxembourg law. Our senior secured term loan also limits the amount we can spend on share repurchases in any year and may prevent repurchases in certain circumstances. As of March 31, 2014, approximately $95 million was available to repurchase our common stock under our senior secured term loan.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issue share-based awards in the form of stock options and certain other equity-based awards for certain employees and officers. We recorded share-based compensation expense of $0.7 million and $1.4 million for the three months ended March 31, 2014 and 2013,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primarily of stock option grants that are a combination of service-based and market-based options.</w:t>
      </w:r>
    </w:p>
    <w:p>
      <w:pPr>
        <w:sectPr>
          <w:pgSz w:w="11900" w:h="16838" w:orient="portrait"/>
          <w:cols w:equalWidth="0" w:num="1">
            <w:col w:w="11420"/>
          </w:cols>
          <w:pgMar w:left="240" w:top="125" w:right="239" w:bottom="0" w:gutter="0" w:footer="0" w:header="0"/>
        </w:sectPr>
      </w:pPr>
    </w:p>
    <w:bookmarkStart w:id="12" w:name="page13"/>
    <w:bookmarkEnd w:id="12"/>
    <w:p>
      <w:pPr>
        <w:jc w:val="both"/>
        <w:ind w:left="340" w:right="22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0.7 million service-based awards were outstanding at March 31, 2014.</w:t>
      </w:r>
    </w:p>
    <w:p>
      <w:pPr>
        <w:spacing w:after="0" w:line="181"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 remaining 75% in three equal annual installments. A total of 1.8 million market-based awards were outstanding at March 31, 2014.</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were no options granted during the three months ended March 31, 2014. The Company granted less than 0.1 million stock options (at a weighted average exercise price of $88.56 per share) during the three months ended March 31, 2013.</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 pricing model, and a lattice (binomial) model was used to determine the fair value of the market-based options, using the following assumptions as of the grant date:</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620" w:type="dxa"/>
            <w:vAlign w:val="bottom"/>
            <w:gridSpan w:val="3"/>
          </w:tcPr>
          <w:p>
            <w:pPr>
              <w:jc w:val="center"/>
              <w:ind w:left="1236"/>
              <w:spacing w:after="0"/>
              <w:rPr>
                <w:sz w:val="20"/>
                <w:szCs w:val="20"/>
                <w:color w:val="auto"/>
              </w:rPr>
            </w:pPr>
            <w:r>
              <w:rPr>
                <w:rFonts w:ascii="Arial" w:cs="Arial" w:eastAsia="Arial" w:hAnsi="Arial"/>
                <w:sz w:val="14"/>
                <w:szCs w:val="14"/>
                <w:b w:val="1"/>
                <w:bCs w:val="1"/>
                <w:color w:val="auto"/>
                <w:w w:val="91"/>
              </w:rPr>
              <w:t>Three months ended</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2620" w:type="dxa"/>
            <w:vAlign w:val="bottom"/>
            <w:tcBorders>
              <w:bottom w:val="single" w:sz="8" w:color="auto"/>
            </w:tcBorders>
            <w:gridSpan w:val="3"/>
          </w:tcPr>
          <w:p>
            <w:pPr>
              <w:jc w:val="center"/>
              <w:ind w:left="1256"/>
              <w:spacing w:after="0"/>
              <w:rPr>
                <w:sz w:val="20"/>
                <w:szCs w:val="20"/>
                <w:color w:val="auto"/>
              </w:rPr>
            </w:pPr>
            <w:r>
              <w:rPr>
                <w:rFonts w:ascii="Arial" w:cs="Arial" w:eastAsia="Arial" w:hAnsi="Arial"/>
                <w:sz w:val="14"/>
                <w:szCs w:val="14"/>
                <w:b w:val="1"/>
                <w:bCs w:val="1"/>
                <w:color w:val="auto"/>
                <w:w w:val="96"/>
              </w:rPr>
              <w:t>March 31, 2013</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262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rPr>
              <w:t>Black-Scholes</w:t>
            </w:r>
          </w:p>
        </w:tc>
        <w:tc>
          <w:tcPr>
            <w:tcW w:w="1320" w:type="dxa"/>
            <w:vAlign w:val="bottom"/>
          </w:tcPr>
          <w:p>
            <w:pPr>
              <w:jc w:val="right"/>
              <w:ind w:right="553"/>
              <w:spacing w:after="0" w:line="142" w:lineRule="exact"/>
              <w:rPr>
                <w:sz w:val="20"/>
                <w:szCs w:val="20"/>
                <w:color w:val="auto"/>
              </w:rPr>
            </w:pPr>
            <w:r>
              <w:rPr>
                <w:rFonts w:ascii="Arial" w:cs="Arial" w:eastAsia="Arial" w:hAnsi="Arial"/>
                <w:sz w:val="14"/>
                <w:szCs w:val="14"/>
                <w:b w:val="1"/>
                <w:bCs w:val="1"/>
                <w:color w:val="auto"/>
              </w:rPr>
              <w:t>Binomial</w:t>
            </w:r>
          </w:p>
        </w:tc>
        <w:tc>
          <w:tcPr>
            <w:tcW w:w="80" w:type="dxa"/>
            <w:vAlign w:val="bottom"/>
          </w:tcPr>
          <w:p>
            <w:pPr>
              <w:spacing w:after="0"/>
              <w:rPr>
                <w:sz w:val="12"/>
                <w:szCs w:val="12"/>
                <w:color w:val="auto"/>
              </w:rPr>
            </w:pPr>
          </w:p>
        </w:tc>
      </w:tr>
      <w:tr>
        <w:trPr>
          <w:trHeight w:val="210"/>
        </w:trPr>
        <w:tc>
          <w:tcPr>
            <w:tcW w:w="676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1.02% – 1.13%</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 – 2.02%</w:t>
            </w:r>
          </w:p>
        </w:tc>
      </w:tr>
      <w:tr>
        <w:trPr>
          <w:trHeight w:val="216"/>
        </w:trPr>
        <w:tc>
          <w:tcPr>
            <w:tcW w:w="6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6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36.35% – 36.50%</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36.40% – 36.50%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2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5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26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6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6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$31.33 – $34.74</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$16.12 – $30.34</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weighted average fair value of stock options granted, the total intrinsic value of stock options exercised and the fair value of options vested: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4"/>
                <w:szCs w:val="14"/>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900" w:type="dxa"/>
            <w:vAlign w:val="bottom"/>
            <w:gridSpan w:val="3"/>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fair value at grant date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Intrinsic value of options exercised</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2,690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recorded net of estimated forfeiture rates ranging from 1% to 10%.</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2014, estimated unrecognized compensation costs related to share-based payments amounted to $1.9 million, which we expect to recognize over a weighted average remaining requisite service period of approximately 2.7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our stock options (no stock options were granted during the three months ended March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Aggregate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9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8"/>
              </w:rPr>
              <w:t>term</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intrinsic value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(in thousands)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2,589,343</w:t>
            </w:r>
          </w:p>
        </w:tc>
        <w:tc>
          <w:tcPr>
            <w:tcW w:w="10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18.33</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5.20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363,293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(28,538)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14.25</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81.65</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2,547,054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18.03</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4.93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264,079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2014</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2,190,311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13.03</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4.57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13" w:name="page14"/>
    <w:bookmarkEnd w:id="1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COST OF REVENUE</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 for the three months ended March 31:</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7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32,579</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52,828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34,895</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20,266</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8,841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5,491</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w:t>
            </w:r>
          </w:p>
        </w:tc>
      </w:tr>
      <w:tr>
        <w:trPr>
          <w:trHeight w:val="210"/>
        </w:trPr>
        <w:tc>
          <w:tcPr>
            <w:tcW w:w="7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147,805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96,962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SELLING, GENERAL AND ADMINISTRATIVE EXPENSES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Selling, general and administrative expenses include payroll for personnel employed in executive, finance, legal, human resources, vendor management, risk and operational effectiveness roles. This category also includes occupancy costs, professional fees and depreciation and amortization on non-operating assets. The components of selling, general and administrative expenses were as follows for the three months ended March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7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8,989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3,982</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9,466</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10,231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43,534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16 — OTHER INCOME (EXPENSE), NET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gridSpan w:val="3"/>
          </w:tcPr>
          <w:p>
            <w:pPr>
              <w:spacing w:after="0"/>
              <w:rPr>
                <w:sz w:val="20"/>
                <w:szCs w:val="20"/>
                <w:color w:val="auto"/>
              </w:rPr>
            </w:pPr>
            <w:r>
              <w:rPr>
                <w:rFonts w:ascii="Arial" w:cs="Arial" w:eastAsia="Arial" w:hAnsi="Arial"/>
                <w:sz w:val="18"/>
                <w:szCs w:val="18"/>
                <w:color w:val="auto"/>
              </w:rPr>
              <w:t>Other income (expense), net consists of the following for the three months ended March 31: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7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 equity affiliate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Loss in equity affiliate for the three months ended March 31, 2013, represents our proportional share of the losses in Correspondent One (see Note 8).</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three months ended March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39,631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24,662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1" w:right="239" w:bottom="0" w:gutter="0" w:footer="0" w:header="0"/>
        </w:sectPr>
      </w:pPr>
    </w:p>
    <w:bookmarkStart w:id="14" w:name="page15"/>
    <w:bookmarkEnd w:id="14"/>
    <w:p>
      <w:pPr>
        <w:spacing w:after="0" w:line="47" w:lineRule="exact"/>
        <w:rPr>
          <w:sz w:val="20"/>
          <w:szCs w:val="20"/>
          <w:color w:val="auto"/>
        </w:rPr>
      </w:pPr>
    </w:p>
    <w:p>
      <w:pPr>
        <w:ind w:left="180"/>
        <w:spacing w:after="0"/>
        <w:tabs>
          <w:tab w:leader="none" w:pos="8300" w:val="left"/>
          <w:tab w:leader="none" w:pos="9340" w:val="left"/>
          <w:tab w:leader="none" w:pos="9920" w:val="left"/>
          <w:tab w:leader="none" w:pos="1098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1.61</w:t>
        <w:tab/>
        <w:t>$</w:t>
      </w:r>
      <w:r>
        <w:rPr>
          <w:sz w:val="20"/>
          <w:szCs w:val="20"/>
          <w:color w:val="auto"/>
        </w:rPr>
        <w:tab/>
      </w: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14605</wp:posOffset>
            </wp:positionV>
            <wp:extent cx="189547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5475" cy="26035"/>
                    </a:xfrm>
                    <a:prstGeom prst="rect">
                      <a:avLst/>
                    </a:prstGeom>
                    <a:noFill/>
                  </pic:spPr>
                </pic:pic>
              </a:graphicData>
            </a:graphic>
          </wp:anchor>
        </w:drawing>
      </w:r>
    </w:p>
    <w:p>
      <w:pPr>
        <w:spacing w:after="0" w:line="2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three months ended March 31, 2014 and 2013, less than 0.1 million and 0.1 million options, respectively, that were anti-dilutive, have been excluded from the computation of diluted EPS. These options were anti-dilutive because their exercise price was greater than the average market price of our common stock. Also excluded from the computation of diluted EPS for the three months ended March 31, 2014 and 2013 are less than 0.1 million and 0.1 million options, respectively, granted for shares that are issuable upon the achievement of certain market and performance criteria related to our common stock price and an annualized rate of return to investors that have not yet been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condensed consolidated balance sheets. Amounts held in escrow and trust accounts were $97.2 million and $71.8 million at March 31, 2014 and December 31, 2013,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REPORTING</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4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 xml:space="preserve">We classify our business into three reporting segments. The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provides services that span the mortgage and real estate lifecycle and are typically outsourced by loan servicers, loan originators and investors in single family homes.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provides collection and customer relationship management services primarily to debt originators and servicers (e.g., credit card, auto lending, retail credit and mortgage) and the utility and insurance industries.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principally consists of our REALSuite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software applications, Equator’s software applications as well as our information technology infrastructure services. The REALSuite platform provides a fully integrated set of software applications and technologies that manage the end-to-end lifecycle for residential and commercial mortgage loan servicing including the automated management and payment of a distributed network of vendors. Equator’s software applications provide comprehensive, end-to-end workflow and transaction services to manage real estate and foreclosure related activities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1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purchase related services from vendors. In addition, </w:t>
      </w:r>
      <w:r>
        <w:rPr>
          <w:rFonts w:ascii="Arial" w:cs="Arial" w:eastAsia="Arial" w:hAnsi="Arial"/>
          <w:sz w:val="16"/>
          <w:szCs w:val="16"/>
          <w:i w:val="1"/>
          <w:iCs w:val="1"/>
          <w:color w:val="auto"/>
        </w:rPr>
        <w:t>Corporate Items and Eliminations</w:t>
      </w:r>
      <w:r>
        <w:rPr>
          <w:rFonts w:ascii="Arial" w:cs="Arial" w:eastAsia="Arial" w:hAnsi="Arial"/>
          <w:sz w:val="16"/>
          <w:szCs w:val="16"/>
          <w:color w:val="auto"/>
        </w:rPr>
        <w:t xml:space="preserve"> include eliminations of transactions between the reporting segments and costs related to corporate support functions including executive, finance, legal, human resources, vendor management, risk and operational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9"/>
          </w:tcPr>
          <w:p>
            <w:pPr>
              <w:jc w:val="right"/>
              <w:ind w:right="1100"/>
              <w:spacing w:after="0"/>
              <w:rPr>
                <w:sz w:val="20"/>
                <w:szCs w:val="20"/>
                <w:color w:val="auto"/>
              </w:rPr>
            </w:pPr>
            <w:r>
              <w:rPr>
                <w:rFonts w:ascii="Arial" w:cs="Arial" w:eastAsia="Arial" w:hAnsi="Arial"/>
                <w:sz w:val="14"/>
                <w:szCs w:val="14"/>
                <w:b w:val="1"/>
                <w:bCs w:val="1"/>
                <w:color w:val="auto"/>
              </w:rPr>
              <w:t>Three months ended March 31, 2014</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175,776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102,804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14,613</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37,765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(7,377)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19,194</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4,663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13,083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53,778</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9"/>
          </w:tcPr>
          <w:p>
            <w:pPr>
              <w:jc w:val="right"/>
              <w:ind w:right="1100"/>
              <w:spacing w:after="0"/>
              <w:rPr>
                <w:sz w:val="20"/>
                <w:szCs w:val="20"/>
                <w:color w:val="auto"/>
              </w:rPr>
            </w:pPr>
            <w:r>
              <w:rPr>
                <w:rFonts w:ascii="Arial" w:cs="Arial" w:eastAsia="Arial" w:hAnsi="Arial"/>
                <w:sz w:val="14"/>
                <w:szCs w:val="14"/>
                <w:b w:val="1"/>
                <w:bCs w:val="1"/>
                <w:color w:val="auto"/>
              </w:rPr>
              <w:t>Three months ended March 31, 2013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117,448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72,369</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12,026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2,850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8,507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24"/>
                <w:szCs w:val="24"/>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24"/>
                <w:szCs w:val="2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85"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March 31, 2014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315,551</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59,784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248,359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110,357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734,051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310,253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55,930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726,877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India</w:t>
            </w:r>
          </w:p>
        </w:tc>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16,509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Philippines</w:t>
            </w:r>
          </w:p>
        </w:tc>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3,803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5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94,539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700" w:type="dxa"/>
            <w:vAlign w:val="bottom"/>
            <w:vMerge w:val="restart"/>
          </w:tcPr>
          <w:p>
            <w:pPr>
              <w:jc w:val="right"/>
              <w:ind w:right="211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2013 filed with the Securities and Exchange Commission (“SEC”) on February 13,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78"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Part II, Item 1A of this report and in the “Risk Factors” section of our Form 10-K for the year ended December 31, 2013 and include the following:</w:t>
      </w:r>
    </w:p>
    <w:p>
      <w:pPr>
        <w:spacing w:after="0" w:line="181"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and burdens imposed by changes in governmental regulations, taxes and policies.</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ectPr>
          <w:pgSz w:w="11900" w:h="16838" w:orient="portrait"/>
          <w:cols w:equalWidth="0" w:num="1">
            <w:col w:w="11460"/>
          </w:cols>
          <w:pgMar w:left="240" w:top="118" w:right="199" w:bottom="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When we refer to “we,” “us,” “our,” “the Company” or “Altisource” we mean Altisource Portfolio Solutions S.A., a Luxembourg société anonyme, or public limited company, and its wholly-owned subsidiaries.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through our subsidiaries, are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 into the following three reporting segments: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Mortgage Services</w:t>
      </w:r>
      <w:r>
        <w:rPr>
          <w:rFonts w:ascii="Arial" w:cs="Arial" w:eastAsia="Arial" w:hAnsi="Arial"/>
          <w:sz w:val="17"/>
          <w:szCs w:val="17"/>
          <w:color w:val="auto"/>
        </w:rPr>
        <w:t>: Provides services that span the mortgage and real estate lifecycle and are typically outsourced by loan servicers, originators and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in single family homes. We provide these services primarily for loan portfolios serviced by Ocwen Financial Corporation (“Ocwen”) and its subsidiaries. We also have longstanding relationships with some of the leading capital markets firms, commercial banks, hedge funds, insurance companies and mortgage bankers. Within the Mortgage Services segment, we provide the following services:</w:t>
      </w:r>
    </w:p>
    <w:p>
      <w:pPr>
        <w:spacing w:after="0" w:line="171" w:lineRule="exact"/>
        <w:rPr>
          <w:sz w:val="20"/>
          <w:szCs w:val="20"/>
          <w:color w:val="auto"/>
        </w:rPr>
      </w:pPr>
    </w:p>
    <w:p>
      <w:pPr>
        <w:ind w:left="340" w:right="240" w:firstLine="324"/>
        <w:spacing w:after="0" w:line="234"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consumer real estate portal and REO brokerage services. We also provide property management, lease management and renovation management services for single family rental properties.</w:t>
      </w:r>
    </w:p>
    <w:p>
      <w:pPr>
        <w:spacing w:after="0" w:line="203" w:lineRule="exact"/>
        <w:rPr>
          <w:sz w:val="20"/>
          <w:szCs w:val="20"/>
          <w:color w:val="auto"/>
        </w:rPr>
      </w:pPr>
    </w:p>
    <w:p>
      <w:pPr>
        <w:ind w:left="340" w:right="40" w:firstLine="324"/>
        <w:spacing w:after="0" w:line="286" w:lineRule="auto"/>
        <w:rPr>
          <w:sz w:val="20"/>
          <w:szCs w:val="20"/>
          <w:color w:val="auto"/>
        </w:rPr>
      </w:pPr>
      <w:r>
        <w:rPr>
          <w:rFonts w:ascii="Arial" w:cs="Arial" w:eastAsia="Arial" w:hAnsi="Arial"/>
          <w:sz w:val="17"/>
          <w:szCs w:val="17"/>
          <w:i w:val="1"/>
          <w:iCs w:val="1"/>
          <w:color w:val="auto"/>
        </w:rPr>
        <w:t xml:space="preserve">Insurance services </w:t>
      </w:r>
      <w:r>
        <w:rPr>
          <w:rFonts w:ascii="Arial" w:cs="Arial" w:eastAsia="Arial" w:hAnsi="Arial"/>
          <w:sz w:val="17"/>
          <w:szCs w:val="17"/>
          <w:color w:val="auto"/>
        </w:rPr>
        <w:t>— Insurance services include an array of title insurance services, including pre-foreclosure and REO title searches, title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settlement and escrow services and other title insurance services including title insurance for loan originations. We also provide insurance program management and insurance agency and brokerage services applicable to lenders and residential loan servicers.</w:t>
      </w:r>
    </w:p>
    <w:p>
      <w:pPr>
        <w:spacing w:after="0" w:line="166" w:lineRule="exact"/>
        <w:rPr>
          <w:sz w:val="20"/>
          <w:szCs w:val="20"/>
          <w:color w:val="auto"/>
        </w:rPr>
      </w:pPr>
    </w:p>
    <w:p>
      <w:pPr>
        <w:jc w:val="both"/>
        <w:ind w:left="340" w:right="380" w:firstLine="324"/>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management company and alternative valuation products primarily through our network of real estate professionals. We generally provide these services for loan servicers, lenders and investors in single family homes.</w:t>
      </w:r>
    </w:p>
    <w:p>
      <w:pPr>
        <w:spacing w:after="0" w:line="181" w:lineRule="exact"/>
        <w:rPr>
          <w:sz w:val="20"/>
          <w:szCs w:val="20"/>
          <w:color w:val="auto"/>
        </w:rPr>
      </w:pPr>
    </w:p>
    <w:p>
      <w:pPr>
        <w:ind w:left="340" w:right="48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ind w:left="340" w:right="20" w:firstLine="324"/>
        <w:spacing w:after="0" w:line="273" w:lineRule="auto"/>
        <w:rPr>
          <w:sz w:val="20"/>
          <w:szCs w:val="20"/>
          <w:color w:val="auto"/>
        </w:rPr>
      </w:pPr>
      <w:r>
        <w:rPr>
          <w:rFonts w:ascii="Arial" w:cs="Arial" w:eastAsia="Arial" w:hAnsi="Arial"/>
          <w:sz w:val="17"/>
          <w:szCs w:val="17"/>
          <w:i w:val="1"/>
          <w:iCs w:val="1"/>
          <w:color w:val="auto"/>
        </w:rPr>
        <w:t xml:space="preserve">Origination management services </w:t>
      </w:r>
      <w:r>
        <w:rPr>
          <w:rFonts w:ascii="Arial" w:cs="Arial" w:eastAsia="Arial" w:hAnsi="Arial"/>
          <w:sz w:val="17"/>
          <w:szCs w:val="17"/>
          <w:color w:val="auto"/>
        </w:rPr>
        <w:t>— Origination management services principally include Mortgage Partnership of America, L.L.C. (“MPA”)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contract underwriting and quality control businesses. MPA serves as the manager of Best Partners Mortgage Cooperative, Inc. (“BPMC”), which is referred to as the Lenders One Mortgage Cooperative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and insurance businesses. In addition, some of the origination related reseller businesses, including the flood certification business, are included in the Technology Services REALSuite business.</w:t>
      </w:r>
    </w:p>
    <w:p>
      <w:pPr>
        <w:spacing w:after="0" w:line="17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and insurance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48" w:lineRule="exact"/>
        <w:rPr>
          <w:sz w:val="20"/>
          <w:szCs w:val="20"/>
          <w:color w:val="auto"/>
        </w:rPr>
      </w:pPr>
    </w:p>
    <w:p>
      <w:pPr>
        <w:ind w:left="340" w:right="6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and early stage collections services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insurance and claims processing, call center services and analytical support.</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Technology Services</w:t>
      </w:r>
      <w:r>
        <w:rPr>
          <w:rFonts w:ascii="Arial" w:cs="Arial" w:eastAsia="Arial" w:hAnsi="Arial"/>
          <w:sz w:val="16"/>
          <w:szCs w:val="16"/>
          <w:color w:val="auto"/>
        </w:rPr>
        <w:t>: Comprises our REALSuite of software applications, Equator, LLC’s (“Equator”) software applications and our information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(“IT”) infrastructure management services. We currently provide our IT infrastructure management services to Ocwen and its subsidiaries, Home Loan Servicing Solutions, Ltd. (“HLSS”), Altisource Residential Corporation (“Residential”) and Altisource Asset Management Company (“AAMC”) through managed services agreements and our other segments in a shared services model. The REALSuite platform provides a fully integrated set of software applications and technologies that manage the end-to-end lifecycle for residential and commercial mortgage loan servicing including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automated management and payment of a distributed network of vendors. A brief description of the key REALSuite and Equator’s software products is below:</w:t>
      </w:r>
    </w:p>
    <w:p>
      <w:pPr>
        <w:spacing w:after="0" w:line="170" w:lineRule="exact"/>
        <w:rPr>
          <w:sz w:val="20"/>
          <w:szCs w:val="20"/>
          <w:color w:val="auto"/>
        </w:rPr>
      </w:pPr>
    </w:p>
    <w:p>
      <w:pPr>
        <w:ind w:left="340" w:right="140" w:firstLine="324"/>
        <w:spacing w:after="0" w:line="245"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default administration. This technology solution features automated workflows and robust reporting capabilities. The solution spans the loan servicing lifecycle from loan boarding to satisfaction including all collections, payment processing and reporting. We also offer the REALSynergy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enterprise commercial loan servicing system.</w:t>
      </w:r>
    </w:p>
    <w:p>
      <w:pPr>
        <w:spacing w:after="0" w:line="118" w:lineRule="exact"/>
        <w:rPr>
          <w:sz w:val="20"/>
          <w:szCs w:val="20"/>
          <w:color w:val="auto"/>
        </w:rPr>
      </w:pPr>
    </w:p>
    <w:p>
      <w:pPr>
        <w:ind w:left="340" w:right="240" w:firstLine="324"/>
        <w:spacing w:after="0" w:line="277" w:lineRule="auto"/>
        <w:rPr>
          <w:sz w:val="20"/>
          <w:szCs w:val="20"/>
          <w:color w:val="auto"/>
        </w:rPr>
      </w:pPr>
      <w:r>
        <w:rPr>
          <w:rFonts w:ascii="Arial" w:cs="Arial" w:eastAsia="Arial" w:hAnsi="Arial"/>
          <w:sz w:val="18"/>
          <w:szCs w:val="18"/>
          <w:i w:val="1"/>
          <w:iCs w:val="1"/>
          <w:color w:val="auto"/>
        </w:rPr>
        <w:t>REALResolution</w:t>
      </w:r>
      <w:r>
        <w:rPr>
          <w:rFonts w:ascii="Arial" w:cs="Arial" w:eastAsia="Arial" w:hAnsi="Arial"/>
          <w:sz w:val="18"/>
          <w:szCs w:val="18"/>
          <w:color w:val="auto"/>
        </w:rPr>
        <w:t>™ — A technology platform that provides services with an automated loss mitigation and home retention solution for delinquent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defaulted loans.</w:t>
      </w:r>
    </w:p>
    <w:p>
      <w:pPr>
        <w:sectPr>
          <w:pgSz w:w="11900" w:h="16838" w:orient="portrait"/>
          <w:cols w:equalWidth="0" w:num="1">
            <w:col w:w="11400"/>
          </w:cols>
          <w:pgMar w:left="240" w:top="341" w:right="259" w:bottom="0" w:gutter="0" w:footer="0" w:header="0"/>
        </w:sectPr>
      </w:pPr>
    </w:p>
    <w:bookmarkStart w:id="17" w:name="page18"/>
    <w:bookmarkEnd w:id="17"/>
    <w:p>
      <w:pPr>
        <w:ind w:left="340" w:right="180" w:firstLine="324"/>
        <w:spacing w:after="0" w:line="277" w:lineRule="auto"/>
        <w:rPr>
          <w:sz w:val="20"/>
          <w:szCs w:val="20"/>
          <w:color w:val="auto"/>
        </w:rPr>
      </w:pPr>
      <w:r>
        <w:rPr>
          <w:rFonts w:ascii="Arial" w:cs="Arial" w:eastAsia="Arial" w:hAnsi="Arial"/>
          <w:sz w:val="16"/>
          <w:szCs w:val="16"/>
          <w:i w:val="1"/>
          <w:iCs w:val="1"/>
          <w:color w:val="auto"/>
        </w:rPr>
        <w:t>REALTrans</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A patented electronic business-to-business exchange that automates and simplifies the ordering, tracking and fulfillment of vendor</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services principally related to real estate and mortgages. This technology solution, whether web-based or integrated into a servicing system, connects multiple service providers through a single platform and forms an efficient method for managing a large scale network of vendors.</w:t>
      </w:r>
    </w:p>
    <w:p>
      <w:pPr>
        <w:spacing w:after="0" w:line="174" w:lineRule="exact"/>
        <w:rPr>
          <w:sz w:val="20"/>
          <w:szCs w:val="20"/>
          <w:color w:val="auto"/>
        </w:rPr>
      </w:pPr>
    </w:p>
    <w:p>
      <w:pPr>
        <w:ind w:left="340" w:right="400" w:firstLine="324"/>
        <w:spacing w:after="0" w:line="227"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 to have invoice payments deposited directly to their respective bank accounts.</w:t>
      </w:r>
    </w:p>
    <w:p>
      <w:pPr>
        <w:spacing w:after="0" w:line="202" w:lineRule="exact"/>
        <w:rPr>
          <w:sz w:val="20"/>
          <w:szCs w:val="20"/>
          <w:color w:val="auto"/>
        </w:rPr>
      </w:pPr>
    </w:p>
    <w:p>
      <w:pPr>
        <w:ind w:left="340" w:right="180" w:firstLine="324"/>
        <w:spacing w:after="0" w:line="238"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automated document management platform consisting of three primary modules: REALDoc Capture, which converts images to</w:t>
      </w:r>
      <w:r>
        <w:rPr>
          <w:rFonts w:ascii="Arial" w:cs="Arial" w:eastAsia="Arial" w:hAnsi="Arial"/>
          <w:sz w:val="18"/>
          <w:szCs w:val="18"/>
          <w:i w:val="1"/>
          <w:iCs w:val="1"/>
          <w:color w:val="auto"/>
        </w:rPr>
        <w:t xml:space="preserve"> </w:t>
      </w:r>
      <w:r>
        <w:rPr>
          <w:rFonts w:ascii="Arial" w:cs="Arial" w:eastAsia="Arial" w:hAnsi="Arial"/>
          <w:sz w:val="18"/>
          <w:szCs w:val="18"/>
          <w:color w:val="auto"/>
        </w:rPr>
        <w:t>processable data, indexes documents and provides customizable workflows based on data attributes; REALDoc Correspondence, which provides a scalable document creation and generation platform; and REALDoc Vault, which provides a scalable and distributed storage platform and secure document viewer.</w:t>
      </w:r>
    </w:p>
    <w:p>
      <w:pPr>
        <w:spacing w:after="0" w:line="202" w:lineRule="exact"/>
        <w:rPr>
          <w:sz w:val="20"/>
          <w:szCs w:val="20"/>
          <w:color w:val="auto"/>
        </w:rPr>
      </w:pPr>
    </w:p>
    <w:p>
      <w:pPr>
        <w:ind w:left="340" w:right="100" w:firstLine="324"/>
        <w:spacing w:after="0" w:line="242" w:lineRule="auto"/>
        <w:rPr>
          <w:sz w:val="20"/>
          <w:szCs w:val="20"/>
          <w:color w:val="auto"/>
        </w:rPr>
      </w:pPr>
      <w:r>
        <w:rPr>
          <w:rFonts w:ascii="Arial" w:cs="Arial" w:eastAsia="Arial" w:hAnsi="Arial"/>
          <w:sz w:val="18"/>
          <w:szCs w:val="18"/>
          <w:i w:val="1"/>
          <w:iCs w:val="1"/>
          <w:color w:val="auto"/>
        </w:rPr>
        <w:t xml:space="preserve">Equator’s Solutions </w:t>
      </w:r>
      <w:r>
        <w:rPr>
          <w:rFonts w:ascii="Arial" w:cs="Arial" w:eastAsia="Arial" w:hAnsi="Arial"/>
          <w:sz w:val="18"/>
          <w:szCs w:val="18"/>
          <w:color w:val="auto"/>
        </w:rPr>
        <w:t>— The EQ Workstation</w:t>
      </w:r>
      <w:r>
        <w:rPr>
          <w:rFonts w:ascii="Arial" w:cs="Arial" w:eastAsia="Arial" w:hAnsi="Arial"/>
          <w:sz w:val="23"/>
          <w:szCs w:val="23"/>
          <w:color w:val="auto"/>
          <w:vertAlign w:val="superscript"/>
        </w:rPr>
        <w:t>®</w:t>
      </w:r>
      <w:r>
        <w:rPr>
          <w:rFonts w:ascii="Arial" w:cs="Arial" w:eastAsia="Arial" w:hAnsi="Arial"/>
          <w:sz w:val="18"/>
          <w:szCs w:val="18"/>
          <w:color w:val="auto"/>
        </w:rPr>
        <w:t>, EQ Marketplace</w:t>
      </w:r>
      <w:r>
        <w:rPr>
          <w:rFonts w:ascii="Arial" w:cs="Arial" w:eastAsia="Arial" w:hAnsi="Arial"/>
          <w:sz w:val="23"/>
          <w:szCs w:val="23"/>
          <w:color w:val="auto"/>
          <w:vertAlign w:val="superscript"/>
        </w:rPr>
        <w:t>®</w:t>
      </w:r>
      <w:r>
        <w:rPr>
          <w:rFonts w:ascii="Arial" w:cs="Arial" w:eastAsia="Arial" w:hAnsi="Arial"/>
          <w:sz w:val="18"/>
          <w:szCs w:val="18"/>
          <w:color w:val="auto"/>
        </w:rPr>
        <w:t>, EQ Midsource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EQ Portal™ platforms can be used a la carte or together as an</w:t>
      </w:r>
      <w:r>
        <w:rPr>
          <w:rFonts w:ascii="Arial" w:cs="Arial" w:eastAsia="Arial" w:hAnsi="Arial"/>
          <w:sz w:val="18"/>
          <w:szCs w:val="18"/>
          <w:i w:val="1"/>
          <w:iCs w:val="1"/>
          <w:color w:val="auto"/>
        </w:rPr>
        <w:t xml:space="preserve"> </w:t>
      </w:r>
      <w:r>
        <w:rPr>
          <w:rFonts w:ascii="Arial" w:cs="Arial" w:eastAsia="Arial" w:hAnsi="Arial"/>
          <w:sz w:val="18"/>
          <w:szCs w:val="18"/>
          <w:color w:val="auto"/>
        </w:rPr>
        <w:t>end-to-end solution. EQ Workstation provides comprehensive, end-to-end workflow and transaction services to manage real estate and foreclosure related activities. EQ Marketplace provides a coordinated means of purchasing a variety of real estate services from vendors including realtors,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operational effectiveness and also includes eliminations of transactions between the reporting segments. Corporate Items and Eliminations also include the cost of facilities until approximately 40% of the facilities are occupied by the business units, at which time costs are allocated to the business units.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February 28, 2014, our shareholders approved a new stock repurchase program, which replaced the previous stock repurchase program. Under the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March 31, 2014, we have purchased approximately 4.1 million shares of our common stock in the open market at an average price of $66.79 per share. We purchased 0.3 million shares of common stock at an average price of $109.97 per share during the three months ended March 31, 2014 and 0.3 million shares at an average price of $82.58 per share during the three months ended March 31, 2013. As of March 31, 2014, approximately 3.3 million shares of common stock remain available for repurchase under the new program. Luxembourg law also limits share repurchases to approximately the balance of Altisource Portfolio Solutions S.A. (unconsolidated parent company) retained earnings, less the value of shares repurchased. As of March 31, 2014, approximately $15 million was available to repurchase our common stock under Luxembourg law. Our senior secured term loan also limits the amount we can spend on share repurchases in any year and may prevent repurchases in certain circumstances. As of March 31, 2014, approximately $95 million was available to repurchase our common stock under our senior secured term loan.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Altisource’s Vision and Growth Initiatives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Since our separation from Ocwen, Altisource has become a company providing a full suite of mortgage, real estate and consumer debt services, leveraging our technology and global operations. Our relationship with Ocwen provided a foundation on which we built our business and remains an important priority for us. Altisource’s vision has evolved to become the premier provider of real estate and mortgage marketplaces offering both distribution and content. Within these industries, we are facilitating transactions related to home sales, home rentals, home maintenance, mortgage origination and mortgage servicing. We continue to expand our service offerings and customer base by enhancing and broadening the services we provide to existing customers as well as extending our services to new customers. The Equator acquisition, with its real estate and mortgage marketplace and transaction solutions, is in line with this vision and accelerates our evolution and growth.</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believe there are significant growth opportunities for Altisource in the real estate and mortgage markets leveraging our distribution and transaction solutions. Our strategic growth initiatives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22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Ocwen’s residential REO servicing portfolio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deploying Hubzu to other institutions and the non-distressed home sales market</w:t>
      </w:r>
    </w:p>
    <w:p>
      <w:pPr>
        <w:spacing w:after="0" w:line="225" w:lineRule="exact"/>
        <w:rPr>
          <w:rFonts w:ascii="Arial" w:cs="Arial" w:eastAsia="Arial" w:hAnsi="Arial"/>
          <w:sz w:val="18"/>
          <w:szCs w:val="18"/>
          <w:color w:val="auto"/>
        </w:rPr>
      </w:pPr>
    </w:p>
    <w:p>
      <w:pPr>
        <w:ind w:right="1920" w:firstLine="332"/>
        <w:spacing w:after="0" w:line="501" w:lineRule="auto"/>
        <w:tabs>
          <w:tab w:leader="none" w:pos="6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property management, lease management and renovation management services to the single family rental market Mortgage market:</w:t>
      </w: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Ocwen’s residential loan servicing portfolio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growing our origination related services by providing services to the members of Lenders One and Ocwen’s origination platform</w:t>
      </w:r>
    </w:p>
    <w:p>
      <w:pPr>
        <w:sectPr>
          <w:pgSz w:w="11900" w:h="16838" w:orient="portrait"/>
          <w:cols w:equalWidth="0" w:num="1">
            <w:col w:w="11420"/>
          </w:cols>
          <w:pgMar w:left="240" w:top="125" w:right="239" w:bottom="0" w:gutter="0" w:footer="0" w:header="0"/>
        </w:sectPr>
      </w:pPr>
    </w:p>
    <w:bookmarkStart w:id="18" w:name="page19"/>
    <w:bookmarkEnd w:id="18"/>
    <w:p>
      <w:pPr>
        <w:spacing w:after="0" w:line="62" w:lineRule="exact"/>
        <w:rPr>
          <w:sz w:val="20"/>
          <w:szCs w:val="20"/>
          <w:color w:val="auto"/>
        </w:rPr>
      </w:pPr>
    </w:p>
    <w:p>
      <w:pPr>
        <w:ind w:right="6500" w:firstLine="332"/>
        <w:spacing w:after="0" w:line="501" w:lineRule="auto"/>
        <w:tabs>
          <w:tab w:leader="none" w:pos="6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our next generation REALServicing technology Distribution and transaction solutions:</w:t>
      </w:r>
    </w:p>
    <w:p>
      <w:pPr>
        <w:ind w:left="660" w:right="40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our next generation REALTrans (vendor management), REALRemit (invoice management) and REALDoc (document management)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225" w:lineRule="exact"/>
        <w:rPr>
          <w:sz w:val="20"/>
          <w:szCs w:val="20"/>
          <w:color w:val="auto"/>
        </w:rPr>
      </w:pPr>
    </w:p>
    <w:p>
      <w:pPr>
        <w:ind w:left="660" w:right="100" w:hanging="328"/>
        <w:spacing w:after="0" w:line="259"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totaled 1.9 million for the three months ended March 31, 2014 compared to 0.9 million for the three months ended March 31, 2013. The average number of delinquent non-Government-Sponsored Enterprise (“non-GSE”) loans serviced by Ocwen on REALServicing totaled 369 thousand for the three months ended March 31, 2014 compared to 235 thousand for the three months ended March 31, 2013;</w:t>
      </w:r>
    </w:p>
    <w:p>
      <w:pPr>
        <w:spacing w:after="0" w:line="186"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15, 2013, we acquired Equator for an initial purchase price of $63.4 million plus contingent consideration of up to an additional $80 million over three years, subject to Equator achieving annual performance targets;</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29, 2013, we completed the acquisition of the Homeward fee-based businesses from Ocwen for an aggregate purchase price of $75.8 million;</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April 12, 2013, we completed the ResCap fee-based business transaction with Ocwen for an aggregate purchase price of $128.8 million; and</w:t>
      </w:r>
    </w:p>
    <w:p>
      <w:pPr>
        <w:spacing w:after="0" w:line="248" w:lineRule="exact"/>
        <w:rPr>
          <w:rFonts w:ascii="Arial" w:cs="Arial" w:eastAsia="Arial" w:hAnsi="Arial"/>
          <w:sz w:val="16"/>
          <w:szCs w:val="16"/>
          <w:color w:val="auto"/>
        </w:rPr>
      </w:pPr>
    </w:p>
    <w:p>
      <w:pPr>
        <w:ind w:left="660" w:right="140" w:hanging="328"/>
        <w:spacing w:after="0" w:line="259"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November 2012, we borrowed $200.0 million under a senior secured term loan agreement and increased our borrowings to $400.0 million on May 7, 2013. On December 9, 2013, we refinanced the senior secured term loan which included, among other changes, lowering the interest rate of the term loans. Interest expense totaled $4.8 million for the three months ended March 31, 2014 compared to $3.2 million for the three months ended March 31,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consolidated results of operations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4"/>
                <w:szCs w:val="14"/>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Mortgage Services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146,494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96,377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Financial Services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24,257</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16,132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Technology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47,504</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20,231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209,959</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127,552</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28,795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20,266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1,009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239,269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148,827</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147,805</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96,962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43,534</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18,680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705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43,201</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30,678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40,146</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39,631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341" w:right="239" w:bottom="0" w:gutter="0" w:footer="0" w:header="0"/>
        </w:sectPr>
      </w:pPr>
    </w:p>
    <w:bookmarkStart w:id="19" w:name="page20"/>
    <w:bookmarkEnd w:id="19"/>
    <w:p>
      <w:pPr>
        <w:spacing w:after="0" w:line="45" w:lineRule="exact"/>
        <w:rPr>
          <w:sz w:val="20"/>
          <w:szCs w:val="20"/>
          <w:color w:val="auto"/>
        </w:rPr>
      </w:pPr>
    </w:p>
    <w:p>
      <w:pPr>
        <w:ind w:left="180"/>
        <w:spacing w:after="0"/>
        <w:tabs>
          <w:tab w:leader="none" w:pos="6620" w:val="left"/>
          <w:tab w:leader="none" w:pos="7680" w:val="left"/>
          <w:tab w:leader="none" w:pos="8300" w:val="left"/>
          <w:tab w:leader="none" w:pos="9320" w:val="left"/>
          <w:tab w:leader="none" w:pos="1112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recognized service revenue of $210.0 million for the three months ended March 31, 2014, a 65% increase when compared to the three months ended March 31, 2013. The continued growth in service revenue was driven by Ocwen’s continued growth and the expansion of services we provide to the loans in Ocwen’s servicing portfolio. Growth in our Financial Services business was from expanding the mortgage charge-off collection business, growing relationships with existing clients and attracting new clients in the customer relationship management business. Service revenue growth was also driven by increases in Technology Services’ licensing revenue from the growth in Ocwen’s servicing portfolio and Equator, which was acquired in November 2013.</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revenue from reimbursable expenses for the three months ended March 31, 2014 of $8.5 million, or 42% compared to the three months ended March 31, 2013, is primarily due to the growth of Ocwen’s loan servicing portfolio, although reimbursable expenses can vary significantly from period to period based on the mix of services ordered.</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revenues are impacted by seasonality. More specifically, the Financial Services segment’s asset recovery management revenue tends to be higher in the first quarter and generally declines throughout the year. Mortgage Services revenue is impacted by REO sales, which tend to be at their lowest level during the fall and winter months and highest during the spring and summer months.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and depreciation and amortization of operating assets.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recognized cost of revenue of $147.8 million for the three months ended March 31, 2014, a 52% increase compared to the three months ended March 31, 2013. The increase in cost of revenue is primarily attributable to increased compensation, technology and vendor costs associated with the growth in Ocwen’s loan servicing portfolio. In addition, our technology costs increased as a result of Equator’s cost of revenue and we increased our investment in the development of our next generation technology and infrastructure to support our growth.</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Gross profit increased to $91.5 million, representing 44% of service revenue, for the three months ended March 31, 2014 from $51.9 million, representing 41% of service revenue, for the three months ended March 31, 2013. The increase in gross profit margin was driven by margin expansion in all three of our reporting segments, partially offset by a shift in revenue mix across the segments. In the Mortgage Services segment, we expanded our gross profit margin by fully utilizing employees that we were carrying throughout 2013 in anticipation of new business and performing certain services using our employees instead of outside vendors. In the Financial Services segment, we expanded our gross profit margin through the growth of the higher margin mortgage charge-off collections and customer relationship management businesses. In the Technology Services segment, we expanded our gross profit margin from a larger number of loans on REALServicing and from the Equator business, partially offset by our continued investment in our next generation technology to support our growth. The mix of revenue across our segments partially offsets the improvements in each of the individual segments as our lower margin Technology Services segment grew at a considerably higher rate than the higher margin Mortgage Services segment. While gross profit margins in the Technology Services segment improved for the three months ended March 31, 2014 compared to the three months ended March 31, 2013, we anticipate margins to remain constrained as we continue to invest in the development of our next generation technology.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Selling, general and administrative expenses (“SG&amp;A”) include payroll for personnel employed in executive, finance, legal, human resources, vendor management, risk and operational effectiveness roles. This category also includes occupancy costs, professional fees, depreciation and amortization of intangible assets.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recognized SG&amp;A of $43.5 million for the three months ended March 31, 2014, a 133% increase compared to the three months ended March 31, 2013. This increase is primarily driven by higher amortization of intangible assets recorded in connection with the Homeward, ResCap and Equator acquisitions which closed on March 29, 2013, April 12, 2013 and November 15, 2013, respectively. Amortization expense was $9.5 million and $1.2 for the three months ended March 31, 2014 and 2013, respectively. In addition, SG&amp;A increased from higher Hubzu marketing costs and higher occupancy costs associated with office relocations and higher staffing levels. We are also expanding some of our corporate functions to support Altisource’s growth.</w:t>
      </w:r>
    </w:p>
    <w:p>
      <w:pPr>
        <w:spacing w:after="0" w:line="15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Income from operations increased to $47.9 million, representing 23% of service revenue, for the three months ended March 31, 2014 from $33.2 million, representing 26% of service revenue, for the three months ended March 31, 2013. The decrease in operating income margin is the result of the increase of SG&amp;A as a percentage of service revenue, partially offset by a higher gross profit margin, as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Other income (expense), net principally includes interest expense and interest income. Interest expense for the three months ended March 31, 2014 increased by $1.6 million compared to the three months ended March 31, 2013 from the additional $200.0 million senior secured term loan borrowings on May 7,</w:t>
      </w:r>
    </w:p>
    <w:p>
      <w:pPr>
        <w:ind w:right="20"/>
        <w:spacing w:after="0" w:line="261" w:lineRule="auto"/>
        <w:rPr>
          <w:sz w:val="20"/>
          <w:szCs w:val="20"/>
          <w:color w:val="auto"/>
        </w:rPr>
      </w:pPr>
      <w:r>
        <w:rPr>
          <w:rFonts w:ascii="Arial" w:cs="Arial" w:eastAsia="Arial" w:hAnsi="Arial"/>
          <w:sz w:val="18"/>
          <w:szCs w:val="18"/>
          <w:color w:val="auto"/>
        </w:rPr>
        <w:t>2013. For the three months ended March 31, 2013, we recorded $0.8 million of interest income earned on the $75.0 million loan to Ocwen, which was repaid in February 2013 (no comparative amount for the three months ended March 31,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recognized an income tax provision of $3.1 million for the three months ended March 31, 2014 compared to $2.2 million for the three months ended March 31, 2013. Altisource’s effective tax rate differs from the Luxembourg statutory tax rate of 29.2% primarily because of the effect of a favorable tax ruling in Luxembourg and the mix of income and losses in multiple tax jurisdictions. Our effective tax rate for the three months ended March 31, 2014 was 7.1% compared to 7.0% for the three months ended March 31, 2013. Our consolidated effective income tax rate for financial reporting purposes may change periodically due</w:t>
      </w:r>
    </w:p>
    <w:p>
      <w:pPr>
        <w:sectPr>
          <w:pgSz w:w="11900" w:h="16884" w:orient="portrait"/>
          <w:cols w:equalWidth="0" w:num="1">
            <w:col w:w="11400"/>
          </w:cols>
          <w:pgMar w:left="240" w:top="125" w:right="259" w:bottom="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changes in enacted tax rates, fluctuations in the mix of income earned from our domestic and international operations, which may be subject to differing tax rates, and our ability to utilize net operating loss and tax credit carryforwards.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months ended March 31, 2014 and 2013. Transactions between segments are accounted for as third party arrangements for purposes of presenting segment results of operations. Intercompany transactions primarily consist of IT infrastructure services and charges for the use of certain REALSuite applications from our Technology Services segment to our other two segments and corporate. Generally, we reflect these as service revenue in the Technology Services segment and technology and telecommunications expense within cost of revenue and SG&amp;A in the segment receiving the services, except for consulting services, which we reflect in outside fees and services within cost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w w:val="93"/>
              </w:rPr>
              <w:t>Three months ended March 31, 2014</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146,494</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24,257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47,504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(8,296)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209,959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239,269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37,765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(7,377)</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147,805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19,194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13,083</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122,439</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145,558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w w:val="93"/>
              </w:rPr>
              <w:t>Three months ended March 31, 2013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96,377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127,552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20,062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117,448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148,827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72,369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96,962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8,507</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79,875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-3869690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-3869690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21" w:name="page22"/>
    <w:bookmarkEnd w:id="21"/>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Asset management services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74,725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31,369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Insurance services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34,965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22,547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Residential property valuation</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27,196</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22,811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5,837</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Origination management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3,771</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8,680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146,494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96,377</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Asset management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27,162</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19,400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Insurance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Origination management services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28,767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20,062</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1,009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175,776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117,448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Revenue from related parties: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management services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80,630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44,201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Residential property valuation</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26,241</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21,596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Insurance services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9,492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Default management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4,169</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4,352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Origination management services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79,875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revenue growth in all service lines, except default management services and origination management services, is primarily driven by Ocwen’s growth as loans from its servicing acquisitions are boarded onto REALServicing. From March 31, 2013 through March 31, 2014, Ocwen boarded 1.2 million loans onto REALServicing from Ocwen’s acquisitions of Homeward, ResCap and OneWest Bank FSB servicing rights. The decline in default management services revenue was driven primarily by lower levels of foreclosure starts. The lower origination management services revenue for the three months ended March 31, 2014 was driven by lower origination volume and the loss of a customer who, in the fourth quarter 2013, eliminated its affinity relationship with Altisource and its other similar vendor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15,452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14,606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51,850</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33,237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28,767</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20,062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Technology and telecommunications</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6,204</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4,120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102,804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72,369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450"/>
              <w:spacing w:after="0"/>
              <w:rPr>
                <w:sz w:val="20"/>
                <w:szCs w:val="20"/>
                <w:color w:val="auto"/>
              </w:rPr>
            </w:pPr>
            <w:r>
              <w:rPr>
                <w:rFonts w:ascii="Arial" w:cs="Arial" w:eastAsia="Arial" w:hAnsi="Arial"/>
                <w:sz w:val="18"/>
                <w:szCs w:val="18"/>
                <w:color w:val="auto"/>
              </w:rPr>
              <w:t>29</w:t>
            </w: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Cost of revenue increased during the three months ended March 31, 2014 primarily due to the growth of Ocwen’s loan servicing portfolio. Outside fees and services, technology and telecommunications and depreciation and amortization increased in line with the increase in service revenue. However,</w:t>
      </w:r>
    </w:p>
    <w:p>
      <w:pPr>
        <w:sectPr>
          <w:pgSz w:w="11900" w:h="16921" w:orient="portrait"/>
          <w:cols w:equalWidth="0" w:num="1">
            <w:col w:w="11460"/>
          </w:cols>
          <w:pgMar w:left="240" w:top="341" w:right="199" w:bottom="0" w:gutter="0" w:footer="0" w:header="0"/>
        </w:sectPr>
      </w:pPr>
    </w:p>
    <w:bookmarkStart w:id="22" w:name="page23"/>
    <w:bookmarkEnd w:id="22"/>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compensation and benefits costs as a percentage of service revenue continued to decrease as we continue to experience the benefit of our workforce efficiency initiatives on higher referral volumes and transitioning the performance of certain services to lower cost geographies.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Gross profit increased to $73.0 million, representing 50% of service revenue, for the three months ended March 31, 2014 from $45.1 million, representing 47% of service revenue, for the three months ended March 31, 2013. We expanded our gross profit margin by fully utilizing employees that we were carrying throughout 2013 in anticipation of new business and performing certain services using our employees instead of outside vendors. The increase in gross profit margin was partially offset by the impact of revenue mix. Generally, we have been able to maintain our margins in a period of accelerated growth, and we anticipate that we will continue to improve margins by reducing employee and vendor costs as a percentage of service revenue through workforce efficiency initiatives, vendor cost reduction initiatives and displacing vendors with internal personnel at a lower cost.</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margins can vary substantially depending upon when Ocwen acquires and boards servicing rights onto REALServicing. Typically, compensation and benefits will increase in anticipation of a boarding as we hire and train personnel to deliver services in advance of the actual boarding of loans. Over time, these costs as a percentage of service revenue decline as we generate revenue with no increased costs as we experience benefits from our workforce efficiency initiatives. As new loans are boarded by Ocwen onto REALServicing, for the initial months post-boarding, we tend to deliver an elevated level of lower margin residential property valuation and property inspection and preservation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SG&amp;A increased during the three months ended March 31, 2014 principally due to the amortization of intangible assets recorded in connection with the Homeward and ResCap transactions. Amortization expense was $7.1 million and $0.7 million for the three months ended March 31, 2014 and 2013, respectively. Higher SG&amp;A was also driven by increased Hubzu marketing costs and higher facility costs from increased headcount.</w:t>
      </w:r>
    </w:p>
    <w:p>
      <w:pPr>
        <w:spacing w:after="0" w:line="14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Income from operations increased to $53.8 million, representing 37% of service revenue, for the three months ended March 31, 2014 from $39.6 million, representing 41% of service revenue, for the three months ended March 31, 2013. The decrease in operating income margin is the result of the increase of SG&amp;A as a percentage of service revenue, partially offset by a higher gross profit margin, as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Asset recovery management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11,282</w:t>
            </w:r>
          </w:p>
        </w:tc>
        <w:tc>
          <w:tcPr>
            <w:tcW w:w="30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5,952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 management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12,975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24,257</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16,132</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24,285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16,336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Transactions with related parties: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Financial Services revenue increased during the three months ended March 31, 2014 compared to the three months ended March 31, 2013 due to the expansion of the mortgage charge-off collections business and growth in the customer relationship management business from the addition of new clients and the expansion of services provided to existing clients.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Financial Services business is impacted by seasonality. Asset recovery management revenue tends to be higher in the first quarter of each year as borrowers utilize tax refunds and bonuses to pay debts.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71"/>
        </w:trPr>
        <w:tc>
          <w:tcPr>
            <w:tcW w:w="6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8,903</w:t>
            </w:r>
          </w:p>
        </w:tc>
        <w:tc>
          <w:tcPr>
            <w:tcW w:w="1360" w:type="dxa"/>
            <w:vAlign w:val="bottom"/>
            <w:shd w:val="clear" w:color="auto" w:fill="CCEEFF"/>
          </w:tcPr>
          <w:p>
            <w:pPr>
              <w:jc w:val="center"/>
              <w:ind w:left="1095"/>
              <w:spacing w:after="0"/>
              <w:rPr>
                <w:sz w:val="20"/>
                <w:szCs w:val="20"/>
                <w:color w:val="auto"/>
              </w:rPr>
            </w:pPr>
            <w:r>
              <w:rPr>
                <w:rFonts w:ascii="Arial" w:cs="Arial" w:eastAsia="Arial" w:hAnsi="Arial"/>
                <w:sz w:val="18"/>
                <w:szCs w:val="18"/>
                <w:color w:val="auto"/>
                <w:w w:val="89"/>
              </w:rPr>
              <w:t>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817</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1,220</w:t>
            </w:r>
          </w:p>
        </w:tc>
        <w:tc>
          <w:tcPr>
            <w:tcW w:w="1500" w:type="dxa"/>
            <w:vAlign w:val="bottom"/>
            <w:gridSpan w:val="2"/>
          </w:tcPr>
          <w:p>
            <w:pPr>
              <w:jc w:val="center"/>
              <w:ind w:left="955"/>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1500" w:type="dxa"/>
            <w:vAlign w:val="bottom"/>
            <w:gridSpan w:val="2"/>
            <w:shd w:val="clear" w:color="auto" w:fill="CCEEFF"/>
          </w:tcPr>
          <w:p>
            <w:pPr>
              <w:jc w:val="center"/>
              <w:ind w:left="955"/>
              <w:spacing w:after="0"/>
              <w:rPr>
                <w:sz w:val="20"/>
                <w:szCs w:val="20"/>
                <w:color w:val="auto"/>
              </w:rPr>
            </w:pPr>
            <w:r>
              <w:rPr>
                <w:rFonts w:ascii="Arial" w:cs="Arial" w:eastAsia="Arial" w:hAnsi="Arial"/>
                <w:sz w:val="18"/>
                <w:szCs w:val="18"/>
                <w:color w:val="auto"/>
                <w:w w:val="93"/>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2,440</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1,467</w:t>
            </w:r>
          </w:p>
        </w:tc>
        <w:tc>
          <w:tcPr>
            <w:tcW w:w="1360" w:type="dxa"/>
            <w:vAlign w:val="bottom"/>
          </w:tcPr>
          <w:p>
            <w:pPr>
              <w:jc w:val="center"/>
              <w:ind w:left="1095"/>
              <w:spacing w:after="0"/>
              <w:rPr>
                <w:sz w:val="20"/>
                <w:szCs w:val="20"/>
                <w:color w:val="auto"/>
              </w:rPr>
            </w:pPr>
            <w:r>
              <w:rPr>
                <w:rFonts w:ascii="Arial" w:cs="Arial" w:eastAsia="Arial" w:hAnsi="Arial"/>
                <w:sz w:val="18"/>
                <w:szCs w:val="18"/>
                <w:color w:val="auto"/>
                <w:w w:val="89"/>
              </w:rPr>
              <w:t>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w:t>
            </w:r>
          </w:p>
        </w:tc>
        <w:tc>
          <w:tcPr>
            <w:tcW w:w="1360" w:type="dxa"/>
            <w:vAlign w:val="bottom"/>
            <w:shd w:val="clear" w:color="auto" w:fill="CCEEFF"/>
          </w:tcPr>
          <w:p>
            <w:pPr>
              <w:jc w:val="center"/>
              <w:ind w:left="1095"/>
              <w:spacing w:after="0"/>
              <w:rPr>
                <w:sz w:val="20"/>
                <w:szCs w:val="20"/>
                <w:color w:val="auto"/>
              </w:rPr>
            </w:pPr>
            <w:r>
              <w:rPr>
                <w:rFonts w:ascii="Arial" w:cs="Arial" w:eastAsia="Arial" w:hAnsi="Arial"/>
                <w:sz w:val="18"/>
                <w:szCs w:val="18"/>
                <w:color w:val="auto"/>
                <w:w w:val="89"/>
              </w:rPr>
              <w:t>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3" w:name="page24"/>
    <w:bookmarkEnd w:id="23"/>
    <w:p>
      <w:pPr>
        <w:spacing w:after="0"/>
        <w:tabs>
          <w:tab w:leader="none" w:pos="6400" w:val="left"/>
          <w:tab w:leader="none" w:pos="7260" w:val="left"/>
          <w:tab w:leader="none" w:pos="8040" w:val="left"/>
          <w:tab w:leader="none" w:pos="8900" w:val="left"/>
          <w:tab w:leader="none" w:pos="10860" w:val="left"/>
        </w:tabs>
        <w:rPr>
          <w:sz w:val="20"/>
          <w:szCs w:val="20"/>
          <w:color w:val="auto"/>
        </w:rPr>
      </w:pPr>
      <w:r>
        <w:rPr>
          <w:rFonts w:ascii="Arial" w:cs="Arial" w:eastAsia="Arial" w:hAnsi="Arial"/>
          <w:sz w:val="18"/>
          <w:szCs w:val="18"/>
          <w:color w:val="auto"/>
        </w:rPr>
        <w:t>Cost of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14,613</w:t>
        <w:tab/>
        <w:t>$</w:t>
      </w:r>
      <w:r>
        <w:rPr>
          <w:sz w:val="20"/>
          <w:szCs w:val="20"/>
          <w:color w:val="auto"/>
        </w:rPr>
        <w:tab/>
      </w:r>
      <w:r>
        <w:rPr>
          <w:rFonts w:ascii="Arial" w:cs="Arial" w:eastAsia="Arial" w:hAnsi="Arial"/>
          <w:sz w:val="18"/>
          <w:szCs w:val="18"/>
          <w:color w:val="auto"/>
        </w:rPr>
        <w:t>12,026</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0057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0570" cy="163195"/>
                    </a:xfrm>
                    <a:prstGeom prst="rect">
                      <a:avLst/>
                    </a:prstGeom>
                    <a:noFill/>
                  </pic:spPr>
                </pic:pic>
              </a:graphicData>
            </a:graphic>
          </wp:anchor>
        </w:drawing>
      </w:r>
    </w:p>
    <w:p>
      <w:pPr>
        <w:spacing w:after="0" w:line="2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Compensation and benefits increased during the three months ended March 31, 2014 compared to the three months ended March 31, 2013 primarily due to growth in staffing levels in the mortgage charge-off collections and customer relationship management businesses to support the growth experienced in these businesses.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profit increased to $9.7 million, representing 40% of service revenue, for the three months ended March 31, 2014 from $4.3 million, representing 27% of service revenue, for the three months ended March 31, 2013. We expanded our gross profit margin through the growth of the higher margin mortgage charge-off collections and customer relationship management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SG&amp;A increased during the three months ended March 31, 2014 compared to the three months ended March 31, 2013 principally from higher amortization of intangible assets recorded in connection with the ResCap transaction. Amortization expense was $1.5 million and $0.5 million for the three months ended March 31, 2014 and 2013, respectively.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from operations increased to $5.0 million, representing 21% of service revenue, for the three months ended March 31, 2014 from $1.5 million, representing 9% of service revenue, for the three months ended March 31, 2013. The increase in operating income margin is the result of a higher gross profit margin, partially offset by the increase of SG&amp;A as a percentage of service revenue, as discussed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REALSuite and Equator</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35,258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12,973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12,246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47,504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20,231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REALSuite and Equator</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11,350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7,198</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16,817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increase in REALSuite and Equator revenue for the three months ended March 31, 2014 compared to the three months ended March 31, 2013 is primarily driven by the acquisition of Equator in November 2013, increased licensing revenue from REALDoc and the growth in Ocwen’s residential loan servicing portfolio on REALServicing from Ocwen’s acquisitions of Homeward, ResCap and OneWest Bank FSB servicing rights.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 infrastructure services revenue also increased for the three months ended March 31, 2014 due to an increase in headcount and costs to support strategic initiatives at both Ocwen and Altisource. IT infrastructure services are billed on a cost plus basis.</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Services provided to our other segments are eliminated in consolidation but are included as revenue in the Technology Services segment and as technology and telecommunications expense, a component of cost of revenue and SG&amp;A, in our other segments for segment presentation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26,159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w:t>
            </w:r>
          </w:p>
        </w:tc>
        <w:tc>
          <w:tcPr>
            <w:tcW w:w="180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3,870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Cost of revenue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37,765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17,112</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 of revenue increased during the three months ended March 31, 2014 compared to the three months ended March 31, 2013 due to the acquisition of Equator and hiring more and higher cost personnel to support the development of our next generation REALSuite software. We expect cost of revenue in the Technology Services segment to increase as we continue to invest in personnel to support our development and growth initiatives. Technology and telecommunications costs were higher primarily as a result of the acquisition of Equator, the increase in employee headcount and the expansion and relocation of facilities.</w:t>
      </w:r>
    </w:p>
    <w:p>
      <w:pPr>
        <w:sectPr>
          <w:pgSz w:w="11900" w:h="16838" w:orient="portrait"/>
          <w:cols w:equalWidth="0" w:num="1">
            <w:col w:w="11420"/>
          </w:cols>
          <w:pgMar w:left="240" w:top="125" w:right="239" w:bottom="0" w:gutter="0" w:footer="0" w:header="0"/>
        </w:sectPr>
      </w:pPr>
    </w:p>
    <w:bookmarkStart w:id="24" w:name="page25"/>
    <w:bookmarkEnd w:id="24"/>
    <w:p>
      <w:pPr>
        <w:spacing w:after="0" w:line="9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Gross profit increased to $9.7 million, representing 21% of service revenue, for the three months ended March 31, 2014 from $3.1 million, representing 15% of service revenue, for the three months ended March 31, 2013. We expanded our gross profit margin from a larger number of loans on REALServicing and from the Equator business which we acquired in November 2013, partially offset by our continued investment in our next generation technology to support our growth. While our gross profit margin improved for the three months ended March 31, 2014 compared to the three months ended March 31, 2013, we anticipate margins to remain constrained as we continue to invest in the development of our next generation technology.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SG&amp;A increased during the three months ended March 31, 2014 compared to the three months ended March 31, 2013 primarily due to higher administrative employee costs and increased intangible asset amortization related to the Homeward, ResCap and Equator acquisitions. Amortization expense was $0.9 million for the three months ended March 31, 2014 (no comparative amount for the three months ended March 31, 2013).</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from operations increased to $3.1 million, representing 7% of service revenue, for the three months ended March 31, 2014 from $1.3 million, representing 6% of service revenue, for the three months ended March 31, 2013. The increase in operating income margin is the result of a higher gross profit margin, partially offset by the increase of SG&amp;A as a percentage of service revenue, as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Corporate Items and Eliminations include costs related to corporate support functions including executive, finance, legal, human resources, vendor management, risk, operational effectiveness and interest expense. It also includes eliminations of transactions between the reporting segments.</w:t>
      </w:r>
    </w:p>
    <w:p>
      <w:pPr>
        <w:spacing w:after="0" w:line="12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Corporate costs increased during the three months ended March 31, 2014 compared to the three months ended March 31, 2013 primarily due to higher compensation and employee-related costs, lease costs and interest expense. We incurred higher compensation and employee-related costs as we are expanding certain corporate functions to support our continued growth. The higher lease costs relate to the build-out of new facilities to support our continued expansion. We reflect initial lease and other facility-related costs in Corporate Items and Eliminations until the facilities are approximately 40% occupied by the business units, at which time the cost is reflected in the respective segment’s financial statements.</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Interest expense for the three months ended March 31, 2014 increased by $1.6 million compared to the three months ended March 31, 2013 from the additional $200.0 million senior secured term loan borrowings on May 7, 2013. For the three months ended March 31, 2013, we recorded $0.8 million of interest income earned on the $75.0 million loan to Ocwen which was repaid in February 2013.</w:t>
      </w:r>
    </w:p>
    <w:p>
      <w:pPr>
        <w:spacing w:after="0" w:line="18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amount of intercompany revenue eliminated in consolidation increased during the three months ended March 31, 2014 compared to the three months ended March 31, 2013. These intercompany transactions primarily consisted of IT infrastructure services as well as charges for the use of certain REALSuite applications from our Technology Services segment to our other two business segments. While the expenses are recognized in the Mortgage Services and Financial Services segments above, the elimination of these expenses is reflected in Corporate Items and Eliminations.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Further, we evaluate potential acquisitions that align with our vision and accelerate the achievement of our strategic objectives. We also intend to use excess cash to repurchase shares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November 27, 2012, we entered into a seven-year senior secured term loan agreement with Bank of America, N.A. as administrative agent, pursuant to which we borrowed $200.0 million. On May 7, 2013, we amended the senior secured term loan agreement to increase the principal amount of the senior secured term loan by $200.0 million and to provide additional share repurchase capacity, among other changes. Under the terms of the senior secured term loan, as amended, we have the ability to borrow an additional $200.0 million under an accordion provision. On December 9, 2013, we entered into Amendment No. 2 (“Second Amendment”) to the senior secured term loan agreement in which we incurred indebtedness in the form of Refinancing Debt (as defined in the senior secured term loan agreement), the proceeds of which were used to refinance, in full, the term loans outstanding under the senior secured term loan agreement immediately prior to the effectiveness of the Second Amendment. The Refinancing Debt bears interest at lower rates and has a maturity date approximately one year later than the prior term loans. Generally, the margin applied to either the Adjusted Eurodollar rate or the Base Rate, as defined in the senior secured term loan agreement, was reduced by 1 percentage point and the floor was reduced by 0.25 percentage points. The Second Amendment further modified the senior secured term loan agreement to, among other changes, increase the maximum permitted amount of Restricted Junior Payments (as defined in the senior secured term loan agreement), including share repurchases by the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Refinancing Debt must be repaid in equal consecutive quarterly principal installments of $1.0 million commencing on December 31, 2013, with the balance due at maturity. After giving effect to the Second Amendment,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 Required Lenders (as defined in the senior secured term loan agreement) upon the occurrence of any event of default under the senior secured term loan agreement. However, if leverage ratios, as defined in the senior secured term loan agreement, exceed 2.75 to 1.00, a percentage of cash flow must be used to repay principal. No mandatory prepayments were owed for the three months ended March 31, 2014. We are permitted to make voluntary prepayments without penalty after June 9, 2014. If prepayments are made</w:t>
      </w:r>
    </w:p>
    <w:p>
      <w:pPr>
        <w:sectPr>
          <w:pgSz w:w="11900" w:h="16932" w:orient="portrait"/>
          <w:cols w:equalWidth="0" w:num="1">
            <w:col w:w="11420"/>
          </w:cols>
          <w:pgMar w:left="240" w:top="125" w:right="239" w:bottom="0" w:gutter="0" w:footer="0" w:header="0"/>
        </w:sectPr>
      </w:pPr>
    </w:p>
    <w:bookmarkStart w:id="25" w:name="page26"/>
    <w:bookmarkEnd w:id="25"/>
    <w:p>
      <w:pPr>
        <w:ind w:right="460"/>
        <w:spacing w:after="0" w:line="277" w:lineRule="auto"/>
        <w:rPr>
          <w:sz w:val="20"/>
          <w:szCs w:val="20"/>
          <w:color w:val="auto"/>
        </w:rPr>
      </w:pPr>
      <w:r>
        <w:rPr>
          <w:rFonts w:ascii="Arial" w:cs="Arial" w:eastAsia="Arial" w:hAnsi="Arial"/>
          <w:sz w:val="18"/>
          <w:szCs w:val="18"/>
          <w:color w:val="auto"/>
        </w:rPr>
        <w:t>prior to June 9, 2014, 1.0% of the principal amount of the prepaid term loan will be incurred. Interest payments are due monthly. The interest rate as of March 31, 2014 was 4.50%.</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debt covenants in the senior secured term loan agreement limit, among other things, our ability to incur additional debt, pay dividends and repurchase stock. In the event we require additional liquidity, our ability to obtain it may be limited by the senior secured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36,585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(22,807)</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(27,029)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(13,245)</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(7,827)</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(37,012)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(23,295)</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(21,566)</w:t>
            </w: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130,324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105,502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116,376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83,936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Cash flows from operating activities generally consist of the cash effects of transactions and events that enter into the determination of net income. For the three months ended March 31, 2014, we generated $36.3 million of cash flows from operations, or approximately $0.17 for every dollar of service revenue compared to $9.6 million of cash flows from operations, or approximately $0.07 for every dollar of service revenue for the three months ended March 31, 2013. The increase in cash flows from operations for the three months ended March 31, 2014 compared to the three months ended March 31, 2013 is principally driven by the increase in net income, after adding back depreciation and amortization, including amortization of intangible assets and favorable changes in working capital.</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(i.e., the foreclosure is complete, the REO asset is sold, etc.). As we continue to grow, our receivables will also grow and our cash flows from operations may be negatively impacted when comparing one interim period to another.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flows from investing activities include capital expenditures of $12.9 million and $7.0 million for the three months ended March 31, 2014 and 2013, respectively, primarily related to facility build-outs and investments in infrastructure and the next generation of our REALSuite of software applications. On March 29, 2013, we acquired the Homeward fee-based business from Ocwen for $75.8 million, after a working capital and net income adjustment. On February 15, 2013, Ocwen repaid the $75.0 million loan that it borrowed from us in December 2012.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Cash flows from financing activities for the three months ended March 31, 2014 and 2013 primarily include activity associated with share repurchases, stock option exercises and payments to non-controlling interests. For the three months ended March 31, 2014 and 2013, we spent $35.8 million and $22.0 million, respectively, to repurchase our common stock. Stock option exercises provided proceeds of $0.4 million and $0.5 million for the three months ended March 31, 2014 and 2013, respectively. During the three months ended March 31, 2014 and 2013, we repaid $1.0 million and $0.5 million, respectively, of the borrowings under the senior secured term loan. Distributions to non-controlling interests were $0.7 million and $1.1 million for the three months ended March 31, 2014 and 2013,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March 31, 2014</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15, 2013, we completed the acquisition of Equator and paid $63.4 million at closing in cash (net of closing working capital adjustments). Additionally, the purchase agreement provides for the payment of up to $80 million in potential additional consideration determined based on Equator’s Adjusted EBITA (as defined in the purchase agreement) in the three consecutive 12-month periods following closing. Up to $22.5 million of this potential additional consideration can be earned in each of the first two 12-month periods, and up to $35.0 million can be earned in the third 12-month period. Any amounts earned upon the achievement of Adjusted EBITA thresholds are payable through 2017. We may, at our discretion, pay up to 20% of each payment of any of this potential additional consideration in shares of Company restricted stock, with the balance to be paid in cash.</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second quarter of 2014, we expect to distribute $0.5 million to the Lenders One members representing non-controlling interests and repay $1.0 million of the senior secured term loan.</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believe that we will generate sufficient cash flows to fund operations, capital expenditures and required debt and interest payments as well as repurchase shares of our common stock. If we require additional capital, we believe that we have adequate access to both debt and equity capital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ectPr>
          <w:pgSz w:w="11900" w:h="16838" w:orient="portrait"/>
          <w:cols w:equalWidth="0" w:num="1">
            <w:col w:w="11420"/>
          </w:cols>
          <w:pgMar w:left="240" w:top="125" w:right="239" w:bottom="140" w:gutter="0" w:footer="0" w:header="0"/>
        </w:sectPr>
      </w:pPr>
    </w:p>
    <w:bookmarkStart w:id="26" w:name="page27"/>
    <w:bookmarkEnd w:id="26"/>
    <w:p>
      <w:pPr>
        <w:ind w:right="120"/>
        <w:spacing w:after="0" w:line="264" w:lineRule="auto"/>
        <w:rPr>
          <w:sz w:val="20"/>
          <w:szCs w:val="20"/>
          <w:color w:val="auto"/>
        </w:rPr>
      </w:pPr>
      <w:r>
        <w:rPr>
          <w:rFonts w:ascii="Arial" w:cs="Arial" w:eastAsia="Arial" w:hAnsi="Arial"/>
          <w:sz w:val="18"/>
          <w:szCs w:val="18"/>
          <w:color w:val="auto"/>
        </w:rPr>
        <w:t>For the three months ended March 31, 2014, there were no significant changes to our contractual obligations from those identified in our Form 10-K for the fiscal year ended December 31, 2013, other than those that occur in the normal course of business (primarily the addition of operating leases due to our growth). See also Note 18 to the interim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In applying many of these accounting principles, we need to make assumptions, estimates and judgments that affect the reported amounts of assets, liabilities, revenue and expenses in our interim condensed consolidated financial statements. We base our estimates and judgments on historical experience and other assumptions that we believe are reasonable under the circumstances. These assumptions, estimates and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2013 filed with the SEC on February 13, 2014. Those policies have not changed during the three months ended March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For the three months ended March 31, 2014, we generated segment revenue from Ocwen and its subsidiaries of $122.4 million for Mortgage Services, $6.3 million for Financial Services and $16.8 million for Technology Services. For the three months ended March 31, 2013, we generated segment revenue from Ocwen and its subsidiaries of $79.9 million for Mortgage Services, less than $0.1 million for Financial Services and $10.2 million for Technology Services. Services provided to Ocwen and its subsidiaries during these periods included residential property valuation, real estate asset management and sales, trustee management services, property inspection and preservation, insurance services, charge-off mortgage collections, core technology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back office support and multiple business technologies including our REALSuite of products. We provided all services at rates we believe to be comparable to market rates.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March 31, 2014 and 2013, we billed Ocwen and its subsidiaries $0.8 million and $0.6 million, respectively, and Ocwen and its subsidiaries billed us $0.8 million and $0.7 million, respectively, for services provided under the agreements described in Note 2 to the condensed consolidated financial statements. These amounts are reflected as a component of selling, general and administrative expenses in the condensed consolidated statements of operations.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27, 2012, we entered into a senior unsecured term loan agreement with Ocwen pursuant to which we loaned $75.0 million to Ocwen. Interest income related to this loan was $0.8 million for the three months ended March 31, 2013 (no comparative amount for the three months ended March 31, 2014). On February 15, 2013, Ocwen repaid the entire outstanding principal amount of this loan plus all accrued and unpaid interest and the term loan was terminated.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For the three months ended March 31, 2013, we billed Correspondent One less than $0.1 million (no comparative amount for the three months ended March 31, 2014). We also provided certain origination related services to Correspondent One. We earned revenue of less than $0.1 million for the three months ended March 31, 2013 for these services (no comparative amount for the three months ended March 31, 2014). These amounts are reflected as a component of selling, general and administrative expenses in the condensed consolidated statements of operations.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billed HLSS $0.2 million for each of the three months ended March 31, 2014 and 2013, under a support services agreement. These amounts are reflected as a component of selling, general and administrative expenses in the condensed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and AAMC</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 the three months ended March 31, 2014 and 2013, we billed Residential $0.8 million and $0.2 million, respectively. For the three months ended March 31, 2014 and 2013, we billed AAMC less than $0.1 million and $0.1 million, respectively. These amounts are reflected as a component of selling, general and administrative expenses in the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31, 2014, the interest rate charged on the senior secured term loan was 4.50%. The interest rate is calculated based on the Adjusted Eurodollar Rate (as defined in the senior secured term loan agreement) with a minimum floor of 1.00% plus 3.5%.</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Based on the principal amount outstanding at March 31, 2014, a one percentage point increase in the Eurodollar rate would increase our annual interest expense by approximately $0.8 million, based on the March 31, 2014 Adjusted Eurodollar Rate.</w:t>
      </w:r>
    </w:p>
    <w:p>
      <w:pPr>
        <w:sectPr>
          <w:pgSz w:w="11900" w:h="16838" w:orient="portrait"/>
          <w:cols w:equalWidth="0" w:num="1">
            <w:col w:w="11340"/>
          </w:cols>
          <w:pgMar w:left="240" w:top="125" w:right="319" w:bottom="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exposed to currency risk from potential changes in currency values of our foreign currency denominated assets, liabilities and cash flows. Our most significant foreign currency exposures relate to the Euro and Indian Rupee; however, current asset and current liability balances we maintain in Euros and Indian Rupees are not material.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w:t>
      </w:r>
    </w:p>
    <w:p>
      <w:pPr>
        <w:spacing w:after="0" w:line="34" w:lineRule="exact"/>
        <w:rPr>
          <w:rFonts w:ascii="Arial" w:cs="Arial" w:eastAsia="Arial" w:hAnsi="Arial"/>
          <w:sz w:val="18"/>
          <w:szCs w:val="18"/>
          <w:color w:val="auto"/>
        </w:rPr>
      </w:pPr>
    </w:p>
    <w:p>
      <w:pPr>
        <w:ind w:left="340"/>
        <w:spacing w:after="0" w:line="252" w:lineRule="auto"/>
        <w:rPr>
          <w:rFonts w:ascii="Arial" w:cs="Arial" w:eastAsia="Arial" w:hAnsi="Arial"/>
          <w:sz w:val="18"/>
          <w:szCs w:val="18"/>
          <w:color w:val="auto"/>
        </w:rPr>
      </w:pPr>
      <w:r>
        <w:rPr>
          <w:rFonts w:ascii="Arial" w:cs="Arial" w:eastAsia="Arial" w:hAnsi="Arial"/>
          <w:sz w:val="18"/>
          <w:szCs w:val="18"/>
          <w:color w:val="auto"/>
        </w:rPr>
        <w:t>Rule 13a-15(e) and Rule 15d-15(e)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quarter ended March 31, 2014,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From time to time, we are involved in legal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2013 filed with the SEC on February 13, 2014, except as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We are dependent on a certain key customer relationship, the loss of which or reduction in the size of which could affect our business and results of operations.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currently generate approximately 61% of our revenue from Ocwen and its subsidiaries. Ocwen is contractually obligated to purchase certain services from our Mortgage Services, Financial Services and Technology Services segments under service agreements that extend through August 2025 subject to termination under certain provisions. The loss of Ocwen as a customer or their failure to pay us would significantly reduce our revenue and adversely affect our results of operations. Further, Ocwen has grown significantly in recent years through acquisitions of mortgage servicing rights and acquisitions of companies with mortgage servicing rights and mortgage origination platforms. As a result of Ocwen’s growth, we have grown. If Ocwen does not continue to acquire mortgage servicing rights or does not grow its mortgage origination business, our business and results of operations could be negatively impacted.</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Significant regulatory scrutiny of foreclosure practices of the servicing industry has resulted in settlements between banks and servicers and government entities, on-going monitoring of banks and servicers by regulatory authorities, investigations of banks and servicers and private lawsuits. Additionally, Ocwen is subject to a number of pending federal and state regulatory investigations, inquiries and requests for information that could result in adverse regulatory action against Ocwen, certain of which include inquiries related to the ways in which Ocwen does business with its related parties. If Ocwen were to be negatively impacted in a significant way by this regulatory scrutiny or other actions, Altisource’s business and results of operations could be negatively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extensive regulation, and failure to comply with existing or new regulations may adversely impact us.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FTC, the CFPB, the SEC and the state and local agencies that license or oversee certain of our mortgage related services, including insurance services, and collection services. We also must comply with a number of federal, state and local consumer protection laws including, among others, the Gramm-Leach-Bliley Act, the Fair Debt Collection Practices Act, RESPA, TILA, the Fair Credit Reporting Act, the Telephone Consumer Protection Act, the Homeowners Protection Act, the California Homeowner’s Bill of Rights, the SAFE Act, the Mortgage Act and the FCPA. These requirements can and do change as statutes and regulations are enacted, promulgated or amended.</w:t>
      </w:r>
    </w:p>
    <w:p>
      <w:pPr>
        <w:sectPr>
          <w:pgSz w:w="11900" w:h="16838" w:orient="portrait"/>
          <w:cols w:equalWidth="0" w:num="1">
            <w:col w:w="11400"/>
          </w:cols>
          <w:pgMar w:left="240" w:top="125" w:right="259" w:bottom="0" w:gutter="0" w:footer="0" w:header="0"/>
        </w:sectPr>
      </w:pPr>
    </w:p>
    <w:bookmarkStart w:id="28" w:name="page29"/>
    <w:bookmarkEnd w:id="28"/>
    <w:p>
      <w:pPr>
        <w:ind w:right="40"/>
        <w:spacing w:after="0" w:line="297" w:lineRule="auto"/>
        <w:rPr>
          <w:sz w:val="20"/>
          <w:szCs w:val="20"/>
          <w:color w:val="auto"/>
        </w:rPr>
      </w:pPr>
      <w:r>
        <w:rPr>
          <w:rFonts w:ascii="Arial" w:cs="Arial" w:eastAsia="Arial" w:hAnsi="Arial"/>
          <w:sz w:val="16"/>
          <w:szCs w:val="16"/>
          <w:color w:val="auto"/>
        </w:rPr>
        <w:t>The ongoing economic uncertainty and troubled housing market have resulted in increased regulatory scrutiny of all participants involved in the mortgage industry. This scrutiny has included federal and state governmental agency review of all aspects of the mortgage lending and servicing industries, including an increased legislative and regulatory focus on consumer protection practices. One such enacted regulation is the Dodd-Frank Act (see further description in the “Government Regulation” section in Item 1 of Part I, “Business”). In some cases, penalties for noncompliance are significantly increased and could lead to settlements or consent orders on us, or our customers, that may curtail or restrict our business as it is currently conducted.</w:t>
      </w:r>
    </w:p>
    <w:p>
      <w:pPr>
        <w:spacing w:after="0" w:line="158"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We are subject to certain additional federal, state and local consumer protection regulations. We also are subject to licensing and regulation as a mortgage services provider, mortgage origination underwriter, valuation provider, appraisal management company, asset manager, property manager, title insurance agency, other insurance related services, agent and provider, real estate broker and/or debt collector in a number of states. Our employees and subsidiaries may be required to be licensed by various state commissions for the particular type of service sold and to participate in regular continuing education programs. Additionally, we are subject to audits and examinations and receive requests from federal, state and other regulatory agencies for records, documents and information regarding our policies, procedures and practices which could result in adverse regulatory action against us or cause us to incur costs, fines, penalties, settlement costs, damages, legal fees or other charges in material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amounts or could impose additional requirements or restrictions on our activities. We incur significant ongoing costs to comply with governmental regulations.</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a result of increased federal and state governmental scrutiny of the mortgage industry, legislation has been enacted to address the mortgage market, with particular focus on loans that are in default. In addition, national servicing standards have been implemented that, among other things, require very specific loan modification and foreclosure procedures to be followed. This legislation and these standards have further reduced the number of loans entering the foreclosure process and have negatively impacted our default services revenue and profit. It is unclear when or if volumes will increase in the future.</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volume of new or modified laws and regulations has increased in recent years and, in addition, some individual municipalities have begun to enact laws that restrict mortgage services activities. If regulators impose new or more restrictive requirements, we may incur significant additional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 repurchased by us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March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 shares</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number of</w:t>
            </w: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shares</w:t>
            </w:r>
          </w:p>
        </w:tc>
        <w:tc>
          <w:tcPr>
            <w:tcW w:w="24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71"/>
        </w:trPr>
        <w:tc>
          <w:tcPr>
            <w:tcW w:w="4540" w:type="dxa"/>
            <w:vAlign w:val="bottom"/>
            <w:gridSpan w:val="3"/>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b w:val="1"/>
                <w:bCs w:val="1"/>
                <w:color w:val="auto"/>
                <w:w w:val="91"/>
              </w:rPr>
              <w:t>(1)</w:t>
            </w:r>
          </w:p>
        </w:tc>
        <w:tc>
          <w:tcPr>
            <w:tcW w:w="2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per share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January 1 — 31, 2014</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2,291,930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 1 — 28, 2014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245,146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March 1 — 31, 2014</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103.82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1600" w:type="dxa"/>
            <w:vAlign w:val="bottom"/>
          </w:tcPr>
          <w:p>
            <w:pPr>
              <w:jc w:val="right"/>
              <w:spacing w:after="0"/>
              <w:rPr>
                <w:sz w:val="20"/>
                <w:szCs w:val="20"/>
                <w:color w:val="auto"/>
              </w:rPr>
            </w:pPr>
            <w:r>
              <w:rPr>
                <w:rFonts w:ascii="Arial" w:cs="Arial" w:eastAsia="Arial" w:hAnsi="Arial"/>
                <w:sz w:val="18"/>
                <w:szCs w:val="18"/>
                <w:color w:val="auto"/>
              </w:rPr>
              <w:t>3,278,974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Total shares of common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325,146</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109.97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325,146</w:t>
            </w:r>
          </w:p>
        </w:tc>
        <w:tc>
          <w:tcPr>
            <w:tcW w:w="1600" w:type="dxa"/>
            <w:vAlign w:val="bottom"/>
          </w:tcPr>
          <w:p>
            <w:pPr>
              <w:jc w:val="right"/>
              <w:spacing w:after="0"/>
              <w:rPr>
                <w:sz w:val="20"/>
                <w:szCs w:val="20"/>
                <w:color w:val="auto"/>
              </w:rPr>
            </w:pPr>
            <w:r>
              <w:rPr>
                <w:rFonts w:ascii="Arial" w:cs="Arial" w:eastAsia="Arial" w:hAnsi="Arial"/>
                <w:sz w:val="18"/>
                <w:szCs w:val="18"/>
                <w:color w:val="auto"/>
              </w:rPr>
              <w:t>3,278,974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shares withheld from employees to satisfy tax withholding obligations that arose from the exercise of stock options.</w:t>
      </w:r>
    </w:p>
    <w:p>
      <w:pPr>
        <w:spacing w:after="0" w:line="201" w:lineRule="exact"/>
        <w:rPr>
          <w:rFonts w:ascii="Arial" w:cs="Arial" w:eastAsia="Arial" w:hAnsi="Arial"/>
          <w:sz w:val="23"/>
          <w:szCs w:val="23"/>
          <w:color w:val="auto"/>
          <w:vertAlign w:val="superscript"/>
        </w:rPr>
      </w:pPr>
    </w:p>
    <w:p>
      <w:pPr>
        <w:ind w:left="260" w:right="300" w:hanging="252"/>
        <w:spacing w:after="0" w:line="234" w:lineRule="auto"/>
        <w:tabs>
          <w:tab w:leader="none" w:pos="245"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 May 2012, our shareholders authorized us to purchase up to 3.5 million shares of our common stock in the open market. On February 28, 2014, our shareholders authorized a new share repurchase program that replaces the prior program and authorizes us to purchase up to 3.4 million shares of our common stock in the open market.</w:t>
      </w:r>
    </w:p>
    <w:p>
      <w:pPr>
        <w:spacing w:after="0" w:line="2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provisions of our senior secured term loan agreement, as amended, limit, among other things, our ability to incur additional debt, pay dividends and repurchase stock. In addition, Luxembourg law limits our ability to pay dividends and repurchase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93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31.1</w:t>
            </w:r>
          </w:p>
        </w:tc>
        <w:tc>
          <w:tcPr>
            <w:tcW w:w="9340" w:type="dxa"/>
            <w:vAlign w:val="bottom"/>
          </w:tcPr>
          <w:p>
            <w:pPr>
              <w:ind w:left="240"/>
              <w:spacing w:after="0"/>
              <w:rPr>
                <w:sz w:val="20"/>
                <w:szCs w:val="20"/>
                <w:color w:val="auto"/>
              </w:rPr>
            </w:pPr>
            <w:r>
              <w:rPr>
                <w:rFonts w:ascii="Arial" w:cs="Arial" w:eastAsia="Arial" w:hAnsi="Arial"/>
                <w:sz w:val="18"/>
                <w:szCs w:val="18"/>
                <w:color w:val="auto"/>
                <w:w w:val="97"/>
              </w:rPr>
              <w:t>Certification by the Chief Executive Officer pursuant to Section 302 of the Sarbanes-Oxley Act of 2002 (filed herewith)</w:t>
            </w:r>
          </w:p>
        </w:tc>
      </w:tr>
      <w:tr>
        <w:trPr>
          <w:trHeight w:val="432"/>
        </w:trPr>
        <w:tc>
          <w:tcPr>
            <w:tcW w:w="76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31.2</w:t>
            </w:r>
          </w:p>
        </w:tc>
        <w:tc>
          <w:tcPr>
            <w:tcW w:w="9340" w:type="dxa"/>
            <w:vAlign w:val="bottom"/>
          </w:tcPr>
          <w:p>
            <w:pPr>
              <w:ind w:left="240"/>
              <w:spacing w:after="0"/>
              <w:rPr>
                <w:sz w:val="20"/>
                <w:szCs w:val="20"/>
                <w:color w:val="auto"/>
              </w:rPr>
            </w:pPr>
            <w:r>
              <w:rPr>
                <w:rFonts w:ascii="Arial" w:cs="Arial" w:eastAsia="Arial" w:hAnsi="Arial"/>
                <w:sz w:val="18"/>
                <w:szCs w:val="18"/>
                <w:color w:val="auto"/>
                <w:w w:val="97"/>
              </w:rPr>
              <w:t>Certification by the Chief Financial Officer pursuant to Section 302 of the Sarbanes-Oxley Act of 2002 (filed herewith)</w:t>
            </w:r>
          </w:p>
        </w:tc>
      </w:tr>
      <w:tr>
        <w:trPr>
          <w:trHeight w:val="418"/>
        </w:trPr>
        <w:tc>
          <w:tcPr>
            <w:tcW w:w="76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32.1</w:t>
            </w:r>
          </w:p>
        </w:tc>
        <w:tc>
          <w:tcPr>
            <w:tcW w:w="9340" w:type="dxa"/>
            <w:vAlign w:val="bottom"/>
          </w:tcPr>
          <w:p>
            <w:pPr>
              <w:ind w:left="240"/>
              <w:spacing w:after="0"/>
              <w:rPr>
                <w:sz w:val="20"/>
                <w:szCs w:val="20"/>
                <w:color w:val="auto"/>
              </w:rPr>
            </w:pPr>
            <w:r>
              <w:rPr>
                <w:rFonts w:ascii="Arial" w:cs="Arial" w:eastAsia="Arial" w:hAnsi="Arial"/>
                <w:sz w:val="18"/>
                <w:szCs w:val="18"/>
                <w:color w:val="auto"/>
                <w:w w:val="92"/>
              </w:rPr>
              <w:t>Certification by the Chief Executive Officer and Chief Financial Officer pursuant to Section 906 of the Sarbanes-Oxley Act of</w:t>
            </w:r>
          </w:p>
        </w:tc>
      </w:tr>
      <w:tr>
        <w:trPr>
          <w:trHeight w:val="230"/>
        </w:trPr>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340" w:type="dxa"/>
            <w:vAlign w:val="bottom"/>
          </w:tcPr>
          <w:p>
            <w:pPr>
              <w:ind w:left="240"/>
              <w:spacing w:after="0"/>
              <w:rPr>
                <w:sz w:val="20"/>
                <w:szCs w:val="20"/>
                <w:color w:val="auto"/>
              </w:rPr>
            </w:pPr>
            <w:r>
              <w:rPr>
                <w:rFonts w:ascii="Arial" w:cs="Arial" w:eastAsia="Arial" w:hAnsi="Arial"/>
                <w:sz w:val="18"/>
                <w:szCs w:val="18"/>
                <w:color w:val="auto"/>
              </w:rPr>
              <w:t>2002 (filed herewith)</w:t>
            </w:r>
          </w:p>
        </w:tc>
      </w:tr>
      <w:tr>
        <w:trPr>
          <w:trHeight w:val="418"/>
        </w:trPr>
        <w:tc>
          <w:tcPr>
            <w:tcW w:w="76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101</w:t>
            </w:r>
          </w:p>
        </w:tc>
        <w:tc>
          <w:tcPr>
            <w:tcW w:w="9340" w:type="dxa"/>
            <w:vAlign w:val="bottom"/>
          </w:tcPr>
          <w:p>
            <w:pPr>
              <w:ind w:left="240"/>
              <w:spacing w:after="0"/>
              <w:rPr>
                <w:sz w:val="20"/>
                <w:szCs w:val="20"/>
                <w:color w:val="auto"/>
              </w:rPr>
            </w:pPr>
            <w:r>
              <w:rPr>
                <w:rFonts w:ascii="Arial" w:cs="Arial" w:eastAsia="Arial" w:hAnsi="Arial"/>
                <w:sz w:val="18"/>
                <w:szCs w:val="18"/>
                <w:color w:val="auto"/>
                <w:w w:val="98"/>
              </w:rPr>
              <w:t>Pursuant to Rule 405 of Regulation S-T, the following financial information from the Company’s Quarterly Report on</w:t>
            </w:r>
          </w:p>
        </w:tc>
      </w:tr>
      <w:tr>
        <w:trPr>
          <w:trHeight w:val="230"/>
        </w:trPr>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340" w:type="dxa"/>
            <w:vAlign w:val="bottom"/>
          </w:tcPr>
          <w:p>
            <w:pPr>
              <w:ind w:left="240"/>
              <w:spacing w:after="0"/>
              <w:rPr>
                <w:sz w:val="20"/>
                <w:szCs w:val="20"/>
                <w:color w:val="auto"/>
              </w:rPr>
            </w:pPr>
            <w:r>
              <w:rPr>
                <w:rFonts w:ascii="Arial" w:cs="Arial" w:eastAsia="Arial" w:hAnsi="Arial"/>
                <w:sz w:val="18"/>
                <w:szCs w:val="18"/>
                <w:color w:val="auto"/>
                <w:w w:val="95"/>
              </w:rPr>
              <w:t>Form 10-Q for the period ended March 31, 2014, is formatted in XBRL interactive data files: (i) Condensed Consolidated</w:t>
            </w:r>
          </w:p>
        </w:tc>
      </w:tr>
    </w:tbl>
    <w:p>
      <w:pPr>
        <w:sectPr>
          <w:pgSz w:w="11900" w:h="16838" w:orient="portrait"/>
          <w:cols w:equalWidth="0" w:num="1">
            <w:col w:w="11420"/>
          </w:cols>
          <w:pgMar w:left="240" w:top="125" w:right="239" w:bottom="0" w:gutter="0" w:footer="0" w:header="0"/>
        </w:sectPr>
      </w:pPr>
    </w:p>
    <w:bookmarkStart w:id="29" w:name="page30"/>
    <w:bookmarkEnd w:id="29"/>
    <w:p>
      <w:pPr>
        <w:ind w:left="2120" w:right="280"/>
        <w:spacing w:after="0" w:line="279" w:lineRule="auto"/>
        <w:rPr>
          <w:sz w:val="20"/>
          <w:szCs w:val="20"/>
          <w:color w:val="auto"/>
        </w:rPr>
      </w:pPr>
      <w:r>
        <w:rPr>
          <w:rFonts w:ascii="Arial" w:cs="Arial" w:eastAsia="Arial" w:hAnsi="Arial"/>
          <w:sz w:val="17"/>
          <w:szCs w:val="17"/>
          <w:color w:val="auto"/>
        </w:rPr>
        <w:t>Balance Sheets as of March 31, 2014 and December 31, 2013; (ii) Condensed Consolidated Statements of Operations for the three months ended March 31, 2014 and 2013; (iii) Condensed Consolidated Statements of Equity for the three months ended March 31, 2014 and 2013; (iv) Condensed Consolidated Statements of Cash Flows for the three months ended March 31, 2014 and 2013; and (v) Notes to Condensed Consolidated Financial Statements.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8700" w:type="dxa"/>
            <w:vAlign w:val="bottom"/>
            <w:gridSpan w:val="2"/>
          </w:tcPr>
          <w:p>
            <w:pPr>
              <w:jc w:val="center"/>
              <w:ind w:right="2630"/>
              <w:spacing w:after="0"/>
              <w:rPr>
                <w:sz w:val="20"/>
                <w:szCs w:val="20"/>
                <w:color w:val="auto"/>
              </w:rPr>
            </w:pPr>
            <w:r>
              <w:rPr>
                <w:rFonts w:ascii="Arial" w:cs="Arial" w:eastAsia="Arial" w:hAnsi="Arial"/>
                <w:sz w:val="18"/>
                <w:szCs w:val="18"/>
                <w:color w:val="auto"/>
                <w:w w:val="95"/>
              </w:rPr>
              <w:t>ALTISOURCE PORTFOLIO SOLUTIONS S.A.</w:t>
            </w:r>
          </w:p>
        </w:tc>
        <w:tc>
          <w:tcPr>
            <w:tcW w:w="4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8700" w:type="dxa"/>
            <w:vAlign w:val="bottom"/>
            <w:gridSpan w:val="2"/>
          </w:tcPr>
          <w:p>
            <w:pPr>
              <w:jc w:val="center"/>
              <w:ind w:right="263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648"/>
        </w:trPr>
        <w:tc>
          <w:tcPr>
            <w:tcW w:w="2720" w:type="dxa"/>
            <w:vAlign w:val="bottom"/>
          </w:tcPr>
          <w:p>
            <w:pPr>
              <w:spacing w:after="0"/>
              <w:rPr>
                <w:sz w:val="20"/>
                <w:szCs w:val="20"/>
                <w:color w:val="auto"/>
              </w:rPr>
            </w:pPr>
            <w:r>
              <w:rPr>
                <w:rFonts w:ascii="Arial" w:cs="Arial" w:eastAsia="Arial" w:hAnsi="Arial"/>
                <w:sz w:val="18"/>
                <w:szCs w:val="18"/>
                <w:color w:val="auto"/>
              </w:rPr>
              <w:t>Date: April 24, 2014</w:t>
            </w:r>
          </w:p>
        </w:tc>
        <w:tc>
          <w:tcPr>
            <w:tcW w:w="8700" w:type="dxa"/>
            <w:vAlign w:val="bottom"/>
            <w:gridSpan w:val="2"/>
          </w:tcPr>
          <w:p>
            <w:pPr>
              <w:ind w:left="300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4"/>
                <w:szCs w:val="24"/>
                <w:color w:val="auto"/>
              </w:rPr>
            </w:pPr>
          </w:p>
        </w:tc>
      </w:tr>
      <w:tr>
        <w:trPr>
          <w:trHeight w:val="195"/>
        </w:trPr>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27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9"/>
              </w:rPr>
              <w:t>(On behalf of the Registrant and as its Principal Financial Officer)</w:t>
            </w:r>
          </w:p>
        </w:tc>
        <w:tc>
          <w:tcPr>
            <w:tcW w:w="40" w:type="dxa"/>
            <w:vAlign w:val="bottom"/>
          </w:tcPr>
          <w:p>
            <w:pPr>
              <w:spacing w:after="0"/>
              <w:rPr>
                <w:sz w:val="20"/>
                <w:szCs w:val="20"/>
                <w:color w:val="auto"/>
              </w:rPr>
            </w:pPr>
          </w:p>
        </w:tc>
      </w:tr>
      <w:tr>
        <w:trPr>
          <w:trHeight w:val="432"/>
        </w:trPr>
        <w:tc>
          <w:tcPr>
            <w:tcW w:w="2720" w:type="dxa"/>
            <w:vAlign w:val="bottom"/>
          </w:tcPr>
          <w:p>
            <w:pPr>
              <w:spacing w:after="0"/>
              <w:rPr>
                <w:sz w:val="24"/>
                <w:szCs w:val="24"/>
                <w:color w:val="auto"/>
              </w:rPr>
            </w:pPr>
          </w:p>
        </w:tc>
        <w:tc>
          <w:tcPr>
            <w:tcW w:w="3500" w:type="dxa"/>
            <w:vAlign w:val="bottom"/>
          </w:tcPr>
          <w:p>
            <w:pPr>
              <w:jc w:val="center"/>
              <w:ind w:left="2390"/>
              <w:spacing w:after="0"/>
              <w:rPr>
                <w:sz w:val="20"/>
                <w:szCs w:val="20"/>
                <w:color w:val="auto"/>
              </w:rPr>
            </w:pPr>
            <w:r>
              <w:rPr>
                <w:rFonts w:ascii="Arial" w:cs="Arial" w:eastAsia="Arial" w:hAnsi="Arial"/>
                <w:sz w:val="18"/>
                <w:szCs w:val="18"/>
                <w:color w:val="auto"/>
                <w:w w:val="89"/>
              </w:rPr>
              <w:t>41</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72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1180" w:hanging="32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2014 of Altisource Portfolio Solutions S.A.;</w:t>
      </w:r>
    </w:p>
    <w:p>
      <w:pPr>
        <w:spacing w:after="0" w:line="225" w:lineRule="exact"/>
        <w:rPr>
          <w:rFonts w:ascii="Arial" w:cs="Arial" w:eastAsia="Arial" w:hAnsi="Arial"/>
          <w:sz w:val="18"/>
          <w:szCs w:val="18"/>
          <w:color w:val="auto"/>
        </w:rPr>
      </w:pPr>
    </w:p>
    <w:p>
      <w:pPr>
        <w:jc w:val="both"/>
        <w:ind w:left="1180" w:right="80" w:hanging="329"/>
        <w:spacing w:after="0" w:line="264"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80" w:right="40" w:hanging="329"/>
        <w:spacing w:after="0" w:line="308"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80" w:right="200" w:hanging="329"/>
        <w:spacing w:after="0" w:line="264"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80" w:right="60" w:hanging="5"/>
        <w:spacing w:after="0" w:line="264" w:lineRule="auto"/>
        <w:tabs>
          <w:tab w:leader="none" w:pos="1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80" w:right="260" w:hanging="5"/>
        <w:spacing w:after="0" w:line="264" w:lineRule="auto"/>
        <w:tabs>
          <w:tab w:leader="none" w:pos="1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80" w:right="320" w:hanging="5"/>
        <w:spacing w:after="0" w:line="342" w:lineRule="auto"/>
        <w:tabs>
          <w:tab w:leader="none" w:pos="14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20" w:hanging="245"/>
        <w:spacing w:after="0"/>
        <w:tabs>
          <w:tab w:leader="none" w:pos="14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34" w:lineRule="exact"/>
        <w:rPr>
          <w:rFonts w:ascii="Arial" w:cs="Arial" w:eastAsia="Arial" w:hAnsi="Arial"/>
          <w:sz w:val="17"/>
          <w:szCs w:val="17"/>
          <w:color w:val="auto"/>
        </w:rPr>
      </w:pPr>
    </w:p>
    <w:p>
      <w:pPr>
        <w:ind w:left="1180" w:right="80"/>
        <w:spacing w:after="0" w:line="261" w:lineRule="auto"/>
        <w:rPr>
          <w:rFonts w:ascii="Arial" w:cs="Arial" w:eastAsia="Arial" w:hAnsi="Arial"/>
          <w:sz w:val="17"/>
          <w:szCs w:val="17"/>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7"/>
          <w:szCs w:val="17"/>
          <w:color w:val="auto"/>
        </w:rPr>
      </w:pPr>
    </w:p>
    <w:p>
      <w:pPr>
        <w:ind w:left="1180" w:right="160" w:hanging="329"/>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180" w:right="600" w:hanging="5"/>
        <w:spacing w:after="0" w:line="342" w:lineRule="auto"/>
        <w:tabs>
          <w:tab w:leader="none" w:pos="142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80" w:right="280" w:hanging="5"/>
        <w:spacing w:after="0" w:line="277" w:lineRule="auto"/>
        <w:tabs>
          <w:tab w:leader="none" w:pos="1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ind w:left="1180"/>
              <w:spacing w:after="0"/>
              <w:rPr>
                <w:sz w:val="20"/>
                <w:szCs w:val="20"/>
                <w:color w:val="auto"/>
              </w:rPr>
            </w:pPr>
            <w:r>
              <w:rPr>
                <w:rFonts w:ascii="Arial" w:cs="Arial" w:eastAsia="Arial" w:hAnsi="Arial"/>
                <w:sz w:val="18"/>
                <w:szCs w:val="18"/>
                <w:color w:val="auto"/>
              </w:rPr>
              <w:t>Date:</w:t>
            </w:r>
          </w:p>
        </w:tc>
        <w:tc>
          <w:tcPr>
            <w:tcW w:w="2640" w:type="dxa"/>
            <w:vAlign w:val="bottom"/>
          </w:tcPr>
          <w:p>
            <w:pPr>
              <w:ind w:left="240"/>
              <w:spacing w:after="0"/>
              <w:rPr>
                <w:sz w:val="20"/>
                <w:szCs w:val="20"/>
                <w:color w:val="auto"/>
              </w:rPr>
            </w:pPr>
            <w:r>
              <w:rPr>
                <w:rFonts w:ascii="Arial" w:cs="Arial" w:eastAsia="Arial" w:hAnsi="Arial"/>
                <w:sz w:val="18"/>
                <w:szCs w:val="18"/>
                <w:color w:val="auto"/>
              </w:rPr>
              <w:t>April 24, 2014</w:t>
            </w:r>
          </w:p>
        </w:tc>
        <w:tc>
          <w:tcPr>
            <w:tcW w:w="6980" w:type="dxa"/>
            <w:vAlign w:val="bottom"/>
            <w:gridSpan w:val="2"/>
          </w:tcPr>
          <w:p>
            <w:pPr>
              <w:ind w:left="134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1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1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1800" w:type="dxa"/>
            <w:vAlign w:val="bottom"/>
            <w:tcBorders>
              <w:bottom w:val="single" w:sz="8" w:color="010101"/>
            </w:tcBorders>
          </w:tcPr>
          <w:p>
            <w:pPr>
              <w:spacing w:after="0"/>
              <w:rPr>
                <w:sz w:val="24"/>
                <w:szCs w:val="24"/>
                <w:color w:val="auto"/>
              </w:rPr>
            </w:pPr>
          </w:p>
        </w:tc>
        <w:tc>
          <w:tcPr>
            <w:tcW w:w="264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1180" w:hanging="3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2014 of Altisource Portfolio Solutions S.A.;</w:t>
      </w:r>
    </w:p>
    <w:p>
      <w:pPr>
        <w:spacing w:after="0" w:line="225" w:lineRule="exact"/>
        <w:rPr>
          <w:rFonts w:ascii="Arial" w:cs="Arial" w:eastAsia="Arial" w:hAnsi="Arial"/>
          <w:sz w:val="18"/>
          <w:szCs w:val="18"/>
          <w:color w:val="auto"/>
        </w:rPr>
      </w:pPr>
    </w:p>
    <w:p>
      <w:pPr>
        <w:jc w:val="both"/>
        <w:ind w:left="1180" w:right="80" w:hanging="329"/>
        <w:spacing w:after="0" w:line="26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80" w:right="40" w:hanging="329"/>
        <w:spacing w:after="0" w:line="308"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80" w:right="200" w:hanging="329"/>
        <w:spacing w:after="0" w:line="26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80" w:right="60" w:hanging="5"/>
        <w:spacing w:after="0" w:line="264" w:lineRule="auto"/>
        <w:tabs>
          <w:tab w:leader="none" w:pos="1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80" w:right="260" w:hanging="5"/>
        <w:spacing w:after="0" w:line="264" w:lineRule="auto"/>
        <w:tabs>
          <w:tab w:leader="none" w:pos="1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80" w:right="360" w:hanging="5"/>
        <w:spacing w:after="0" w:line="342" w:lineRule="auto"/>
        <w:tabs>
          <w:tab w:leader="none" w:pos="142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20" w:hanging="245"/>
        <w:spacing w:after="0"/>
        <w:tabs>
          <w:tab w:leader="none" w:pos="14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34" w:lineRule="exact"/>
        <w:rPr>
          <w:rFonts w:ascii="Arial" w:cs="Arial" w:eastAsia="Arial" w:hAnsi="Arial"/>
          <w:sz w:val="17"/>
          <w:szCs w:val="17"/>
          <w:color w:val="auto"/>
        </w:rPr>
      </w:pPr>
    </w:p>
    <w:p>
      <w:pPr>
        <w:ind w:left="1180" w:right="80"/>
        <w:spacing w:after="0" w:line="261" w:lineRule="auto"/>
        <w:rPr>
          <w:rFonts w:ascii="Arial" w:cs="Arial" w:eastAsia="Arial" w:hAnsi="Arial"/>
          <w:sz w:val="17"/>
          <w:szCs w:val="17"/>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7"/>
          <w:szCs w:val="17"/>
          <w:color w:val="auto"/>
        </w:rPr>
      </w:pPr>
    </w:p>
    <w:p>
      <w:pPr>
        <w:ind w:left="1180" w:right="160" w:hanging="329"/>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180" w:right="600" w:hanging="5"/>
        <w:spacing w:after="0" w:line="342" w:lineRule="auto"/>
        <w:tabs>
          <w:tab w:leader="none" w:pos="142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80" w:right="280" w:hanging="5"/>
        <w:spacing w:after="0" w:line="277" w:lineRule="auto"/>
        <w:tabs>
          <w:tab w:leader="none" w:pos="1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ind w:left="1180"/>
              <w:spacing w:after="0"/>
              <w:rPr>
                <w:sz w:val="20"/>
                <w:szCs w:val="20"/>
                <w:color w:val="auto"/>
              </w:rPr>
            </w:pPr>
            <w:r>
              <w:rPr>
                <w:rFonts w:ascii="Arial" w:cs="Arial" w:eastAsia="Arial" w:hAnsi="Arial"/>
                <w:sz w:val="18"/>
                <w:szCs w:val="18"/>
                <w:color w:val="auto"/>
              </w:rPr>
              <w:t>Date:</w:t>
            </w:r>
          </w:p>
        </w:tc>
        <w:tc>
          <w:tcPr>
            <w:tcW w:w="2640" w:type="dxa"/>
            <w:vAlign w:val="bottom"/>
          </w:tcPr>
          <w:p>
            <w:pPr>
              <w:ind w:left="220"/>
              <w:spacing w:after="0"/>
              <w:rPr>
                <w:sz w:val="20"/>
                <w:szCs w:val="20"/>
                <w:color w:val="auto"/>
              </w:rPr>
            </w:pPr>
            <w:r>
              <w:rPr>
                <w:rFonts w:ascii="Arial" w:cs="Arial" w:eastAsia="Arial" w:hAnsi="Arial"/>
                <w:sz w:val="18"/>
                <w:szCs w:val="18"/>
                <w:color w:val="auto"/>
              </w:rPr>
              <w:t>April 24, 2014</w:t>
            </w:r>
          </w:p>
        </w:tc>
        <w:tc>
          <w:tcPr>
            <w:tcW w:w="7000" w:type="dxa"/>
            <w:vAlign w:val="bottom"/>
            <w:gridSpan w:val="2"/>
          </w:tcPr>
          <w:p>
            <w:pPr>
              <w:ind w:left="136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17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17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348"/>
        </w:trPr>
        <w:tc>
          <w:tcPr>
            <w:tcW w:w="1780" w:type="dxa"/>
            <w:vAlign w:val="bottom"/>
            <w:tcBorders>
              <w:bottom w:val="single" w:sz="8" w:color="010101"/>
            </w:tcBorders>
          </w:tcPr>
          <w:p>
            <w:pPr>
              <w:spacing w:after="0"/>
              <w:rPr>
                <w:sz w:val="24"/>
                <w:szCs w:val="24"/>
                <w:color w:val="auto"/>
              </w:rPr>
            </w:pPr>
          </w:p>
        </w:tc>
        <w:tc>
          <w:tcPr>
            <w:tcW w:w="264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2014</w:t>
      </w:r>
    </w:p>
    <w:p>
      <w:pPr>
        <w:spacing w:after="0" w:line="200" w:lineRule="exact"/>
        <w:rPr>
          <w:sz w:val="20"/>
          <w:szCs w:val="20"/>
          <w:color w:val="auto"/>
        </w:rPr>
      </w:pPr>
    </w:p>
    <w:p>
      <w:pPr>
        <w:spacing w:after="0" w:line="20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connection with the Quarterly Report on Form 10-Q of Altisource Portfolio Solutions S.A. (the “Company”) for the quarterly period ending March 31, 2014,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5960" w:type="dxa"/>
            <w:vAlign w:val="bottom"/>
            <w:gridSpan w:val="2"/>
          </w:tcPr>
          <w:p>
            <w:pPr>
              <w:ind w:left="28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4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6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6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4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April 24, 2014</w:t>
            </w:r>
          </w:p>
        </w:tc>
        <w:tc>
          <w:tcPr>
            <w:tcW w:w="6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April 24, 2014</w:t>
            </w:r>
          </w:p>
        </w:tc>
        <w:tc>
          <w:tcPr>
            <w:tcW w:w="40" w:type="dxa"/>
            <w:vAlign w:val="bottom"/>
          </w:tcPr>
          <w:p>
            <w:pPr>
              <w:spacing w:after="0"/>
              <w:rPr>
                <w:sz w:val="20"/>
                <w:szCs w:val="20"/>
                <w:color w:val="auto"/>
              </w:rPr>
            </w:pPr>
          </w:p>
        </w:tc>
      </w:tr>
      <w:tr>
        <w:trPr>
          <w:trHeight w:val="348"/>
        </w:trPr>
        <w:tc>
          <w:tcPr>
            <w:tcW w:w="42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lowerRoman"/>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lowerRoman"/>
      <w:start w:val="5"/>
    </w:lvl>
  </w:abstractNum>
  <w:abstractNum w:abstractNumId="6">
    <w:nsid w:val="66EF438D"/>
    <w:multiLevelType w:val="hybridMultilevel"/>
    <w:lvl w:ilvl="0">
      <w:lvlJc w:val="left"/>
      <w:lvlText w:val="(%1)"/>
      <w:numFmt w:val="lowerRoman"/>
      <w:start w:val="9"/>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2019-12-07T20:20:25Z</dcterms:created>
  <dcterms:modified xsi:type="dcterms:W3CDTF">2019-12-07T20:20:25Z</dcterms:modified>
</cp:coreProperties>
</file>