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231F20"/>
        </w:rPr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231F20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231F20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231F20"/>
        </w:rPr>
        <w:t>SCHEDULE 14A INFORMATION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231F20"/>
        </w:rPr>
        <w:t>Proxy Statement Pursuant to Section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231F20"/>
        </w:rPr>
        <w:t>Securities Exchange Act of 1934</w:t>
      </w:r>
    </w:p>
    <w:p>
      <w:pPr>
        <w:ind w:left="11"/>
        <w:spacing w:after="0" w:line="18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231F20"/>
        </w:rPr>
        <w:t>☒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231F20"/>
        </w:rPr>
        <w:t>☐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Check the appropriate box:</w:t>
      </w:r>
    </w:p>
    <w:p>
      <w:pPr>
        <w:ind w:left="331" w:hanging="331"/>
        <w:spacing w:after="0" w:line="237" w:lineRule="auto"/>
        <w:tabs>
          <w:tab w:leader="none" w:pos="33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Preliminary Proxy Statement</w:t>
      </w:r>
    </w:p>
    <w:p>
      <w:pPr>
        <w:ind w:left="331" w:hanging="331"/>
        <w:spacing w:after="0" w:line="232" w:lineRule="auto"/>
        <w:tabs>
          <w:tab w:leader="none" w:pos="33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  <w:shd w:val="clear" w:color="auto" w:fill="231F20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231F20"/>
        </w:rPr>
        <w:t>Confidential, For Use of the Commission only (as permitted by Rule 14a-6(e)(2))</w:t>
      </w:r>
    </w:p>
    <w:p>
      <w:pPr>
        <w:ind w:left="331" w:hanging="331"/>
        <w:spacing w:after="0" w:line="228" w:lineRule="auto"/>
        <w:tabs>
          <w:tab w:leader="none" w:pos="33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Definitive Proxy Statement</w:t>
      </w:r>
    </w:p>
    <w:p>
      <w:pPr>
        <w:ind w:left="331" w:hanging="331"/>
        <w:spacing w:after="0" w:line="233" w:lineRule="auto"/>
        <w:tabs>
          <w:tab w:leader="none" w:pos="33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Definitive Additional Materials</w:t>
      </w:r>
    </w:p>
    <w:p>
      <w:pPr>
        <w:ind w:left="331" w:hanging="331"/>
        <w:spacing w:after="0"/>
        <w:tabs>
          <w:tab w:leader="none" w:pos="33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Soliciting Material under §240.14a-12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23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231F20"/>
        </w:rPr>
        <w:t>ALTISOURCE PORTFOLIO SOLUTIONS S.A.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15875</wp:posOffset>
            </wp:positionV>
            <wp:extent cx="60648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231F20"/>
        </w:rPr>
        <w:t>(Name of Registrant as Specified in its Charter)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center"/>
        <w:ind w:right="-2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231F20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606488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3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231F20"/>
        </w:rPr>
        <w:t>(Name of Person(s) Filing Proxy Statement, if other than the Registrant)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Payment of Filing Fee (Check the appropriate box):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31" w:hanging="331"/>
        <w:spacing w:after="0"/>
        <w:tabs>
          <w:tab w:leader="none" w:pos="33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No Fee Required.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31" w:hanging="331"/>
        <w:spacing w:after="0"/>
        <w:tabs>
          <w:tab w:leader="none" w:pos="33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231F20"/>
        </w:rPr>
      </w:pPr>
      <w:r>
        <w:rPr>
          <w:rFonts w:ascii="Arial" w:cs="Arial" w:eastAsia="Arial" w:hAnsi="Arial"/>
          <w:sz w:val="17"/>
          <w:szCs w:val="17"/>
          <w:color w:val="231F20"/>
        </w:rPr>
        <w:t>Fee paid previously with preliminary materials.</w:t>
      </w:r>
    </w:p>
    <w:p>
      <w:pPr>
        <w:spacing w:after="0" w:line="70" w:lineRule="exact"/>
        <w:rPr>
          <w:rFonts w:ascii="MS PGothic" w:cs="MS PGothic" w:eastAsia="MS PGothic" w:hAnsi="MS PGothic"/>
          <w:sz w:val="17"/>
          <w:szCs w:val="17"/>
          <w:color w:val="231F20"/>
        </w:rPr>
      </w:pPr>
    </w:p>
    <w:p>
      <w:pPr>
        <w:ind w:left="331" w:hanging="331"/>
        <w:spacing w:after="0"/>
        <w:tabs>
          <w:tab w:leader="none" w:pos="33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231F20"/>
        </w:rPr>
      </w:pPr>
      <w:r>
        <w:rPr>
          <w:rFonts w:ascii="Arial" w:cs="Arial" w:eastAsia="Arial" w:hAnsi="Arial"/>
          <w:sz w:val="16"/>
          <w:szCs w:val="16"/>
          <w:color w:val="231F20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-537845</wp:posOffset>
            </wp:positionH>
            <wp:positionV relativeFrom="paragraph">
              <wp:posOffset>400050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290"/>
          </w:cols>
          <w:pgMar w:left="1169" w:top="44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570865</wp:posOffset>
            </wp:positionV>
            <wp:extent cx="6884035" cy="8779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877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2025-01-03T15:09:46Z</dcterms:created>
  <dcterms:modified xsi:type="dcterms:W3CDTF">2025-01-03T15:09:46Z</dcterms:modified>
</cp:coreProperties>
</file>