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107315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1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September 30, 2024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3"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0"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159385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jc w:val="center"/>
              <w:ind w:left="1826"/>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724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0" w:type="dxa"/>
            <w:vAlign w:val="bottom"/>
          </w:tcPr>
          <w:p>
            <w:pPr>
              <w:jc w:val="center"/>
              <w:ind w:right="160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2"/>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306"/>
        </w:trPr>
        <w:tc>
          <w:tcPr>
            <w:tcW w:w="3720" w:type="dxa"/>
            <w:vAlign w:val="bottom"/>
          </w:tcPr>
          <w:p>
            <w:pPr>
              <w:spacing w:after="0"/>
              <w:rPr>
                <w:sz w:val="24"/>
                <w:szCs w:val="24"/>
                <w:color w:val="auto"/>
              </w:rPr>
            </w:pPr>
          </w:p>
        </w:tc>
        <w:tc>
          <w:tcPr>
            <w:tcW w:w="3040" w:type="dxa"/>
            <w:vAlign w:val="bottom"/>
            <w:gridSpan w:val="3"/>
          </w:tcPr>
          <w:p>
            <w:pPr>
              <w:jc w:val="center"/>
              <w:ind w:left="701"/>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3720" w:type="dxa"/>
            <w:vAlign w:val="bottom"/>
          </w:tcPr>
          <w:p>
            <w:pPr>
              <w:spacing w:after="0"/>
              <w:rPr>
                <w:sz w:val="15"/>
                <w:szCs w:val="15"/>
                <w:color w:val="auto"/>
              </w:rPr>
            </w:pPr>
          </w:p>
        </w:tc>
        <w:tc>
          <w:tcPr>
            <w:tcW w:w="3520" w:type="dxa"/>
            <w:vAlign w:val="bottom"/>
            <w:gridSpan w:val="5"/>
          </w:tcPr>
          <w:p>
            <w:pPr>
              <w:jc w:val="center"/>
              <w:ind w:left="20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305"/>
        </w:trPr>
        <w:tc>
          <w:tcPr>
            <w:tcW w:w="37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37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285"/>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100"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18, 2024, there were 27,173,867 outstanding shares of the registrant’s common stock (excluding 2,788,881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1771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20" w:type="dxa"/>
            <w:vAlign w:val="bottom"/>
            <w:tcBorders>
              <w:top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3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980" w:type="dxa"/>
            <w:vAlign w:val="bottom"/>
            <w:tcBorders>
              <w:left w:val="single" w:sz="8" w:color="0000FF"/>
            </w:tcBorders>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980" w:type="dxa"/>
            <w:vAlign w:val="bottom"/>
            <w:tcBorders>
              <w:left w:val="single" w:sz="8" w:color="0000FF"/>
            </w:tcBorders>
            <w:gridSpan w:val="7"/>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$3,486 and $3,123, respectively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35,760</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20"/>
              <w:spacing w:after="0" w:line="159" w:lineRule="exact"/>
              <w:rPr>
                <w:sz w:val="20"/>
                <w:szCs w:val="20"/>
                <w:color w:val="auto"/>
              </w:rPr>
            </w:pPr>
            <w:r>
              <w:rPr>
                <w:rFonts w:ascii="Times New Roman" w:cs="Times New Roman" w:eastAsia="Times New Roman" w:hAnsi="Times New Roman"/>
                <w:sz w:val="16"/>
                <w:szCs w:val="16"/>
                <w:color w:val="auto"/>
              </w:rPr>
              <w:t>Common stock ($1.00 par value; 100,000 shares authorized, 29,963 issued and 27,171 outstanding as of September 30, 2024;</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0" w:type="dxa"/>
            <w:vAlign w:val="bottom"/>
          </w:tcPr>
          <w:p>
            <w:pPr>
              <w:spacing w:after="0"/>
              <w:rPr>
                <w:sz w:val="1"/>
                <w:szCs w:val="1"/>
                <w:color w:val="auto"/>
              </w:rPr>
            </w:pPr>
          </w:p>
        </w:tc>
      </w:tr>
      <w:tr>
        <w:trPr>
          <w:trHeight w:val="210"/>
        </w:trPr>
        <w:tc>
          <w:tcPr>
            <w:tcW w:w="8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29,963 issued and 26,496 outstanding as of December 31, 2023)</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(2,792 shares as of September 30, 2024 and 3,467 shares as of December 31, 2023)</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(112,580)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ALTISOURCE PORTFOLIO SOLUTIONS S.A. Condensed Consolidated Statements of Operations and Comprehensive Loss </w:t>
      </w: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8"/>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110,909</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89,684</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21,225</w:t>
            </w:r>
          </w:p>
        </w:tc>
      </w:tr>
      <w:tr>
        <w:trPr>
          <w:trHeight w:val="214"/>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35,169</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(26,554)</w:t>
            </w: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r>
      <w:tr>
        <w:trPr>
          <w:trHeight w:val="20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(26,454)</w:t>
            </w:r>
          </w:p>
        </w:tc>
      </w:tr>
      <w:tr>
        <w:trPr>
          <w:trHeight w:val="214"/>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(40,398)</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(42,984)</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9"/>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9"/>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9"/>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22,181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8"/>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(42,984)</w:t>
            </w:r>
          </w:p>
        </w:tc>
      </w:tr>
      <w:tr>
        <w:trPr>
          <w:trHeight w:val="21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8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(118,874)</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166,704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96,243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(110,397)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167,946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75,104</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(128,095)</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Sale of treasury stock, net of transaction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18,374</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176,128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(166,125)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700" w:type="dxa"/>
            <w:vAlign w:val="bottom"/>
            <w:gridSpan w:val="4"/>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177,278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179,093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179,937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(234,351)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(140,200)</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4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2024</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180,776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92"/>
        </w:trPr>
        <w:tc>
          <w:tcPr>
            <w:tcW w:w="8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(26,731)</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(42,984)</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12,350</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(17,595)</w:t>
            </w:r>
          </w:p>
        </w:tc>
      </w:tr>
      <w:tr>
        <w:trPr>
          <w:trHeight w:val="75"/>
        </w:trPr>
        <w:tc>
          <w:tcPr>
            <w:tcW w:w="82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revolving loan agreement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treasury stock, net of issuance costs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18,374</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and amendment costs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75"/>
        </w:trPr>
        <w:tc>
          <w:tcPr>
            <w:tcW w:w="8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(14,426)</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88"/>
        </w:trPr>
        <w:tc>
          <w:tcPr>
            <w:tcW w:w="82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39,847</w:t>
            </w:r>
          </w:p>
        </w:tc>
      </w:tr>
      <w:tr>
        <w:trPr>
          <w:trHeight w:val="84"/>
        </w:trPr>
        <w:tc>
          <w:tcPr>
            <w:tcW w:w="82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10"/>
        </w:trPr>
        <w:tc>
          <w:tcPr>
            <w:tcW w:w="8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16,989</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95"/>
        </w:trPr>
        <w:tc>
          <w:tcPr>
            <w:tcW w:w="8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issued in connection with Amended Credit Agreement</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r>
    </w:tbl>
    <w:p>
      <w:pPr>
        <w:spacing w:after="0" w:line="105" w:lineRule="exact"/>
        <w:rPr>
          <w:sz w:val="20"/>
          <w:szCs w:val="20"/>
          <w:color w:val="auto"/>
        </w:rPr>
      </w:pPr>
    </w:p>
    <w:p>
      <w:pPr>
        <w:ind w:left="20" w:right="580"/>
        <w:spacing w:after="0" w:line="239"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7134860" cy="235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2355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92"/>
        </w:trPr>
        <w:tc>
          <w:tcPr>
            <w:tcW w:w="8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36,640</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2024, Lenders One had total assets of $0.4 million and total liabilities of $0.4 million. As of December 31, 2023, Lenders One had total assets of $0.4 million and total liabilities of $0.6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2023, as filed with the SEC on March 7,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standard updates reportable segment disclosure requirements primarily through enhanced disclosures about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This standard will be effective for annual periods beginning after December 15, 2023, and for interim periods beginning after December 15, 2024. Early adoption of this standard is permitted. The Company is currently evaluating the impact this guidance may have on its consolidated financial statements.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This standard will be effective for annual periods beginning after December 15, 2024. Early adoption of this standard is permitted. The Company is currently evaluating the impact this guidance may have on its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Onity was our largest customer, accounting for 43% and 44%, respectively,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nine months ended September 30, 2024 and 2023, we recognized revenue from Onity of $52.6 million and $47.3 million, respectively ($17.6 million and $15.7 million for the third quarter of 2024 and 2023, respectively). Revenue from Onity as a percentage of segment and consolidated revenue was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3"/>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5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8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nine months ended September 30, 2024 and 2023, we recognized $7.5 million and $7.3 million, respectively ($2.3 million and $2.3 million for the third quarter of 2024 and 2023, respectively), of such revenue. These amounts are not included in deriving revenue from Onity and revenue from Onity as a percentage of revenue discussed above.</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accounts receivable from Onity totaled $3.9 million, $2.8 million of which was billed and $1.1 million of which was unbilled. As of December 31, 2023, accounts receivable from Onity totaled $3.4 million, $2.2 million of which was billed and $1.2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June 30, 2024, Onity reported that approximately 14% of loans serviced and subserviced by Onity (measured in unpaid principal balance (“UPB”)) and approximately 64% of all delinquent loans that Onity services were related to Rithm MSRs or rights to MSRs (the “Subject MSRs”).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and 2023, we recognized revenue from Rithm of $1.8 million and $2.3 million, respectively ($0.5 million and $0.7 million for the third quarter of 2024 and 2023, respectively), under the Brokerage Agreement. For the nine months ended September 30, 2024 and 2023, we recognized additional revenue of $8.6 million and $10.1 million, respectively ($2.5 million and $3.2 million for the third quarter of 2024 and 2023, respectively), relating to the Subject MSRs when a party other than Rithm selects Altisource as the service provider.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services, REO and foreclosure sales, title and closing services, for which we generally recognize revenue when the service is provided but collect upon closing of the sale, as well as foreclosure trustee services and the recently launched property renovation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6"/>
                <w:szCs w:val="16"/>
                <w:color w:val="auto"/>
                <w:w w:val="99"/>
              </w:rPr>
              <w:t>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3,486</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2023</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left="1103"/>
              <w:spacing w:after="0"/>
              <w:rPr>
                <w:sz w:val="20"/>
                <w:szCs w:val="20"/>
                <w:color w:val="auto"/>
              </w:rPr>
            </w:pPr>
            <w:r>
              <w:rPr>
                <w:rFonts w:ascii="Times New Roman" w:cs="Times New Roman" w:eastAsia="Times New Roman" w:hAnsi="Times New Roman"/>
                <w:sz w:val="16"/>
                <w:szCs w:val="16"/>
                <w:color w:val="auto"/>
                <w:w w:val="97"/>
              </w:rPr>
              <w:t>(203)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center"/>
              <w:ind w:left="1123"/>
              <w:spacing w:after="0"/>
              <w:rPr>
                <w:sz w:val="20"/>
                <w:szCs w:val="20"/>
                <w:color w:val="auto"/>
              </w:rPr>
            </w:pPr>
            <w:r>
              <w:rPr>
                <w:rFonts w:ascii="Times New Roman" w:cs="Times New Roman" w:eastAsia="Times New Roman" w:hAnsi="Times New Roman"/>
                <w:sz w:val="16"/>
                <w:szCs w:val="16"/>
                <w:color w:val="auto"/>
                <w:w w:val="99"/>
              </w:rPr>
              <w:t>776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3,486</w:t>
            </w: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6"/>
                <w:szCs w:val="16"/>
                <w:color w:val="auto"/>
                <w:w w:val="99"/>
              </w:rPr>
              <w:t>319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5" w:lineRule="exact"/>
        <w:rPr>
          <w:sz w:val="20"/>
          <w:szCs w:val="20"/>
          <w:color w:val="auto"/>
        </w:rPr>
      </w:pPr>
    </w:p>
    <w:p>
      <w:pPr>
        <w:ind w:right="5280"/>
        <w:spacing w:after="0" w:line="401"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Amounts written off as uncollectible or transferred to other accounts or utilized. </w:t>
      </w:r>
      <w:r>
        <w:rPr>
          <w:rFonts w:ascii="Times New Roman" w:cs="Times New Roman" w:eastAsia="Times New Roman" w:hAnsi="Times New Roman"/>
          <w:sz w:val="18"/>
          <w:szCs w:val="18"/>
          <w:b w:val="1"/>
          <w:bCs w:val="1"/>
          <w:color w:val="auto"/>
        </w:rPr>
        <w:t xml:space="preserve">NOTE 4 — PREPAID EXPENSES AND OTHER CURRENT ASSETS </w:t>
      </w:r>
      <w:r>
        <w:rPr>
          <w:rFonts w:ascii="Times New Roman" w:cs="Times New Roman" w:eastAsia="Times New Roman" w:hAnsi="Times New Roman"/>
          <w:sz w:val="18"/>
          <w:szCs w:val="18"/>
          <w:color w:val="auto"/>
        </w:rPr>
        <w:t>Prepaid expenses and other current assets consist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Indemnity escrow receivable from Pointillist sale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46,519</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Depreciation and amortization expense amounted to $0.8 million and $1.9 million for the nine months ended September 30, 2024 and 2023, respectively ($0.2 million and $0.6 million for the third quarter of 2024 and 2023, respectively), and is included in cost of revenue for operating assets and in selling, general and administrative expenses for non-operating assets in the accompanying condensed consolidated statements of operations and comprehensive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4"/>
        </w:trPr>
        <w:tc>
          <w:tcPr>
            <w:tcW w:w="8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2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6,132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7,242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8"/>
              </w:rPr>
              <w:t>(3,588)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(3,863)</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684"/>
              <w:spacing w:after="0"/>
              <w:rPr>
                <w:sz w:val="20"/>
                <w:szCs w:val="20"/>
                <w:color w:val="auto"/>
              </w:rPr>
            </w:pPr>
            <w:r>
              <w:rPr>
                <w:rFonts w:ascii="Times New Roman" w:cs="Times New Roman" w:eastAsia="Times New Roman" w:hAnsi="Times New Roman"/>
                <w:sz w:val="16"/>
                <w:szCs w:val="16"/>
                <w:color w:val="auto"/>
                <w:w w:val="99"/>
              </w:rPr>
              <w:t>2,544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3,379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$1.2 million and $1.4 million for the nine months ended September 30, 2024 and 2023, respectively ($0.4 million and $0.4 million for the third quarter of 2024 and 2023, respectively), and is included in cost of revenue for operating assets and in selling, general and administrative expenses for non-operating assets in the accompanying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 and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0" w:type="dxa"/>
            <w:vAlign w:val="bottom"/>
          </w:tcPr>
          <w:p>
            <w:pPr>
              <w:spacing w:after="0"/>
              <w:rPr>
                <w:sz w:val="14"/>
                <w:szCs w:val="14"/>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20" w:type="dxa"/>
            <w:vAlign w:val="bottom"/>
          </w:tcPr>
          <w:p>
            <w:pPr>
              <w:spacing w:after="0"/>
              <w:rPr>
                <w:sz w:val="14"/>
                <w:szCs w:val="14"/>
                <w:color w:val="auto"/>
              </w:rPr>
            </w:pPr>
          </w:p>
        </w:tc>
        <w:tc>
          <w:tcPr>
            <w:tcW w:w="232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line="20" w:lineRule="exact"/>
              <w:rPr>
                <w:sz w:val="1"/>
                <w:szCs w:val="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line="20" w:lineRule="exact"/>
              <w:rPr>
                <w:sz w:val="1"/>
                <w:szCs w:val="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6"/>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(200,656)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(235,883)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$3.8 million and $3.9 million for the nine months ended September 30, 2024 and 2023, respectively ($1.3 million and $1.4 million for the third quarter of 2024 and 2023, respectively). Forecasted annual definite lived intangible asset amortization expense for 2024 through 2028 is $5.1 million, $5.1 million, $4.9 million, $4.7 million and $4.4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20" w:type="dxa"/>
            <w:vAlign w:val="bottom"/>
          </w:tcPr>
          <w:p>
            <w:pPr>
              <w:jc w:val="right"/>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residential real estate renovation services business, on June 3, 2024 Altisource Solutions, Inc., an indirect subsidiary of Altisource Portfolio Solutions S.A, entered into a revolving loan agreement with a related 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there was $250 thousand outstanding debt under the Revolving Loan Agreement which is included in other current liabilities in the accompanying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Debt issuance and amendment costs,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r>
        <w:trPr>
          <w:trHeight w:val="20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long-term debt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 less current portion</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maturity date of the SSTL under the Amended Credit Agreement is April 30, 2025. Since the aggregate amount of par paydowns on the SSTL made prior to February 14, 2024 using proceeds from issuances of equity interests or from junior indebtedness (“Aggregate Paydowns”) was equal to or greater than $30 million, the maturity date of the SSTL may be extended at the Company’s option to April 30, 2026. Such extension is conditioned upon the Company’s payment of a 2% payment-in-kind extension fee on or before April 30, 2025 and subject to the representations and warranties being true and correct as of such date and there being no default or event of default being in existence as of such date.</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 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June 30, 2023 and 3.75% for periods thereafter. The interest rate as of September 30, 2024, including the PIK component, was 14.18%.</w:t>
      </w:r>
    </w:p>
    <w:p>
      <w:pPr>
        <w:spacing w:after="0" w:line="16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 million when due, (v) default on any other debt that equals or exceeds $5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Amended Credit Agreement or waived, all loans and other obligations could become due and immediately payable and the facility could be terminated.</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lenders under the Amended Credit Agreement received Warrants to purchase shares of Altisource common stock. The number of Warrant Shares is subject to reduction based on the amount of Aggregate Paydowns (see Note 11 for additional information). The fair value of the Warrants on February 14, 2023 was $8.1 million and was recorded as an increase in debt discount.</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Amendment No. 2, the Company paid $4.9 million to the lenders and to third parties on behalf of the lenders. The $4.9 million payment was recorded as an increase in debt issuance and amendment costs. In connection with Amendment No. 2, the Company paid $3.4 million to advisors and recorded these payments as other expense in the condensed consolidated statements of operations and comprehensive loss.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Deer Park Road Management Company, LP (“Deer Park”), a related party, owns approximately 16% and 15% of Altisource’s common stock as of September 30, 2024 and 2023, respectively, and $41.7 million and $40.2 million of Altisource debt under the Amended Credit Agreement as of September 30, 2024 and 2023, respectively. An employee of Deer Park is a member of Altisource’s Board of Directors. In connection with the Amended Credit Agreement, Deer Park received 292 thousand Warrants. During the nine months ended September 30, 2024 and 2023, Deer Park received interest of $1.1 million and $2.0 million, respectively from the Altisource SSTL.</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debt issuance and amendment costs were $1.5 million, net of $7.9 million of accumulated amortization. As of December 31, 2023, debt issuance and amendment costs were $3.3 million, net of $6.1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and December 31, 2023, there was no outstanding debt under the Amended Revolver and Revolver, respectively. As of September 30, 2024 debt issuance costs were $0.1 million, net of $0.5 million of accumulated amortization. As of December 31, 2023 debt issuance costs were $0.2 million, net of $0.4 million of accumulated amortization. Debt issuance costs for the Amended Revolver and Revolver are included in other assets in the accompanying consolidated balance sheet.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10 for additional information) received warrants (the “Warrants”) to purchase 3,223,851 shares of Altisource common stock (the “Warrant Shares”). The number of Warrant Shares was subject to reduction based on the amount of Aggregate Paydowns. During 2023, the Company made $30 million of Aggregate Paydowns. Since Aggregate Paydowns were equal to or greater than $30 million, the number of Warrant Shares was reduced to 1,612,705.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Warrant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9"/>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1,612,705</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(96,808)</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1,515,897</w:t>
            </w: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 exercised on May 22, 2027. The Warrants were subject to a lock-up agreement, subject to customary exceptions, which expired on February 16, 2024.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Warrants are free standing financial instruments that are legally detachable and separately exercisable from the term loans under the Amended Credit Agreement. At inception, the Warrants were not considered to be indexed to the Company’s stock because the number of Warrant Shares varied based on Aggregate Paydowns. Pursuant to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the outstanding Warrants were recognized as a warrant liability on the balance sheet based on their inception date fair value and subsequently re-measured at each reporting period with changes recorded as a component of other income (expense) in the statement of operations. On September 18, 2023, the Company reached the $30 million in Aggregate Paydowns threshold and the number of Warrant Shares was no longer variable. As a result, the Warrants were considered to be indexed to the Company’s stock and the Warrant Liability was reclassified to equity.</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warrant liability was based on the number of Warrant Shares that were expected to be exercisable on and after February 14, 2024 and the Altisource share price less $0.01 at the measurement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 liability at each of the respective valuation dates is summarized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1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Warrant Shares based on</w:t>
            </w:r>
          </w:p>
        </w:tc>
        <w:tc>
          <w:tcPr>
            <w:tcW w:w="288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Expected Warrant Shares that will be</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240" w:type="dxa"/>
            <w:vAlign w:val="bottom"/>
          </w:tcPr>
          <w:p>
            <w:pPr>
              <w:spacing w:after="0"/>
              <w:rPr>
                <w:sz w:val="13"/>
                <w:szCs w:val="13"/>
                <w:color w:val="auto"/>
              </w:rPr>
            </w:pPr>
          </w:p>
        </w:tc>
        <w:tc>
          <w:tcPr>
            <w:tcW w:w="13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30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on February 14, 2024</w:t>
            </w:r>
          </w:p>
        </w:tc>
        <w:tc>
          <w:tcPr>
            <w:tcW w:w="138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Warrant Share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6"/>
                <w:szCs w:val="16"/>
                <w:color w:val="auto"/>
              </w:rPr>
              <w:t>Fair value at initial measurement date of</w:t>
            </w:r>
          </w:p>
        </w:tc>
        <w:tc>
          <w:tcPr>
            <w:tcW w:w="2100" w:type="dxa"/>
            <w:vAlign w:val="bottom"/>
            <w:vMerge w:val="restart"/>
            <w:shd w:val="clear" w:color="auto" w:fill="CCEEFF"/>
          </w:tcPr>
          <w:p>
            <w:pPr>
              <w:jc w:val="center"/>
              <w:ind w:right="23"/>
              <w:spacing w:after="0"/>
              <w:rPr>
                <w:sz w:val="20"/>
                <w:szCs w:val="20"/>
                <w:color w:val="auto"/>
              </w:rPr>
            </w:pPr>
            <w:r>
              <w:rPr>
                <w:rFonts w:ascii="Times New Roman" w:cs="Times New Roman" w:eastAsia="Times New Roman" w:hAnsi="Times New Roman"/>
                <w:sz w:val="16"/>
                <w:szCs w:val="16"/>
                <w:color w:val="auto"/>
                <w:w w:val="99"/>
              </w:rPr>
              <w:t>3,223,851</w:t>
            </w:r>
          </w:p>
        </w:tc>
        <w:tc>
          <w:tcPr>
            <w:tcW w:w="2880" w:type="dxa"/>
            <w:vAlign w:val="bottom"/>
            <w:vMerge w:val="restart"/>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vMerge w:val="restart"/>
            <w:shd w:val="clear" w:color="auto" w:fill="CCEEFF"/>
          </w:tcPr>
          <w:p>
            <w:pPr>
              <w:jc w:val="center"/>
              <w:ind w:left="23"/>
              <w:spacing w:after="0"/>
              <w:rPr>
                <w:sz w:val="20"/>
                <w:szCs w:val="20"/>
                <w:color w:val="auto"/>
              </w:rPr>
            </w:pPr>
            <w:r>
              <w:rPr>
                <w:rFonts w:ascii="Times New Roman" w:cs="Times New Roman" w:eastAsia="Times New Roman" w:hAnsi="Times New Roman"/>
                <w:sz w:val="16"/>
                <w:szCs w:val="16"/>
                <w:color w:val="auto"/>
                <w:w w:val="99"/>
              </w:rPr>
              <w:t>$5.02</w:t>
            </w:r>
          </w:p>
        </w:tc>
        <w:tc>
          <w:tcPr>
            <w:tcW w:w="2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February 14, 2023</w:t>
            </w:r>
          </w:p>
        </w:tc>
        <w:tc>
          <w:tcPr>
            <w:tcW w:w="2100" w:type="dxa"/>
            <w:vAlign w:val="bottom"/>
            <w:vMerge w:val="continue"/>
            <w:shd w:val="clear" w:color="auto" w:fill="CCEEFF"/>
          </w:tcPr>
          <w:p>
            <w:pPr>
              <w:spacing w:after="0"/>
              <w:rPr>
                <w:sz w:val="18"/>
                <w:szCs w:val="18"/>
                <w:color w:val="auto"/>
              </w:rPr>
            </w:pPr>
          </w:p>
        </w:tc>
        <w:tc>
          <w:tcPr>
            <w:tcW w:w="28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Gain on change in fair value of warrant liability</w:t>
            </w:r>
          </w:p>
        </w:tc>
        <w:tc>
          <w:tcPr>
            <w:tcW w:w="2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March 31, 2023</w:t>
            </w:r>
          </w:p>
        </w:tc>
        <w:tc>
          <w:tcPr>
            <w:tcW w:w="210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6"/>
                <w:szCs w:val="16"/>
                <w:color w:val="auto"/>
                <w:w w:val="99"/>
              </w:rPr>
              <w:t>2,578,743</w:t>
            </w:r>
          </w:p>
        </w:tc>
        <w:tc>
          <w:tcPr>
            <w:tcW w:w="28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6"/>
                <w:szCs w:val="16"/>
                <w:color w:val="auto"/>
                <w:w w:val="99"/>
              </w:rPr>
              <w:t>$4.59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Loss on change in fair value of warrant liability</w:t>
            </w:r>
          </w:p>
        </w:tc>
        <w:tc>
          <w:tcPr>
            <w:tcW w:w="2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June 30, 2023</w:t>
            </w:r>
          </w:p>
        </w:tc>
        <w:tc>
          <w:tcPr>
            <w:tcW w:w="210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6"/>
                <w:szCs w:val="16"/>
                <w:color w:val="auto"/>
                <w:w w:val="99"/>
              </w:rPr>
              <w:t>2,578,743</w:t>
            </w:r>
          </w:p>
        </w:tc>
        <w:tc>
          <w:tcPr>
            <w:tcW w:w="28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6"/>
                <w:szCs w:val="16"/>
                <w:color w:val="auto"/>
                <w:w w:val="99"/>
              </w:rPr>
              <w:t>$5.69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Gain on change in fair value of warrant liability</w:t>
            </w:r>
          </w:p>
        </w:tc>
        <w:tc>
          <w:tcPr>
            <w:tcW w:w="21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32"/>
        </w:trPr>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September 18, 2023</w:t>
            </w:r>
          </w:p>
        </w:tc>
        <w:tc>
          <w:tcPr>
            <w:tcW w:w="2100" w:type="dxa"/>
            <w:vAlign w:val="bottom"/>
            <w:tcBorders>
              <w:bottom w:val="single" w:sz="8" w:color="CCEEFF"/>
            </w:tcBorders>
            <w:shd w:val="clear" w:color="auto" w:fill="CCEEFF"/>
          </w:tcPr>
          <w:p>
            <w:pPr>
              <w:jc w:val="center"/>
              <w:ind w:right="23"/>
              <w:spacing w:after="0"/>
              <w:rPr>
                <w:sz w:val="20"/>
                <w:szCs w:val="20"/>
                <w:color w:val="auto"/>
              </w:rPr>
            </w:pPr>
            <w:r>
              <w:rPr>
                <w:rFonts w:ascii="Times New Roman" w:cs="Times New Roman" w:eastAsia="Times New Roman" w:hAnsi="Times New Roman"/>
                <w:sz w:val="16"/>
                <w:szCs w:val="16"/>
                <w:color w:val="auto"/>
                <w:w w:val="99"/>
              </w:rPr>
              <w:t>1,612,705</w:t>
            </w:r>
          </w:p>
        </w:tc>
        <w:tc>
          <w:tcPr>
            <w:tcW w:w="2880" w:type="dxa"/>
            <w:vAlign w:val="bottom"/>
            <w:tcBorders>
              <w:bottom w:val="single" w:sz="8" w:color="CCEEFF"/>
            </w:tcBorders>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9"/>
              </w:rPr>
              <w:t>1,612,705</w:t>
            </w:r>
          </w:p>
        </w:tc>
        <w:tc>
          <w:tcPr>
            <w:tcW w:w="1380" w:type="dxa"/>
            <w:vAlign w:val="bottom"/>
            <w:tcBorders>
              <w:bottom w:val="single" w:sz="8" w:color="CCEEFF"/>
            </w:tcBorders>
            <w:shd w:val="clear" w:color="auto" w:fill="CCEEFF"/>
          </w:tcPr>
          <w:p>
            <w:pPr>
              <w:jc w:val="center"/>
              <w:ind w:left="23"/>
              <w:spacing w:after="0"/>
              <w:rPr>
                <w:sz w:val="20"/>
                <w:szCs w:val="20"/>
                <w:color w:val="auto"/>
              </w:rPr>
            </w:pPr>
            <w:r>
              <w:rPr>
                <w:rFonts w:ascii="Times New Roman" w:cs="Times New Roman" w:eastAsia="Times New Roman" w:hAnsi="Times New Roman"/>
                <w:sz w:val="16"/>
                <w:szCs w:val="16"/>
                <w:color w:val="auto"/>
                <w:w w:val="99"/>
              </w:rPr>
              <w:t>$4.31</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recorded a gain on changes in fair value of warrant liability of $1.1 million ($2.2 million for the third quarter of 2023) (no comparative amount for the three and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NON-CURRENT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September 30, 2024 and December 31, 2023.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receivable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177,027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our SSTL is based on quoted market prices. Based on the frequency of trading, we do not believe that there is an active market for our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quoted prices are considered Level 2 inputs.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Revolving Loan Agreement was measured using Level 3 inputs based on the present value of the future payments. As quoted market price is not available and there is no trading, we believe that the contractual interest rate represents the market rate at the measurement date and therefore the fair value equals the Revolving Loan Agreement book value.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43% and 44% of its revenue from Onity for the three and nine months ended September 30, 2024, respectively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September 30, 2024, approximately 3.1 million shares of common stock remain available for repurchase under the program. There were no purchases of shares of common stock during the nine months ended September 30, 2024 and 2023. Luxembourg law limits share repurchases to the balance of Altisource Portfolio Solutions S.A. (unconsolidated parent company) retained earnings, less the value of shares repurchased. As of September 30, 2024, we can repurchase up to approximately $114 million of our common stock under Luxembourg law. Under the Amended Credit Agreement, we are not permitted to repurchase shares except for limited circumstances.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 of Common Stock</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$3.9 million and $3.9 million for the nine months ended September 30, 2024 and 2023, respectively ($0.9 million and $1.2 million for the third quarter of 2024 and 2023, respectively). As of September 30, 2024, estimated unrecognized compensation costs related to share-based awards amounted to $1.9 million, which we expect to recognize over a weighted average remaining requisite service period of approximately 1.02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174 thousand service-based options were outstanding as of September 30, 2024.</w:t>
      </w:r>
    </w:p>
    <w:p>
      <w:pPr>
        <w:spacing w:after="0" w:line="10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77 thousand market-based options were outstanding as of September 30, 2024.</w:t>
      </w:r>
    </w:p>
    <w:p>
      <w:pPr>
        <w:spacing w:after="0" w:line="13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September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nine months ended September 30, 2024 and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performance-based options are determined using the Black-Scholes option pricing model.</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260" w:type="dxa"/>
            <w:vAlign w:val="bottom"/>
          </w:tcPr>
          <w:p>
            <w:pPr>
              <w:spacing w:after="0"/>
              <w:rPr>
                <w:sz w:val="18"/>
                <w:szCs w:val="18"/>
                <w:color w:val="auto"/>
              </w:rPr>
            </w:pPr>
          </w:p>
        </w:tc>
        <w:tc>
          <w:tcPr>
            <w:tcW w:w="160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739,189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2024</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711,689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September 30, 2024</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543,200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23"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1,512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w:t>
      </w:r>
    </w:p>
    <w:p>
      <w:pPr>
        <w:spacing w:after="0" w:line="10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190 thousand performance-based awards were outstanding as of September 30, 2024.</w:t>
      </w:r>
    </w:p>
    <w:p>
      <w:pPr>
        <w:spacing w:after="0" w:line="13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awards generally vest on the one year anniversary of the initial vesting. The Company estimates the grant date fair value of these awards using a lattice (binomial) model. A total of 112 thousand market-based awards were outstanding as of September 30, 2024.</w:t>
      </w:r>
    </w:p>
    <w:p>
      <w:pPr>
        <w:spacing w:after="0" w:line="12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189 thousand performance-based and market-based awards were outstanding as of September 30, 2024.</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1,638 thousand restricted share units (at a weighted average grant date fair value of $2.46 per share) during the nine months ended September 30, 2024. These grants included 88 thousand performance-based awards and 88 thousand awards that include both a performance condition and a market condition. The Company granted 891 thousand restricted share units (at a weighted average grant date fair value of $4.82 per share) during the nine months ended September 30, 2023. These grants included 57 thousand performance-based awards and 57 thousand awards that include both a performance condition and a market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40" w:type="dxa"/>
            <w:vAlign w:val="bottom"/>
          </w:tcPr>
          <w:p>
            <w:pPr>
              <w:spacing w:after="0"/>
              <w:rPr>
                <w:sz w:val="17"/>
                <w:szCs w:val="17"/>
                <w:color w:val="auto"/>
              </w:rPr>
            </w:pPr>
          </w:p>
        </w:tc>
      </w:tr>
      <w:tr>
        <w:trPr>
          <w:trHeight w:val="235"/>
        </w:trPr>
        <w:tc>
          <w:tcPr>
            <w:tcW w:w="96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20"/>
                <w:szCs w:val="20"/>
                <w:color w:val="auto"/>
              </w:rPr>
            </w:pPr>
          </w:p>
        </w:tc>
      </w:tr>
      <w:tr>
        <w:trPr>
          <w:trHeight w:val="68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tc>
        <w:tc>
          <w:tcPr>
            <w:tcW w:w="1640" w:type="dxa"/>
            <w:vAlign w:val="bottom"/>
          </w:tcPr>
          <w:p>
            <w:pPr>
              <w:spacing w:after="0"/>
              <w:rPr>
                <w:sz w:val="24"/>
                <w:szCs w:val="24"/>
                <w:color w:val="auto"/>
              </w:rPr>
            </w:pPr>
          </w:p>
        </w:tc>
      </w:tr>
      <w:tr>
        <w:trPr>
          <w:trHeight w:val="319"/>
        </w:trPr>
        <w:tc>
          <w:tcPr>
            <w:tcW w:w="96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1,262,742</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1,637,880</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(578,325)</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(319,708)</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2,002,589</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loss to arrive at net loss attributable to Altisource (see Note 1). Our services are provided to customers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4"/>
        </w:trPr>
        <w:tc>
          <w:tcPr>
            <w:tcW w:w="6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104,356</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216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Servicer and Real Estate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Origination</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revenue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27,467</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Pr>
          <w:p>
            <w:pPr>
              <w:spacing w:after="0"/>
              <w:rPr>
                <w:sz w:val="24"/>
                <w:szCs w:val="24"/>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32,549</w:t>
            </w: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40,531</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20" w:type="dxa"/>
            <w:vAlign w:val="bottom"/>
          </w:tcPr>
          <w:p>
            <w:pPr>
              <w:spacing w:after="0"/>
              <w:rPr>
                <w:sz w:val="24"/>
                <w:szCs w:val="24"/>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28,702</w:t>
            </w: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31,487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80,358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8,137</w:t>
            </w:r>
          </w:p>
        </w:tc>
        <w:tc>
          <w:tcPr>
            <w:tcW w:w="120" w:type="dxa"/>
            <w:vAlign w:val="bottom"/>
          </w:tcPr>
          <w:p>
            <w:pPr>
              <w:spacing w:after="0"/>
              <w:rPr>
                <w:sz w:val="24"/>
                <w:szCs w:val="24"/>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95,175</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73,314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20" w:type="dxa"/>
            <w:vAlign w:val="bottom"/>
          </w:tcPr>
          <w:p>
            <w:pPr>
              <w:spacing w:after="0"/>
              <w:rPr>
                <w:sz w:val="24"/>
                <w:szCs w:val="24"/>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87,495</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23,414</w:t>
            </w:r>
          </w:p>
        </w:tc>
        <w:tc>
          <w:tcPr>
            <w:tcW w:w="0" w:type="dxa"/>
            <w:vAlign w:val="bottom"/>
          </w:tcPr>
          <w:p>
            <w:pPr>
              <w:spacing w:after="0"/>
              <w:rPr>
                <w:sz w:val="1"/>
                <w:szCs w:val="1"/>
                <w:color w:val="auto"/>
              </w:rPr>
            </w:pPr>
          </w:p>
        </w:tc>
      </w:tr>
      <w:tr>
        <w:trPr>
          <w:trHeight w:val="206"/>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96,222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8,289</w:t>
            </w:r>
          </w:p>
        </w:tc>
        <w:tc>
          <w:tcPr>
            <w:tcW w:w="12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110,909</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-4130675</wp:posOffset>
            </wp:positionV>
            <wp:extent cx="7050405"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-3861435</wp:posOffset>
            </wp:positionV>
            <wp:extent cx="7050405" cy="16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0405" cy="1600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-2901950</wp:posOffset>
            </wp:positionV>
            <wp:extent cx="7050405"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-2632710</wp:posOffset>
            </wp:positionV>
            <wp:extent cx="7050405" cy="160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0405" cy="1600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-1673860</wp:posOffset>
            </wp:positionV>
            <wp:extent cx="7050405" cy="13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-1404620</wp:posOffset>
            </wp:positionV>
            <wp:extent cx="7050405" cy="160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0405" cy="1600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-445135</wp:posOffset>
            </wp:positionV>
            <wp:extent cx="7050405"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0405" cy="13462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-175895</wp:posOffset>
            </wp:positionV>
            <wp:extent cx="7050405" cy="160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0405"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121"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less than $0.1 million for the three and nine months ended September 30, 2024 and 2023, respectively, of service revenue relating to services provided to Aldridge Pite.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Revenue recognized that was included in the contract liability at the beginning of the period was $2.7 million and $3.3 million for the nine months ended September 30, 2024 and 2023, respectively ($0.5 million and $0.5 million for the third quarter of 2024 and 2023 respectively).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42,810</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28,072</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r>
      <w:tr>
        <w:trPr>
          <w:trHeight w:val="19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89,684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recognized $0.7 million and $0.6 million for the nine months ended September 30, 2024 and 2023, respectively ($0.3 million and $0.2 million for the third quarter of 2024 and 2023, respectively), of cost of revenue relating to services received from Aldridge Pite. As of September 30, 2024, the Company had no payable to Aldridge Pite.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4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5"/>
        </w:trPr>
        <w:tc>
          <w:tcPr>
            <w:tcW w:w="6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16,312</w:t>
            </w:r>
          </w:p>
        </w:tc>
      </w:tr>
      <w:tr>
        <w:trPr>
          <w:trHeight w:val="2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r>
      <w:tr>
        <w:trPr>
          <w:trHeight w:val="214"/>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r>
      <w:tr>
        <w:trPr>
          <w:trHeight w:val="214"/>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r>
      <w:tr>
        <w:trPr>
          <w:trHeight w:val="194"/>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0551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5511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1"/>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5"/>
        </w:trPr>
        <w:tc>
          <w:tcPr>
            <w:tcW w:w="70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24"/>
                <w:szCs w:val="24"/>
                <w:color w:val="auto"/>
              </w:rPr>
            </w:pP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tcPr>
          <w:p>
            <w:pPr>
              <w:spacing w:after="0"/>
              <w:rPr>
                <w:sz w:val="24"/>
                <w:szCs w:val="24"/>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15"/>
        </w:trPr>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404"/>
        </w:trPr>
        <w:tc>
          <w:tcPr>
            <w:tcW w:w="7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4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w:t>
            </w:r>
          </w:p>
        </w:tc>
      </w:tr>
      <w:tr>
        <w:trPr>
          <w:trHeight w:val="22"/>
        </w:trPr>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-571500</wp:posOffset>
            </wp:positionV>
            <wp:extent cx="713486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-302260</wp:posOffset>
            </wp:positionV>
            <wp:extent cx="713486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4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provision of $2.2 million and $2.6 million for the nine months ended September 30, 2024 and 2023, respectively ($0.8 million and $0.4 million for the third quarter of 2024 and 2023, respectively). Income tax provision for the three and nine months ended September 30, 2024 was driven primarily by income tax expense on transfer pricing income from India and the United States, no tax benefit on the pretax loss from our Luxembourg operating company, and uncertain tax positions.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LOSS PER SHARE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loss per share for the period that they are classified as equity. For the three and nine months ended September 30, 2024, 1.5 million and 1.5 million penny warrants have been included in the calculation of weighted average basic and diluted loss per share. Diluted net loss per share excludes all dilutive securities because their impact would be anti-dilutive, as described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7"/>
                <w:szCs w:val="17"/>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2024 and 2023, 2.3 million and 1.5 million, respectively (2.4 million and 1.5 million for the third quarter of 2024 and 2023, respectively), stock options, restricted shares and restricted share units were excluded from the computation of loss per share, as a result of the following:</w:t>
      </w:r>
    </w:p>
    <w:p>
      <w:pPr>
        <w:spacing w:after="0" w:line="125" w:lineRule="exact"/>
        <w:rPr>
          <w:sz w:val="20"/>
          <w:szCs w:val="20"/>
          <w:color w:val="auto"/>
        </w:rPr>
      </w:pPr>
    </w:p>
    <w:p>
      <w:pPr>
        <w:jc w:val="both"/>
        <w:ind w:left="480" w:hanging="315"/>
        <w:spacing w:after="0" w:line="259"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and 2023, 0.7 million and 0.3 million, respectively (0.6 million and 0.4 million for the third quarter of 2024 and 2023, respectively), stock options, restricted shares and restricted share units were anti-dilutive and have been excluded from the computation of diluted loss per share because the Company incurred a net loss</w:t>
      </w:r>
    </w:p>
    <w:p>
      <w:pPr>
        <w:spacing w:after="0" w:line="18" w:lineRule="exact"/>
        <w:rPr>
          <w:rFonts w:ascii="Times New Roman" w:cs="Times New Roman" w:eastAsia="Times New Roman" w:hAnsi="Times New Roman"/>
          <w:sz w:val="18"/>
          <w:szCs w:val="18"/>
          <w:color w:val="auto"/>
        </w:rPr>
      </w:pPr>
    </w:p>
    <w:p>
      <w:pPr>
        <w:jc w:val="both"/>
        <w:ind w:left="480" w:hanging="315"/>
        <w:spacing w:after="0" w:line="259"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and 2023, 0.7 million and 0.3 million, respectively (0.7 million and 0.2 million for the third quarter of 2024 and 2023, respectively), stock options were anti-dilutive and have been excluded from the computation of diluted loss per share because their exercise price was greater than the average market price of our common stock</w:t>
      </w:r>
    </w:p>
    <w:p>
      <w:pPr>
        <w:spacing w:after="0" w:line="18" w:lineRule="exact"/>
        <w:rPr>
          <w:rFonts w:ascii="Times New Roman" w:cs="Times New Roman" w:eastAsia="Times New Roman" w:hAnsi="Times New Roman"/>
          <w:sz w:val="18"/>
          <w:szCs w:val="18"/>
          <w:color w:val="auto"/>
        </w:rPr>
      </w:pPr>
    </w:p>
    <w:p>
      <w:pPr>
        <w:jc w:val="both"/>
        <w:ind w:left="480" w:hanging="315"/>
        <w:spacing w:after="0" w:line="255"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and 2023, 0.9 million and 0.9 million, respectively (1.1 million and 0.9 million for the third quarter of 2024 and 2023, respectively), stock options, restricted shares and restricted share units, which begin to vest upon the achievement of certain market criteria related to our common stock price, performance criteria and a total shareholder return compared to the market benchmark, have been excluded from the computation of diluted loss per share because the achievement levels have not yet been met.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and nine months ended September 30, 2024, Onity was our largest customer, accounting for 43% and 44% respectively, of our total revenue. Additionally, 6% of our revenue for the nine months ended September 30, 2024 (6% of our revenue for the third quarter of 2024) was earned on the loan portfolios serviced by Onity, when a party other than Onity or the MSRs owner selected Altisource as the service provider.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June 30, 2024, Onity reported that approximately 14% of loans serviced and subserviced by Onity (measured in UPB) and approximately 64%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$0.5 million and $0.1 million for the nine months ended September 30, 2024 and 2023, respectively ($0.2 million and less than $0.1 million for the third quarter of 2024 and 2023, respectively). The amortization periods of right-of-use assets are generally limited by the expected lease term. Our leases generally have expected lease terms at adoption of one to six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for the nine months ended September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8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2"/>
        </w:trPr>
        <w:tc>
          <w:tcPr>
            <w:tcW w:w="8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8"/>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7.77 %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4"/>
        </w:trPr>
        <w:tc>
          <w:tcPr>
            <w:tcW w:w="6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w:t>
            </w:r>
          </w:p>
        </w:tc>
      </w:tr>
      <w:tr>
        <w:trPr>
          <w:trHeight w:val="214"/>
        </w:trPr>
        <w:tc>
          <w:tcPr>
            <w:tcW w:w="6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September 30, 2024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4"/>
        </w:trPr>
        <w:tc>
          <w:tcPr>
            <w:tcW w:w="9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5"/>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7"/>
        </w:trPr>
        <w:tc>
          <w:tcPr>
            <w:tcW w:w="9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0" w:type="dxa"/>
            <w:vAlign w:val="bottom"/>
          </w:tcPr>
          <w:p>
            <w:pPr>
              <w:spacing w:after="0"/>
              <w:rPr>
                <w:sz w:val="1"/>
                <w:szCs w:val="1"/>
                <w:color w:val="auto"/>
              </w:rPr>
            </w:pPr>
          </w:p>
        </w:tc>
      </w:tr>
      <w:tr>
        <w:trPr>
          <w:trHeight w:val="210"/>
        </w:trPr>
        <w:tc>
          <w:tcPr>
            <w:tcW w:w="98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194"/>
        </w:trPr>
        <w:tc>
          <w:tcPr>
            <w:tcW w:w="9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condensed consolidated balance sheets. Amounts held in escrow and other accounts were $19.0 million and $21.6 million as of September 30, 2024 and December 31, 2023,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40,531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28,461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(9,598)</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36,213</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29,024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7,189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10,734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82,030</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37,091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34,451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(27,134)</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110,909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89,684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21,225</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35,169</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(26,454)</w:t>
            </w:r>
          </w:p>
        </w:tc>
        <w:tc>
          <w:tcPr>
            <w:tcW w:w="0" w:type="dxa"/>
            <w:vAlign w:val="bottom"/>
          </w:tcPr>
          <w:p>
            <w:pPr>
              <w:spacing w:after="0"/>
              <w:rPr>
                <w:sz w:val="1"/>
                <w:szCs w:val="1"/>
                <w:color w:val="auto"/>
              </w:rPr>
            </w:pPr>
          </w:p>
        </w:tc>
      </w:tr>
      <w:tr>
        <w:trPr>
          <w:trHeight w:val="194"/>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144,503</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2023 filed with the Securities and Exchange Commission (“SEC”) on March 7,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2"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58" w:lineRule="exact"/>
        <w:rPr>
          <w:rFonts w:ascii="Times New Roman" w:cs="Times New Roman" w:eastAsia="Times New Roman" w:hAnsi="Times New Roman"/>
          <w:sz w:val="18"/>
          <w:szCs w:val="18"/>
          <w:color w:val="auto"/>
        </w:rPr>
      </w:pPr>
    </w:p>
    <w:p>
      <w:pPr>
        <w:ind w:left="640" w:right="20" w:hanging="316"/>
        <w:spacing w:after="0" w:line="26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affect anticipated expense reductions in response to lower revenue due to the impacts of COVID-19 or other factors;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impacts of the COVID-19 pandemic and the timeliness and effectiveness of actions taken in response thereto;</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2023 as updated by this Form 10-Q including:</w:t>
      </w:r>
    </w:p>
    <w:p>
      <w:pPr>
        <w:spacing w:after="0" w:line="110" w:lineRule="exact"/>
        <w:rPr>
          <w:sz w:val="20"/>
          <w:szCs w:val="20"/>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18"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Onity Group Inc. (together with its subsidiaries, “Onity”) (formerly Ocwen Financial Corporation, or “Ocwen”) as a customer or our ability to receive the anticipated volume of referrals from Onity;</w:t>
      </w:r>
    </w:p>
    <w:p>
      <w:pPr>
        <w:spacing w:after="0" w:line="1"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Rithm Capital Corp. (individually, together with one or more of its subsidiaries, or one or more of its subsidiaries individually, “Rithm”) as a customer or our ability to receive the anticipated volume of referrals from Rithm;</w:t>
      </w:r>
    </w:p>
    <w:p>
      <w:pPr>
        <w:spacing w:after="0" w:line="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related to pandemics, epidemics or other force majeure events, including the COVID-19 pandemic, and associated impacts and the duration of such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residential and commercial construction inspection and risk mitigation services, and residential real estate renovation services.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1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 single-family automated valuation model and analytics solution).</w:t>
      </w:r>
    </w:p>
    <w:p>
      <w:pPr>
        <w:spacing w:after="0" w:line="13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pre and post-close quality control and service transfer processes), and ADMS (a document management and data analytics delivery platform).</w:t>
      </w:r>
    </w:p>
    <w:p>
      <w:pPr>
        <w:spacing w:after="0" w:line="1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loss to arrive at net loss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continuing unsettled nature of the housing and mortgage servicing markets in the wake of governmental mandates taken in connection with the COVID-19 pandemic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they consolidate to larger, full-service providers or outsource services that have historically been performed in-house.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Actions taken by federal, state and local governments, GSEs and mortgage servicers in connection with the COVID-19 pandemic continue to have a profound impact on our business, our customers, and the industries in which we operate. Despite the expiration of certain such measures, we believe servicers are proceeding slowly with foreclosure initiations for borrowers in default and foreclosure initiations may not convert to foreclosure sales and REO at the same rate or pace as prior to the pandemic due to improved home equity and borrower relief options. The decline in foreclosure initiations and foreclosure sales throughout the pandemic, partially offset by the restart of the default market, significantly decreased default related referrals to Altisource and continue to negatively impact virtually all of Altisource’s default related services revenue.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will grow. We estimate that in today’s environment it typically takes on average two years to convert foreclosure initiations to foreclosure sales and six months to market and sell the REO. The foreclosure timelines could vary significantly based upon, for example, upon the state where the property is located and whether the foreclosure is contested. The REO sale timelines could also vary significantly based upon, for example, the local real estate market, whether the home is located in a redemption state and whether the home is occupied post foreclosure.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and the nine months ended September 30, 2024,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add new Lenders One members, launch new solutions and increase customer adoption of our solutions to accelerate the growth of our origination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September 30, 2024, approximately 3.1 million shares of common stock remain available for repurchase under the program. There were no purchases of shares of common stock during the nine months ended September 30, 2024 and 2023. Luxembourg law limits share repurchases to the balance of Altisource Portfolio Solutions S.A. (unconsolidated parent company) retained earnings, less the value of shares repurchased. As of September 30, 2024, we can repurchase up to approximately $114 million of our common stock under Luxembourg law. Under the Amended Credit Agreement, we are not permitted to repurchase shares except for limited circumstances.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During the three and nine months ended September 30, 2024, Onity was our largest customer, accounting for 43% and 44% respectively, of our total revenue. Additionally, 6% of our revenue for the nine months ended September 30, 2024 (6% of our revenue for the third quarter of 2024) was earned on the loan portfolios serviced by Onity, when a party other than Onity or the mortgage servicing rights (“MSRs”) owner selected Altisource as the service provider.</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June 30, 2024, Onity reported that approximately 14% of loans serviced and subserviced by Onity (measured in UPB) and approximately 64% of all delinquent loans that Onity services were related to Rithm MSRs or rights to MSRs.</w:t>
      </w:r>
    </w:p>
    <w:p>
      <w:pPr>
        <w:spacing w:after="0" w:line="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7% lower for the eight months ended August 31, 2024 compared to the same period in 2023 (and 34%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14% lower for the eight months ended August 31, 2024 compared to the same period in 2023 (and 54%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increased by 1% for the nine months ended September 30, 2024 compared to the same period in 2023</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 in certain California foreclosures during the three months ended June 30, 2023 negatively impacted revenue in the Servicer and Real Estate segment</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Company’s senior secured term loans was 14.18% for the nine months ended September 30, 2024 compared to 12.44% for the same period in 2023</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2023, Altisource Portfolio Solutions S.A. and its wholly-owned subsidiary, Altisource S.à r.l., entered into Amendment No. 2 to the Credit Agreement. In connection with Amendment No. 2, the Company paid $3.4 million for the nine months ended September 30, 2023, to advisors and recorded these payments as other expense in the condensed consolidated statements of operations and comprehensive loss (no comparative amount for the nine months ended September 30, 2024)</w:t>
      </w:r>
    </w:p>
    <w:p>
      <w:pPr>
        <w:spacing w:after="0" w:line="2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$2.2 million and $2.6 million for the nine months ended September 30, 2024 and 2023, respectively ($0.8 million and $0.4 million for the third quarter of 2024 and 2023, respectively). The income tax provision for the three and nine months ended September 30, 2024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340" w:type="dxa"/>
            <w:vAlign w:val="bottom"/>
            <w:gridSpan w:val="6"/>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0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3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30,389</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26,900</w:t>
            </w:r>
          </w:p>
        </w:tc>
        <w:tc>
          <w:tcPr>
            <w:tcW w:w="11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88,495</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81,579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7,761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7,212</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23,409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22,777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26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38,150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34,112</w:t>
            </w:r>
          </w:p>
        </w:tc>
        <w:tc>
          <w:tcPr>
            <w:tcW w:w="11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111,904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104,356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2,039</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6,398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155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40,531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36,213</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119,121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110,909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28,461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29,024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82,030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89,684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12,070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7,189</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37,091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21,225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10,965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10,734</w:t>
            </w:r>
          </w:p>
        </w:tc>
        <w:tc>
          <w:tcPr>
            <w:tcW w:w="1160" w:type="dxa"/>
            <w:vAlign w:val="bottom"/>
            <w:tcBorders>
              <w:bottom w:val="single" w:sz="8" w:color="CCEEFF"/>
            </w:tcBorders>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34,451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35,169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(3,545)</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(13,944)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(9,960)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(9,890)</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(29,277)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(26,554)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(3,402)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407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2,357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(9,598)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(7,317)</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(27,134)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(26,454)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(8,493)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(10,862)</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(40,398)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(418)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(2,237)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(2,586)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(9,302)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(11,280)</w:t>
            </w:r>
          </w:p>
        </w:tc>
        <w:tc>
          <w:tcPr>
            <w:tcW w:w="11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(26,731)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(42,984)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(62)</w:t>
            </w:r>
          </w:p>
        </w:tc>
        <w:tc>
          <w:tcPr>
            <w:tcW w:w="1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(11,342)</w:t>
            </w:r>
          </w:p>
        </w:tc>
        <w:tc>
          <w:tcPr>
            <w:tcW w:w="11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(26,867)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(43,139)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(0.51)</w:t>
            </w:r>
          </w:p>
        </w:tc>
        <w:tc>
          <w:tcPr>
            <w:tcW w:w="11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(0.51)</w:t>
            </w:r>
          </w:p>
        </w:tc>
        <w:tc>
          <w:tcPr>
            <w:tcW w:w="11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28,672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22,181</w:t>
            </w:r>
          </w:p>
        </w:tc>
        <w:tc>
          <w:tcPr>
            <w:tcW w:w="11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28,469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20,538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28,672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22,181</w:t>
            </w:r>
          </w:p>
        </w:tc>
        <w:tc>
          <w:tcPr>
            <w:tcW w:w="11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28,469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20,538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recognized service revenue of $111.9 million for the nine months ended September 30, 2024, a 7% increase compared to the nine months ended September 30, 2023 ($38.2 million for the third quarter of 2024, a 12% increase compared to the third quarter of 2023). The increase in service revenue for the three and nine months ended September 30, 2024 is primarily driven by higher revenue in both segments. Revenue was higher in the Servicer and Real Estate segment from growth in our field services, foreclosure trustee and property renovation services businesses in the Solutions business, partially offset by $0.8 million of first quarter 2023 non-recurring professional services revenue in the Equator business within the Technology and SaaS Products business and fewer home sales in the Marketplace business. Revenue was higher in the Origination segment from growth of reseller products in the Lenders One business.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reimbursable expenses revenue of $7.1 million for the nine months ended September 30, 2024, an 11% increase compared to the nine months ended September 30, 2023 ($2.3 million for the third quarter of 2024, a 14% increase compared to the third quarter of 2023). The increase in reimbursable expenses for the nine months ended September 30, 2024 was primarily driven by higher-value REO title related expenses in the Solutions business within the Servicer and Real Estate segment. The increase in reimbursable expenses for the three months ended September 30, 2024 was primarily driven by an increase in property preservation services in the Solutions business within the Servicer and Real Estate segment.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COVID-19 pandemic and related measures and the rapid rise in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28,461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recognized cost of revenue of $82.0 million for the nine months ended September 30, 2024, a 9% decrease compared to the nine months ended September 30, 2023 ($28.5 million for the third quarter of 2024, a 2% decrease compared to the third quarter of 2023). Compensation and benefits for the three and nine months ended September 30, 2024 decreased primarily due to efficiency initiatives and cost savings measures taken in 2023. Technology and telecommunications for the three and nine months ended September 30, 2024 decreased primarily due to lower overall headcount. Outside fees and services for the three and nine months ended September 30, 2024 increased primarily from higher revenue in the Solutions business within the Servicer and Real Estate segment partially offset by lower outside fees and services in the Origination segment from a change in revenue mix. In addition, changes in reimbursable expenses for the three and nine months ended September 30, 2024 are consistent with the changes in reimbursable expenses revenue discussed in the revenue section above.</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Gross profit increased to $37.1 million, representing 33% of service revenue, for the nine months ended September 30, 2024 compared to $21.2 million, representing 20% of service revenue, for the nine months ended September 30, 2023 (increased to $12.1 million, representing 32% of service revenue, for the third quarter of 2024, compared to $7.2 million, representing 21% of service revenue, for the third quarter of 2023). Gross profit as a percentage of service revenue for the three and nine months ended September 30, 2024 increased compared to the three and nine months ended September 30, 2023 primarily due to margin expansion in both the Servicer and Real Estate segment and the Origination segment from efficiency initiatives and lower corporate costs as a percentage of revenue, partially offset by service revenue mix in the Servicer and Real Estate segment.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14,765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10,734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34,451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expenses for the nine months ended September 30, 2024 of $34.5 million decreased by 2% compared to the nine months ended September 30, 2023 ($11.0 million for the third quarter of 2024, a 2% increase compared to the third quarter of 2023). The decrease for the nine months ended September 30, 2024 was primarily driven by lower compensation and benefits and occupancy related costs, partially offset by higher professional services. The increase for the three months ended September 30, 2024 was primarily driven by higher professional services, partially offset by lower compensation and benefits and occupancy related costs. Compensation and benefits and occupancy related costs for the three and nine months ended September 30, 2024 decreased from efficiency and cost reductions measures. Professional services for the three and nine months ended September 30, 2024 increased primarily due to accruals for potential settlements of certain legacy indemnity claims and estimated legal matters.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(loss) from operations for the nine months ended September 30, 2024 was $2.6 million, representing 2% of service revenue, compared to $(13.9) million, representing (13)% of service revenue, for the nine months ended September 30, 2023 ($1.1 million, representing 3% of service revenue, for the third quarter of 2024, compared to $(3.5) million representing (10)% of service revenue for the third quarter of 2023). Income (loss) from operations as a percentage of service revenue improved for the three and nine months ended September 30, 2024 compared to the three and nine months ended September 30, 2023, primarily as a result of higher gross profit margins and lower SG&amp;A expenses as a percentage of service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income (expense), net was $(27.1) million for the nine months ended September 30, 2024 compared to $(26.5) million for the nine months ended September 30, 2023 ($(9.6) million for the third quarter of 2024 and $(7.3) million for the third quarter of 2023). The change for the nine months ended September 30, 2024 was primarily driven by higher interest expense and a gain on the change in fair value of the warrant liability for the nine months ended September 30, 2023 (no comparable amount for the nine months ended September 30, 2024), partially offset by lower debt amendment costs. The higher interest expense was driven by higher interest rates on our amended SSTL.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an income tax provision of $2.2 million and $2.6 million for the nine months ended September 30, 2024 and 2023, respectively ($0.8 million and $0.4 million for the third quarter of 2024 and 2023, respectively). The income tax provision for the three and nine months ended September 30, 2024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30,389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38,150</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32,549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40,531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20,509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28,461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(9,598)</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(8,493)</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0"/>
                <w:szCs w:val="10"/>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26,900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7,212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34,112</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28,702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7,511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36,213</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18,312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7,151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29,024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7,189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10,734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(3,545)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(7,317)</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8,424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(10,862)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60" w:type="dxa"/>
            <w:vAlign w:val="bottom"/>
          </w:tcPr>
          <w:p>
            <w:pPr>
              <w:spacing w:after="0"/>
              <w:rPr>
                <w:sz w:val="11"/>
                <w:szCs w:val="11"/>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88,495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23,409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111,904</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7,081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95,175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58,357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18,801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82,030</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37,091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20,734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34,451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(27,134)</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28,192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(24,494)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60" w:type="dxa"/>
            <w:vAlign w:val="bottom"/>
          </w:tcPr>
          <w:p>
            <w:pPr>
              <w:spacing w:after="0"/>
              <w:rPr>
                <w:sz w:val="10"/>
                <w:szCs w:val="10"/>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81,579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22,777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104,356</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6,398</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87,495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23,414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110,909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56,075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22,623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89,684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21,225</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22,391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35,169</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(26,454)</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(5,082)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(40,398)</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16,744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59,546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20,915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88,495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28,702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95,175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recognized service revenue of $88.5 million for the nine months ended September 30, 2024, an 8% increase compared to the nine months ended September 30, 2023 ($30.4 million for the third quarter of 2024, a 13% increase compared to the third quarter of 2023). We also recognized reimbursable expenses revenue of $6.7 million for the nine months ended September 30, 2024, a 13% increase compared to the nine months ended September 30, 2023 ($2.2 million for the third quarter of 2024, a 20% increase compared to the third quarter of 2023). The increase in service revenue for the three and nine months ended September 30, 2024 was driven by growth in our field services, property renovation services and foreclosure trustee businesses in the Solutions business, partially offset by fewer home sales in the Marketplace business. The increase in service revenue for the nine months ended was also partially offset by $0.8 million of first quarter 2023 non-recurring professional services revenue in the Equator business within the Technology and SaaS Products business.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COVID-19 pandemic and related measures and the rapid rise in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20,509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18,312</w:t>
            </w:r>
          </w:p>
        </w:tc>
        <w:tc>
          <w:tcPr>
            <w:tcW w:w="12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Cost of revenue for the nine months ended September 30, 2024 of $58.4 million increased by 4% compared to the nine months ended September 30, 2023 ($20.5 million for the third quarter of 2024, a 12% increase compared to the third quarter of 2023). The increase in cost of revenue for the three and nine months ended September 30, 2024 is primarily driven by higher outside fees and services from higher revenue in the field services, property renovation services and foreclosure trustee businesses in the Solutions business and higher reimbursable expenses, partially offset by lower compensation and benefits from efficiency initiatives and cost savings measures.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Gross profit increased to $36.8 million, representing 42% of service revenue, for the nine months ended September 30, 2024 compared to $31.4 million, representing 39% of service revenue, for the nine months ended September 30, 2023 (increased to $12.0 million, representing 40% of service revenue, for the third quarter of 2024, compared to $10.4 million, representing 39% of service revenue, for the third quarter of 2023). Gross profit as a percentage of service revenue for the three and nine months ended September 30, 2024 increased primarily due to price increases for certain services and efficiency initiatives and cost savings measures partially offset by a change in revenue mix from fewer homes sold in our higher margin Hubzu business and growth in the lower margin Field Services and recently launched Renovation businesses. Our margins can vary substantially depending upon the service revenue mix.</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2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22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SG&amp;A for the nine months ended September 30, 2024 of $8.7 million increased by 26% compared to the nine months ended September 30, 2023 ($3.2 million for the third quarter of 2024, a 62% increase compared to the third quarter of 2023). The increase in SG&amp;A for the three and nine months ended September 30, 2024 is primarily due to higher professional services and other expenses, partially offset by lower compensation and benefits. Professional services for the three and nine months ended September 30, 2024 increased primarily due to accruals for potential settlements of certain legacy indemnity claims. Other expenses for the three and nine months ended September 30, 2024 increased from higher bad debt expense. Compensation and benefits for the three and nine months ended September 30, 2024 decreased from efficiency and cost reduction measures.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Income from operations increased to $28.1 million, representing 32% of service revenue, for the nine months ended September 30, 2024 compared to $24.5 million, representing 30% of service revenue, for the nine months ended September 30, 2023 (increased to $8.8 million, representing 29% of service revenue, for the third quarter of 2024, compared to $8.4 million, representing 31% of service revenue for the third quarter of 2023). The increase in operating income as a percentage of service revenue for the nine months ended September 30, 2024 is primarily the result of higher gross profit margins, partially offset by higher SG&amp;A expenses. The decrease in operating income as a percentage of service revenue for the three months ended September 30, 2024 is primarily the result of higher SG&amp;A expenses.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18,680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7,212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7,511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service revenue of $23.4 million for the nine months ended September 30, 2024, a 3% increase compared to the nine months ended September 30, 2023 ($7.8 million for the third quarter of 2024, an 8% increase compared to the third quarter of 2023). We also recognized reimbursable expenses revenue of $0.4 million for the nine months ended September 30, 2024, a 17% decrease compared to the nine months ended September 30, 2023 ($0.2 million for the third quarter of 2024, a 32% decrease compared to the third quarter of 2023). The increase in service revenue in the Origination segment for the three and nine months ended September 30, 2024 is primarily driven by growth of reseller products in the Lenders One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29"/>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5,190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nine months ended September 30, 2024 of $18.8 million decreased by 17% compared to the nine months ended September 30, 2023 ($6.3 million for the third quarter of 2024, a 12% decrease compared to the third quarter of 2023). The decrease in cost of revenue for the three and nine months ended September 30, 2024 was primarily driven by the prior year alignment of compensation and benefits with lower origination volume and lower outside fees and services from a change in revenue mix.</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Gross profit increased to $5.1 million, representing 22% of service revenue, for the nine months ended September 30, 2024 compared to $0.8 million, representing 3% of service revenue, for the nine months ended September 30, 2023 (increased to $1.7 million, representing 22% of service revenue, for the third quarter of 2024, compared to $0.4 million, representing 5% of service revenue for the third quarter of 2023). Gross profit as a percentage of service revenue for the three and nine months ended September 30, 2024 increased from efficiency initiatives, cost savings measures and price increase for certain services.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20" w:type="dxa"/>
            <w:vAlign w:val="bottom"/>
            <w:gridSpan w:val="2"/>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20" w:type="dxa"/>
            <w:vAlign w:val="bottom"/>
            <w:gridSpan w:val="2"/>
          </w:tcPr>
          <w:p>
            <w:pPr>
              <w:jc w:val="center"/>
              <w:ind w:left="801"/>
              <w:spacing w:after="0"/>
              <w:rPr>
                <w:sz w:val="20"/>
                <w:szCs w:val="20"/>
                <w:color w:val="auto"/>
              </w:rPr>
            </w:pPr>
            <w:r>
              <w:rPr>
                <w:rFonts w:ascii="Times New Roman" w:cs="Times New Roman" w:eastAsia="Times New Roman" w:hAnsi="Times New Roman"/>
                <w:sz w:val="16"/>
                <w:szCs w:val="16"/>
                <w:color w:val="auto"/>
                <w:w w:val="97"/>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20" w:type="dxa"/>
            <w:vAlign w:val="bottom"/>
            <w:gridSpan w:val="2"/>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20" w:type="dxa"/>
            <w:vAlign w:val="bottom"/>
            <w:gridSpan w:val="2"/>
          </w:tcPr>
          <w:p>
            <w:pPr>
              <w:jc w:val="center"/>
              <w:ind w:left="801"/>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20" w:type="dxa"/>
            <w:vAlign w:val="bottom"/>
            <w:gridSpan w:val="2"/>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center"/>
              <w:ind w:left="60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20" w:type="dxa"/>
            <w:vAlign w:val="bottom"/>
            <w:gridSpan w:val="2"/>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(89)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20" w:type="dxa"/>
            <w:vAlign w:val="bottom"/>
            <w:tcBorders>
              <w:bottom w:val="single" w:sz="8" w:color="CCEEFF"/>
            </w:tcBorders>
            <w:gridSpan w:val="2"/>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nine months ended September 30, 2024 of $5.0 million decreased by 14% compared to the nine months ended September 30, 2023 ($1.3 million for the third quarter of 2024, a 26% decrease compared to the third quarter of 2023). The decrease in SG&amp;A for the three and nine months ended September 30, 2024 is primarily due to lower professional services from lower legal-related costs and lower compensation and benefits from efficiency and cost reduction measures.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(loss) from operations increased to $0.1 million, representing less than 1% of service revenue, for the nine months ended September 30, 2024 compared to $(5.1) million, representing (22)% of service revenue, for the nine months ended September 30, 2023 (increased to $0.3 million, representing 4% of service revenue for the third quarter of 2024, compared to $(1.4) million, representing (20)% of service revenue for the third quarter of 2023). The improvement in operating income as a percentage of service revenue for the three and nine months ended September 30, 2024 is primarily from higher gross profit margins and lower SG&amp;A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29"/>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3,561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nine months ended September 30, 2024 of $4.9 million decreased by 56% compared to the nine months ended September 30, 2023 ($1.6 million for the third quarter of 2024, a 54% decrease compared to the third quarter of 2023). The decrease in cost of revenue for the three and nine months ended September 30, 2024 is primarily driven by lower compensation and benefits and technology and telecommunications due to efficiency initiatives and cost savings initiatives.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6,971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20,734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for the nine months ended September 30, 2024 of $20.7 million decreased by 7% compared to the nine months ended September 30, 2023 ($6.4 million for the third quarter of 2024, an 8% decrease compared to the third quarter of 2023). The decrease for the three and nine months ended September 30, 2024 is primarily driven by lower occupancy related costs and compensation and benefits driven by efficiency initiatives and cost savings measures.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income (expense), net was $(27.1) million for the nine months ended September 30, 2024 compared to $(26.5) million for the nine months ended September 30, 2023 ($(9.6) million for the third quarter of 2024 and $(7.3) million for the third quarter of 2023). The change for the nine months ended September 30, 2024 was primarily driven by higher interest expense and a gain on the change in fair value of the warrant liability for the nine months ended September 30, 2023 (no comparable amount for the nine months ended September 30, 2024), partially offset by lower debt amendment costs. The higher interest expense was driven by higher interest rates on our amended SSTL.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due to governmental and market responses to the COVID-19 pandemic, revenue has declined significantly compared to pre-pandemic levels. The lower revenue, partially offset by efficiency initiatives and cost savings measures, resulted in negative operating cash flow from operations for the nine months ended September 30, 2024 and 2023.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sales of equity securities or other similar actions that are aligned with our strategy.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maturity date of the Amended Credit Agreement is April 30, 2025. Since Aggregate Paydowns under the Amended Credit Agreement were equal to or greater than $30 million, the maturity date of the SSTL may be extended at the Company’s option to April 30, 2026 (subject to the representations and warranties being true and correct as of such date and there being no default or event of default being in existence as of such date). Such extension is conditioned upon the Company’s payment of a 2% payment-in-kind extension fee on or before April 30, 2025.</w:t>
      </w:r>
    </w:p>
    <w:p>
      <w:pPr>
        <w:spacing w:after="0" w:line="1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amounts outstanding under the SSTL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from 50% of Consolidated Excess Cash Flow, as calculated in accordance with the provisions of the Amended Credit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 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 through June 30, 2023 and 3.75% for periods thereafter. The interest rate as of September 30, 2024, including the PIK component, was 14.18%.</w:t>
      </w:r>
    </w:p>
    <w:p>
      <w:pPr>
        <w:spacing w:after="0" w:line="13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Amended 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outstanding principal balance of the SSTL was $230.6 million.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16% of Altisource’s common stock as of September 30, 2024 and owns Altisource debt as a lender under the Amended Credit Agreement. An employee of Deer Park is a member of Altisource’s Board of Directors.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2024, there was no outstanding debt under the Amended Revolver, and since amending the Revolver, the Company has not borrowed any amount under the Amended Revolver.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residential real estate renovation services business, on June 3, 2024 Altisource Solutions, Inc., an indirect subsidiary of Altisource Portfolio Solutions S.A, entered into a revolving loan agreement with a related 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was $250 thousand outstanding debt under the Revolving Loan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nine months ended September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7"/>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nine months ended September 30, 2024, net cash used in operating activities was $(3.6) million compared to net cash used in operating activities of $(17.6) million for the nine months ended September 30, 2023. The improvement in cash used in operating activities was driven by an $18.4 million improvement in net loss adjusted for non-cash items included in the determination of net loss (PIK interest, stock based compensation, change in the fair value of warrant liability, bad debt expense, depreciation and amortization, deferred income taxes, amortization of debt discount, amortization of debt issuance and amendment costs, loss on disposal of fixed assets and amortization of intangible assets). This was partially offset by a $4.4 million decrease in cash provided by working capital from the $1.4 million net payment of taxes for the nine months ended September 30, 2024 compared to the $4.0 million net collection of taxes receivable for the nine months ended September 30, 2023 and a $2.0 million return of surety bonds in the nine months ended September 30, 2023.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Net cash (used in) provided by financing activities were $(0.6) million and $3.2 million for the nine months ended September 30, 2024 and 2023, respectively. During the nine months ended September 30, 2024 and 2023, we made payments of $0.7 million and $0.5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nine months ended September 30, 2024 and 2023, we distributed $0.1 million and $0.3 million, respectively, to non-controlling interests. During the nine months ended September 30, 2024, we received proceeds from the issuance of short-term debt of $0.3 million in connection with borrowings under the Revolving Loan Agreement. During the nine months ended September 30, 2023, we received $20.5 million in proceeds from the issuance of common stock, net of issuance costs, received $18.4 million in proceeds from the sale of treasury stock, net of issuance costs and used $30.0 million of the proceeds for repayment of debt. Also during the nine months ended September 30, 2023, we paid $4.9 million to lenders or others on behalf of the lenders related to the debt amendment.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the maturity of the SSTL under the Amended Credit Agreement, interest expense under the Amended Credit Agreement (see Liquidity section above), and operating lease payments on certain of our premises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2027-2029</w:t>
            </w:r>
          </w:p>
        </w:tc>
        <w:tc>
          <w:tcPr>
            <w:tcW w:w="0" w:type="dxa"/>
            <w:vAlign w:val="bottom"/>
          </w:tcPr>
          <w:p>
            <w:pPr>
              <w:spacing w:after="0"/>
              <w:rPr>
                <w:sz w:val="1"/>
                <w:szCs w:val="1"/>
                <w:color w:val="auto"/>
              </w:rPr>
            </w:pPr>
          </w:p>
        </w:tc>
      </w:tr>
      <w:tr>
        <w:trPr>
          <w:trHeight w:val="194"/>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Senior secured term loans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Revolving loan agreement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expense payments </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194"/>
        </w:trPr>
        <w:tc>
          <w:tcPr>
            <w:tcW w:w="5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252,249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245,871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8" w:lineRule="exact"/>
        <w:rPr>
          <w:sz w:val="20"/>
          <w:szCs w:val="20"/>
          <w:color w:val="auto"/>
        </w:rPr>
      </w:pPr>
    </w:p>
    <w:p>
      <w:pPr>
        <w:jc w:val="both"/>
        <w:ind w:left="240" w:hanging="234"/>
        <w:spacing w:after="0" w:line="237" w:lineRule="auto"/>
        <w:tabs>
          <w:tab w:leader="none" w:pos="32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SSTL as of September 30, 2024 is $230.6 million and is due on April 30, 2025. Since Aggregate Paydowns were equal to or greater than $30 million, the maturity date of the SSTL may be extended at the Company’s option to April 30, 2026 (subject to a payment of a 2% payment-in-kind extension fee on or before April 30, 2025 and subject to the representations and warranties being true and correct as of such date and there being no default or event of default being in existence as of such date). The table herein reflects a maturity of April 2025. The increase in outstanding balance is from the PIK component of our interest expense and is assumed to be paid in kind through the April 2025 maturity date.</w:t>
      </w:r>
    </w:p>
    <w:p>
      <w:pPr>
        <w:spacing w:after="0" w:line="34" w:lineRule="exact"/>
        <w:rPr>
          <w:rFonts w:ascii="Times New Roman" w:cs="Times New Roman" w:eastAsia="Times New Roman" w:hAnsi="Times New Roman"/>
          <w:sz w:val="23"/>
          <w:szCs w:val="23"/>
          <w:color w:val="auto"/>
          <w:vertAlign w:val="superscript"/>
        </w:rPr>
      </w:pPr>
    </w:p>
    <w:p>
      <w:pPr>
        <w:ind w:left="240" w:hanging="234"/>
        <w:spacing w:after="0" w:line="225" w:lineRule="auto"/>
        <w:tabs>
          <w:tab w:leader="none" w:pos="41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Revolving Loan Agreement as of September 30, 2024 is $250 thousand and is due on June 3, 2025, and may be automatically extended for one year on each anniversary of the maturity date. The table herein reflects a maturity of June 3, 2025.</w:t>
      </w:r>
    </w:p>
    <w:p>
      <w:pPr>
        <w:spacing w:after="0" w:line="35" w:lineRule="exact"/>
        <w:rPr>
          <w:rFonts w:ascii="Times New Roman" w:cs="Times New Roman" w:eastAsia="Times New Roman" w:hAnsi="Times New Roman"/>
          <w:sz w:val="23"/>
          <w:szCs w:val="23"/>
          <w:color w:val="auto"/>
          <w:vertAlign w:val="superscript"/>
        </w:rPr>
      </w:pPr>
    </w:p>
    <w:p>
      <w:pPr>
        <w:ind w:left="240" w:hanging="234"/>
        <w:spacing w:after="0" w:line="225" w:lineRule="auto"/>
        <w:tabs>
          <w:tab w:leader="none" w:pos="31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based on the SOFR interest rate as of September 30, 2024 and the April 30, 2025 maturity date. Based on the April 30, 2025 maturity date, no interest expense has been included beyond April 30, 2025.</w:t>
      </w:r>
    </w:p>
    <w:p>
      <w:pPr>
        <w:spacing w:after="0" w:line="14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cash anticipated to be generated by operating activities and, as needed, proceeds from the Amended Revolver. For further information, see Note 10 and Note 21 to the condensed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$19.0 million and $21.6 million as of September 30, 2024 and December 31,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2024, there were no significant changes to our contractual obligations from those identified in our Form 10-K for the fiscal year ended December 31, 2023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2023 filed with the SEC on March 7, 2024. There have been no material changes to our critical accounting policies during the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Amended Credit Agreement, the initial interest rate charged on the SSTL is SOFR (as defined in the Amended Credit Agreement), with a minimum floor of 1.00%, plus 5.00% paid in cash plus 5.00% PIK. Based on par paydowns of $30 million during the year ended December 31, 2023, the PIK component was reduced to 3.75%.</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the principal amount outstanding and SOFR as of September 30, 2024, a one percentage point increase in SOFR above the minimum floor would increase our annual interest expense by approximately $2.3 million. There would be a $2.3 million decrease in our annual interest expense if there was a one percentage point decrease in SOFR.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third quarter of 2024, a one percentage point increase or decrease in value of the Indian rupee in relation to the United States dollar would increase or decrease our annual expenses by approximately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2024.</w:t>
      </w:r>
    </w:p>
    <w:p>
      <w:pPr>
        <w:spacing w:after="0" w:line="125"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the Exchange Act Rules 13a-15(f) and 15d-15(f))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2023 filed with the SEC on March 7,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September 30, 2024. On May 16, 2023, our shareholders approved the renewal and amendment of the share repurchase program previously approved by the shareholders on May 15, 2018. Under the program, we are authorized to purchase up to 3.1 million shares of our common stock in the open market, subject to certain parameters, for a period of five years from the date of approval. As of September 30, 2024, the maximum number of shares that may be purchased under the repurchase program is 3.1 million shares of the Company’s common stock. In addition to the share repurchase program, during the three months ended September 30, 2024, 33,610 common shares were withheld from employees to satisfy tax withholding obligations that arose from the vesting of restricted shares.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20, 2024, the Company issued a total of 232,580 Restricted share units (“RSUs”) as equity compensation under the Altisource 2024 Long Term Incentive Plan to the Company’s Chairman and Chief Executive Officer, Chief Financial Officer, and Chief Legal and Compliance Officer as unregistered securities in a private placement exempt from registration pursuant to Rule 4(a)(2) of the Securities Act of 1933, as amended.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period ended September 30, 2024 is formatted in Inline XBRL interactive data files: (i) Condensed Consolidated Balance Sheets as of</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8"/>
                <w:szCs w:val="18"/>
                <w:color w:val="auto"/>
              </w:rPr>
              <w:t>September 30, 2024 and December 31, 2023; (ii) Condensed Consolidated Statements of Operations and Comprehensive Loss for the three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color w:val="auto"/>
              </w:rPr>
              <w:t>and nine months ended September 30, 2024 and 2023; (iii) Condensed Consolidated Statements of Equity for the 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September 30, 2024 and 2023; (iv) Condensed Consolidated Statements of Cash Flows for the nine months ended September 30, 2024 and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2023; and (v) Notes to Condensed Consolidated Financial Statements.</w:t>
            </w:r>
          </w:p>
        </w:tc>
        <w:tc>
          <w:tcPr>
            <w:tcW w:w="0" w:type="dxa"/>
            <w:vAlign w:val="bottom"/>
          </w:tcPr>
          <w:p>
            <w:pPr>
              <w:spacing w:after="0"/>
              <w:rPr>
                <w:sz w:val="1"/>
                <w:szCs w:val="1"/>
                <w:color w:val="auto"/>
              </w:rPr>
            </w:pPr>
          </w:p>
        </w:tc>
      </w:tr>
      <w:tr>
        <w:trPr>
          <w:trHeight w:val="278"/>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70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24, 2024</w:t>
            </w:r>
          </w:p>
        </w:tc>
        <w:tc>
          <w:tcPr>
            <w:tcW w:w="70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2024</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September 30, 2024,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24, 2024</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24, 2024</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2024-10-24T06:10:58Z</dcterms:created>
  <dcterms:modified xsi:type="dcterms:W3CDTF">2024-10-24T06:10:58Z</dcterms:modified>
</cp:coreProperties>
</file>