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Winkler Matthew T.</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tcBorders>
              <w:bottom w:val="single" w:sz="8" w:color="0000EE"/>
            </w:tcBorders>
            <w:gridSpan w:val="2"/>
          </w:tcPr>
          <w:p>
            <w:pPr>
              <w:spacing w:after="0" w:line="187"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ALTISOURCE PORTFOLIO</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SOLUTIONS S.A.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ASPS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780" w:type="dxa"/>
            <w:vAlign w:val="bottom"/>
            <w:tcBorders>
              <w:top w:val="single" w:sz="8" w:color="0000EE"/>
            </w:tcBorders>
          </w:tcPr>
          <w:p>
            <w:pPr>
              <w:spacing w:after="0"/>
              <w:rPr>
                <w:sz w:val="12"/>
                <w:szCs w:val="12"/>
                <w:color w:val="auto"/>
              </w:rPr>
            </w:pPr>
          </w:p>
        </w:tc>
        <w:tc>
          <w:tcPr>
            <w:tcW w:w="940" w:type="dxa"/>
            <w:vAlign w:val="bottom"/>
            <w:tcBorders>
              <w:top w:val="single" w:sz="8" w:color="0000EE"/>
            </w:tcBorders>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940" w:type="dxa"/>
            <w:vAlign w:val="bottom"/>
            <w:tcBorders>
              <w:bottom w:val="single" w:sz="8" w:color="9A9A9A"/>
            </w:tcBorders>
          </w:tcPr>
          <w:p>
            <w:pPr>
              <w:spacing w:after="0" w:line="20" w:lineRule="exact"/>
              <w:rPr>
                <w:sz w:val="1"/>
                <w:szCs w:val="1"/>
                <w:color w:val="auto"/>
              </w:rPr>
            </w:pPr>
          </w:p>
        </w:tc>
        <w:tc>
          <w:tcPr>
            <w:tcW w:w="360" w:type="dxa"/>
            <w:vAlign w:val="bottom"/>
            <w:tcBorders>
              <w:bottom w:val="single" w:sz="8" w:color="9A9A9A"/>
            </w:tcBorders>
          </w:tcPr>
          <w:p>
            <w:pPr>
              <w:spacing w:after="0" w:line="20" w:lineRule="exact"/>
              <w:rPr>
                <w:sz w:val="1"/>
                <w:szCs w:val="1"/>
                <w:color w:val="auto"/>
              </w:rPr>
            </w:pPr>
          </w:p>
        </w:tc>
        <w:tc>
          <w:tcPr>
            <w:tcW w:w="15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4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ALTISOURCE PORTFOLIO SOLUTIONS</w:t>
            </w: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64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0000FF"/>
              </w:rPr>
              <w:t>S.A.</w:t>
            </w: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 BOULEVARD PRINCE HENRI</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827"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line="318" w:lineRule="exact"/>
              <w:rPr>
                <w:sz w:val="20"/>
                <w:szCs w:val="20"/>
                <w:color w:val="auto"/>
              </w:rPr>
            </w:pPr>
            <w:r>
              <w:rPr>
                <w:rFonts w:ascii="Times New Roman" w:cs="Times New Roman" w:eastAsia="Times New Roman" w:hAnsi="Times New Roman"/>
                <w:sz w:val="17"/>
                <w:szCs w:val="17"/>
                <w:color w:val="0000FF"/>
              </w:rPr>
              <w:t xml:space="preserve">LUXEMBOURG </w:t>
            </w:r>
            <w:r>
              <w:rPr>
                <w:rFonts w:ascii="Times New Roman" w:cs="Times New Roman" w:eastAsia="Times New Roman" w:hAnsi="Times New Roman"/>
                <w:sz w:val="34"/>
                <w:szCs w:val="34"/>
                <w:color w:val="0000FF"/>
                <w:vertAlign w:val="subscript"/>
              </w:rPr>
              <w:t>N4</w:t>
            </w:r>
          </w:p>
        </w:tc>
        <w:tc>
          <w:tcPr>
            <w:tcW w:w="13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L-1724</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3"/>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7" w:lineRule="exact"/>
              <w:rPr>
                <w:sz w:val="20"/>
                <w:szCs w:val="20"/>
                <w:color w:val="auto"/>
              </w:rPr>
            </w:pPr>
            <w:r>
              <w:rPr>
                <w:rFonts w:ascii="Times New Roman" w:cs="Times New Roman" w:eastAsia="Times New Roman" w:hAnsi="Times New Roman"/>
                <w:sz w:val="16"/>
                <w:szCs w:val="16"/>
                <w:color w:val="0000FF"/>
              </w:rPr>
              <w:t>CITY</w:t>
            </w: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19,215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19,215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21, 2026, Mr. Winkler received 19,215 restricted share units ("RSUs") as compensation for his service as a non-management director of Altisource Portfolio Solutions S.A. ("ASPS" or the "Company") for the 2026 to 2027 service year. Each RSU represents a contingent right to receive one share of ASPS Common Stock. The RSUs will vest on the date of the Company's 2027 Annual General Meeting of Shareholders, provided that Mr. Winkler attends at least 75% of all Board and Committee meetings on which he serves.</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Teresa L. Szupello,</w:t>
            </w:r>
          </w:p>
        </w:tc>
        <w:tc>
          <w:tcPr>
            <w:tcW w:w="5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05/26/2026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5467" TargetMode="External"/><Relationship Id="rId14" Type="http://schemas.openxmlformats.org/officeDocument/2006/relationships/hyperlink" Target="http://www.sec.gov/cgi-bin/browse-edgar?action=getcompany&amp;CIK=00014624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2026-05-26T15:26:34Z</dcterms:created>
  <dcterms:modified xsi:type="dcterms:W3CDTF">2026-05-26T15:26:34Z</dcterms:modified>
</cp:coreProperties>
</file>