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5"/>
          <w:szCs w:val="15"/>
          <w:b w:val="1"/>
          <w:bCs w:val="1"/>
          <w:color w:val="auto"/>
        </w:rPr>
        <w:t>UNITED STATES</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SECURITIES AND EXCHANGE COMMISSION</w:t>
      </w:r>
    </w:p>
    <w:p>
      <w:pPr>
        <w:jc w:val="center"/>
        <w:ind w:right="-179"/>
        <w:spacing w:after="0"/>
        <w:rPr>
          <w:sz w:val="20"/>
          <w:szCs w:val="20"/>
          <w:color w:val="auto"/>
        </w:rPr>
      </w:pPr>
      <w:r>
        <w:rPr>
          <w:rFonts w:ascii="Arial" w:cs="Arial" w:eastAsia="Arial" w:hAnsi="Arial"/>
          <w:sz w:val="15"/>
          <w:szCs w:val="15"/>
          <w:b w:val="1"/>
          <w:bCs w:val="1"/>
          <w:color w:val="auto"/>
        </w:rPr>
        <w:t>Washington, D.C. 20549</w:t>
      </w:r>
    </w:p>
    <w:p>
      <w:pPr>
        <w:spacing w:after="0" w:line="152"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SCHEDULE 14A INFORMATION</w:t>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15"/>
          <w:szCs w:val="15"/>
          <w:color w:val="auto"/>
        </w:rPr>
        <w:t>Proxy Statement Pursuant to Section 14(a) of the</w:t>
      </w:r>
    </w:p>
    <w:p>
      <w:pPr>
        <w:jc w:val="center"/>
        <w:ind w:right="-179"/>
        <w:spacing w:after="0"/>
        <w:rPr>
          <w:sz w:val="20"/>
          <w:szCs w:val="20"/>
          <w:color w:val="auto"/>
        </w:rPr>
      </w:pPr>
      <w:r>
        <w:rPr>
          <w:rFonts w:ascii="Arial" w:cs="Arial" w:eastAsia="Arial" w:hAnsi="Arial"/>
          <w:sz w:val="15"/>
          <w:szCs w:val="15"/>
          <w:color w:val="auto"/>
        </w:rPr>
        <w:t>Securities Exchange Act of 1934</w:t>
      </w:r>
    </w:p>
    <w:p>
      <w:pPr>
        <w:spacing w:after="0" w:line="161" w:lineRule="exact"/>
        <w:rPr>
          <w:sz w:val="24"/>
          <w:szCs w:val="24"/>
          <w:color w:val="auto"/>
        </w:rPr>
      </w:pPr>
    </w:p>
    <w:p>
      <w:pPr>
        <w:spacing w:after="0"/>
        <w:rPr>
          <w:sz w:val="20"/>
          <w:szCs w:val="20"/>
          <w:color w:val="auto"/>
        </w:rPr>
      </w:pPr>
      <w:r>
        <w:rPr>
          <w:rFonts w:ascii="Arial" w:cs="Arial" w:eastAsia="Arial" w:hAnsi="Arial"/>
          <w:sz w:val="15"/>
          <w:szCs w:val="15"/>
          <w:color w:val="auto"/>
        </w:rPr>
        <w:t>Filed by the Registrant x</w:t>
      </w:r>
    </w:p>
    <w:p>
      <w:pPr>
        <w:spacing w:after="0" w:line="183"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o</w:t>
      </w:r>
    </w:p>
    <w:p>
      <w:pPr>
        <w:spacing w:after="0" w:line="19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ind w:left="580" w:hanging="578"/>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Preliminary Proxy Statement</w:t>
      </w:r>
    </w:p>
    <w:p>
      <w:pPr>
        <w:spacing w:after="0" w:line="10" w:lineRule="exact"/>
        <w:rPr>
          <w:rFonts w:ascii="Arial" w:cs="Arial" w:eastAsia="Arial" w:hAnsi="Arial"/>
          <w:sz w:val="15"/>
          <w:szCs w:val="15"/>
          <w:color w:val="auto"/>
        </w:rPr>
      </w:pPr>
    </w:p>
    <w:p>
      <w:pPr>
        <w:ind w:left="580" w:hanging="578"/>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10" w:lineRule="exact"/>
        <w:rPr>
          <w:rFonts w:ascii="Arial" w:cs="Arial" w:eastAsia="Arial" w:hAnsi="Arial"/>
          <w:sz w:val="15"/>
          <w:szCs w:val="15"/>
          <w:color w:val="auto"/>
        </w:rPr>
      </w:pPr>
    </w:p>
    <w:p>
      <w:pPr>
        <w:ind w:left="580" w:hanging="578"/>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Definitive Proxy Statement</w:t>
      </w:r>
    </w:p>
    <w:p>
      <w:pPr>
        <w:spacing w:after="0" w:line="11" w:lineRule="exact"/>
        <w:rPr>
          <w:sz w:val="24"/>
          <w:szCs w:val="24"/>
          <w:color w:val="auto"/>
        </w:rPr>
      </w:pPr>
    </w:p>
    <w:p>
      <w:pPr>
        <w:ind w:left="580" w:hanging="578"/>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Definitive Additional Materials</w:t>
      </w:r>
    </w:p>
    <w:p>
      <w:pPr>
        <w:spacing w:after="0" w:line="11" w:lineRule="exact"/>
        <w:rPr>
          <w:sz w:val="24"/>
          <w:szCs w:val="24"/>
          <w:color w:val="auto"/>
        </w:rPr>
      </w:pPr>
    </w:p>
    <w:p>
      <w:pPr>
        <w:ind w:left="580" w:hanging="578"/>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Soliciting Material Pursuant to ss.240.14a-12</w:t>
      </w:r>
    </w:p>
    <w:p>
      <w:pPr>
        <w:spacing w:after="0" w:line="165" w:lineRule="exact"/>
        <w:rPr>
          <w:sz w:val="24"/>
          <w:szCs w:val="24"/>
          <w:color w:val="auto"/>
        </w:rPr>
      </w:pPr>
    </w:p>
    <w:p>
      <w:pPr>
        <w:ind w:left="4120"/>
        <w:spacing w:after="0"/>
        <w:rPr>
          <w:sz w:val="20"/>
          <w:szCs w:val="20"/>
          <w:color w:val="auto"/>
        </w:rPr>
      </w:pPr>
      <w:r>
        <w:rPr>
          <w:rFonts w:ascii="Arial" w:cs="Arial" w:eastAsia="Arial" w:hAnsi="Arial"/>
          <w:sz w:val="15"/>
          <w:szCs w:val="15"/>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2675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5"/>
          <w:szCs w:val="15"/>
          <w:color w:val="auto"/>
        </w:rPr>
        <w:t>(Name of Registrant as Specified in its Charter)</w:t>
      </w:r>
    </w:p>
    <w:p>
      <w:pPr>
        <w:spacing w:after="0" w:line="153"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2675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Arial" w:cs="Arial" w:eastAsia="Arial" w:hAnsi="Arial"/>
          <w:sz w:val="15"/>
          <w:szCs w:val="15"/>
          <w:color w:val="auto"/>
        </w:rPr>
        <w:t>Payment of Filing Fee (Check the appropriate box):</w:t>
      </w:r>
    </w:p>
    <w:p>
      <w:pPr>
        <w:ind w:left="580" w:hanging="578"/>
        <w:spacing w:after="0"/>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No Fee Required</w:t>
      </w:r>
    </w:p>
    <w:p>
      <w:pPr>
        <w:spacing w:after="0" w:line="11" w:lineRule="exact"/>
        <w:rPr>
          <w:sz w:val="24"/>
          <w:szCs w:val="24"/>
          <w:color w:val="auto"/>
        </w:rPr>
      </w:pPr>
    </w:p>
    <w:p>
      <w:pPr>
        <w:ind w:left="580" w:hanging="578"/>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computed on table below per Exchange Act Rules 14a-6(i)(1) and 0-11</w:t>
      </w:r>
    </w:p>
    <w:p>
      <w:pPr>
        <w:spacing w:after="0" w:line="183" w:lineRule="exact"/>
        <w:rPr>
          <w:sz w:val="24"/>
          <w:szCs w:val="24"/>
          <w:color w:val="auto"/>
        </w:rPr>
      </w:pPr>
    </w:p>
    <w:p>
      <w:pPr>
        <w:ind w:left="860" w:right="6620" w:hanging="858"/>
        <w:spacing w:after="0" w:line="247" w:lineRule="auto"/>
        <w:tabs>
          <w:tab w:leader="none" w:pos="585" w:val="left"/>
        </w:tabs>
        <w:numPr>
          <w:ilvl w:val="0"/>
          <w:numId w:val="6"/>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 N/A</w:t>
      </w:r>
    </w:p>
    <w:p>
      <w:pPr>
        <w:ind w:left="860" w:right="6320" w:hanging="858"/>
        <w:spacing w:after="0" w:line="247" w:lineRule="auto"/>
        <w:tabs>
          <w:tab w:leader="none" w:pos="585" w:val="left"/>
        </w:tabs>
        <w:numPr>
          <w:ilvl w:val="0"/>
          <w:numId w:val="6"/>
        </w:numPr>
        <w:rPr>
          <w:rFonts w:ascii="Arial" w:cs="Arial" w:eastAsia="Arial" w:hAnsi="Arial"/>
          <w:sz w:val="15"/>
          <w:szCs w:val="15"/>
          <w:color w:val="auto"/>
        </w:rPr>
      </w:pPr>
      <w:r>
        <w:rPr>
          <w:rFonts w:ascii="Arial" w:cs="Arial" w:eastAsia="Arial" w:hAnsi="Arial"/>
          <w:sz w:val="15"/>
          <w:szCs w:val="15"/>
          <w:color w:val="auto"/>
        </w:rPr>
        <w:t>Aggregate number of securities to which the transaction applies: N/A</w:t>
      </w:r>
    </w:p>
    <w:p>
      <w:pPr>
        <w:ind w:left="580" w:hanging="578"/>
        <w:spacing w:after="0" w:line="239"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ind w:left="860"/>
        <w:spacing w:after="0"/>
        <w:rPr>
          <w:rFonts w:ascii="Arial" w:cs="Arial" w:eastAsia="Arial" w:hAnsi="Arial"/>
          <w:sz w:val="15"/>
          <w:szCs w:val="15"/>
          <w:color w:val="auto"/>
        </w:rPr>
      </w:pPr>
      <w:r>
        <w:rPr>
          <w:rFonts w:ascii="Arial" w:cs="Arial" w:eastAsia="Arial" w:hAnsi="Arial"/>
          <w:sz w:val="15"/>
          <w:szCs w:val="15"/>
          <w:color w:val="auto"/>
        </w:rPr>
        <w:t>N/A</w:t>
      </w:r>
    </w:p>
    <w:p>
      <w:pPr>
        <w:spacing w:after="0" w:line="10" w:lineRule="exact"/>
        <w:rPr>
          <w:rFonts w:ascii="Arial" w:cs="Arial" w:eastAsia="Arial" w:hAnsi="Arial"/>
          <w:sz w:val="15"/>
          <w:szCs w:val="15"/>
          <w:color w:val="auto"/>
        </w:rPr>
      </w:pPr>
    </w:p>
    <w:p>
      <w:pPr>
        <w:ind w:left="580" w:hanging="578"/>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365760</wp:posOffset>
            </wp:positionH>
            <wp:positionV relativeFrom="paragraph">
              <wp:posOffset>-115570</wp:posOffset>
            </wp:positionV>
            <wp:extent cx="68961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6100" cy="6985"/>
                    </a:xfrm>
                    <a:prstGeom prst="rect">
                      <a:avLst/>
                    </a:prstGeom>
                    <a:noFill/>
                  </pic:spPr>
                </pic:pic>
              </a:graphicData>
            </a:graphic>
          </wp:anchor>
        </w:drawing>
        <w:drawing>
          <wp:anchor simplePos="0" relativeHeight="251657728" behindDoc="1" locked="0" layoutInCell="0" allowOverlap="1">
            <wp:simplePos x="0" y="0"/>
            <wp:positionH relativeFrom="column">
              <wp:posOffset>365760</wp:posOffset>
            </wp:positionH>
            <wp:positionV relativeFrom="paragraph">
              <wp:posOffset>-450215</wp:posOffset>
            </wp:positionV>
            <wp:extent cx="689610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6100" cy="6985"/>
                    </a:xfrm>
                    <a:prstGeom prst="rect">
                      <a:avLst/>
                    </a:prstGeom>
                    <a:noFill/>
                  </pic:spPr>
                </pic:pic>
              </a:graphicData>
            </a:graphic>
          </wp:anchor>
        </w:drawing>
        <w:drawing>
          <wp:anchor simplePos="0" relativeHeight="251657728" behindDoc="1" locked="0" layoutInCell="0" allowOverlap="1">
            <wp:simplePos x="0" y="0"/>
            <wp:positionH relativeFrom="column">
              <wp:posOffset>365760</wp:posOffset>
            </wp:positionH>
            <wp:positionV relativeFrom="paragraph">
              <wp:posOffset>-675640</wp:posOffset>
            </wp:positionV>
            <wp:extent cx="68961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6100" cy="6985"/>
                    </a:xfrm>
                    <a:prstGeom prst="rect">
                      <a:avLst/>
                    </a:prstGeom>
                    <a:noFill/>
                  </pic:spPr>
                </pic:pic>
              </a:graphicData>
            </a:graphic>
          </wp:anchor>
        </w:drawing>
      </w:r>
    </w:p>
    <w:p>
      <w:pPr>
        <w:ind w:left="860"/>
        <w:spacing w:after="0"/>
        <w:rPr>
          <w:sz w:val="20"/>
          <w:szCs w:val="20"/>
          <w:color w:val="auto"/>
        </w:rPr>
      </w:pPr>
      <w:r>
        <w:rPr>
          <w:rFonts w:ascii="Arial" w:cs="Arial" w:eastAsia="Arial" w:hAnsi="Arial"/>
          <w:sz w:val="15"/>
          <w:szCs w:val="15"/>
          <w:color w:val="auto"/>
        </w:rPr>
        <w:t>N/A</w:t>
      </w:r>
    </w:p>
    <w:p>
      <w:pPr>
        <w:spacing w:after="0" w:line="10" w:lineRule="exact"/>
        <w:rPr>
          <w:sz w:val="24"/>
          <w:szCs w:val="24"/>
          <w:color w:val="auto"/>
        </w:rPr>
      </w:pPr>
    </w:p>
    <w:p>
      <w:pPr>
        <w:ind w:left="580" w:hanging="578"/>
        <w:spacing w:after="0"/>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Total fee paid:</w:t>
      </w:r>
    </w:p>
    <w:p>
      <w:pPr>
        <w:ind w:left="580"/>
        <w:spacing w:after="0"/>
        <w:rPr>
          <w:rFonts w:ascii="Arial" w:cs="Arial" w:eastAsia="Arial" w:hAnsi="Arial"/>
          <w:sz w:val="15"/>
          <w:szCs w:val="15"/>
          <w:color w:val="auto"/>
        </w:rPr>
      </w:pPr>
      <w:r>
        <w:rPr>
          <w:rFonts w:ascii="Arial" w:cs="Arial" w:eastAsia="Arial" w:hAnsi="Arial"/>
          <w:sz w:val="15"/>
          <w:szCs w:val="15"/>
          <w:color w:val="auto"/>
        </w:rPr>
        <w:t>o  Fee paid previously with preliminary materials.</w:t>
      </w:r>
    </w:p>
    <w:p>
      <w:pPr>
        <w:spacing w:after="0" w:line="10" w:lineRule="exact"/>
        <w:rPr>
          <w:rFonts w:ascii="Arial" w:cs="Arial" w:eastAsia="Arial" w:hAnsi="Arial"/>
          <w:sz w:val="15"/>
          <w:szCs w:val="15"/>
          <w:color w:val="auto"/>
        </w:rPr>
      </w:pPr>
    </w:p>
    <w:p>
      <w:pPr>
        <w:ind w:left="860" w:hanging="275"/>
        <w:spacing w:after="0" w:line="271" w:lineRule="auto"/>
        <w:rPr>
          <w:rFonts w:ascii="Arial" w:cs="Arial" w:eastAsia="Arial" w:hAnsi="Arial"/>
          <w:sz w:val="15"/>
          <w:szCs w:val="15"/>
          <w:color w:val="auto"/>
        </w:rPr>
      </w:pPr>
      <w:r>
        <w:rPr>
          <w:rFonts w:ascii="Arial" w:cs="Arial" w:eastAsia="Arial" w:hAnsi="Arial"/>
          <w:sz w:val="15"/>
          <w:szCs w:val="15"/>
          <w:color w:val="auto"/>
        </w:rPr>
        <w:t>o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365760</wp:posOffset>
            </wp:positionH>
            <wp:positionV relativeFrom="paragraph">
              <wp:posOffset>-478790</wp:posOffset>
            </wp:positionV>
            <wp:extent cx="68961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6100" cy="6985"/>
                    </a:xfrm>
                    <a:prstGeom prst="rect">
                      <a:avLst/>
                    </a:prstGeom>
                    <a:noFill/>
                  </pic:spPr>
                </pic:pic>
              </a:graphicData>
            </a:graphic>
          </wp:anchor>
        </w:drawing>
      </w:r>
    </w:p>
    <w:p>
      <w:pPr>
        <w:spacing w:after="0" w:line="117" w:lineRule="exact"/>
        <w:rPr>
          <w:sz w:val="24"/>
          <w:szCs w:val="24"/>
          <w:color w:val="auto"/>
        </w:rPr>
      </w:pPr>
    </w:p>
    <w:p>
      <w:pPr>
        <w:ind w:left="860" w:right="9000" w:hanging="858"/>
        <w:spacing w:after="0" w:line="247" w:lineRule="auto"/>
        <w:tabs>
          <w:tab w:leader="none" w:pos="585" w:val="left"/>
        </w:tabs>
        <w:numPr>
          <w:ilvl w:val="0"/>
          <w:numId w:val="8"/>
        </w:numPr>
        <w:rPr>
          <w:rFonts w:ascii="Arial" w:cs="Arial" w:eastAsia="Arial" w:hAnsi="Arial"/>
          <w:sz w:val="15"/>
          <w:szCs w:val="15"/>
          <w:color w:val="auto"/>
        </w:rPr>
      </w:pPr>
      <w:r>
        <w:rPr>
          <w:rFonts w:ascii="Arial" w:cs="Arial" w:eastAsia="Arial" w:hAnsi="Arial"/>
          <w:sz w:val="15"/>
          <w:szCs w:val="15"/>
          <w:color w:val="auto"/>
        </w:rPr>
        <w:t>Amount Previously Paid: N/A</w:t>
      </w:r>
    </w:p>
    <w:p>
      <w:pPr>
        <w:ind w:left="860" w:right="7480" w:hanging="858"/>
        <w:spacing w:after="0" w:line="247" w:lineRule="auto"/>
        <w:tabs>
          <w:tab w:leader="none" w:pos="585" w:val="left"/>
        </w:tabs>
        <w:numPr>
          <w:ilvl w:val="0"/>
          <w:numId w:val="8"/>
        </w:numPr>
        <w:rPr>
          <w:rFonts w:ascii="Arial" w:cs="Arial" w:eastAsia="Arial" w:hAnsi="Arial"/>
          <w:sz w:val="15"/>
          <w:szCs w:val="15"/>
          <w:color w:val="auto"/>
        </w:rPr>
      </w:pPr>
      <w:r>
        <w:rPr>
          <w:rFonts w:ascii="Arial" w:cs="Arial" w:eastAsia="Arial" w:hAnsi="Arial"/>
          <w:sz w:val="15"/>
          <w:szCs w:val="15"/>
          <w:color w:val="auto"/>
        </w:rPr>
        <w:t>Form, Schedule or Registration Statement No.: N/A</w:t>
      </w:r>
    </w:p>
    <w:p>
      <w:pPr>
        <w:ind w:left="580" w:hanging="578"/>
        <w:spacing w:after="0"/>
        <w:tabs>
          <w:tab w:leader="none" w:pos="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365760</wp:posOffset>
            </wp:positionH>
            <wp:positionV relativeFrom="paragraph">
              <wp:posOffset>-115570</wp:posOffset>
            </wp:positionV>
            <wp:extent cx="68961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6100" cy="6985"/>
                    </a:xfrm>
                    <a:prstGeom prst="rect">
                      <a:avLst/>
                    </a:prstGeom>
                    <a:noFill/>
                  </pic:spPr>
                </pic:pic>
              </a:graphicData>
            </a:graphic>
          </wp:anchor>
        </w:drawing>
        <w:drawing>
          <wp:anchor simplePos="0" relativeHeight="251657728" behindDoc="1" locked="0" layoutInCell="0" allowOverlap="1">
            <wp:simplePos x="0" y="0"/>
            <wp:positionH relativeFrom="column">
              <wp:posOffset>365760</wp:posOffset>
            </wp:positionH>
            <wp:positionV relativeFrom="paragraph">
              <wp:posOffset>-340995</wp:posOffset>
            </wp:positionV>
            <wp:extent cx="68961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6100" cy="6985"/>
                    </a:xfrm>
                    <a:prstGeom prst="rect">
                      <a:avLst/>
                    </a:prstGeom>
                    <a:noFill/>
                  </pic:spPr>
                </pic:pic>
              </a:graphicData>
            </a:graphic>
          </wp:anchor>
        </w:drawing>
      </w:r>
    </w:p>
    <w:p>
      <w:pPr>
        <w:ind w:left="860"/>
        <w:spacing w:after="0"/>
        <w:rPr>
          <w:sz w:val="20"/>
          <w:szCs w:val="20"/>
          <w:color w:val="auto"/>
        </w:rPr>
      </w:pPr>
      <w:r>
        <w:rPr>
          <w:rFonts w:ascii="Arial" w:cs="Arial" w:eastAsia="Arial" w:hAnsi="Arial"/>
          <w:sz w:val="15"/>
          <w:szCs w:val="15"/>
          <w:color w:val="auto"/>
        </w:rPr>
        <w:t>N/A</w:t>
      </w:r>
    </w:p>
    <w:p>
      <w:pPr>
        <w:spacing w:after="0" w:line="11" w:lineRule="exact"/>
        <w:rPr>
          <w:sz w:val="24"/>
          <w:szCs w:val="24"/>
          <w:color w:val="auto"/>
        </w:rPr>
      </w:pPr>
    </w:p>
    <w:p>
      <w:pPr>
        <w:ind w:left="860" w:right="9920" w:hanging="858"/>
        <w:spacing w:after="0" w:line="255" w:lineRule="auto"/>
        <w:tabs>
          <w:tab w:leader="none" w:pos="585" w:val="left"/>
        </w:tabs>
        <w:numPr>
          <w:ilvl w:val="0"/>
          <w:numId w:val="9"/>
        </w:numPr>
        <w:rPr>
          <w:rFonts w:ascii="Arial" w:cs="Arial" w:eastAsia="Arial" w:hAnsi="Arial"/>
          <w:sz w:val="15"/>
          <w:szCs w:val="15"/>
          <w:color w:val="auto"/>
        </w:rPr>
      </w:pPr>
      <w:r>
        <w:rPr>
          <w:rFonts w:ascii="Arial" w:cs="Arial" w:eastAsia="Arial" w:hAnsi="Arial"/>
          <w:sz w:val="15"/>
          <w:szCs w:val="15"/>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365760</wp:posOffset>
            </wp:positionH>
            <wp:positionV relativeFrom="paragraph">
              <wp:posOffset>-13335</wp:posOffset>
            </wp:positionV>
            <wp:extent cx="68961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6100" cy="6985"/>
                    </a:xfrm>
                    <a:prstGeom prst="rect">
                      <a:avLst/>
                    </a:prstGeom>
                    <a:noFill/>
                  </pic:spPr>
                </pic:pic>
              </a:graphicData>
            </a:graphic>
          </wp:anchor>
        </w:drawing>
        <w:drawing>
          <wp:anchor simplePos="0" relativeHeight="251657728" behindDoc="1" locked="0" layoutInCell="0" allowOverlap="1">
            <wp:simplePos x="0" y="0"/>
            <wp:positionH relativeFrom="column">
              <wp:posOffset>365760</wp:posOffset>
            </wp:positionH>
            <wp:positionV relativeFrom="paragraph">
              <wp:posOffset>-238760</wp:posOffset>
            </wp:positionV>
            <wp:extent cx="689610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61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158115</wp:posOffset>
            </wp:positionV>
            <wp:extent cx="7287260" cy="27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240"/>
          </w:cols>
          <w:pgMar w:left="240" w:top="384" w:right="4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94640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94640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94640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94640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640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x"/>
      <w:numFmt w:val="bullet"/>
      <w:start w:val="1"/>
    </w:lvl>
  </w:abstractNum>
  <w:abstractNum w:abstractNumId="2">
    <w:nsid w:val="507ED7AB"/>
    <w:multiLevelType w:val="hybridMultilevel"/>
    <w:lvl w:ilvl="0">
      <w:lvlJc w:val="left"/>
      <w:lvlText w:val="o"/>
      <w:numFmt w:val="bullet"/>
      <w:start w:val="1"/>
    </w:lvl>
  </w:abstractNum>
  <w:abstractNum w:abstractNumId="3">
    <w:nsid w:val="2EB141F2"/>
    <w:multiLevelType w:val="hybridMultilevel"/>
    <w:lvl w:ilvl="0">
      <w:lvlJc w:val="left"/>
      <w:lvlText w:val="x"/>
      <w:numFmt w:val="bullet"/>
      <w:start w:val="1"/>
    </w:lvl>
  </w:abstractNum>
  <w:abstractNum w:abstractNumId="4">
    <w:nsid w:val="41B71EFB"/>
    <w:multiLevelType w:val="hybridMultilevel"/>
    <w:lvl w:ilvl="0">
      <w:lvlJc w:val="left"/>
      <w:lvlText w:val="o"/>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5"/>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2019-12-07T16:05:36Z</dcterms:created>
  <dcterms:modified xsi:type="dcterms:W3CDTF">2019-12-07T16:05:36Z</dcterms:modified>
</cp:coreProperties>
</file>