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0"/>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jc w:val="center"/>
        <w:ind w:right="14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98-0554932</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60"/>
          </w:cols>
          <w:pgMar w:left="240" w:top="233" w:right="27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ind w:left="22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7" w:lineRule="exact"/>
        <w:rPr>
          <w:sz w:val="24"/>
          <w:szCs w:val="24"/>
          <w:color w:val="auto"/>
        </w:rPr>
      </w:pPr>
    </w:p>
    <w:p>
      <w:pPr>
        <w:sectPr>
          <w:pgSz w:w="11900" w:h="16838" w:orient="portrait"/>
          <w:cols w:equalWidth="0" w:num="3">
            <w:col w:w="7540" w:space="720"/>
            <w:col w:w="1960" w:space="100"/>
            <w:col w:w="1060"/>
          </w:cols>
          <w:pgMar w:left="240" w:top="233" w:right="27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of July 19, 2014, there were 21,835,823 outstanding shares of the registrant’s shares of beneficial interest (excluding 3,576,925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8080" w:type="dxa"/>
            <w:vAlign w:val="bottom"/>
            <w:gridSpan w:val="24"/>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24"/>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5820" w:type="dxa"/>
            <w:vAlign w:val="bottom"/>
            <w:gridSpan w:val="15"/>
          </w:tcPr>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800" w:type="dxa"/>
            <w:vAlign w:val="bottom"/>
            <w:tcBorders>
              <w:top w:val="single" w:sz="8" w:color="0000EE"/>
            </w:tcBorders>
            <w:gridSpan w:val="4"/>
          </w:tcPr>
          <w:p>
            <w:pPr>
              <w:spacing w:after="0"/>
              <w:rPr>
                <w:sz w:val="17"/>
                <w:szCs w:val="17"/>
                <w:color w:val="auto"/>
              </w:rPr>
            </w:pPr>
          </w:p>
        </w:tc>
        <w:tc>
          <w:tcPr>
            <w:tcW w:w="18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19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8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Equity</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18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15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600" w:type="dxa"/>
            <w:vAlign w:val="bottom"/>
            <w:gridSpan w:val="3"/>
          </w:tcPr>
          <w:p>
            <w:pPr>
              <w:spacing w:after="0"/>
              <w:rPr>
                <w:sz w:val="24"/>
                <w:szCs w:val="24"/>
                <w:color w:val="auto"/>
              </w:rPr>
            </w:pPr>
          </w:p>
        </w:tc>
        <w:tc>
          <w:tcPr>
            <w:tcW w:w="7700" w:type="dxa"/>
            <w:vAlign w:val="bottom"/>
            <w:gridSpan w:val="20"/>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3</w:t>
              </w:r>
            </w:hyperlink>
          </w:p>
        </w:tc>
        <w:tc>
          <w:tcPr>
            <w:tcW w:w="1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4</w:t>
              </w:r>
            </w:hyperlink>
          </w:p>
        </w:tc>
        <w:tc>
          <w:tcPr>
            <w:tcW w:w="1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gridSpan w:val="9"/>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PART II — Other Information</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1</w:t>
              </w:r>
            </w:hyperlink>
          </w:p>
        </w:tc>
        <w:tc>
          <w:tcPr>
            <w:tcW w:w="520" w:type="dxa"/>
            <w:vAlign w:val="bottom"/>
            <w:tcBorders>
              <w:top w:val="single" w:sz="8" w:color="0000EE"/>
            </w:tcBorders>
            <w:gridSpan w:val="2"/>
          </w:tcPr>
          <w:p>
            <w:pPr>
              <w:spacing w:after="0"/>
              <w:rPr>
                <w:sz w:val="24"/>
                <w:szCs w:val="24"/>
                <w:color w:val="auto"/>
              </w:rPr>
            </w:pPr>
          </w:p>
        </w:tc>
        <w:tc>
          <w:tcPr>
            <w:tcW w:w="80" w:type="dxa"/>
            <w:vAlign w:val="bottom"/>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Item 1A</w:t>
              </w:r>
            </w:hyperlink>
          </w:p>
        </w:tc>
        <w:tc>
          <w:tcPr>
            <w:tcW w:w="480" w:type="dxa"/>
            <w:vAlign w:val="bottom"/>
            <w:gridSpan w:val="2"/>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4">
              <w:r>
                <w:rPr>
                  <w:rFonts w:ascii="Arial" w:cs="Arial" w:eastAsia="Arial" w:hAnsi="Arial"/>
                  <w:sz w:val="18"/>
                  <w:szCs w:val="18"/>
                  <w:color w:val="0000EE"/>
                </w:rPr>
                <w:t>Issuer Purchases of Equity Securities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6</w:t>
              </w:r>
            </w:hyperlink>
          </w:p>
        </w:tc>
        <w:tc>
          <w:tcPr>
            <w:tcW w:w="600" w:type="dxa"/>
            <w:vAlign w:val="bottom"/>
            <w:gridSpan w:val="3"/>
          </w:tcPr>
          <w:p>
            <w:pPr>
              <w:spacing w:after="0"/>
              <w:rPr>
                <w:sz w:val="24"/>
                <w:szCs w:val="24"/>
                <w:color w:val="auto"/>
              </w:rPr>
            </w:pPr>
          </w:p>
        </w:tc>
        <w:tc>
          <w:tcPr>
            <w:tcW w:w="5820" w:type="dxa"/>
            <w:vAlign w:val="bottom"/>
            <w:gridSpan w:val="15"/>
          </w:tcPr>
          <w:p>
            <w:pPr>
              <w:ind w:left="60"/>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1180" w:type="dxa"/>
            <w:vAlign w:val="bottom"/>
            <w:gridSpan w:val="3"/>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SIGNATURES</w:t>
              </w:r>
            </w:hyperlink>
          </w:p>
        </w:tc>
        <w:tc>
          <w:tcPr>
            <w:tcW w:w="460" w:type="dxa"/>
            <w:vAlign w:val="bottom"/>
            <w:tcBorders>
              <w:top w:val="single" w:sz="8" w:color="0000EE"/>
            </w:tcBorders>
            <w:gridSpan w:val="2"/>
          </w:tcPr>
          <w:p>
            <w:pPr>
              <w:spacing w:after="0"/>
              <w:rPr>
                <w:sz w:val="24"/>
                <w:szCs w:val="24"/>
                <w:color w:val="auto"/>
              </w:rPr>
            </w:pPr>
          </w:p>
        </w:tc>
        <w:tc>
          <w:tcPr>
            <w:tcW w:w="6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68"/>
        </w:trPr>
        <w:tc>
          <w:tcPr>
            <w:tcW w:w="20" w:type="dxa"/>
            <w:vAlign w:val="bottom"/>
            <w:tcBorders>
              <w:bottom w:val="single" w:sz="8" w:color="010101"/>
            </w:tcBorders>
          </w:tcPr>
          <w:p>
            <w:pPr>
              <w:spacing w:after="0"/>
              <w:rPr>
                <w:sz w:val="24"/>
                <w:szCs w:val="24"/>
                <w:color w:val="auto"/>
              </w:rPr>
            </w:pPr>
          </w:p>
        </w:tc>
        <w:tc>
          <w:tcPr>
            <w:tcW w:w="1080" w:type="dxa"/>
            <w:vAlign w:val="bottom"/>
            <w:tcBorders>
              <w:top w:val="single" w:sz="8" w:color="0000EE"/>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260" w:type="dxa"/>
            <w:vAlign w:val="bottom"/>
            <w:gridSpan w:val="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6800" w:type="dxa"/>
            <w:vAlign w:val="bottom"/>
            <w:gridSpan w:val="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24"/>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4"/>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60" w:type="dxa"/>
            <w:vAlign w:val="bottom"/>
            <w:gridSpan w:val="11"/>
          </w:tcPr>
          <w:p>
            <w:pPr>
              <w:jc w:val="center"/>
              <w:ind w:left="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0" w:type="dxa"/>
            <w:vAlign w:val="bottom"/>
            <w:gridSpan w:val="9"/>
          </w:tcPr>
          <w:p>
            <w:pPr>
              <w:jc w:val="center"/>
              <w:ind w:right="740"/>
              <w:spacing w:after="0"/>
              <w:rPr>
                <w:sz w:val="20"/>
                <w:szCs w:val="20"/>
                <w:color w:val="auto"/>
              </w:rPr>
            </w:pPr>
            <w:r>
              <w:rPr>
                <w:rFonts w:ascii="Arial" w:cs="Arial" w:eastAsia="Arial" w:hAnsi="Arial"/>
                <w:sz w:val="18"/>
                <w:szCs w:val="18"/>
                <w:b w:val="1"/>
                <w:bCs w:val="1"/>
                <w:i w:val="1"/>
                <w:iCs w:val="1"/>
                <w:color w:val="auto"/>
                <w:w w:val="85"/>
              </w:rPr>
              <w:t>(in thousands, except per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20" w:type="dxa"/>
            <w:vAlign w:val="bottom"/>
            <w:gridSpan w:val="10"/>
            <w:shd w:val="clear" w:color="auto" w:fill="CCEEFF"/>
          </w:tcPr>
          <w:p>
            <w:pPr>
              <w:jc w:val="center"/>
              <w:ind w:right="3720"/>
              <w:spacing w:after="0"/>
              <w:rPr>
                <w:sz w:val="20"/>
                <w:szCs w:val="20"/>
                <w:color w:val="auto"/>
              </w:rPr>
            </w:pPr>
            <w:r>
              <w:rPr>
                <w:rFonts w:ascii="Arial" w:cs="Arial" w:eastAsia="Arial" w:hAnsi="Arial"/>
                <w:sz w:val="18"/>
                <w:szCs w:val="18"/>
                <w:color w:val="auto"/>
                <w:w w:val="92"/>
              </w:rPr>
              <w:t>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w w:val="95"/>
              </w:rPr>
              <w:t>Cash and cash equivalents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127,884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125,047</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104,787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16,022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ind w:left="16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gridSpan w:val="8"/>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271,790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248,944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Premises and equipment, net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100,962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256,889</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61,941</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99,414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19,258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580" w:type="dxa"/>
            <w:vAlign w:val="bottom"/>
            <w:gridSpan w:val="13"/>
            <w:shd w:val="clear" w:color="auto" w:fill="CCEEFF"/>
          </w:tcPr>
          <w:p>
            <w:pPr>
              <w:jc w:val="center"/>
              <w:ind w:right="2560"/>
              <w:spacing w:after="0"/>
              <w:rPr>
                <w:sz w:val="20"/>
                <w:szCs w:val="20"/>
                <w:color w:val="auto"/>
              </w:rPr>
            </w:pPr>
            <w:r>
              <w:rPr>
                <w:rFonts w:ascii="Arial" w:cs="Arial" w:eastAsia="Arial" w:hAnsi="Arial"/>
                <w:sz w:val="18"/>
                <w:szCs w:val="18"/>
                <w:color w:val="auto"/>
              </w:rPr>
              <w:t>LIABILITIES AND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102,686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3,975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21,785</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8,957</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gridSpan w:val="8"/>
            <w:shd w:val="clear" w:color="auto" w:fill="CCEEFF"/>
          </w:tcPr>
          <w:p>
            <w:pPr>
              <w:ind w:left="520"/>
              <w:spacing w:after="0"/>
              <w:rPr>
                <w:sz w:val="20"/>
                <w:szCs w:val="20"/>
                <w:color w:val="auto"/>
              </w:rPr>
            </w:pPr>
            <w:r>
              <w:rPr>
                <w:rFonts w:ascii="Arial" w:cs="Arial" w:eastAsia="Arial" w:hAnsi="Arial"/>
                <w:sz w:val="18"/>
                <w:szCs w:val="18"/>
                <w:color w:val="auto"/>
                <w:w w:val="97"/>
              </w:rPr>
              <w:t>Total current liabilities</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137,403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135,554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389,385</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11,733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45,476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Commitments, contingencies and regulatory matters (Note 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3"/>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($1.00 par value; 100,000 shares authorized; 25,413 issued and 21,941 outstanding as of</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3"/>
            <w:shd w:val="clear" w:color="auto" w:fill="CCEEFF"/>
          </w:tcPr>
          <w:p>
            <w:pPr>
              <w:ind w:left="340"/>
              <w:spacing w:after="0"/>
              <w:rPr>
                <w:sz w:val="20"/>
                <w:szCs w:val="20"/>
                <w:color w:val="auto"/>
              </w:rPr>
            </w:pPr>
            <w:r>
              <w:rPr>
                <w:rFonts w:ascii="Arial" w:cs="Arial" w:eastAsia="Arial" w:hAnsi="Arial"/>
                <w:sz w:val="18"/>
                <w:szCs w:val="18"/>
                <w:color w:val="auto"/>
              </w:rPr>
              <w:t>June 30, 2014; 25,413 issued and 22,629 outstanding as of December 31, 2013)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-6398895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-6398895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90,403</w:t>
            </w:r>
          </w:p>
        </w:tc>
        <w:tc>
          <w:tcPr>
            <w:tcW w:w="4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89,273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330,361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w w:val="93"/>
              </w:rPr>
              <w:t>Treasury stock, at cost (3,472 shares as of June 30, 2014 and 2,784 shares as of December 31, 2013)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(274,679)</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Altisource equity</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171,498</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172,479</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711,000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730,052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296,072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535,341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183,999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116,972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331,804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213,934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203,537</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92,555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110,982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101,426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(6,548)</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54,732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94,878</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54,101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30,931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93,732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22,301</w:t>
            </w:r>
          </w:p>
        </w:tc>
        <w:tc>
          <w:tcPr>
            <w:tcW w:w="4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24,166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179,027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121,234</w:t>
            </w:r>
          </w:p>
        </w:tc>
        <w:tc>
          <w:tcPr>
            <w:tcW w:w="1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324,585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16,842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(731)</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282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5"/>
              </w:rPr>
              <w:t>Altisource Equity</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Additional</w:t>
            </w:r>
          </w:p>
        </w:tc>
        <w:tc>
          <w:tcPr>
            <w:tcW w:w="126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Retained</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Treasury stock,</w:t>
            </w:r>
          </w:p>
        </w:tc>
        <w:tc>
          <w:tcPr>
            <w:tcW w:w="22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00" w:type="dxa"/>
            <w:vAlign w:val="bottom"/>
            <w:gridSpan w:val="3"/>
            <w:vMerge w:val="continue"/>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paid-in capital</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at cost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tabs>
          <w:tab w:leader="none" w:pos="3220" w:val="left"/>
          <w:tab w:leader="none" w:pos="3940" w:val="left"/>
          <w:tab w:leader="none" w:pos="4360" w:val="left"/>
          <w:tab w:leader="none" w:pos="5100" w:val="left"/>
          <w:tab w:leader="none" w:pos="5740" w:val="left"/>
          <w:tab w:leader="none" w:pos="6480" w:val="left"/>
          <w:tab w:leader="none" w:pos="6920" w:val="left"/>
          <w:tab w:leader="none" w:pos="7740" w:val="left"/>
          <w:tab w:leader="none" w:pos="8440" w:val="left"/>
          <w:tab w:leader="none" w:pos="9220" w:val="left"/>
          <w:tab w:leader="none" w:pos="9780" w:val="left"/>
          <w:tab w:leader="none" w:pos="10400" w:val="left"/>
          <w:tab w:leader="none" w:pos="10700" w:val="left"/>
        </w:tabs>
        <w:rPr>
          <w:sz w:val="20"/>
          <w:szCs w:val="20"/>
          <w:color w:val="auto"/>
        </w:rPr>
      </w:pPr>
      <w:r>
        <w:rPr>
          <w:rFonts w:ascii="Arial" w:cs="Arial" w:eastAsia="Arial" w:hAnsi="Arial"/>
          <w:sz w:val="18"/>
          <w:szCs w:val="18"/>
          <w:color w:val="auto"/>
        </w:rPr>
        <w:t>Balance, December 31, 2012</w:t>
      </w:r>
      <w:r>
        <w:rPr>
          <w:sz w:val="20"/>
          <w:szCs w:val="20"/>
          <w:color w:val="auto"/>
        </w:rPr>
        <w:tab/>
      </w:r>
      <w:r>
        <w:rPr>
          <w:rFonts w:ascii="Arial" w:cs="Arial" w:eastAsia="Arial" w:hAnsi="Arial"/>
          <w:sz w:val="18"/>
          <w:szCs w:val="18"/>
          <w:color w:val="auto"/>
        </w:rPr>
        <w:t>25,413</w:t>
        <w:tab/>
        <w:t>$</w:t>
      </w:r>
      <w:r>
        <w:rPr>
          <w:sz w:val="20"/>
          <w:szCs w:val="20"/>
          <w:color w:val="auto"/>
        </w:rPr>
        <w:tab/>
      </w:r>
      <w:r>
        <w:rPr>
          <w:rFonts w:ascii="Arial" w:cs="Arial" w:eastAsia="Arial" w:hAnsi="Arial"/>
          <w:sz w:val="18"/>
          <w:szCs w:val="18"/>
          <w:color w:val="auto"/>
        </w:rPr>
        <w:t>25,413</w:t>
        <w:tab/>
        <w:t>$</w:t>
      </w:r>
      <w:r>
        <w:rPr>
          <w:sz w:val="20"/>
          <w:szCs w:val="20"/>
          <w:color w:val="auto"/>
        </w:rPr>
        <w:tab/>
      </w:r>
      <w:r>
        <w:rPr>
          <w:rFonts w:ascii="Arial" w:cs="Arial" w:eastAsia="Arial" w:hAnsi="Arial"/>
          <w:sz w:val="18"/>
          <w:szCs w:val="18"/>
          <w:color w:val="auto"/>
        </w:rPr>
        <w:t>86,873</w:t>
        <w:tab/>
        <w:t>$</w:t>
      </w:r>
      <w:r>
        <w:rPr>
          <w:sz w:val="20"/>
          <w:szCs w:val="20"/>
          <w:color w:val="auto"/>
        </w:rPr>
        <w:tab/>
      </w:r>
      <w:r>
        <w:rPr>
          <w:rFonts w:ascii="Arial" w:cs="Arial" w:eastAsia="Arial" w:hAnsi="Arial"/>
          <w:sz w:val="18"/>
          <w:szCs w:val="18"/>
          <w:color w:val="auto"/>
        </w:rPr>
        <w:t>124,127</w:t>
        <w:tab/>
        <w:t>$</w:t>
      </w:r>
      <w:r>
        <w:rPr>
          <w:sz w:val="20"/>
          <w:szCs w:val="20"/>
          <w:color w:val="auto"/>
        </w:rPr>
        <w:tab/>
      </w:r>
      <w:r>
        <w:rPr>
          <w:rFonts w:ascii="Arial" w:cs="Arial" w:eastAsia="Arial" w:hAnsi="Arial"/>
          <w:sz w:val="18"/>
          <w:szCs w:val="18"/>
          <w:color w:val="auto"/>
        </w:rPr>
        <w:t>(77,954)</w:t>
        <w:tab/>
        <w:t>$</w:t>
      </w:r>
      <w:r>
        <w:rPr>
          <w:sz w:val="20"/>
          <w:szCs w:val="20"/>
          <w:color w:val="auto"/>
        </w:rPr>
        <w:tab/>
      </w:r>
      <w:r>
        <w:rPr>
          <w:rFonts w:ascii="Arial" w:cs="Arial" w:eastAsia="Arial" w:hAnsi="Arial"/>
          <w:sz w:val="18"/>
          <w:szCs w:val="18"/>
          <w:color w:val="auto"/>
        </w:rPr>
        <w:t>1,370</w:t>
        <w:tab/>
        <w:t>$</w:t>
      </w:r>
      <w:r>
        <w:rPr>
          <w:sz w:val="20"/>
          <w:szCs w:val="20"/>
          <w:color w:val="auto"/>
        </w:rPr>
        <w:tab/>
      </w:r>
      <w:r>
        <w:rPr>
          <w:rFonts w:ascii="Arial" w:cs="Arial" w:eastAsia="Arial" w:hAnsi="Arial"/>
          <w:sz w:val="16"/>
          <w:szCs w:val="16"/>
          <w:color w:val="auto"/>
        </w:rPr>
        <w:t>159,829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58,449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178,937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(122,974)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239,561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(197,548)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93,732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Share-based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(80,702)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Balance, June 30, 2014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25,413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90,403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330,361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(274,679)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172,479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Six months ended</w:t>
      </w:r>
    </w:p>
    <w:p>
      <w:pPr>
        <w:jc w:val="center"/>
        <w:ind w:left="80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94,878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13,375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Change in the fair value of Equator Earn Out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(37,924)</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37,473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investment in affiliate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4,250</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(24,510)</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(2,089)</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(11,950)</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(30,522)</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Proceeds from loan to Ocwen</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equity affiliate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Other investing activities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 and payments on capital lease obligations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(80,702)</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(1,207)</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72,303</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4" w:name="page5"/>
    <w:bookmarkEnd w:id="4"/>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130,429</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105,502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127,884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177,805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Income taxes paid, net</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1,561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increase in acquisition of businesses from subsequent working capital true-ups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(3,711)</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Altisource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operations are conducted through three reporting segments: Mortgage Services, Financial Services and Technology Services. In addition, we report our corporate-related expenditures and eliminations separately (see Note 19 for a description of our business segments).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Intercompany and inter-segment transactions and accounts are eliminated in consolidation.</w:t>
      </w:r>
    </w:p>
    <w:p>
      <w:pPr>
        <w:spacing w:after="0" w:line="166"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Mortgage Partnership of America, L.L.C. (“MPA”), a wholly-owned subsidiary of Altisource, serves as the manager of Best Partners Mortgage Cooperative, Inc. doing business as Lenders One Mortgage Cooperative (“Lenders One”). MPA provides services to Lenders One under a management agreement that ends on December 31, 2025. The management agreement between MPA and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members,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June 30, 2014, Lenders One had total assets of $5.8 million and total liabilities of $4.9 million. As of December 31, 2013, Lenders One had total assets of $4.6 million and total liabilities of $3.5 million.</w:t>
      </w:r>
    </w:p>
    <w:p>
      <w:pPr>
        <w:spacing w:after="0" w:line="1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2013, filed with the SEC on February 13, 2014,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During the second quarter of 2014, we determined that while we properly identified our related parties in previously issued financial statements, disclosures of certain immaterial related party expenses were omitted. We have corrected the previously presented disclosures of related party expenses in Note 2 — </w:t>
      </w:r>
      <w:r>
        <w:rPr>
          <w:rFonts w:ascii="Arial" w:cs="Arial" w:eastAsia="Arial" w:hAnsi="Arial"/>
          <w:sz w:val="17"/>
          <w:szCs w:val="17"/>
          <w:i w:val="1"/>
          <w:iCs w:val="1"/>
          <w:color w:val="auto"/>
        </w:rPr>
        <w:t xml:space="preserve">Transactions with Related Parties </w:t>
      </w:r>
      <w:r>
        <w:rPr>
          <w:rFonts w:ascii="Arial" w:cs="Arial" w:eastAsia="Arial" w:hAnsi="Arial"/>
          <w:sz w:val="17"/>
          <w:szCs w:val="17"/>
          <w:color w:val="auto"/>
        </w:rPr>
        <w:t>and on the face of the condensed consolidated statements of operations for the three and six months ended June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 of correcting these items in the notes to the condensed consolidated financial statements had the effect of increasing the amounts disclosed as related party cost of revenue from Ocwen Financial Corporation, together with its subsidiaries (“Ocwen”), by $8.9 million for the six months ended June 30, 2013 ($5.1 million for the second quarter of 2013), increasing the amounts disclosed as selling, general and administrative expenses from Ocwen billings to Altisource by $0.2 million for the six months ended June 30, 2013 ($0.1 million for the second quarter of 2013), decreasing the amounts disclosed as selling, general and administrative expenses from Altisource billings to Ocwen by $0.1 million for the six months ended June 30, 2013 ($0.1 million for the second quarter of 2013) and decreasing the amounts disclosed as selling, general and administrative expenses from Altisource billings to Altisource Asset Management Corporation (“AAMC”) by $0.2 million ($0.1 million for the second quarter of 2013). Correcting these items on the face of the condensed consolidated statements of operations resulted in the disclosure of related party cost of revenue of $8.9 million for the six months ended June 30, 2013 ($5.1 million for the second quarter of 2013) and a decrease in previously</w:t>
      </w:r>
    </w:p>
    <w:p>
      <w:pPr>
        <w:sectPr>
          <w:pgSz w:w="11900" w:h="16849" w:orient="portrait"/>
          <w:cols w:equalWidth="0" w:num="1">
            <w:col w:w="11420"/>
          </w:cols>
          <w:pgMar w:left="240" w:top="125"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49"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disclosed related party selling, general and administrative expenses by $1.7 million for the six months ended June 30, 2013 ($0.8 million for the second quarter of 2013).</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 xml:space="preserve">In accordance with Accounting Standards Codification (“ASC”) Topic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the Company evaluated the effect of the disclosure and presentation errors on its previously issued annual and quarterly financial statements, both qualitatively and quantitatively, and concluded that the related party disclosures in the Company’s previously issued annual and quarterly financial statements are not materially misstated.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a New Accounting Pronouncement</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established a three-level hierarchy that prioritizes the inputs used to measure fair value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1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financial assets and liabilities primarily include cash and cash equivalents, restricted cash, long-term debt and acquisition-related contingent consideration. Cash and cash equivalents and restricted cash are carried at amounts that approximate their fair value due to the short-term nature of these instruments. The fair value for cash and cash equivalents and restricted cash was measured using level 1 inputs. The carrying amount of long-term debt approximates fair value due to the variable interest rate and consistent credit rating of the Company. The fair value of long-term debt was measured using level 2 inputs. The carrying amount of acquisition-related contingent consideration is equal to its fair value. The fair value of acquisition-related contingent consideration was measured using level 3 inputs, which included sensitivities pertaining to discount rates and financial projections. See Note 3 for further discussion of the change in fair value of contingent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color w:val="auto"/>
          <w:vertAlign w:val="superscript"/>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Ocwen is our largest customer. Our Chairman is also the Executive Chairman of Ocwen.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Ocwen purchases certain mortgage services and technology services from us under the terms of master services agreements and amendments to the master services agreements (collectively, the “Service Agreements”) with terms extending through August 2025. The Service Agreements, among other things, contain a “most favored nations” provision and the parties to the Service Agreements have the right to renegotiate pricing. In connection with our March 29, 2013 acquisition from Ocwen of the fee-based businesses of Homeward Residential, Inc. (“Homeward”) and the April 12, 2013 transaction with Ocwen related to the fee-based businesses of Residential Capital, LLC (“ResCap”) (see Note 3), our Service Agreements with Ocwen were amended to extend the term from 2020 to 2025. Further, as part of the amendments, Ocwen agreed not to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Related party revenue consists of revenue earned directly from Ocwen and revenue earned from the loans serviced by Ocwen when Ocwen designates us as the service provider. We earn additional revenue on the portfolios serviced by Ocwen that are not considered related party revenue when a party other than Ocwen selects Altisource as the service provider. Related party revenue from Ocwen as a percentage of segment and consolidated revenue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gridSpan w:val="2"/>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8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6" w:name="page7"/>
    <w:bookmarkEnd w:id="6"/>
    <w:p>
      <w:pPr>
        <w:spacing w:after="0" w:line="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market rates as we believe they are consistent with the fees we charge to other customers for comparable services and/or fees charged by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times, we use Ocwen’s contractors and/or employees to support Altisource related services. Ocwen bills us for these contractors and/or employees based on their fully-allocated cost. Additionally, we purchase certain data relating to Ocwen’s servicing portfolio in connection with a Data Access and Services Agreement. The Data Access and Services Agreement may be renegotiated and may be cancelled by either Altisource or Ocwen with 90 days prior written notice. Ocwen bills us a per asset fee for this data. For the six months ended June 30, 2014 and 2013, Ocwen billed us $16.8 million and $8.9 million, respectively ($9.6 million and $5.1 million for the second quarter of 2014 and 2013, respectively). These amounts are reflected as a component of cost of revenue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certain other services to Ocwen and Ocwen provides certain other services to us. These services include such areas as human resources, vendor management, vendor oversight, corporate services, operational effectiveness, quality assurance, quantitative analytics and treasury. Billings for these services are based on the fully-allocated cost of providing the service based on an estimate of the time and expense of providing the service or estimates thereof. For the six months ended June 30, 2014 and 2013, we billed Ocwen $2.2 million and $1.3 million, respectively ($1.2 million and $0.6 million for the second quarter of 2014 and 2013, respectively), and Ocwen billed us $2.4 million and $1.6 million, respectively ($1.2 million and $0.9 million for the second quarter of 2014 and 2013, respectively). These amounts are reflected as a component of selling, general and administrative expenses in the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is not less than 1.50%. On February 15, 2013, Ocwen repaid the outstanding principal amount of this loan and all accrued and unpaid interest and the term loan was terminated. Interest income related to this loan was $0.8 million for the six months ended June 30, 2013, all of which was recognized in the first quarter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Related to Fee-Based Businesses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3). Altisource entered into an agreement with Ocwen on April 12, 2013 to establish additional terms related to our services in connection with the ResCap fee-based businesses (see Note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July 2011, we acquired an equity interest in Correspondent One S.A. (“Correspondent One”). Correspondent One purchased closed conforming and government guaranteed residential mortgages from approved mortgage bankers. On March 31, 2013, we sold our 49% interest in Correspondent One to Ocwen for $12.6 million. Prior to the sale to Ocwen, we provided Correspondent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One certain finance, human resources, legal support, facilities, technology, vendor management and risk management services under a support services agreement. For the six months ended June 30, 2013, we billed Correspondent One $0.1 million (no comparative amounts for 2014 and the second quarter of 2013). This amount was reflected as a component of selling, general and administrative expenses in the condensed consolidated statements of operations. We also provided certain origination related services to Correspondent One. We earned revenue of $0.1 million for the six months ended June 30, 2013 for these services (no comparative amounts for 2014 and the second quarter of 2013).</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Home Loan Servicing Solutions, Ltd. (“HLSS”) is a publicly traded company whose primary objective is the acquisition of mortgage servicing rights and advances. Our Chairman is also the Chairman of HLSS. Under a support services agreement, we provide HLSS certain finance, human resources and legal support services. We billed HLSS $0.4 million and $0.3 million for the six months ended June 30, 2014 and 2013, respectively ($0.2 million in each period for the second quarter of 2014 and 2013). These amounts are reflected as a component of selling, general and administrative expenses in the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Altisource Residential Corporation (“Residential”) and AAMC were established, capitalized and their equity was distributed to our shareholders on December 21, 2012 and they are each separate publicly traded companies. Residential is focused on acquiring and managing single family rental properties by acquiring portfolios of sub-performing and non-performing residential mortgage loans throughout the United States. AAMC is an asset management company providing portfolio management and corporate governance services to Residential. Our Chairman is also the Chairman of Residential and AAMC.</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purposes of governing certain ongoing relationships between Altisource, Residential and AAMC, we entered into certain agreements with Residential and AAMC. We have agreements to provide Residential with renovation management, lease management and property management services. In addition, we have agreements with Residential and AAMC to provide support services such as finance, human resources, legal support, facilities, technology, vendor management and risk management. Further, we have separate agreements for certain services related to income tax matters, trademark licenses and technology products and services.</w:t>
      </w:r>
    </w:p>
    <w:p>
      <w:pPr>
        <w:sectPr>
          <w:pgSz w:w="11900" w:h="16843" w:orient="portrait"/>
          <w:cols w:equalWidth="0" w:num="1">
            <w:col w:w="11420"/>
          </w:cols>
          <w:pgMar w:left="240" w:top="125" w:right="239" w:bottom="0" w:gutter="0" w:footer="0" w:header="0"/>
        </w:sectPr>
      </w:pPr>
    </w:p>
    <w:bookmarkStart w:id="7" w:name="page8"/>
    <w:bookmarkEnd w:id="7"/>
    <w:p>
      <w:pPr>
        <w:ind w:right="100"/>
        <w:spacing w:after="0" w:line="293" w:lineRule="auto"/>
        <w:rPr>
          <w:sz w:val="20"/>
          <w:szCs w:val="20"/>
          <w:color w:val="auto"/>
        </w:rPr>
      </w:pPr>
      <w:r>
        <w:rPr>
          <w:rFonts w:ascii="Arial" w:cs="Arial" w:eastAsia="Arial" w:hAnsi="Arial"/>
          <w:sz w:val="16"/>
          <w:szCs w:val="16"/>
          <w:color w:val="auto"/>
        </w:rPr>
        <w:t>For the six months ended June 30, 2014 and 2013, we billed Residential $4.7 million and $0.4 million, respectively ($3.9 million and $0.2 million for the second quarter of 2014 and 2013, respectively). For the six months ended June 30, 2014 and 2013, we billed AAMC less than $0.1 million in each period (less than $0.1 million in each period for the second quarter of 2014 and 2013) under the services agreements. These amounts are reflected in revenue in the condensed consolidated statements of operations. In addition, for the six months ended June 30, 2014 and 2013, we billed AAMC $0.5 million and $0.2 million, respectively ($0.3 million and $0.1 million for the second quarter of 2014 and 2013, respectively), under the support services agreements. These amounts are reflected as a component of selling, general and administrative expenses in the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our Service Agreements with Ocwen were amended to extend the term from 2020 to 2025 (see Note 2). We paid $75.8 million, after a working capital and pre-acquisition net income adjustment payment by Ocwen of $11.1 million, which we received in September 2013.</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acquisition date, management adjusted the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and increased current liabilities by $2.0 million based on a subsequent detailed analysis of obligations payable as of the closing date. Consequently, the Company retrospectively adjusted the fair value of the assets acquired and liabilities assumed in the condensed consolidated balance sheet as of December 31, 2013 as well as disclosed the corresponding amount of non-cash investing and financing activities in the condensed consolidated statement of cash flows for the six months ended June 30, 2013.</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440" w:type="dxa"/>
            <w:vAlign w:val="bottom"/>
            <w:gridSpan w:val="3"/>
          </w:tcPr>
          <w:p>
            <w:pPr>
              <w:ind w:left="3180"/>
              <w:spacing w:after="0"/>
              <w:rPr>
                <w:sz w:val="20"/>
                <w:szCs w:val="20"/>
                <w:color w:val="auto"/>
              </w:rPr>
            </w:pPr>
            <w:r>
              <w:rPr>
                <w:rFonts w:ascii="Arial" w:cs="Arial" w:eastAsia="Arial" w:hAnsi="Arial"/>
                <w:sz w:val="18"/>
                <w:szCs w:val="18"/>
                <w:b w:val="1"/>
                <w:bCs w:val="1"/>
                <w:color w:val="auto"/>
              </w:rPr>
              <w:t>ALTISOURCE PORTFOLIO SOLUTIONS S.A.</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440" w:type="dxa"/>
            <w:vAlign w:val="bottom"/>
            <w:gridSpan w:val="3"/>
          </w:tcPr>
          <w:p>
            <w:pPr>
              <w:ind w:left="246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00" w:type="dxa"/>
            <w:vAlign w:val="bottom"/>
            <w:gridSpan w:val="4"/>
          </w:tcPr>
          <w:p>
            <w:pPr>
              <w:spacing w:after="0"/>
              <w:rPr>
                <w:sz w:val="20"/>
                <w:szCs w:val="20"/>
                <w:color w:val="auto"/>
              </w:rPr>
            </w:pPr>
            <w:r>
              <w:rPr>
                <w:rFonts w:ascii="Arial" w:cs="Arial" w:eastAsia="Arial" w:hAnsi="Arial"/>
                <w:sz w:val="18"/>
                <w:szCs w:val="18"/>
                <w:color w:val="auto"/>
              </w:rPr>
              <w:t>The final adjusted allocation of the purchase price is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00" w:type="dxa"/>
            <w:vAlign w:val="bottom"/>
            <w:gridSpan w:val="4"/>
          </w:tcPr>
          <w:p>
            <w:pPr>
              <w:ind w:left="6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Customer relationship</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75,609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0"/>
        </w:trPr>
        <w:tc>
          <w:tcPr>
            <w:tcW w:w="9100" w:type="dxa"/>
            <w:vAlign w:val="bottom"/>
            <w:gridSpan w:val="4"/>
          </w:tcPr>
          <w:p>
            <w:pPr>
              <w:ind w:left="660"/>
              <w:spacing w:after="0"/>
              <w:rPr>
                <w:sz w:val="20"/>
                <w:szCs w:val="20"/>
                <w:color w:val="auto"/>
              </w:rPr>
            </w:pPr>
            <w:r>
              <w:rPr>
                <w:rFonts w:ascii="Arial" w:cs="Arial" w:eastAsia="Arial" w:hAnsi="Arial"/>
                <w:sz w:val="18"/>
                <w:szCs w:val="18"/>
                <w:color w:val="auto"/>
              </w:rPr>
              <w:t>Purchase price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Estimated life</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Customer relationship</w:t>
            </w:r>
          </w:p>
        </w:tc>
        <w:tc>
          <w:tcPr>
            <w:tcW w:w="1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agreement provides that (i) Altisource will be a provider to Ocwen of certain services related to the ResCap Business, (ii) Ocwen will not establish similar fee-based businesses that would directly or indirectly compete with Altisource’s services as they relate to the ResCap Business and (iii) 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to Ocwen in connection with the ResCap fee-based businesses agreement.</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ResCap transaction.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until finalized as of December 31, 2013. The agreement consideration of $128.8 million was fully allocated to the customer relationship intangible asset with an estimated average useful life of 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Acquisition</w:t>
      </w:r>
    </w:p>
    <w:p>
      <w:pPr>
        <w:spacing w:after="0" w:line="17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November 15, 2013, we completed the acquisition of all of the outstanding limited liability company interests of Equator, LLC (“Equator”) pursuant to a Purchase and Sale Agreement dated as of August 19, 2013 (the “Purchase Agreement”). Pursuant to the terms of the Purchase Agreement, we paid $63.4 million at closing in cash (net of closing working capital adjustments), subject to certain post-closing adjustments based on current assets and current liabilities of Equator at closing. After the acquisition date, management adjusted the purchase price allocation based upon information that has subsequently become available relating to acquisition date working capital, resulting in an obligation of the Company to pay the sellers an additional $3.7 million. Consequently, the Company retrospectively adjusted the fair value of the assets acquired and liabilities assumed in the condensed consolidated balance sheet</w:t>
      </w:r>
    </w:p>
    <w:p>
      <w:pPr>
        <w:sectPr>
          <w:pgSz w:w="11900" w:h="16838" w:orient="portrait"/>
          <w:cols w:equalWidth="0" w:num="1">
            <w:col w:w="11380"/>
          </w:cols>
          <w:pgMar w:left="240" w:top="341" w:right="279" w:bottom="0" w:gutter="0" w:footer="0" w:header="0"/>
        </w:sectPr>
      </w:pPr>
    </w:p>
    <w:bookmarkStart w:id="8" w:name="page9"/>
    <w:bookmarkEnd w:id="8"/>
    <w:p>
      <w:pPr>
        <w:ind w:right="700"/>
        <w:spacing w:after="0" w:line="277" w:lineRule="auto"/>
        <w:rPr>
          <w:sz w:val="20"/>
          <w:szCs w:val="20"/>
          <w:color w:val="auto"/>
        </w:rPr>
      </w:pPr>
      <w:r>
        <w:rPr>
          <w:rFonts w:ascii="Arial" w:cs="Arial" w:eastAsia="Arial" w:hAnsi="Arial"/>
          <w:sz w:val="18"/>
          <w:szCs w:val="18"/>
          <w:color w:val="auto"/>
        </w:rPr>
        <w:t>as of December 31, 2013 as well as disclosed the corresponding amount of non-cash investing and financing activities in the condensed consolidated statement of cash flows for the six months ended June 30, 2014.</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Purchase Agreement also provides for the payment of up to $80 million in potential additional consideration (the “Earn Out”). The Earn Out is determined based on Equator’s Adjusted EBITA (as defined in the Purchase Agreement) in the three consecutive 12-month periods following closing. Up to $22.5 million of the Earn Out can be earned in each of the first two 12-month periods, and up to $35.0 million can be earned in the third 12-month period. Any amounts earned upon the achievement of Adjusted EBITA thresholds are payable through 2017. We may, in our discretion, pay up to 20% of each payment of any Earn Out in shares of Company restricted stock, with the balance to be paid in cash. As of the closing date, we estimated the fair value of the Earn Out to be $46.0 million, determined based on the present value of future estimated Earn Out payments at such date, which has subsequently been adjusted as further described below. The acquisition date fair value of the Earn Out is included as a component of the purchase price of Equator.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Initial purchase</w:t>
            </w:r>
          </w:p>
        </w:tc>
        <w:tc>
          <w:tcPr>
            <w:tcW w:w="180" w:type="dxa"/>
            <w:vAlign w:val="bottom"/>
          </w:tcPr>
          <w:p>
            <w:pPr>
              <w:spacing w:after="0"/>
              <w:rPr>
                <w:sz w:val="14"/>
                <w:szCs w:val="14"/>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Adjusted purchase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price allocation</w:t>
            </w: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 allocation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9,293</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16,974</w:t>
            </w:r>
          </w:p>
        </w:tc>
        <w:tc>
          <w:tcPr>
            <w:tcW w:w="1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 and trade names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43,393</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82,460</w:t>
            </w:r>
          </w:p>
        </w:tc>
        <w:tc>
          <w:tcPr>
            <w:tcW w:w="1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153,316</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(36,689)</w:t>
            </w:r>
          </w:p>
        </w:tc>
        <w:tc>
          <w:tcPr>
            <w:tcW w:w="1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Liabilities assumed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109,395</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Estimated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(excluding internally developed software)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Internally developed software (included in premises and equipment)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liability for Earn Out payments is remeasured to fair value each period until the contingency is resolved with the change in fair value recognized in earnings. As of the closing date, December 31, 2013 and March 31, 2014, we estimated the fair value of the Earn Out to be $46.0 million, determined based on the present value of future estimated Earn Out payments. As of June 30, 2014, we estimate the fair value of the Earn Out to be $8.1 million, determined based on the present value of future estimated Earn Out payments. The lower fair value of the Earn Out is based on management’s current estimates that expected earnings of Equator will be lower than projected at the time of acquisition. The change in fair value of $37.9 million is reflected as a reduction of selling, general and administrative expenses in the condensed consolidated statements of operations.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a result of the decline in fair value of the Earn Out, management evaluated and determined that Equator goodwill should be tested for impairment. Consequently, we initiated a quantitative two-step goodwill impairment test by comparing the carrying value of the net assets of Equator to its fair value based on a discounted cash flow analysis. We determined, based on a preliminary assessment, that the fair value of Equator was less than its carrying value. Based on this preliminary assessment, management has estimated that the Equator goodwill impairment is approximately $37.5 million, which is reflected as a component of selling, general and administrative expenses in the condensed consolidated statements of operations (see Note 15). This assessment is preliminary due to the timing of revisions to forecasted results of operations and cash flows and the volatility of the markets in which Equator’s customers operate. The Company expects to complete its Equator goodwill impairment assessment in the third quarter of 2014.</w:t>
      </w:r>
    </w:p>
    <w:p>
      <w:pPr>
        <w:spacing w:after="0" w:line="16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table presents the impact of the change in the fair value of the Equator Earn Out and Equator goodwill impairment for the second quarter of 2014 and for the six months ended June 30, 2014, which are included in selling, general and administrative expenses in the condensed 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fair value of Equator Earn Out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9960" w:type="dxa"/>
            <w:vAlign w:val="bottom"/>
            <w:gridSpan w:val="3"/>
            <w:vMerge w:val="restart"/>
          </w:tcPr>
          <w:p>
            <w:pPr>
              <w:spacing w:after="0"/>
              <w:rPr>
                <w:sz w:val="20"/>
                <w:szCs w:val="20"/>
                <w:color w:val="auto"/>
              </w:rPr>
            </w:pPr>
            <w:r>
              <w:rPr>
                <w:rFonts w:ascii="Arial" w:cs="Arial" w:eastAsia="Arial" w:hAnsi="Arial"/>
                <w:sz w:val="18"/>
                <w:szCs w:val="18"/>
                <w:color w:val="auto"/>
              </w:rPr>
              <w:t>The final determination of any further post-closing purchase price adjustments is in process.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the unaudited pro forma consolidated results of operations as if the Homeward, ResCap Business and Equator transactions had occurred at the beginning of the period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vMerge w:val="restart"/>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1028"/>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94"/>
              </w:rPr>
              <w:t>As reported</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186,110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30,931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2"/>
                <w:szCs w:val="12"/>
                <w:color w:val="auto"/>
              </w:rPr>
            </w:pPr>
          </w:p>
        </w:tc>
        <w:tc>
          <w:tcPr>
            <w:tcW w:w="10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334,937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58,449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pro forma information presents the combined operating results of Altisource and the Homeward, ResCap Business and Equator transactions. The Homeward, ResCap Business and Equator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purchase price allocations, the adjustment of interest expense reflecting the portion of our senior secured term loan used in the Homeward, ResCap Business and Equator transactions and to reflect the impact of income taxes on the pro forma adjustments utilizing Altisource’s effective income tax rate.</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the period presented, nor is the pro forma data intended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Non-related parties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41,533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28,137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HLSS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AAMC</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Unbilled</w:t>
            </w:r>
          </w:p>
        </w:tc>
        <w:tc>
          <w:tcPr>
            <w:tcW w:w="726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Non-related parties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134,733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860" w:hanging="172"/>
        <w:spacing w:after="0" w:line="267" w:lineRule="auto"/>
        <w:tabs>
          <w:tab w:leader="none" w:pos="183"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December 31, 2013 accounts receivable has been revised to reflect a purchase accounting measurement period adjustment related to the Equator acquisition. See Note 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Unbilled receivables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ectPr>
          <w:pgSz w:w="11900" w:h="16838" w:orient="portrait"/>
          <w:cols w:equalWidth="0" w:num="1">
            <w:col w:w="11420"/>
          </w:cols>
          <w:pgMar w:left="240" w:top="368" w:right="23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38" w:lineRule="auto"/>
        <w:tabs>
          <w:tab w:leader="none" w:pos="195"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December 31, 2013 prepaid expenses and other current assets have been revised to reflect a purchase accounting measurement period adjustment related to the Equator acquisition. See Note 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31,627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20,224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(82,805)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(70,170)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100,962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87,252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Depreciation and amortization expense, inclusive of capital leases, amounted to $13.4 million and $9.3 million for the six months ended June 30, 2014 and 2013, respectively ($7.2 million and $4.6 million for the second quarter of 2014 and 2013, respectively), and is included in cost of revenue for operating assets and in selling, general and administrative expenses for non-operating assets in the accompanying condensed consolidated statements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Technology</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r>
              <w:rPr>
                <w:rFonts w:ascii="Arial" w:cs="Arial" w:eastAsia="Arial" w:hAnsi="Arial"/>
                <w:sz w:val="8"/>
                <w:szCs w:val="8"/>
                <w:b w:val="1"/>
                <w:bCs w:val="1"/>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8"/>
                <w:szCs w:val="18"/>
                <w:color w:val="auto"/>
              </w:rPr>
              <w:t>Impairment of Equator goodwill</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(37,473)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Balance, June 30, 2014</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12,958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46,605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0" w:right="140" w:hanging="192"/>
        <w:spacing w:after="0" w:line="282" w:lineRule="auto"/>
        <w:tabs>
          <w:tab w:leader="none" w:pos="171"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December 31, 2013 goodwill has been revised to reflect a purchase accounting measurement period adjustment related to the Homeward acquisition. See Note 3.</w:t>
      </w:r>
    </w:p>
    <w:p>
      <w:pPr>
        <w:spacing w:after="0" w:line="15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Note 3 for a discussion of the Equator goodwill impairment.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7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Gross carrying amount</w:t>
            </w:r>
          </w:p>
        </w:tc>
        <w:tc>
          <w:tcPr>
            <w:tcW w:w="27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Accumulated amortization</w:t>
            </w:r>
          </w:p>
        </w:tc>
        <w:tc>
          <w:tcPr>
            <w:tcW w:w="24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estimated</w:t>
            </w:r>
          </w:p>
        </w:tc>
        <w:tc>
          <w:tcPr>
            <w:tcW w:w="2740" w:type="dxa"/>
            <w:vAlign w:val="bottom"/>
            <w:gridSpan w:val="4"/>
            <w:vMerge w:val="continue"/>
          </w:tcPr>
          <w:p>
            <w:pPr>
              <w:spacing w:after="0"/>
              <w:rPr>
                <w:sz w:val="14"/>
                <w:szCs w:val="14"/>
                <w:color w:val="auto"/>
              </w:rPr>
            </w:pPr>
          </w:p>
        </w:tc>
        <w:tc>
          <w:tcPr>
            <w:tcW w:w="2760" w:type="dxa"/>
            <w:vAlign w:val="bottom"/>
            <w:gridSpan w:val="4"/>
            <w:vMerge w:val="continue"/>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vMerge w:val="restart"/>
          </w:tcPr>
          <w:p>
            <w:pPr>
              <w:spacing w:after="0"/>
              <w:rPr>
                <w:sz w:val="10"/>
                <w:szCs w:val="10"/>
                <w:color w:val="auto"/>
              </w:rPr>
            </w:pPr>
          </w:p>
        </w:tc>
        <w:tc>
          <w:tcPr>
            <w:tcW w:w="13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3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June 30,</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38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June 30,</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Definite lived</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7,478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7,715</w:t>
            </w:r>
          </w:p>
        </w:tc>
      </w:tr>
      <w:tr>
        <w:trPr>
          <w:trHeight w:val="232"/>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Customer-related</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284,484</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284,484</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(62,634)</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221,850</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240,276</w:t>
            </w:r>
          </w:p>
        </w:tc>
      </w:tr>
    </w:tbl>
    <w:p>
      <w:pPr>
        <w:sectPr>
          <w:pgSz w:w="11900" w:h="16900" w:orient="portrait"/>
          <w:cols w:equalWidth="0" w:num="1">
            <w:col w:w="11420"/>
          </w:cols>
          <w:pgMar w:left="240" w:top="341"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89"/>
              </w:rPr>
              <w:t>20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(7,729)</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(6,854)</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27,271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28,146</w:t>
            </w:r>
          </w:p>
        </w:tc>
        <w:tc>
          <w:tcPr>
            <w:tcW w:w="100" w:type="dxa"/>
            <w:vAlign w:val="bottom"/>
          </w:tcPr>
          <w:p>
            <w:pPr>
              <w:spacing w:after="0"/>
              <w:rPr>
                <w:sz w:val="18"/>
                <w:szCs w:val="18"/>
                <w:color w:val="auto"/>
              </w:rPr>
            </w:pPr>
          </w:p>
        </w:tc>
      </w:tr>
      <w:tr>
        <w:trPr>
          <w:trHeight w:val="202"/>
        </w:trPr>
        <w:tc>
          <w:tcPr>
            <w:tcW w:w="2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Non-compete</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w:t>
            </w:r>
          </w:p>
        </w:tc>
        <w:tc>
          <w:tcPr>
            <w:tcW w:w="12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89"/>
              </w:rPr>
              <w:t>10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332,033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333,033</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(75,144)  $</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(56,871)  $</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256,889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276,162</w:t>
            </w:r>
          </w:p>
        </w:tc>
        <w:tc>
          <w:tcPr>
            <w:tcW w:w="100" w:type="dxa"/>
            <w:vAlign w:val="bottom"/>
          </w:tcPr>
          <w:p>
            <w:pPr>
              <w:spacing w:after="0"/>
              <w:rPr>
                <w:sz w:val="21"/>
                <w:szCs w:val="2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Amortization expense for definite lived intangible assets was $19.6 million and $10.2 million for the six months ended June 30, 2014 and 2013, respectively ($10.1 million and $9.0 million for the second quarter of 2014 and 2013, respectively). Expected annual definite lived intangible asset amortization for 2014 through 2018 is $40.5 million, $39.9 million, $33.7 million, $29.2 million and $25.1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Correspondent One purchased closed conforming residential mortgages from approved mortgage bankers.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net loss on this investment using the equity method was $0.1 million for the six months ended June 30, 2013 and was a $0.1 million gain for the second quarter of 2013 (no comparative amounts for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374"/>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Debt issuance costs,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00" w:hanging="172"/>
        <w:spacing w:after="0" w:line="267" w:lineRule="auto"/>
        <w:tabs>
          <w:tab w:leader="none" w:pos="18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December 31, 2013 security deposits and other assets have been revised to reflect a purchase accounting measurement period adjustment related to the Equator acquisition.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27,869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14,805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Payable to AAMC</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102,686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60" w:hanging="172"/>
        <w:spacing w:after="0" w:line="267"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December 31, 2013 payables have been revised to reflect purchase accounting measurement period adjustments related to the Homeward and Equator acquisitions. See Note 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overdrafts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3,707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2" w:name="page13"/>
    <w:bookmarkEnd w:id="12"/>
    <w:p>
      <w:pPr>
        <w:spacing w:after="0" w:line="66" w:lineRule="exact"/>
        <w:rPr>
          <w:sz w:val="20"/>
          <w:szCs w:val="20"/>
          <w:color w:val="auto"/>
        </w:rPr>
      </w:pPr>
    </w:p>
    <w:p>
      <w:pPr>
        <w:spacing w:after="0"/>
        <w:tabs>
          <w:tab w:leader="none" w:pos="7880" w:val="left"/>
          <w:tab w:leader="none" w:pos="8860" w:val="left"/>
          <w:tab w:leader="none" w:pos="9540" w:val="left"/>
          <w:tab w:leader="none" w:pos="10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8,957</w:t>
        <w:tab/>
        <w:t>$</w:t>
      </w:r>
      <w:r>
        <w:rPr>
          <w:sz w:val="20"/>
          <w:szCs w:val="20"/>
          <w:color w:val="auto"/>
        </w:rPr>
        <w:tab/>
      </w:r>
      <w:r>
        <w:rPr>
          <w:rFonts w:ascii="Arial" w:cs="Arial" w:eastAsia="Arial" w:hAnsi="Arial"/>
          <w:sz w:val="16"/>
          <w:szCs w:val="16"/>
          <w:color w:val="auto"/>
        </w:rPr>
        <w:t>10,131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1912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26035"/>
                    </a:xfrm>
                    <a:prstGeom prst="rect">
                      <a:avLst/>
                    </a:prstGeom>
                    <a:noFill/>
                  </pic:spPr>
                </pic:pic>
              </a:graphicData>
            </a:graphic>
          </wp:anchor>
        </w:drawing>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unamortized discount, net</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(3,975)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389,385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391,281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27, 2012, Altisource Solutions S.à r.l., a wholly-owned subsidiary of the Company, entered into a senior secured term loan agreement, as subsequently amended, with Bank of America, N.A., as administrative agent, and certain lenders, pursuant to which we borrowed $200.0 million. The senior secured term loan was issued with a 1.0% original issue discount of $2.0 million, resulting in net proceeds of $198.0 million with the Company and certain wholly-owned subsidiaries acting as guarantors (collectively, the “Guarantors”).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May 7, 2013, we amended the senior secured term loan agreement to increase the principal amount of the senior secured term loan by $200.0 million (the “Incremental Term Loan”), which was issued with a $1.0 million original issue premium, resulting in gross proceeds to the Company of $201.0 million. Additionally, the Incremental Term Loan amended the senior secured term loan agreement to, among other changes, provide for an additional $200.0 million incremental term loan facility accordion and increase the maximum amount of Restricted Junior Payments (as defined in the senior secured term loan agreement) that may be made by us, including increasing the amount of Company share repurchases permitted.</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9, 2013, we entered into an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 agreement immediately prior to the effectiveness of the Second Amendment. The Refinancing Debt bears interest at lower rates and has a maturity date approximately one year later than the prior term loans. The Second Amendment further modified the senior secured term loan agreement to, among other changes, increase the maximum permitted amount of Restricted Junior Payments (as defined in the senior secured term loan agreement), including share repurchases by the Company.</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Refinancing Debt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the scheduled principal payments, the Refinancing Debt is (with certain exceptions) subject to mandatory prepayment upon issuances of debt, casualty and condemnation events and sales of assets, as well as from a percentage of excess cash flow (as defined in the senior secured term loan agreement) if the leverage ratio (as defined in the senior secured term loan agreement) is greater than 2.75 to 1.00. No mandatory prepayments were owed for the six months ended June 30, 2014. We are currently permitted to make voluntary prepayments without penalty.</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After giving effect to the Second Amendment, all of the term loans outstanding under the senior secured term loan bear interest at rates based upon, at our option, the Adjusted Eurodollar Rate or the Base Rate (each as defined in the senior secured term loan agreement).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June 30, 2014 was 4.50%.</w:t>
      </w:r>
    </w:p>
    <w:p>
      <w:pPr>
        <w:spacing w:after="0" w:line="18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Payments under the senior secured term loan agreement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share repurchases;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ectPr>
          <w:pgSz w:w="11900" w:h="16904" w:orient="portrait"/>
          <w:cols w:equalWidth="0" w:num="1">
            <w:col w:w="11360"/>
          </w:cols>
          <w:pgMar w:left="240" w:top="125" w:right="299" w:bottom="0" w:gutter="0" w:footer="0" w:header="0"/>
        </w:sectPr>
      </w:pPr>
    </w:p>
    <w:bookmarkStart w:id="13" w:name="page14"/>
    <w:bookmarkEnd w:id="13"/>
    <w:p>
      <w:pPr>
        <w:ind w:right="60"/>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5 days of becoming due, (ii) material incorrectness of representations and warranties when made, (iii) breach of covenants, (iv) failure to pay principal or interest on any other debt that equals or exceeds $40.0 million when due,</w:t>
      </w:r>
    </w:p>
    <w:p>
      <w:pPr>
        <w:ind w:right="160" w:firstLine="8"/>
        <w:spacing w:after="0" w:line="28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default on any other debt that equals or exceeds $40.0 million that causes, or gives the holder or holders of such debt the ability to cause, an acceleration of such debt, (vi) occurrence of a Change in Control (as defined in the senior secured term loan agreement), (vii) bankruptcy and insolvency events (as defined in the senior secured term loan agreement), (viii) entry by a court of one or more judgments against us (as defined in the senior secured term loan agreement) in an amount in excess of $40.0 million that remain unbonded, undischarged or unstayed for a certain number of days after the entry thereof,</w:t>
      </w:r>
    </w:p>
    <w:p>
      <w:pPr>
        <w:spacing w:after="0" w:line="2" w:lineRule="exact"/>
        <w:rPr>
          <w:rFonts w:ascii="Arial" w:cs="Arial" w:eastAsia="Arial" w:hAnsi="Arial"/>
          <w:sz w:val="16"/>
          <w:szCs w:val="16"/>
          <w:color w:val="auto"/>
        </w:rPr>
      </w:pPr>
    </w:p>
    <w:p>
      <w:pPr>
        <w:jc w:val="both"/>
        <w:ind w:right="20" w:firstLine="8"/>
        <w:spacing w:after="0" w:line="277"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occurrence of certain ERISA events and (x) the failure of certain Loan Documents (as defined in the senior secured term loan agreement)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At June 30, 2014, debt issuance costs were $6.2 million, net of $1.5 million of accumulated amortization. At December 31, 2013, debt issuance costs were $6.7 million, net of $1.0 million of accumulated amortization. Debt issuance costs are included in other assets in the accompanying condensed consolidated balance sheets.</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Interest expense on the term loans, including amortization of debt issuance costs and the net debt discount, totaled $9.6 million and $8.1 million for the six months ended June 30, 2014 and 2013, respectively ($4.8 million and $4.9 million for the second quarter of 2014 and 2013,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(Earn Out)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11,733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13 — EQUITY AND SHARE-BASED COMPENSATION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Stock Repurchase Plan</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June 30, 2014, we have purchased approximately 4.5 million shares of our common stock in the open market at an average price of $70.62 per share. We purchased 0.7 million shares of common stock at an average price of $109.00 per share during the six months ended June 30, 2014 and 0.6 million shares at an average price of $89.01 per share during the six months ended June 30, 2013 (0.4 million shares at an average price of $108.24 per share for the second quarter of 2014 and 0.3 million shares at an average price of $94.49 per share for the second quarter of 2013). As of June 30, 2014, approximately 2.9 million shares of common stock remain available for repurchase under the new program. Luxembourg law also limits share repurchases to approximately the balance of Altisource Portfolio Solutions S.A. (unconsolidated parent company) retained earnings, less the value of shares repurchased. As of June 30, 2014, approximately $16 million was available to repurchase our common stock under Luxembourg law. Our senior secured term loan also limits the amount we can spend on share repurchases in any year and may prevent repurchases in certain circumstances. As of June 30, 2014, approximately $88 million was available to repurchase our common stock under our senior secured term loan.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$1.1 million and $1.5 million for the six months ended June 30, 2014 and 2013, respectively ($0.4 million and $0.1 million for the second quarter of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0.7 million service-based awards were outstanding at June 30, 2014.</w:t>
      </w:r>
    </w:p>
    <w:p>
      <w:pPr>
        <w:spacing w:after="0" w:line="181"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1.8 million market-based awards were outstanding at June 30, 2014.</w:t>
      </w:r>
    </w:p>
    <w:p>
      <w:pPr>
        <w:sectPr>
          <w:pgSz w:w="11900" w:h="16838" w:orient="portrait"/>
          <w:cols w:equalWidth="0" w:num="1">
            <w:col w:w="11400"/>
          </w:cols>
          <w:pgMar w:left="240" w:top="341" w:right="259" w:bottom="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The Company granted less than 0.1 million stock options in each period (at a weighted average exercise price of $105.11 and $90.75 per share) during the six months ended June 30, 2014 and 2013, respectively.</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35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2014</w:t>
            </w:r>
          </w:p>
        </w:tc>
        <w:tc>
          <w:tcPr>
            <w:tcW w:w="2140" w:type="dxa"/>
            <w:vAlign w:val="bottom"/>
            <w:gridSpan w:val="3"/>
          </w:tcPr>
          <w:p>
            <w:pPr>
              <w:jc w:val="center"/>
              <w:ind w:left="1196"/>
              <w:spacing w:after="0"/>
              <w:rPr>
                <w:sz w:val="20"/>
                <w:szCs w:val="20"/>
                <w:color w:val="auto"/>
              </w:rPr>
            </w:pPr>
            <w:r>
              <w:rPr>
                <w:rFonts w:ascii="Arial" w:cs="Arial" w:eastAsia="Arial" w:hAnsi="Arial"/>
                <w:sz w:val="14"/>
                <w:szCs w:val="14"/>
                <w:b w:val="1"/>
                <w:bCs w:val="1"/>
                <w:color w:val="auto"/>
                <w:w w:val="90"/>
              </w:rPr>
              <w:t>June 30, 2013</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Black-Scholes</w:t>
            </w:r>
          </w:p>
        </w:tc>
        <w:tc>
          <w:tcPr>
            <w:tcW w:w="220" w:type="dxa"/>
            <w:vAlign w:val="bottom"/>
          </w:tcPr>
          <w:p>
            <w:pPr>
              <w:spacing w:after="0"/>
              <w:rPr>
                <w:sz w:val="12"/>
                <w:szCs w:val="12"/>
                <w:color w:val="auto"/>
              </w:rPr>
            </w:pPr>
          </w:p>
        </w:tc>
        <w:tc>
          <w:tcPr>
            <w:tcW w:w="214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Black-Scholes</w:t>
            </w:r>
          </w:p>
        </w:tc>
        <w:tc>
          <w:tcPr>
            <w:tcW w:w="128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2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1.02% – 1.13%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 – 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37.57%</w:t>
            </w:r>
          </w:p>
        </w:tc>
        <w:tc>
          <w:tcPr>
            <w:tcW w:w="2140" w:type="dxa"/>
            <w:vAlign w:val="bottom"/>
            <w:gridSpan w:val="3"/>
          </w:tcPr>
          <w:p>
            <w:pPr>
              <w:jc w:val="right"/>
              <w:ind w:right="600"/>
              <w:spacing w:after="0"/>
              <w:rPr>
                <w:sz w:val="20"/>
                <w:szCs w:val="20"/>
                <w:color w:val="auto"/>
              </w:rPr>
            </w:pPr>
            <w:r>
              <w:rPr>
                <w:rFonts w:ascii="Arial" w:cs="Arial" w:eastAsia="Arial" w:hAnsi="Arial"/>
                <w:sz w:val="18"/>
                <w:szCs w:val="18"/>
                <w:color w:val="auto"/>
              </w:rPr>
              <w:t>36.35% – 36.76%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36.40% – 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Fair value</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$41.79</w:t>
            </w:r>
          </w:p>
        </w:tc>
        <w:tc>
          <w:tcPr>
            <w:tcW w:w="2140" w:type="dxa"/>
            <w:vAlign w:val="bottom"/>
            <w:gridSpan w:val="3"/>
          </w:tcPr>
          <w:p>
            <w:pPr>
              <w:jc w:val="right"/>
              <w:ind w:right="600"/>
              <w:spacing w:after="0"/>
              <w:rPr>
                <w:sz w:val="20"/>
                <w:szCs w:val="20"/>
                <w:color w:val="auto"/>
              </w:rPr>
            </w:pPr>
            <w:r>
              <w:rPr>
                <w:rFonts w:ascii="Arial" w:cs="Arial" w:eastAsia="Arial" w:hAnsi="Arial"/>
                <w:sz w:val="18"/>
                <w:szCs w:val="18"/>
                <w:color w:val="auto"/>
              </w:rPr>
              <w:t>$31.33 – $35.77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$16.12 – $31.15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weighted average fair value of stock options granted, the total intrinsic value of stock options exercised and the fair value of stock options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90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at grant date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2014, estimated unrecognized compensation costs related to share-based payments amounted to $1.7 million, which we expect to recognize over a weighted average remaining requisite service period of approximately 2.7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exercise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term</w:t>
            </w: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price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2,589,343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105.11</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(16,001)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73.14</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Outstanding at June 30, 2014</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2,543,777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18.56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244,590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Exercisable at June 30, 2014</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2,216,285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13.28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224,515</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COST OF REVENUE</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63,121</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36,744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115,771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71,365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46,345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124,193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32,276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61,071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11,849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20,690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183,999</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331,804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SELLING, GENERAL AND ADMINISTRATIVE EXPENSES</w:t>
      </w:r>
    </w:p>
    <w:p>
      <w:pPr>
        <w:sectPr>
          <w:pgSz w:w="11900" w:h="16838" w:orient="portrait"/>
          <w:cols w:equalWidth="0" w:num="1">
            <w:col w:w="11380"/>
          </w:cols>
          <w:pgMar w:left="240" w:top="341" w:right="279" w:bottom="0" w:gutter="0" w:footer="0" w:header="0"/>
        </w:sectPr>
      </w:pPr>
    </w:p>
    <w:bookmarkStart w:id="15" w:name="page16"/>
    <w:bookmarkEnd w:id="15"/>
    <w:p>
      <w:pPr>
        <w:ind w:right="160"/>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finance, legal, human resources, vendor management, risk and operational effectiveness roles. This category also includes occupancy costs, professional fees and depreciation and amortization on non-operating assets. The components of selling, general and administrative expenses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11,111</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6,790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19,573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Change in the fair value of Equator Earn Out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(37,924)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37,473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37,473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12,784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49,021</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92,555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(loss) in equity affiliate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Loss in equity affiliate for the six months ended June 30, 2013 represents our proportional share of the losses in Correspondent One (see Note 8). The gain in equity affiliate for the second quarter of 2013 represents the gain on sale of Correspondent One (see Note 2). There were no comparative amounts in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54,101</w:t>
            </w:r>
          </w:p>
        </w:tc>
        <w:tc>
          <w:tcPr>
            <w:tcW w:w="66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30,931</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93,732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 basic</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2,114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Weighted average common shares outstanding, diluted</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24,166</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24,823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24,415</w:t>
            </w:r>
          </w:p>
        </w:tc>
        <w:tc>
          <w:tcPr>
            <w:tcW w:w="4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24,940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66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w:t>
            </w:r>
          </w:p>
        </w:tc>
        <w:tc>
          <w:tcPr>
            <w:tcW w:w="2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six months ended June 30, 2014 and 2013, less than 0.1 million and 0.1 million options, respectively, that were anti-dilutive, have been excluded from the computation of diluted EPS (less than 0.1 million options in each period for the second quarter of 2014 and 2013). These options were anti-dilutive because their exercise price was greater than the average market price of our common stock. Also excluded from the computation of diluted EPS for the six months ended June 30, 2014 and 2013 are 0.1 million options in each period (0.1 million options in each period for the second quarter of 2014 and 2013), granted for shares that are issuable upon the achievement of certain market and performance criteria related to our common stock price and an annualized rate of return to investors that have not yet been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ectPr>
          <w:pgSz w:w="11900" w:h="16838" w:orient="portrait"/>
          <w:cols w:equalWidth="0" w:num="1">
            <w:col w:w="11460"/>
          </w:cols>
          <w:pgMar w:left="240" w:top="125" w:right="199" w:bottom="0" w:gutter="0" w:footer="0" w:header="0"/>
        </w:sectPr>
      </w:pPr>
    </w:p>
    <w:bookmarkStart w:id="16" w:name="page17"/>
    <w:bookmarkEnd w:id="16"/>
    <w:p>
      <w:pPr>
        <w:ind w:right="32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$64.0 million and $71.8 million at June 30, 2014 and December 31, 2013,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REPORTING</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We classify our business into three reporting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principally consists of our REALSuite</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software applications, Equator’s software applications as well as our information 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and foreclosure related activities and purchase related services from vendors.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eliminations of transactions between the reporting segments and costs related to corporate support functions including executive, finance, legal, human resources, vendor management, risk and operational effectiveness as well as 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rPr>
              <w:t>Three months ended June 30, 2014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Technology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Items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221,344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296,072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128,919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16,058</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183,999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23,472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49,021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63,052</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69,033</w:t>
            </w:r>
          </w:p>
        </w:tc>
        <w:tc>
          <w:tcPr>
            <w:tcW w:w="140" w:type="dxa"/>
            <w:vAlign w:val="bottom"/>
            <w:vMerge w:val="restart"/>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3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3,438</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(18,903)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58,225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795"/>
              <w:spacing w:after="0"/>
              <w:rPr>
                <w:sz w:val="20"/>
                <w:szCs w:val="20"/>
                <w:color w:val="auto"/>
              </w:rPr>
            </w:pPr>
            <w:r>
              <w:rPr>
                <w:rFonts w:ascii="Arial" w:cs="Arial" w:eastAsia="Arial" w:hAnsi="Arial"/>
                <w:sz w:val="18"/>
                <w:szCs w:val="18"/>
                <w:color w:val="auto"/>
                <w:w w:val="79"/>
              </w:rPr>
              <w:t>22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rPr>
              <w:t>Three months ended June 30, 2013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Items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89,078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13,807</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19,407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116,972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12,590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(4,825)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income taxes and non-controlling</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gridSpan w:val="2"/>
            <w:vMerge w:val="continue"/>
            <w:shd w:val="clear" w:color="auto" w:fill="CCEEFF"/>
          </w:tcPr>
          <w:p>
            <w:pPr>
              <w:spacing w:after="0"/>
              <w:rPr>
                <w:sz w:val="15"/>
                <w:szCs w:val="15"/>
                <w:color w:val="auto"/>
              </w:rPr>
            </w:pPr>
          </w:p>
        </w:tc>
        <w:tc>
          <w:tcPr>
            <w:tcW w:w="260" w:type="dxa"/>
            <w:vAlign w:val="bottom"/>
            <w:tcBorders>
              <w:right w:val="single" w:sz="8" w:color="CCEEFF"/>
            </w:tcBorders>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160" w:type="dxa"/>
            <w:vAlign w:val="bottom"/>
            <w:vMerge w:val="restart"/>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4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2,347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(16,191)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34,485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795"/>
              <w:spacing w:after="0"/>
              <w:rPr>
                <w:sz w:val="20"/>
                <w:szCs w:val="20"/>
                <w:color w:val="auto"/>
              </w:rPr>
            </w:pPr>
            <w:r>
              <w:rPr>
                <w:rFonts w:ascii="Arial" w:cs="Arial" w:eastAsia="Arial" w:hAnsi="Arial"/>
                <w:sz w:val="14"/>
                <w:szCs w:val="14"/>
                <w:b w:val="1"/>
                <w:bCs w:val="1"/>
                <w:color w:val="auto"/>
                <w:w w:val="90"/>
              </w:rPr>
              <w:t>Six months ended June 30, 2014</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397,120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49,761</w:t>
            </w: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105,487</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535,341</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231,723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331,804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203,537</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110,982</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income taxes and non-controlling</w:t>
            </w: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gridSpan w:val="2"/>
            <w:vMerge w:val="continue"/>
            <w:shd w:val="clear" w:color="auto" w:fill="CCEEFF"/>
          </w:tcPr>
          <w:p>
            <w:pPr>
              <w:spacing w:after="0"/>
              <w:rPr>
                <w:sz w:val="15"/>
                <w:szCs w:val="15"/>
                <w:color w:val="auto"/>
              </w:rPr>
            </w:pPr>
          </w:p>
        </w:tc>
        <w:tc>
          <w:tcPr>
            <w:tcW w:w="260" w:type="dxa"/>
            <w:vAlign w:val="bottom"/>
            <w:tcBorders>
              <w:right w:val="single" w:sz="8" w:color="CCEEFF"/>
            </w:tcBorders>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122,859</w:t>
            </w:r>
          </w:p>
        </w:tc>
        <w:tc>
          <w:tcPr>
            <w:tcW w:w="16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24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(37,665)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101,426</w:t>
            </w:r>
          </w:p>
        </w:tc>
        <w:tc>
          <w:tcPr>
            <w:tcW w:w="8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795"/>
              <w:spacing w:after="0"/>
              <w:rPr>
                <w:sz w:val="20"/>
                <w:szCs w:val="20"/>
                <w:color w:val="auto"/>
              </w:rPr>
            </w:pPr>
            <w:r>
              <w:rPr>
                <w:rFonts w:ascii="Arial" w:cs="Arial" w:eastAsia="Arial" w:hAnsi="Arial"/>
                <w:sz w:val="14"/>
                <w:szCs w:val="14"/>
                <w:b w:val="1"/>
                <w:bCs w:val="1"/>
                <w:color w:val="auto"/>
                <w:w w:val="90"/>
              </w:rPr>
              <w:t>Six months ended June 30, 2013</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261,658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334,937</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213,934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income taxes and non-controlling</w:t>
            </w: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gridSpan w:val="2"/>
            <w:vMerge w:val="continue"/>
            <w:shd w:val="clear" w:color="auto" w:fill="CCEEFF"/>
          </w:tcPr>
          <w:p>
            <w:pPr>
              <w:spacing w:after="0"/>
              <w:rPr>
                <w:sz w:val="15"/>
                <w:szCs w:val="15"/>
                <w:color w:val="auto"/>
              </w:rPr>
            </w:pPr>
          </w:p>
        </w:tc>
        <w:tc>
          <w:tcPr>
            <w:tcW w:w="260" w:type="dxa"/>
            <w:vAlign w:val="bottom"/>
            <w:tcBorders>
              <w:right w:val="single" w:sz="8" w:color="CCEEFF"/>
            </w:tcBorders>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82,051</w:t>
            </w:r>
          </w:p>
        </w:tc>
        <w:tc>
          <w:tcPr>
            <w:tcW w:w="16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4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(27,676)</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65,163</w:t>
            </w:r>
          </w:p>
        </w:tc>
        <w:tc>
          <w:tcPr>
            <w:tcW w:w="8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color w:val="auto"/>
              </w:rPr>
              <w:t>June 30, 2014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309,043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59,290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231,440</w:t>
            </w:r>
          </w:p>
        </w:tc>
        <w:tc>
          <w:tcPr>
            <w:tcW w:w="280" w:type="dxa"/>
            <w:vAlign w:val="bottom"/>
          </w:tcPr>
          <w:p>
            <w:pPr>
              <w:spacing w:after="0"/>
              <w:rPr>
                <w:sz w:val="18"/>
                <w:szCs w:val="18"/>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111,227</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310,253</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55,930</w:t>
            </w: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277,941</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85,928</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730,052</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795"/>
              <w:spacing w:after="0"/>
              <w:rPr>
                <w:sz w:val="20"/>
                <w:szCs w:val="20"/>
                <w:color w:val="auto"/>
              </w:rPr>
            </w:pPr>
            <w:r>
              <w:rPr>
                <w:rFonts w:ascii="Arial" w:cs="Arial" w:eastAsia="Arial" w:hAnsi="Arial"/>
                <w:sz w:val="18"/>
                <w:szCs w:val="18"/>
                <w:color w:val="auto"/>
                <w:w w:val="79"/>
              </w:rPr>
              <w:t>23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India</w:t>
            </w: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17,855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16,404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Philippines</w:t>
            </w: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3,778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4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100,962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87,252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320" w:type="dxa"/>
            <w:vAlign w:val="bottom"/>
            <w:vMerge w:val="restart"/>
          </w:tcPr>
          <w:p>
            <w:pPr>
              <w:jc w:val="right"/>
              <w:ind w:right="173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2013 filed with the Securities and Exchange Commission (“SEC”) on February 13,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ectPr>
          <w:pgSz w:w="11900" w:h="16838" w:orient="portrait"/>
          <w:cols w:equalWidth="0" w:num="1">
            <w:col w:w="11460"/>
          </w:cols>
          <w:pgMar w:left="240" w:top="125" w:right="199" w:bottom="0" w:gutter="0" w:footer="0" w:header="0"/>
        </w:sectPr>
      </w:pPr>
    </w:p>
    <w:bookmarkStart w:id="18" w:name="page19"/>
    <w:bookmarkEnd w:id="18"/>
    <w:p>
      <w:pPr>
        <w:spacing w:after="0" w:line="23"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Part II, Item 1A of this report and in the “Risk Factors” section of our Form 10-K for the year ended December 31, 2013 and include the following:</w:t>
      </w:r>
    </w:p>
    <w:p>
      <w:pPr>
        <w:spacing w:after="0" w:line="181"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 and</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governmental regulations, taxes and policies and any changes in such regulations, taxes and policies.</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together with our subsidiaries,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reporting segments: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originators and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in single family homes. We provide these services primarily for loan portfolios serviced by Ocwen Financial Corporation and its subsidiaries (“Ocwen”). We also have longstanding relationships with commercial banks, insurance companies and mortgage bankers. Within the Mortgage Services segment, we provide the following services:</w:t>
      </w:r>
    </w:p>
    <w:p>
      <w:pPr>
        <w:spacing w:after="0" w:line="187" w:lineRule="exact"/>
        <w:rPr>
          <w:sz w:val="20"/>
          <w:szCs w:val="20"/>
          <w:color w:val="auto"/>
        </w:rPr>
      </w:pPr>
    </w:p>
    <w:p>
      <w:pPr>
        <w:ind w:left="340" w:right="260" w:firstLine="324"/>
        <w:spacing w:after="0" w:line="234"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consumer real estate portal and REO brokerage services. We also provide property management, lease management and renovation management services for single family rental properties.</w:t>
      </w:r>
    </w:p>
    <w:p>
      <w:pPr>
        <w:spacing w:after="0" w:line="203" w:lineRule="exact"/>
        <w:rPr>
          <w:sz w:val="20"/>
          <w:szCs w:val="20"/>
          <w:color w:val="auto"/>
        </w:rPr>
      </w:pPr>
    </w:p>
    <w:p>
      <w:pPr>
        <w:ind w:left="340" w:firstLine="324"/>
        <w:spacing w:after="0" w:line="264" w:lineRule="auto"/>
        <w:rPr>
          <w:sz w:val="20"/>
          <w:szCs w:val="20"/>
          <w:color w:val="auto"/>
        </w:rPr>
      </w:pPr>
      <w:r>
        <w:rPr>
          <w:rFonts w:ascii="Arial" w:cs="Arial" w:eastAsia="Arial" w:hAnsi="Arial"/>
          <w:sz w:val="18"/>
          <w:szCs w:val="18"/>
          <w:i w:val="1"/>
          <w:iCs w:val="1"/>
          <w:color w:val="auto"/>
        </w:rPr>
        <w:t xml:space="preserve">Insurance services </w:t>
      </w:r>
      <w:r>
        <w:rPr>
          <w:rFonts w:ascii="Arial" w:cs="Arial" w:eastAsia="Arial" w:hAnsi="Arial"/>
          <w:sz w:val="18"/>
          <w:szCs w:val="18"/>
          <w:color w:val="auto"/>
        </w:rPr>
        <w:t>— Insurance services include an array of title insurance services, including pre-foreclosure, REO and refinance title searches, title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settlement and escrow service. We also provide insurance program management, claims processing, insurance agency and brokerage services for lender placed and REO insurance companies.</w:t>
      </w:r>
    </w:p>
    <w:p>
      <w:pPr>
        <w:spacing w:after="0" w:line="181" w:lineRule="exact"/>
        <w:rPr>
          <w:sz w:val="20"/>
          <w:szCs w:val="20"/>
          <w:color w:val="auto"/>
        </w:rPr>
      </w:pPr>
    </w:p>
    <w:p>
      <w:pPr>
        <w:ind w:left="340" w:right="300" w:firstLine="324"/>
        <w:spacing w:after="0" w:line="286" w:lineRule="auto"/>
        <w:rPr>
          <w:sz w:val="20"/>
          <w:szCs w:val="20"/>
          <w:color w:val="auto"/>
        </w:rPr>
      </w:pPr>
      <w:r>
        <w:rPr>
          <w:rFonts w:ascii="Arial" w:cs="Arial" w:eastAsia="Arial" w:hAnsi="Arial"/>
          <w:sz w:val="17"/>
          <w:szCs w:val="17"/>
          <w:i w:val="1"/>
          <w:iCs w:val="1"/>
          <w:color w:val="auto"/>
        </w:rPr>
        <w:t xml:space="preserve">Residential property valuation </w:t>
      </w:r>
      <w:r>
        <w:rPr>
          <w:rFonts w:ascii="Arial" w:cs="Arial" w:eastAsia="Arial" w:hAnsi="Arial"/>
          <w:sz w:val="17"/>
          <w:szCs w:val="17"/>
          <w:color w:val="auto"/>
        </w:rPr>
        <w:t>— Residential property valuation services principally include traditional appraisal products through our 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appraisal management company and alternative valuation products, some of which are through our network of real estate professionals. We generally provide these services for residential loan servicers, residential lenders and investors in single family homes.</w:t>
      </w:r>
    </w:p>
    <w:p>
      <w:pPr>
        <w:spacing w:after="0" w:line="166" w:lineRule="exact"/>
        <w:rPr>
          <w:sz w:val="20"/>
          <w:szCs w:val="20"/>
          <w:color w:val="auto"/>
        </w:rPr>
      </w:pPr>
    </w:p>
    <w:p>
      <w:pPr>
        <w:ind w:left="340" w:right="50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ectPr>
          <w:pgSz w:w="11900" w:h="16861" w:orient="portrait"/>
          <w:cols w:equalWidth="0" w:num="1">
            <w:col w:w="11420"/>
          </w:cols>
          <w:pgMar w:left="240" w:top="125" w:right="239" w:bottom="0" w:gutter="0" w:footer="0" w:header="0"/>
        </w:sectPr>
      </w:pPr>
    </w:p>
    <w:bookmarkStart w:id="19" w:name="page20"/>
    <w:bookmarkEnd w:id="19"/>
    <w:p>
      <w:pPr>
        <w:spacing w:after="0" w:line="35" w:lineRule="exact"/>
        <w:rPr>
          <w:sz w:val="20"/>
          <w:szCs w:val="20"/>
          <w:color w:val="auto"/>
        </w:rPr>
      </w:pPr>
    </w:p>
    <w:p>
      <w:pPr>
        <w:ind w:left="340" w:right="160" w:firstLine="324"/>
        <w:spacing w:after="0" w:line="273"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 Mortgage Partnership of America, L.L.C. (“MPA”)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contract underwriting and quality control businesses. MPA serves as the manager of Best Partners Mortgage Cooperative, Inc.,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above residential property valuation and insurance businesses. In addition, some of the origination related reseller businesses, including the flood certification business, are included in the Technology Services REALSuite business.</w:t>
      </w:r>
    </w:p>
    <w:p>
      <w:pPr>
        <w:spacing w:after="0" w:line="1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and early stage collections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insurance and claims processing, call center services and analytical support.</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Comprises our REALSuite of software applications, Equator, LLC’s (“Equator”) software applications and our information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(“IT”) infrastructure management services. We currently provide our IT infrastructure management services to Ocwen, Home Loan Servicing Solutions, Ltd. (“HLSS”), Altisource Residential Corporation (“Residential”) and Altisource Asset Management Company (“AAMC”), through managed services agreements, and our other segments in a shared services model. The REALSuite platform provides a fully integrated set of software applications and technologies that manage the end-to-end lifecycle for residential and commercial mortgage loan servicing including the automated management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a distributed network of vendors. A brief description of the key REALSuite and Equator’s software products is below:</w:t>
      </w:r>
    </w:p>
    <w:p>
      <w:pPr>
        <w:spacing w:after="0" w:line="225" w:lineRule="exact"/>
        <w:rPr>
          <w:sz w:val="20"/>
          <w:szCs w:val="20"/>
          <w:color w:val="auto"/>
        </w:rPr>
      </w:pPr>
    </w:p>
    <w:p>
      <w:pPr>
        <w:ind w:left="340" w:right="14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and robust reporting capabilities. The solution spans the loan servicing lifecycle from loan boarding to satisfaction including all collections, payment processing and reporting. We also offer the REALSynergy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enterprise commercial loan servicing system.</w:t>
      </w:r>
    </w:p>
    <w:p>
      <w:pPr>
        <w:spacing w:after="0" w:line="118" w:lineRule="exact"/>
        <w:rPr>
          <w:sz w:val="20"/>
          <w:szCs w:val="20"/>
          <w:color w:val="auto"/>
        </w:rPr>
      </w:pPr>
    </w:p>
    <w:p>
      <w:pPr>
        <w:ind w:left="340" w:right="180" w:firstLine="324"/>
        <w:spacing w:after="0" w:line="277"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18"/>
          <w:szCs w:val="18"/>
          <w:color w:val="auto"/>
        </w:rPr>
        <w:t>™ — A technology platform that provides servicers with an automated loss mitigation and home retention solution for delinquent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defaulted loans.</w:t>
      </w:r>
    </w:p>
    <w:p>
      <w:pPr>
        <w:spacing w:after="0" w:line="170" w:lineRule="exact"/>
        <w:rPr>
          <w:sz w:val="20"/>
          <w:szCs w:val="20"/>
          <w:color w:val="auto"/>
        </w:rPr>
      </w:pPr>
    </w:p>
    <w:p>
      <w:pPr>
        <w:ind w:left="340" w:right="160" w:firstLine="324"/>
        <w:spacing w:after="0" w:line="238"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business-to-business exchange that automates and simplifies the ordering, tracking and fulfillment of vendor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services principally related to the real estate and mortgage marketplaces. This technology solution, whether web-based or integrated into a servicing system, connects multiple service providers through a single platform and forms an efficient method for managing a large scale network of vendors.</w:t>
      </w:r>
    </w:p>
    <w:p>
      <w:pPr>
        <w:spacing w:after="0" w:line="202" w:lineRule="exact"/>
        <w:rPr>
          <w:sz w:val="20"/>
          <w:szCs w:val="20"/>
          <w:color w:val="auto"/>
        </w:rPr>
      </w:pPr>
    </w:p>
    <w:p>
      <w:pPr>
        <w:ind w:left="340" w:right="38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left="340" w:right="120" w:firstLine="324"/>
        <w:spacing w:after="0" w:line="238"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consisting of three primary modules: REALDoc Capture, which converts images to</w:t>
      </w:r>
      <w:r>
        <w:rPr>
          <w:rFonts w:ascii="Arial" w:cs="Arial" w:eastAsia="Arial" w:hAnsi="Arial"/>
          <w:sz w:val="18"/>
          <w:szCs w:val="18"/>
          <w:i w:val="1"/>
          <w:iCs w:val="1"/>
          <w:color w:val="auto"/>
        </w:rPr>
        <w:t xml:space="preserve"> </w:t>
      </w:r>
      <w:r>
        <w:rPr>
          <w:rFonts w:ascii="Arial" w:cs="Arial" w:eastAsia="Arial" w:hAnsi="Arial"/>
          <w:sz w:val="18"/>
          <w:szCs w:val="18"/>
          <w:color w:val="auto"/>
        </w:rPr>
        <w:t>processable data, indexes documents and provides customizable workflows based on data attributes; REALDoc Correspondence, which provides a scalable document creation and generation platform; and REALDoc Vault, which provides a scalable and distributed storage platform and secure document viewer.</w:t>
      </w:r>
    </w:p>
    <w:p>
      <w:pPr>
        <w:spacing w:after="0" w:line="202" w:lineRule="exact"/>
        <w:rPr>
          <w:sz w:val="20"/>
          <w:szCs w:val="20"/>
          <w:color w:val="auto"/>
        </w:rPr>
      </w:pPr>
    </w:p>
    <w:p>
      <w:pPr>
        <w:ind w:left="340" w:right="80" w:firstLine="324"/>
        <w:spacing w:after="0" w:line="242" w:lineRule="auto"/>
        <w:rPr>
          <w:sz w:val="20"/>
          <w:szCs w:val="20"/>
          <w:color w:val="auto"/>
        </w:rPr>
      </w:pPr>
      <w:r>
        <w:rPr>
          <w:rFonts w:ascii="Arial" w:cs="Arial" w:eastAsia="Arial" w:hAnsi="Arial"/>
          <w:sz w:val="18"/>
          <w:szCs w:val="18"/>
          <w:i w:val="1"/>
          <w:iCs w:val="1"/>
          <w:color w:val="auto"/>
        </w:rPr>
        <w:t xml:space="preserve">Equator’s Solutions </w:t>
      </w:r>
      <w:r>
        <w:rPr>
          <w:rFonts w:ascii="Arial" w:cs="Arial" w:eastAsia="Arial" w:hAnsi="Arial"/>
          <w:sz w:val="18"/>
          <w:szCs w:val="18"/>
          <w:color w:val="auto"/>
        </w:rPr>
        <w:t>— The EQ Workstation</w:t>
      </w:r>
      <w:r>
        <w:rPr>
          <w:rFonts w:ascii="Arial" w:cs="Arial" w:eastAsia="Arial" w:hAnsi="Arial"/>
          <w:sz w:val="23"/>
          <w:szCs w:val="23"/>
          <w:color w:val="auto"/>
          <w:vertAlign w:val="superscript"/>
        </w:rPr>
        <w:t>®</w:t>
      </w:r>
      <w:r>
        <w:rPr>
          <w:rFonts w:ascii="Arial" w:cs="Arial" w:eastAsia="Arial" w:hAnsi="Arial"/>
          <w:sz w:val="18"/>
          <w:szCs w:val="18"/>
          <w:color w:val="auto"/>
        </w:rPr>
        <w:t>, EQ Marketplace</w:t>
      </w:r>
      <w:r>
        <w:rPr>
          <w:rFonts w:ascii="Arial" w:cs="Arial" w:eastAsia="Arial" w:hAnsi="Arial"/>
          <w:sz w:val="23"/>
          <w:szCs w:val="23"/>
          <w:color w:val="auto"/>
          <w:vertAlign w:val="superscript"/>
        </w:rPr>
        <w:t>®</w:t>
      </w:r>
      <w:r>
        <w:rPr>
          <w:rFonts w:ascii="Arial" w:cs="Arial" w:eastAsia="Arial" w:hAnsi="Arial"/>
          <w:sz w:val="18"/>
          <w:szCs w:val="18"/>
          <w:color w:val="auto"/>
        </w:rPr>
        <w:t>, EQ Midsource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 platforms (can be used separately or together as</w:t>
      </w:r>
      <w:r>
        <w:rPr>
          <w:rFonts w:ascii="Arial" w:cs="Arial" w:eastAsia="Arial" w:hAnsi="Arial"/>
          <w:sz w:val="18"/>
          <w:szCs w:val="18"/>
          <w:i w:val="1"/>
          <w:iCs w:val="1"/>
          <w:color w:val="auto"/>
        </w:rPr>
        <w:t xml:space="preserve"> </w:t>
      </w:r>
      <w:r>
        <w:rPr>
          <w:rFonts w:ascii="Arial" w:cs="Arial" w:eastAsia="Arial" w:hAnsi="Arial"/>
          <w:sz w:val="18"/>
          <w:szCs w:val="18"/>
          <w:color w:val="auto"/>
        </w:rPr>
        <w:t>an end-to-end solution). EQ Workstation provides comprehensive, end-to-end workflow and transaction services to manage real estate and foreclosure related activities. EQ Marketplace provides a coordinated means of purchasing a variety of real estate services from vendors including realtors,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operational effectiveness as well as interest expense and also includes eliminations of transactions between the reporting segments. Corporate Items and Eliminations also include the cost of facilities until approximately 40% of the facilities are occupied by the business units, at which time costs are allocated to the business units.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June 30, 2014, we have purchased approximately 4.5 million shares of our common stock in the open market at an average price of $70.62 per share. We purchased 0.7 million shares of common stock at an</w:t>
      </w:r>
    </w:p>
    <w:p>
      <w:pPr>
        <w:sectPr>
          <w:pgSz w:w="11900" w:h="16874" w:orient="portrait"/>
          <w:cols w:equalWidth="0" w:num="1">
            <w:col w:w="11400"/>
          </w:cols>
          <w:pgMar w:left="240" w:top="341" w:right="259" w:bottom="0" w:gutter="0" w:footer="0" w:header="0"/>
        </w:sectPr>
      </w:pPr>
    </w:p>
    <w:bookmarkStart w:id="20" w:name="page21"/>
    <w:bookmarkEnd w:id="20"/>
    <w:p>
      <w:pPr>
        <w:ind w:right="180"/>
        <w:spacing w:after="0" w:line="273" w:lineRule="auto"/>
        <w:rPr>
          <w:sz w:val="20"/>
          <w:szCs w:val="20"/>
          <w:color w:val="auto"/>
        </w:rPr>
      </w:pPr>
      <w:r>
        <w:rPr>
          <w:rFonts w:ascii="Arial" w:cs="Arial" w:eastAsia="Arial" w:hAnsi="Arial"/>
          <w:sz w:val="17"/>
          <w:szCs w:val="17"/>
          <w:color w:val="auto"/>
        </w:rPr>
        <w:t>average price of $109.00 per share during the six months ended June 30, 2014 and 0.6 million shares at an average price of $89.01 per share during the six months ended June 30, 2013 (0.4 million shares at an average price of $108.24 per share for the second quarter of 2014 and 0.3 million shares at an average price of $94.49 per share for the second quarter of 2013). As of June 30, 2014, approximately 2.9 million shares of common stock remain available for repurchase under the new program. Luxembourg law also limits share repurchases to approximately the balance of Altisource Portfolio Solutions S.A. (unconsolidated parent company) retained earnings, less the value of shares repurchased. As of June 30, 2014, approximately $16 million was available to repurchase our common stock under Luxembourg law. Our senior secured term loan also limits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amount we can spend on share repurchases in any year and may prevent repurchases in certain circumstances. As of June 30, 2014, approximately $88 million was available to repurchase our common stock under our senior secured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our separation from Ocwen, Altisource has become a company providing a suite of mortgage, real estate and consumer debt services, leveraging our technology and global operations. Our relationship with Ocwen provided a foundation on which we built our business and remains an important priority for us. Altisource’s vision has evolved to become the premier provider of real estate and mortgage marketplaces offering both distribution and content. Within these industries, we are facilitating transactions related to home sales, home rentals, home maintenance, mortgage origination and mortgage servicing. We continue to expand our service offerings and customer base by enhancing and broadening the services we provide to existing customers as well as extending our services to new customers. The Equator acquisition, with its real estate and mortgage marketplace and transaction solutions, is in line with this vision and accelerates our evolution and growth.</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believe there are significant growth opportunities for Altisource in the real estate and mortgage markets leveraging our distribution and transaction solutions. Our strategic growth initiatives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Ocwen’s residential REO servicing portfolio</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deploying Hubzu to other institutions and the non-distressed home sales market</w:t>
      </w:r>
    </w:p>
    <w:p>
      <w:pPr>
        <w:spacing w:after="0" w:line="225" w:lineRule="exact"/>
        <w:rPr>
          <w:rFonts w:ascii="Arial" w:cs="Arial" w:eastAsia="Arial" w:hAnsi="Arial"/>
          <w:sz w:val="18"/>
          <w:szCs w:val="18"/>
          <w:color w:val="auto"/>
        </w:rPr>
      </w:pPr>
    </w:p>
    <w:p>
      <w:pPr>
        <w:ind w:right="1900" w:firstLine="332"/>
        <w:spacing w:after="0" w:line="501"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to the single family rental market Mortgage market:</w:t>
      </w: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Ocwen’s residential loan servicing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the members of Lenders One and Ocwen’s origination platform</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next generation REALServicing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transaction solutions:</w:t>
      </w:r>
    </w:p>
    <w:p>
      <w:pPr>
        <w:spacing w:after="0" w:line="225" w:lineRule="exact"/>
        <w:rPr>
          <w:sz w:val="20"/>
          <w:szCs w:val="20"/>
          <w:color w:val="auto"/>
        </w:rPr>
      </w:pPr>
    </w:p>
    <w:p>
      <w:pPr>
        <w:ind w:left="660" w:right="38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next generation REALTrans (vendor management), REALRemit (invoice management) and REALDoc (document management)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ind w:left="660" w:right="20" w:hanging="328"/>
        <w:spacing w:after="0" w:line="25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2.1 million for the six months ended June 30, 2014 compared to 0.9 million for the six months ended June 30, 2013 (2.3 million for the second quarter of 2014 and 1.0 million for the second quarter of 2013). The average number of delinquent non-Government-Sponsored Enterprise loans serviced by Ocwen on REALServicing was 360 thousand for the six months ended June 30, 2014 compared to 260 thousand for the six months ended June 30, 2013 (352 thousand for the second quarter of 2014 and 285 thousand for the second quarter of 2013);</w:t>
      </w:r>
    </w:p>
    <w:p>
      <w:pPr>
        <w:spacing w:after="0" w:line="188" w:lineRule="exact"/>
        <w:rPr>
          <w:rFonts w:ascii="Arial" w:cs="Arial" w:eastAsia="Arial" w:hAnsi="Arial"/>
          <w:sz w:val="18"/>
          <w:szCs w:val="18"/>
          <w:color w:val="auto"/>
        </w:rPr>
      </w:pPr>
    </w:p>
    <w:p>
      <w:pPr>
        <w:ind w:left="660" w:right="40" w:hanging="328"/>
        <w:spacing w:after="0" w:line="276"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November 15, 2013, we acquired Equator for an initial purchase price of $63.4 million plus contingent consideration of up to an additional $80 million over three years, subject to Equator achieving annual performance targets. The liability for contingent consideration is reflected at fair value and adjusted each reporting period with the change in fair value recognized in earnings. During the second quarter of 2014, the fair value was reduced by $37.9 million with a corresponding increase in earnings. As a result of the adjustment in the fair value of the Equator contingent consideration, we determined that the Equator goodwill was impaired and recorded an estimated impairment loss of $37.5 million;</w:t>
      </w:r>
    </w:p>
    <w:p>
      <w:pPr>
        <w:spacing w:after="0" w:line="172" w:lineRule="exact"/>
        <w:rPr>
          <w:rFonts w:ascii="Arial" w:cs="Arial" w:eastAsia="Arial" w:hAnsi="Arial"/>
          <w:sz w:val="17"/>
          <w:szCs w:val="17"/>
          <w:color w:val="auto"/>
        </w:rPr>
      </w:pPr>
    </w:p>
    <w:p>
      <w:pPr>
        <w:ind w:left="66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Residential Capital, Inc. (“Homeward”) fee-based businesses from Ocwen for an aggregate purchase price of $75.8 million;</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April 12, 2013, we completed the Residential Capital, LLC (“ResCap”) fee-based business transaction with Ocwen for an aggregate purchase price of $128.8 million;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21" w:name="page22"/>
    <w:bookmarkEnd w:id="21"/>
    <w:p>
      <w:pPr>
        <w:ind w:left="660" w:right="100" w:hanging="328"/>
        <w:spacing w:after="0" w:line="259"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and increased our borrowings to $400.0 million on May 7, 2013. On December 9, 2013, we refinanced the senior secured term loan which included, among other changes, lowering the interest rate of the term loans. Interest expense totaled $9.6 million and $8.1 million for the six months ended June 30, 2014 and 2013, respectively ($4.8 million and $4.9 million for the second quarter of 2014 and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During the second quarter of 2014, we determined that while we properly identified our related parties in previously issued financial statements, disclosures of certain immaterial related party expenses were omitted. We have corrected the previously presented disclosures of related party expenses in Note 2 — </w:t>
      </w:r>
      <w:r>
        <w:rPr>
          <w:rFonts w:ascii="Arial" w:cs="Arial" w:eastAsia="Arial" w:hAnsi="Arial"/>
          <w:sz w:val="17"/>
          <w:szCs w:val="17"/>
          <w:i w:val="1"/>
          <w:iCs w:val="1"/>
          <w:color w:val="auto"/>
        </w:rPr>
        <w:t xml:space="preserve">Transactions with Related Parties </w:t>
      </w:r>
      <w:r>
        <w:rPr>
          <w:rFonts w:ascii="Arial" w:cs="Arial" w:eastAsia="Arial" w:hAnsi="Arial"/>
          <w:sz w:val="17"/>
          <w:szCs w:val="17"/>
          <w:color w:val="auto"/>
        </w:rPr>
        <w:t>and on the face of the condensed consolidated statements of operations for the three and six months ended June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 of correcting these items in the notes to the condensed consolidated financial statements had the effect of increasing the amounts disclosed as related party cost of revenue from Ocwen by $8.9 million for the six months ended June 30, 2013 ($5.1 million for the second quarter of 2013), increasing the amounts disclosed as selling, general and administrative expenses (“SG&amp;A”) from Ocwen billings to Altisource by $0.2 million for the six months ended June 30, 2013 ($0.1 million for the second quarter of 2013), decreasing the amounts disclosed as SG&amp;A from Altisource billings to Ocwen by $0.1 million for the six months ended June 30, 2013 ($0.1 million for the second quarter of 2013) and decreasing the amounts disclosed as SG&amp;A from Altisource billings to AAMC by $0.2 million ($0.1 million for the second quarter of 2013). Correcting these items on the face of the condensed consolidated statements of operations resulted in the disclosure of related party cost of revenue of $8.9 million for the six months ended June 30, 2013 ($5.1 million for the second quarter of 2013) and a decrease in previously disclosed related party SG&amp;A by $1.7 million for the six months ended June 30, 2013 ($0.8 million for the second quarter of 2013).</w:t>
      </w:r>
    </w:p>
    <w:p>
      <w:pPr>
        <w:spacing w:after="0" w:line="18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In accordance with Accounting Standards Codification Topic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the Company evaluated the effect of the disclosure and presentation errors on its previously issued annual and quarterly financial statements, both qualitatively and quantitatively, and concluded that the related party disclosures in the Company’s previously issued annual and quarterly financial statements are not materially misstated.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0"/>
              </w:rPr>
              <w:t>Three months ended 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1"/>
              </w:rPr>
              <w:t>Six months ended 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0"/>
                <w:szCs w:val="10"/>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 Increase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188,477</w:t>
            </w: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119,887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334,971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216,264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22,959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57,983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24,783</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105,487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45,014</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263,165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473,124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32,276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296,072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535,341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183,999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116,972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331,804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213,934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29,828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92,555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48,508</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58,225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34,485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101,426</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65,163</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94,878</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Net income attributable to non-controlling interests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54,101</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30,931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93,732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2"/>
                <w:szCs w:val="22"/>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ectPr>
          <w:pgSz w:w="11900" w:h="16838" w:orient="portrait"/>
          <w:cols w:equalWidth="0" w:num="1">
            <w:col w:w="11420"/>
          </w:cols>
          <w:pgMar w:left="240" w:top="125" w:right="239" w:bottom="0" w:gutter="0" w:footer="0" w:header="0"/>
        </w:sectPr>
      </w:pPr>
    </w:p>
    <w:bookmarkStart w:id="22" w:name="page23"/>
    <w:bookmarkEnd w:id="22"/>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We recognized service revenue of $473.1 million for the six months ended June 30, 2014, a 64% increase compared to the six months ended June 30, 2013</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($263.2 million for the second quarter of 2014, a 63% increase compared to the second quarter of 2013). The continued growth in service revenue was driven by Ocwen’s growth, higher auction mix for houses sold on Hubzu, growth in our Financial Services and insurance services businesses and revenue from Equator. Growth in our Financial Services business for the second quarter of 2014 and the six months ended June 30, 2014 was from expanding relationships with existing clients and attracting new clients in the customer relationship management business and for the six months ended June 30, 2014, from the mortgage charge-off collection business. Service revenue growth was also driven by increases in Technology Services’ licensing revenue from the growth in Ocwen’s servicing portfolio and Equator, which was acquired in November 2013. Growth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insurance services business was driven by our overall growth and the addition of loss draft processing to our suite of insurance services.</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increase in revenue from reimbursable expenses for the six months ended June 30, 2014 of $61.1 million, or 40% compared to the six months ended June 30, 2013 ($32.3 million for the second quarter of 2014, a 39% increase compared to the second quarter of 2013), is primarily due to the growth of Ocwen’s loan servicing portfolio, although reimbursable expenses can vary significantly from period to period based on the mix of services ordered.</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revenues are impacted by seasonality. More specifically, the Financial Services segment’s asset recovery management revenue tends to be higher in the first quarter and generally declines throughout the year. Mortgage Services revenue is impacted by REO sales and lawn maintenance, which tend to be at their lowest level during the fall and winter months and highest during the spring and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recognized cost of revenue of $331.8 million for the six months ended June 30, 2014, a 55% increase compared to the six months ended June 30, 2013 ($184.0 million for the second quarter of 2014, a 57% increase compared to the second quarter of 2013). The increase in cost of revenue is primarily attributable to increased compensation, vendor and technology and telecommunications costs associated with the growth in Ocwen’s loan servicing portfolio and the acquisition of Equator in November 2013. In addition, our technology and telecommunications costs and depreciation and amortization expense were higher as a result of increased investment in the development of our next generation technology and infrastructure to support our growth.</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Gross profit increased to $203.5 million, representing 43% of service revenue, for the six months ended June 30, 2014 from $121.0 million, representing 42% of service revenue, for the six months ended June 30, 2013 (increased to $112.1 million, representing 43% of service revenue, for the second quarter of 2014 from $69.1 million, representing 43% of service revenue for the second quarter of 2013). The increase in gross profit margin for the six months ended June 30, 2014 was driven by margin expansion in all three of our reporting segments, partially offset by a shift in revenue mix across the segments. In the Mortgage Services segment, we expanded our gross profit margin by fully utilizing employees that we were carrying in 2013 in anticipation of new business and performing certain services with our employees that were previously performed by outside vendors. In the Financial Services segment, we expanded our gross profit margin through the growth of the higher margin mortgage charge-off collections and customer relationship management businesses, partially offset by higher compensation expense from headcount growth to support new business prior to the commencement of the business. In the Technology Services segment, we expanded our gross profit margin due to the larger number of loans on REALServicing and from the Equator business, partially offset by our continued investment in our next generation technology to support our growth. The mix of revenue across our segments partially offsets the improvements in each of the individual segments as our lower margin Technology Services segment grew at a considerably higher rate than the higher margin Mortgage Services segment. While gross profit margins in the Technology Services segment improved for the six months ended June 30, 2014 compared to the six months ended June 30, 2013, we anticipate margins to remain constrained as we continue to invest in the development of our next generation technology.</w:t>
      </w:r>
    </w:p>
    <w:p>
      <w:pPr>
        <w:spacing w:after="0" w:line="18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second quarter of 2014, increases in gross profit margin in the Mortgage Services segment were offset by lower gross profit margins in the Financial Services segment and Technology Services segment, driven by higher compensation expense from increased headcount to support our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SG&amp;A includes payroll for personnel employed in executive, finance, legal, human resources, vendor management, risk and operational effectiveness roles.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category also includes occupancy costs, professional fees and depreciation and amortization of intangible assets.</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recognized SG&amp;A of $92.6 million for the six months ended June 30, 2014, a 91% increase compared to the six months ended June 30, 2013 ($49.0 million for the second quarter of 2014, a 64% increase compared to the second quarter of 2013). This increase is primarily driven by higher amortization of intangible assets recorded in connection with the Homeward, ResCap and Equator acquisitions which closed on March 29, 2013, April 12, 2013 and November 15, 2013, respectively. Amortization expense was $19.6 million and $10.2 million for the six months ended June 30, 2014 and 2013, respectively ($10.1 million and $9.0 million for the second quarter of 2014 and 2013, respectively). In addition, SG&amp;A increased from higher Hubzu marketing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costs, higher bad debt expense and higher occupancy costs associated with office relocations and higher staffing levels. We are also expanding some of our corporate functions to support Altisource’s growth.</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liability for contingent consideration related to the Equator acquisition is reflected at fair value and adjusted each reporting period with the change in fair value recognized in earnings. During the second quarter of 2014, the fair value was reduced by $37.9 million with a corresponding increase in earnings. As a result of the adjustment in the fair value of the Equator contingent consideration and based on our preliminary assessment, we estimated that the Equator goodwill was impaired and recorded an impairment loss of $37.5 million.</w:t>
      </w:r>
    </w:p>
    <w:p>
      <w:pPr>
        <w:sectPr>
          <w:pgSz w:w="11900" w:h="16912" w:orient="portrait"/>
          <w:cols w:equalWidth="0" w:num="1">
            <w:col w:w="11400"/>
          </w:cols>
          <w:pgMar w:left="240" w:top="125" w:right="259" w:bottom="0" w:gutter="0" w:footer="0" w:header="0"/>
        </w:sectPr>
      </w:pPr>
    </w:p>
    <w:bookmarkStart w:id="23" w:name="page24"/>
    <w:bookmarkEnd w:id="23"/>
    <w:p>
      <w:pPr>
        <w:ind w:right="20"/>
        <w:spacing w:after="0" w:line="264" w:lineRule="auto"/>
        <w:rPr>
          <w:sz w:val="20"/>
          <w:szCs w:val="20"/>
          <w:color w:val="auto"/>
        </w:rPr>
      </w:pPr>
      <w:r>
        <w:rPr>
          <w:rFonts w:ascii="Arial" w:cs="Arial" w:eastAsia="Arial" w:hAnsi="Arial"/>
          <w:sz w:val="18"/>
          <w:szCs w:val="18"/>
          <w:color w:val="auto"/>
        </w:rPr>
        <w:t>The following table presents the impact of the change in the fair value of the Equator Earn Out and Equator goodwill impairment for the second quarter of 2014 and for the six months ended June 30, 2014 and are included in selling, general and administrative expenses in the condensed 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fair value of Equator Earn Out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 impairment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Income from operations increased to $111.0 million, representing 23% of service revenue, for the six months ended June 30, 2014 from $72.5 million, representing 25% of service revenue, for the six months ended June 30, 2013 (increased to $63.1 million, representing 24% of service revenue for the second quarter of 2014 from $39.3 million, representing 24% of service revenue, for the second quarter of 2013). The decrease in operating income margin for the six months ended June 30, 2014 is the result of the higher amortization of intangible assets recorded in connection with the Homeward, ResCap and Equator acquisitions and Hubzu marketing, partially offset by improved gross profit margins in all three of our reporting segments, as discussed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Other income (expense), net principally includes interest expense and interest income. Interest expense was $9.6 million for the six months ended June 30, 2014, an 18% increase compared to the six months ended June 30, 2013 ($4.8 million for the second quarter of 2014, a 2% decrease compared to the second quarter of 2013). For the six months ended June 30, 2014, the increase was driven by the additional $200.0 million senior secured term loan borrowings on May 7, 2013, partially offset by lower interest rates from the senior secured term loan refinancing on December 9, 2013. For the second quarter of 2014, the higher interest expense from the additional $200.0 million senior secured term loan borrowings on May 7, 2013 was more than offset by lower interest rates from the December 9, 2013 senior secured term loan refinancing.</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six months ended June 30, 2013, we recorded $0.8 million of interest income earned on the $75.0 million loan to Ocwen, which was repaid in February 2013 (no comparative amounts for 2014 and the second quarter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recognized an income tax provision of $6.5 million for the six months ended June 30, 2014 compared to $4.6 million for the six months ended June 30, 2013 ($3.5 million and $2.4 million for the second quarter of 2014 and 2013, respectively). Altisource’s effective tax rate differs from the Luxembourg statutory tax rate of 29.2% primarily because of the effect of a favorable tax ruling in Luxembourg and the mix of income and losses in multiple tax jurisdictions. Our effective tax rate for the six months ended June 30, 2014 was 6.5% compared to 7.0% for the six months ended June 30, 2013 (6.0% and 7.0% for the second quarter of 2014 and 2013, respectively).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six months ended June 30, 2014 and 2013. Transactions between segments are accounted for as third party arrangements for purposes of presenting segment results of operations. Intercompany transactions primarily consist of IT infrastructure services. Generally, we reflect these as service revenue in the Technology Services segment and technology and telecommunications expense within cost of revenue and SG&amp;A in the segment receiving the services, except for consulting services, which we reflect in outside fees and services within cost of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June 30, 2014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188,477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25,436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57,983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32,236</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221,344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296,072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128,919</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16,058</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46,906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183,999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23,472</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4,773</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60" w:type="dxa"/>
            <w:vAlign w:val="bottom"/>
            <w:gridSpan w:val="2"/>
            <w:vMerge w:val="continue"/>
            <w:shd w:val="clear" w:color="auto" w:fill="CCEEFF"/>
          </w:tcPr>
          <w:p>
            <w:pPr>
              <w:spacing w:after="0"/>
              <w:rPr>
                <w:sz w:val="15"/>
                <w:szCs w:val="15"/>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69,033</w:t>
            </w:r>
          </w:p>
        </w:tc>
        <w:tc>
          <w:tcPr>
            <w:tcW w:w="280" w:type="dxa"/>
            <w:vAlign w:val="bottom"/>
            <w:tcBorders>
              <w:right w:val="single" w:sz="8" w:color="CCEEFF"/>
            </w:tcBorders>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4,657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3,438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(18,903)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58,225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341" w:right="239" w:bottom="0" w:gutter="0" w:footer="0" w:header="0"/>
        </w:sectPr>
      </w:pPr>
    </w:p>
    <w:bookmarkStart w:id="24" w:name="page25"/>
    <w:bookmarkEnd w:id="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Revenue</w:t>
            </w:r>
          </w:p>
        </w:tc>
        <w:tc>
          <w:tcPr>
            <w:tcW w:w="440" w:type="dxa"/>
            <w:vAlign w:val="bottom"/>
            <w:gridSpan w:val="5"/>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148,648</w:t>
            </w:r>
          </w:p>
        </w:tc>
        <w:tc>
          <w:tcPr>
            <w:tcW w:w="2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7,129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23,250</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179,027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of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79"/>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center"/>
              <w:ind w:right="259"/>
              <w:spacing w:after="0"/>
              <w:rPr>
                <w:sz w:val="20"/>
                <w:szCs w:val="20"/>
                <w:color w:val="auto"/>
              </w:rPr>
            </w:pPr>
            <w:r>
              <w:rPr>
                <w:rFonts w:ascii="Arial" w:cs="Arial" w:eastAsia="Arial" w:hAnsi="Arial"/>
                <w:sz w:val="14"/>
                <w:szCs w:val="14"/>
                <w:b w:val="1"/>
                <w:bCs w:val="1"/>
                <w:color w:val="auto"/>
                <w:w w:val="91"/>
              </w:rPr>
              <w:t>Three months ended June 30, 2013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259"/>
              <w:spacing w:after="0" w:line="119" w:lineRule="exact"/>
              <w:rPr>
                <w:sz w:val="20"/>
                <w:szCs w:val="20"/>
                <w:color w:val="auto"/>
              </w:rPr>
            </w:pPr>
            <w:r>
              <w:rPr>
                <w:rFonts w:ascii="Arial" w:cs="Arial" w:eastAsia="Arial" w:hAnsi="Arial"/>
                <w:sz w:val="13"/>
                <w:szCs w:val="13"/>
                <w:b w:val="1"/>
                <w:bCs w:val="1"/>
                <w:color w:val="auto"/>
              </w:rPr>
              <w:t>Corporate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39"/>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Service revenue</w:t>
            </w:r>
          </w:p>
        </w:tc>
        <w:tc>
          <w:tcPr>
            <w:tcW w:w="440" w:type="dxa"/>
            <w:vAlign w:val="bottom"/>
            <w:gridSpan w:val="5"/>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119,887</w:t>
            </w:r>
          </w:p>
        </w:tc>
        <w:tc>
          <w:tcPr>
            <w:tcW w:w="2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22,959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24,783</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79"/>
              <w:spacing w:after="0"/>
              <w:rPr>
                <w:sz w:val="20"/>
                <w:szCs w:val="20"/>
                <w:color w:val="auto"/>
              </w:rPr>
            </w:pPr>
            <w:r>
              <w:rPr>
                <w:rFonts w:ascii="Arial" w:cs="Arial" w:eastAsia="Arial" w:hAnsi="Arial"/>
                <w:sz w:val="18"/>
                <w:szCs w:val="18"/>
                <w:color w:val="auto"/>
              </w:rPr>
              <w:t>(5,955)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161,674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Reimbursable expenses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23,186</w:t>
            </w: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144,210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186,110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89,078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19,407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79"/>
              <w:spacing w:after="0"/>
              <w:rPr>
                <w:sz w:val="20"/>
                <w:szCs w:val="20"/>
                <w:color w:val="auto"/>
              </w:rPr>
            </w:pPr>
            <w:r>
              <w:rPr>
                <w:rFonts w:ascii="Arial" w:cs="Arial" w:eastAsia="Arial" w:hAnsi="Arial"/>
                <w:sz w:val="18"/>
                <w:szCs w:val="18"/>
                <w:color w:val="auto"/>
              </w:rPr>
              <w:t>(5,320)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3,028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39"/>
              <w:spacing w:after="0"/>
              <w:rPr>
                <w:sz w:val="20"/>
                <w:szCs w:val="20"/>
                <w:color w:val="auto"/>
              </w:rPr>
            </w:pPr>
            <w:r>
              <w:rPr>
                <w:rFonts w:ascii="Arial" w:cs="Arial" w:eastAsia="Arial" w:hAnsi="Arial"/>
                <w:sz w:val="18"/>
                <w:szCs w:val="18"/>
                <w:color w:val="auto"/>
              </w:rPr>
              <w:t>10,676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79"/>
              <w:spacing w:after="0"/>
              <w:rPr>
                <w:sz w:val="20"/>
                <w:szCs w:val="20"/>
                <w:color w:val="auto"/>
              </w:rPr>
            </w:pPr>
            <w:r>
              <w:rPr>
                <w:rFonts w:ascii="Arial" w:cs="Arial" w:eastAsia="Arial" w:hAnsi="Arial"/>
                <w:sz w:val="18"/>
                <w:szCs w:val="18"/>
                <w:color w:val="auto"/>
              </w:rPr>
              <w:t>(4,880)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gridSpan w:val="3"/>
            <w:vMerge w:val="continue"/>
            <w:shd w:val="clear" w:color="auto" w:fill="CCEEFF"/>
          </w:tcPr>
          <w:p>
            <w:pPr>
              <w:spacing w:after="0"/>
              <w:rPr>
                <w:sz w:val="15"/>
                <w:szCs w:val="15"/>
                <w:color w:val="auto"/>
              </w:rPr>
            </w:pPr>
          </w:p>
        </w:tc>
        <w:tc>
          <w:tcPr>
            <w:tcW w:w="440" w:type="dxa"/>
            <w:vAlign w:val="bottom"/>
            <w:gridSpan w:val="5"/>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22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5,726</w:t>
            </w:r>
          </w:p>
        </w:tc>
        <w:tc>
          <w:tcPr>
            <w:tcW w:w="2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2,347</w:t>
            </w:r>
          </w:p>
        </w:tc>
        <w:tc>
          <w:tcPr>
            <w:tcW w:w="20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(16,191)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34,485</w:t>
            </w:r>
          </w:p>
        </w:tc>
        <w:tc>
          <w:tcPr>
            <w:tcW w:w="12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interests</w:t>
            </w:r>
          </w:p>
        </w:tc>
        <w:tc>
          <w:tcPr>
            <w:tcW w:w="440" w:type="dxa"/>
            <w:vAlign w:val="bottom"/>
            <w:gridSpan w:val="5"/>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Gross profit/service revenue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Income from operations/service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Revenue</w:t>
            </w:r>
          </w:p>
        </w:tc>
        <w:tc>
          <w:tcPr>
            <w:tcW w:w="440" w:type="dxa"/>
            <w:vAlign w:val="bottom"/>
            <w:gridSpan w:val="5"/>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101,252</w:t>
            </w:r>
          </w:p>
        </w:tc>
        <w:tc>
          <w:tcPr>
            <w:tcW w:w="2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6,683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13,299</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121,234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of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2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79"/>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17"/>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0" w:type="dxa"/>
            <w:vAlign w:val="bottom"/>
            <w:tcBorders>
              <w:bottom w:val="single" w:sz="8" w:color="010101"/>
            </w:tcBorders>
            <w:gridSpan w:val="2"/>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00" w:type="dxa"/>
            <w:vAlign w:val="bottom"/>
            <w:gridSpan w:val="4"/>
          </w:tcPr>
          <w:p>
            <w:pPr>
              <w:spacing w:after="0"/>
              <w:rPr>
                <w:rFonts w:ascii="Arial" w:cs="Arial" w:eastAsia="Arial" w:hAnsi="Arial"/>
                <w:sz w:val="18"/>
                <w:szCs w:val="18"/>
                <w:color w:val="auto"/>
              </w:rPr>
            </w:pPr>
            <w:r>
              <w:rPr>
                <w:rFonts w:ascii="Arial" w:cs="Arial" w:eastAsia="Arial" w:hAnsi="Arial"/>
                <w:sz w:val="18"/>
                <w:szCs w:val="18"/>
                <w:color w:val="auto"/>
              </w:rPr>
              <w:t>x</w:t>
            </w:r>
            <w:hyperlink w:anchor="page1">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center"/>
              <w:ind w:right="219"/>
              <w:spacing w:after="0"/>
              <w:rPr>
                <w:sz w:val="20"/>
                <w:szCs w:val="20"/>
                <w:color w:val="auto"/>
              </w:rPr>
            </w:pPr>
            <w:r>
              <w:rPr>
                <w:rFonts w:ascii="Arial" w:cs="Arial" w:eastAsia="Arial" w:hAnsi="Arial"/>
                <w:sz w:val="14"/>
                <w:szCs w:val="14"/>
                <w:b w:val="1"/>
                <w:bCs w:val="1"/>
                <w:color w:val="auto"/>
                <w:w w:val="90"/>
              </w:rPr>
              <w:t>Six months ended June 30, 2014</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299"/>
              <w:spacing w:after="0" w:line="119" w:lineRule="exact"/>
              <w:rPr>
                <w:sz w:val="20"/>
                <w:szCs w:val="20"/>
                <w:color w:val="auto"/>
              </w:rPr>
            </w:pPr>
            <w:r>
              <w:rPr>
                <w:rFonts w:ascii="Arial" w:cs="Arial" w:eastAsia="Arial" w:hAnsi="Arial"/>
                <w:sz w:val="13"/>
                <w:szCs w:val="13"/>
                <w:b w:val="1"/>
                <w:bCs w:val="1"/>
                <w:color w:val="auto"/>
              </w:rPr>
              <w:t>Corporate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79"/>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Service revenue</w:t>
            </w:r>
          </w:p>
        </w:tc>
        <w:tc>
          <w:tcPr>
            <w:tcW w:w="440" w:type="dxa"/>
            <w:vAlign w:val="bottom"/>
            <w:gridSpan w:val="5"/>
          </w:tcPr>
          <w:p>
            <w:pPr>
              <w:ind w:left="2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334,971</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49,693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105,487</w:t>
            </w:r>
          </w:p>
        </w:tc>
        <w:tc>
          <w:tcPr>
            <w:tcW w:w="180" w:type="dxa"/>
            <w:vAlign w:val="bottom"/>
          </w:tcPr>
          <w:p>
            <w:pPr>
              <w:spacing w:after="0"/>
              <w:rPr>
                <w:sz w:val="17"/>
                <w:szCs w:val="17"/>
                <w:color w:val="auto"/>
              </w:rPr>
            </w:pPr>
          </w:p>
        </w:tc>
        <w:tc>
          <w:tcPr>
            <w:tcW w:w="2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19"/>
              <w:spacing w:after="0"/>
              <w:rPr>
                <w:sz w:val="20"/>
                <w:szCs w:val="20"/>
                <w:color w:val="auto"/>
              </w:rPr>
            </w:pPr>
            <w:r>
              <w:rPr>
                <w:rFonts w:ascii="Arial" w:cs="Arial" w:eastAsia="Arial" w:hAnsi="Arial"/>
                <w:sz w:val="16"/>
                <w:szCs w:val="16"/>
                <w:color w:val="auto"/>
              </w:rPr>
              <w:t>(17,027)</w:t>
            </w:r>
          </w:p>
        </w:tc>
        <w:tc>
          <w:tcPr>
            <w:tcW w:w="1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473,124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Reimbursable expenses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61,003</w:t>
            </w: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w:t>
            </w: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61,071</w:t>
            </w: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1,146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397,120</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49,761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105,487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(17,027)</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535,341</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Cost of revenue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231,723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30,671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84,671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19"/>
              <w:spacing w:after="0"/>
              <w:rPr>
                <w:sz w:val="20"/>
                <w:szCs w:val="20"/>
                <w:color w:val="auto"/>
              </w:rPr>
            </w:pPr>
            <w:r>
              <w:rPr>
                <w:rFonts w:ascii="Arial" w:cs="Arial" w:eastAsia="Arial" w:hAnsi="Arial"/>
                <w:sz w:val="16"/>
                <w:szCs w:val="16"/>
                <w:color w:val="auto"/>
              </w:rPr>
              <w:t>(15,261)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331,804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165,397</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20,816</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203,537</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Selling, general and administrative expenses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42,666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9,436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14,127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26,326</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92,555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122,731</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9,654</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6,689</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(28,092)</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110,982</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19"/>
              <w:spacing w:after="0"/>
              <w:rPr>
                <w:sz w:val="20"/>
                <w:szCs w:val="20"/>
                <w:color w:val="auto"/>
              </w:rPr>
            </w:pPr>
            <w:r>
              <w:rPr>
                <w:rFonts w:ascii="Arial" w:cs="Arial" w:eastAsia="Arial" w:hAnsi="Arial"/>
                <w:sz w:val="16"/>
                <w:szCs w:val="16"/>
                <w:color w:val="auto"/>
              </w:rPr>
              <w:t>(9,573)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(9,556)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2"/>
              </w:rPr>
              <w:t>Income before income taxes and non-controlling interests</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122,859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(37,665</w:t>
            </w:r>
          </w:p>
        </w:tc>
        <w:tc>
          <w:tcPr>
            <w:tcW w:w="260" w:type="dxa"/>
            <w:vAlign w:val="bottom"/>
            <w:tcBorders>
              <w:top w:val="single" w:sz="8" w:color="CCEEFF"/>
              <w:left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Margins: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Gross profit/service revenue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ind w:left="700"/>
              <w:spacing w:after="0"/>
              <w:rPr>
                <w:sz w:val="20"/>
                <w:szCs w:val="20"/>
                <w:color w:val="auto"/>
              </w:rPr>
            </w:pPr>
            <w:r>
              <w:rPr>
                <w:rFonts w:ascii="Arial" w:cs="Arial" w:eastAsia="Arial" w:hAnsi="Arial"/>
                <w:sz w:val="16"/>
                <w:szCs w:val="16"/>
                <w:color w:val="auto"/>
              </w:rPr>
              <w:t>N/M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from operations/service revenue</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Transactions with related parties: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Revenue</w:t>
            </w:r>
          </w:p>
        </w:tc>
        <w:tc>
          <w:tcPr>
            <w:tcW w:w="440" w:type="dxa"/>
            <w:vAlign w:val="bottom"/>
            <w:gridSpan w:val="5"/>
          </w:tcPr>
          <w:p>
            <w:pPr>
              <w:ind w:left="2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271,087</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13,431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40,067</w:t>
            </w:r>
          </w:p>
        </w:tc>
        <w:tc>
          <w:tcPr>
            <w:tcW w:w="180" w:type="dxa"/>
            <w:vAlign w:val="bottom"/>
          </w:tcPr>
          <w:p>
            <w:pPr>
              <w:spacing w:after="0"/>
              <w:rPr>
                <w:sz w:val="17"/>
                <w:szCs w:val="17"/>
                <w:color w:val="auto"/>
              </w:rPr>
            </w:pPr>
          </w:p>
        </w:tc>
        <w:tc>
          <w:tcPr>
            <w:tcW w:w="2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324,585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16,246</w:t>
            </w: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140</w:t>
            </w: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16,842</w:t>
            </w: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19"/>
              <w:spacing w:after="0"/>
              <w:rPr>
                <w:sz w:val="20"/>
                <w:szCs w:val="20"/>
                <w:color w:val="auto"/>
              </w:rPr>
            </w:pPr>
            <w:r>
              <w:rPr>
                <w:rFonts w:ascii="Arial" w:cs="Arial" w:eastAsia="Arial" w:hAnsi="Arial"/>
                <w:sz w:val="16"/>
                <w:szCs w:val="16"/>
                <w:color w:val="auto"/>
              </w:rPr>
              <w:t>(925)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(731)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N/M — not meaningful.</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center"/>
              <w:ind w:right="239"/>
              <w:spacing w:after="0"/>
              <w:rPr>
                <w:sz w:val="20"/>
                <w:szCs w:val="20"/>
                <w:color w:val="auto"/>
              </w:rPr>
            </w:pPr>
            <w:r>
              <w:rPr>
                <w:rFonts w:ascii="Arial" w:cs="Arial" w:eastAsia="Arial" w:hAnsi="Arial"/>
                <w:sz w:val="14"/>
                <w:szCs w:val="14"/>
                <w:b w:val="1"/>
                <w:bCs w:val="1"/>
                <w:color w:val="auto"/>
                <w:w w:val="89"/>
              </w:rPr>
              <w:t>Six months ended June 30, 2013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1"/>
              </w:rPr>
              <w:t>Technology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379"/>
              <w:spacing w:after="0" w:line="119" w:lineRule="exact"/>
              <w:rPr>
                <w:sz w:val="20"/>
                <w:szCs w:val="20"/>
                <w:color w:val="auto"/>
              </w:rPr>
            </w:pPr>
            <w:r>
              <w:rPr>
                <w:rFonts w:ascii="Arial" w:cs="Arial" w:eastAsia="Arial" w:hAnsi="Arial"/>
                <w:sz w:val="13"/>
                <w:szCs w:val="13"/>
                <w:b w:val="1"/>
                <w:bCs w:val="1"/>
                <w:color w:val="auto"/>
              </w:rPr>
              <w:t>Corporate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59"/>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59"/>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Service revenue</w:t>
            </w:r>
          </w:p>
        </w:tc>
        <w:tc>
          <w:tcPr>
            <w:tcW w:w="440" w:type="dxa"/>
            <w:vAlign w:val="bottom"/>
            <w:gridSpan w:val="5"/>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216,264</w:t>
            </w:r>
          </w:p>
        </w:tc>
        <w:tc>
          <w:tcPr>
            <w:tcW w:w="22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39,091</w:t>
            </w:r>
          </w:p>
        </w:tc>
        <w:tc>
          <w:tcPr>
            <w:tcW w:w="20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45,014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(11,143)</w:t>
            </w:r>
          </w:p>
        </w:tc>
        <w:tc>
          <w:tcPr>
            <w:tcW w:w="260" w:type="dxa"/>
            <w:vAlign w:val="bottom"/>
          </w:tcPr>
          <w:p>
            <w:pPr>
              <w:spacing w:after="0"/>
              <w:rPr>
                <w:sz w:val="17"/>
                <w:szCs w:val="17"/>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289,226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Reimbursable expenses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43,248</w:t>
            </w:r>
          </w:p>
        </w:tc>
        <w:tc>
          <w:tcPr>
            <w:tcW w:w="2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43,565</w:t>
            </w: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261,658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45,014</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334,937</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Cost of revenue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161,447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25,833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(9,865)</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213,934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100,211</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13,575</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121,003</w:t>
            </w: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-5483225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-5483225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9"/>
        </w:trPr>
        <w:tc>
          <w:tcPr>
            <w:tcW w:w="404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18,048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4,893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6"/>
                <w:szCs w:val="16"/>
                <w:color w:val="auto"/>
              </w:rPr>
              <w:t>19,183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82,163</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72,495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(112)</w:t>
            </w:r>
          </w:p>
        </w:tc>
        <w:tc>
          <w:tcPr>
            <w:tcW w:w="4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(7,215)</w:t>
            </w:r>
          </w:p>
        </w:tc>
        <w:tc>
          <w:tcPr>
            <w:tcW w:w="4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(7,332)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Income before income taxes and non-controlling interests</w:t>
            </w: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82,051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(27,676</w:t>
            </w:r>
          </w:p>
        </w:tc>
        <w:tc>
          <w:tcPr>
            <w:tcW w:w="30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Margins: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auto"/>
              </w:rPr>
              <w:t>Gross profit/service revenue</w:t>
            </w:r>
          </w:p>
        </w:tc>
        <w:tc>
          <w:tcPr>
            <w:tcW w:w="3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from operations/service revenue</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Transactions with related parties: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181,127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6,722</w:t>
            </w:r>
          </w:p>
        </w:tc>
        <w:tc>
          <w:tcPr>
            <w:tcW w:w="200" w:type="dxa"/>
            <w:vAlign w:val="bottom"/>
          </w:tcPr>
          <w:p>
            <w:pPr>
              <w:spacing w:after="0"/>
              <w:rPr>
                <w:sz w:val="17"/>
                <w:szCs w:val="17"/>
                <w:color w:val="auto"/>
              </w:rPr>
            </w:pPr>
          </w:p>
        </w:tc>
        <w:tc>
          <w:tcPr>
            <w:tcW w:w="46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23,483</w:t>
            </w:r>
          </w:p>
        </w:tc>
        <w:tc>
          <w:tcPr>
            <w:tcW w:w="220" w:type="dxa"/>
            <w:vAlign w:val="bottom"/>
          </w:tcPr>
          <w:p>
            <w:pPr>
              <w:spacing w:after="0"/>
              <w:rPr>
                <w:sz w:val="17"/>
                <w:szCs w:val="17"/>
                <w:color w:val="auto"/>
              </w:rPr>
            </w:pPr>
          </w:p>
        </w:tc>
        <w:tc>
          <w:tcPr>
            <w:tcW w:w="4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211,332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8,260</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(375)</w:t>
            </w:r>
          </w:p>
        </w:tc>
        <w:tc>
          <w:tcPr>
            <w:tcW w:w="4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773</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99770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52"/>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105,948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46,747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180,673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78,116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26,827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49,374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Residential property valuation</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26,028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48,839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30,975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22,157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41,557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221,344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144,210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397,120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261,658</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62,052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184,505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Residential property valuation</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22,745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24,770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46,366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8,604</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Service revenue growth from asset management services and insurance services is primarily driven by Ocwen’s growth as loans from its servicing acquisitions are boarded onto REALServicing, higher auction mix for houses sold on Hubzu and growth in our insurance services business. From June 30, 2013 through June 30, 2014, Ocwen boarded 1.4 million loans onto REALServicing from Ocwen’s acquisitions of Homeward, ResCap and OneWest Bank FSB servicing rights. Growth in the insurance services business was driven by our overall growth and the addition of loss draft processing to our suite of insurance services. The decline in default management services revenue was driven primarily by lower levels of foreclosure starts. The lower origination management services revenue was driven by the loss of a customer who, in the fourth quarter of 2013, eliminated its affinity relationship with Altisource and its other similar vendor partners and lower origination volume.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ectPr>
          <w:pgSz w:w="11900" w:h="16838" w:orient="portrait"/>
          <w:cols w:equalWidth="0" w:num="1">
            <w:col w:w="11420"/>
          </w:cols>
          <w:pgMar w:left="240" w:top="130" w:right="239" w:bottom="0" w:gutter="0" w:footer="0" w:header="0"/>
        </w:sectPr>
      </w:pPr>
    </w:p>
    <w:bookmarkStart w:id="26" w:name="page27"/>
    <w:bookmarkEnd w:id="2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654"/>
              <w:spacing w:after="0"/>
              <w:rPr>
                <w:sz w:val="20"/>
                <w:szCs w:val="20"/>
                <w:color w:val="auto"/>
              </w:rPr>
            </w:pPr>
            <w:r>
              <w:rPr>
                <w:rFonts w:ascii="Arial" w:cs="Arial" w:eastAsia="Arial" w:hAnsi="Arial"/>
                <w:sz w:val="14"/>
                <w:szCs w:val="14"/>
                <w:b w:val="1"/>
                <w:bCs w:val="1"/>
                <w:color w:val="auto"/>
                <w:w w:val="90"/>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44,757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77,994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8,725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231,723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Cost of revenue increased during the second quarter of 2014 and six months ended June 30, 2014 primarily due to the growth of Ocwen’s loan servicing portfolio. Outside fees and services, technology and telecommunications and depreciation and amortization increased in line with the increase in service revenue. However, compensation and benefits costs as a percentage of service revenue continued to decrease as we experience the benefit of our workforce efficiency initiatives on higher referral volumes and transitioning the performance of certain services to lower cost geographies.</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Gross profit increased to $165.4 million, representing 49% of service revenue, for the six months ended June 30, 2014 from $100.2 million, representing 46% of service revenue, for the six months ended June 30, 2013 (increased to $92.4 million, representing 49% of service revenue, for the second quarter of 2014 from $55.1 million, representing 46% of service revenue, for the second quarter of 2013). We expanded our gross profit margin by fully utilizing employees that we were carrying in 2013 in anticipation of new business and performing certain services with our employees that were previously performed by outside vendors. The increase in gross profit margin was partially offset by the impact of revenue mix, costs we are incurring to build and develop our insurance services business, and higher staff levels in our origination related and rental property management businesses than currently required in preparation for anticipated growth. Generally, we have been able to maintain our margins in a period of accelerated growth, and we anticipate that we will continue to improve margins by reducing employee and vendor costs as a percentage of service revenue through workforce efficiency initiatives, vendor cost reduction initiatives and displacing vendors with internal personnel at a lower cost.</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margins can vary substantially depending upon when Ocwen acquires and boards servicing rights onto REALServicing. Typically, compensation and benefits will increase in anticipation of a boarding as we hire and train personnel to deliver services in advance of the actual boarding of loans. Over time, these costs as a percentage of service revenue decline as we generate revenue with no increased costs as we experience benefits from our workforce efficiency initiatives. As new loans are boarded by Ocwen onto REALServicing, for the initial months post-boarding, we tend to deliver an elevated level of lower margin residential property valuation and property inspection and preservation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SG&amp;A increased during the second quarter of 2014 and six months ended June 30, 2014 principally due to the amortization of intangible assets recorded in connection with the Homeward and ResCap transactions, increased Hubzu marketing costs, higher bad debt expense and higher facility costs from increased headcount. Amortization expense was $14.5 million and $7.4 million for the six months ended June 30, 2014 and 2013, respectively ($7.4 million and $6.7 million for the second quarter of 2014 and 2013,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from operations increased to $122.7 million, representing 37% of service revenue, for the six months ended June 30, 2014 from $82.2 million, representing 38% of service revenue, for the six months ended June 30, 2013 (increased to $69.0 million, representing 37% of service revenue, for the second quarter of 2014 from $42.5 million, representing 35% of service revenue, for the second quarter of 2013). The decrease in operating income margin for the six months ended June 30, 2014 is the result of the increase of SG&amp;A as a percentage of service revenue, primarily driven by higher intangible asset amortization and Hubzu marketing costs, partially offset by a higher gross profit margin, as discussed above. The increase in operating income margin for the second quarter of 2014 is the result of a higher gross profit margin, partially offset by higher SG&amp;A as a percentage of service revenue, primarily driven by Hubzu marketing costs.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12,102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12,172</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23,384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18,124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25,476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23,072</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49,761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39,408</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333" w:right="239" w:bottom="0" w:gutter="0" w:footer="0" w:header="0"/>
        </w:sectPr>
      </w:pPr>
    </w:p>
    <w:bookmarkStart w:id="27" w:name="page28"/>
    <w:bookmarkEnd w:id="27"/>
    <w:p>
      <w:pPr>
        <w:ind w:right="60"/>
        <w:spacing w:after="0" w:line="259" w:lineRule="auto"/>
        <w:rPr>
          <w:sz w:val="20"/>
          <w:szCs w:val="20"/>
          <w:color w:val="auto"/>
        </w:rPr>
      </w:pPr>
      <w:r>
        <w:rPr>
          <w:rFonts w:ascii="Arial" w:cs="Arial" w:eastAsia="Arial" w:hAnsi="Arial"/>
          <w:sz w:val="18"/>
          <w:szCs w:val="18"/>
          <w:color w:val="auto"/>
        </w:rPr>
        <w:t>Financial Services revenue increased during the six months ended June 30, 2014 compared to the six months ended June 30, 2013 due to the expansion of the higher margin mortgage charge-off business and the growth in the customer relationship management business from the addition of new clients and the expansion of services provided to existing clients. During the second quarter of 2014, higher revenues from the customer relationship management business were partially offset by lower mortgage charge-off revenue.</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Financial Services business is impacted by seasonality. Asset recovery management revenue tends to be higher in the first quarter of each year as borrowers utilize tax refunds and bonuses to pay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654"/>
              <w:spacing w:after="0"/>
              <w:rPr>
                <w:sz w:val="20"/>
                <w:szCs w:val="20"/>
                <w:color w:val="auto"/>
              </w:rPr>
            </w:pPr>
            <w:r>
              <w:rPr>
                <w:rFonts w:ascii="Arial" w:cs="Arial" w:eastAsia="Arial" w:hAnsi="Arial"/>
                <w:sz w:val="14"/>
                <w:szCs w:val="14"/>
                <w:b w:val="1"/>
                <w:bCs w:val="1"/>
                <w:color w:val="auto"/>
                <w:w w:val="90"/>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costs and technology and telecommunications expenses increased during the second quarter of 2014 and six months ended</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June 30, 2014 compared to the second quarter of 2013 and six months ended June 30, 2013 primarily due to growth in staffing levels in the mortgage charge-off collections and customer relationship management businesses in anticipation of the growth in these businesses.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increased to $19.1 million, representing 38% of service revenue, for the six months ended June 30, 2014 from $13.6 million, representing 35% of service revenue, for the six months ended June 30, 2013 (increased to $9.4 million, representing 37% of service revenue, for the second quarter of 2014 from $9.3 million, representing 40% of service revenue, for the second quarter of 2013). For the six months ended June 30, 2014, we expanded our gross profit margin through the growth of the higher margin mortgage charge-off and customer relationship management businesses. For the second quarter of 2014, revenue growth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our higher margin customer relationship management business was more than offset by a revenue decrease in our higher margin mortgage charge-off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SG&amp;A increased during the second quarter of 2014 and six months ended June 30, 2014 compared to the second quarter of 2013 and six months ended June 30, 2013 principally from higher occupancy-related costs driven by higher headcount.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from operations increased to $9.7 million, representing 19% of service revenue, for the six months ended June 30, 2014 from $7.2 million, representing 18% of service revenue, for the six months ended June 30, 2013 (decreased to $4.6 million, representing 18% of service revenue, for the second quarter of 2014 from $5.7 million, representing 25% of service revenue, for the second quarter of 2013). The increase in operating income margin for the six months ended June 30, 2014 is the result of a higher gross profit margin, partially offset by the increase of SG&amp;A as a percentage of service revenue, as discussed above. The decrease in operating income margin for the second quarter of 2014 is the result of a lower gross profit margin and an increase in SG&amp;A as a percentage of service revenue, as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654"/>
              <w:spacing w:after="0"/>
              <w:rPr>
                <w:sz w:val="20"/>
                <w:szCs w:val="20"/>
                <w:color w:val="auto"/>
              </w:rPr>
            </w:pPr>
            <w:r>
              <w:rPr>
                <w:rFonts w:ascii="Arial" w:cs="Arial" w:eastAsia="Arial" w:hAnsi="Arial"/>
                <w:sz w:val="14"/>
                <w:szCs w:val="14"/>
                <w:b w:val="1"/>
                <w:bCs w:val="1"/>
                <w:color w:val="auto"/>
                <w:w w:val="90"/>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REALSuite and Equator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40,298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15,325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75,556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28,298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REALSuite and Equator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23,989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The increase in REALSuite and Equator revenue for the second quarter of 2014 and six months ended June 30, 2014 compared to the second quarter of 2013 and six months ended June 30, 2013 is primarily driven by the acquisition of Equator in November 2013, increased licensing revenue from REALDoc and the growth in Ocwen’s residential loan servicing portfolio on REALServicing from Ocwen’s acquisitions of Homeward, ResCap and OneWest Bank FSB servicing rights.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IT infrastructure services revenue also increased for the second quarter of 2014 and six months ended June 30, 2014 due to an increase in headcount and costs at both Ocwen and Altisource. IT infrastructure services are billed on a cost plus basis.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reporting segments is eliminated in consolidation. This inter-segment revenue is included as revenue in the Technology Services segment and as technology and telecommunications expense, a component of cost of revenue and SG&amp;A, in our other reporting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8,258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46,906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19,407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84,671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36,519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 of revenue increased for the second quarter of 2014 and six months ended June 30, 2014 compared to the second quarter of 2013 and six months ended June 30, 2013 due to the acquisition of Equator and the hiring of more and higher cost personnel to support the development of our next generation REALSuite software. We expect cost of revenue in the Technology Services segment to increase as we continue to invest in personnel to support our development and growth initiatives. Technology and telecommunications costs were higher primarily as a result of the acquisition of Equator, the increase in employee headcount and the expansion of facilities.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Gross profit increased to $20.8 million, representing 20% of service revenue, for the six months ended June 30, 2014 from $8.5 million, representing 19% of service revenue, for the six months ended June 30, 2013 (increased to $11.1 million, representing 19% of service revenue, for the second quarter of 2014 from $5.4 million, representing 22% of service revenue, for the second quarter of 2013). For the six months ended June 30, 2014, we expanded our gross profit margin from a larger number of loans on REALServicing and from the Equator business which we acquired in November 2013, partially offset by our continued investment in our next generation technology to support our growth. For the second quarter of 2014, costs associated with our continued investment in our next generation technology were higher than growth in our service revenue. We anticipate margins to remain constrained as we continue to invest in the development of our next generation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SG&amp;A increased for the second quarter of 2014 and the six months ended June 30, 2014 compared to the second quarter of 2013 and six months ended June 30, 2013 primarily due to the acquisition of Equator, higher administrative employee costs and increased occupancy-related costs driven by higher headcount as well as increased intangible asset amortization related to the Homeward, ResCap and Equator acquisitions. Amortization expense was $2.2 million and $0.5 million for the six months ended June 30, 2014 and 2013, respectively ($1.3 million and $0.5 million for the second quarter of 2014 and 2013, respectively).</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Income from operations increased to $6.7 million, representing 6% of service revenue, for the six months ended June 30, 2014 from $3.6 million, representing 8% of service revenue, for the six months ended June 30, 2013 (increased to $3.5 million, representing 6% of service revenue, for the second quarter of 2014 from $2.3 million, representing 9% of service revenue, for the second quarter of 2013). The decreases in operating income margin are the result of increased intangible asset amortization related to the Homeward, ResCap and Equator acquisitions and the impact of gross profit margins, as discussed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Corporate Items and Eliminations include costs related to corporate support functions including executive, finance, legal, human resources, vendor management, risk and operational effectiveness as well as interest expense. It also includes eliminations of transactions between the reporting segments.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Corporate costs increased for the second quarter of 2014 and six months ended June 30, 2014 compared to the second quarter of 2013 and six months ended June 30, 2013 primarily due to higher compensation and employee-related costs and interest expense. We incurred higher compensation and employee-related costs as we are expanding certain corporate functions to support our continued growth.</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was $9.6 million for the six months ended June 30, 2014, an 18% increase compared to the six months ended June 30, 2013 ($4.8 million for the second quarter of 2014, a 2% decrease compared to the second quarter of 2013). For the six months ended June 30, 2014, the increase was driven by the additional $200.0 million senior secured term loan borrowings on May 7, 2013, partially offset by lower interest rates from the senior secured term loan refinancing on December 9, 2013. For the</w:t>
      </w:r>
    </w:p>
    <w:p>
      <w:pPr>
        <w:sectPr>
          <w:pgSz w:w="11900" w:h="16838" w:orient="portrait"/>
          <w:cols w:equalWidth="0" w:num="1">
            <w:col w:w="11420"/>
          </w:cols>
          <w:pgMar w:left="240" w:top="125" w:right="239" w:bottom="24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44"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second quarter of 2014, the higher interest expense from the additional $200.0 million senior secured term loan borrowings on May 7, 2013 was more than offset by lower interest rates from the December 9, 2013 senior secured term loan refinancing.</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six months ended June 30, 2013, we recorded $0.8 million of interest income earned on the $75.0 million loan to Ocwen, which was repaid in February 2013 (no comparative amounts for 2014 and the second quarter of 2013).</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Intercompany revenue that is eliminated in consolidation increased for the second quarter of 2014 and six months ended June 30, 2014 compared to the second quarter of 2013 and six months ended June 30, 2013. These intercompany transactions primarily consisted of IT infrastructure services. While the expenses are recognized in the Mortgage Services and Financial Services segments above, the elimination of these expenses is reflected in Corporate Items and Eliminations.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Further, we evaluate potential acquisitions that align with our vision and accelerate the achievement of our strategic objectives. We also intend to use excess cash to repurchase shares of our common stock when trading at attractive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November 27, 2012, we entered into a seven-year senior secured term loan agreement with Bank of America, N.A. as administrative agent, pursuant to which we borrowed $200.0 million. On May 7, 2013, we amended the senior secured term loan agreement to increase the principal amount of the senior secured term loan by $200.0 million and to provide additional share repurchase capacity, among other changes. Under the terms of the senior secured term loan, as amended, we have the ability to borrow an additional $200.0 million under an accordion provision. On December 9, 2013, we entered into Amendment No. 2 (“Second Amendment”) to the senior secured term loan agreement in which we incurred indebtedness in the form of Refinancing Debt (as defined in the senior secured term loan agreement), the proceeds of which were used to refinance, in full, the term loans outstanding under the senior secured term loan agreement immediately prior to the effectiveness of the Second Amendment. The Refinancing Debt bears interest at lower rates and has a maturity date approximately one year later than the prior term loans. Generally, the margin applied to either the Adjusted Eurodollar rate or the Base Rate, as defined in the senior secured term loan agreement, was reduced by 1 percentage point and the floor was reduced by 0.25 percentage points. The Second Amendment further modified the senior secured term loan agreement to, among other changes, increase the maximum permitted amount of Restricted Junior Payments (as defined in the senior secured term loan agreement), including share repurchases by the Company. The Refinancing Debt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 However, if leverage ratios, as defined in the senior secured term loan agreement, exceed 2.75 to 1.00, a percentage of cash flows must be used to repay principal. No mandatory prepayments were owed for the six months ended June 30, 2014. We are currently permitted to make voluntary prepayments without penalty. Interest payments are due monthly. The interest rate as of June 30, 2014 was 4.50%.</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Subsequent to the filing of this SEC Form 10-Q, we intend to borrow $200.0 million using the accordion feature of the senior secured term loan agreement and amend the senior secured term loan agreement to provide additional share buy-back capacity. We anticipate the additional $200.0 million debt will carry the same interest rate as the existing debt. We intend to use this cash to repurchase shares and to support general corporate purposes, including potential acquisitions. There can be no assurance that we will be able to complete the additional borrowing using the accordion feature on a timely basis or on terms acceptable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83,760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(22,361)</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(16,292)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(30,816)</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(141,499)</w:t>
            </w: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(83,256)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72,303</w:t>
            </w: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130,429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127,884</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177,805</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30" w:name="page31"/>
    <w:bookmarkEnd w:id="30"/>
    <w:p>
      <w:pPr>
        <w:ind w:right="100"/>
        <w:spacing w:after="0" w:line="273"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six months ended June 30, 2014, we generated cash flows from operating activities of $111.5 million, or approximately $0.24 for every dollar of service revenue compared to cash flows from operating activities of $67.5 million, or approximately $0.23 for every dollar of service revenue for the six months ended June 30, 2013. The increase in cash flows from operations for the six months ended June 30, 2014 compared to the six months ended June 30, 2013 is principally driven by the increase in net income, after adding back depreciation and amortization, including amortization of intangible assets, partially offset by unfavorable changes in working capital principally due to higher accounts receivable from revenue growth.</w:t>
      </w:r>
    </w:p>
    <w:p>
      <w:pPr>
        <w:spacing w:after="0" w:line="17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flows from investing activities include capital expenditures of $30.5 million and $13.4 million for the six months ended June 30, 2014 and 2013, respectively, primarily related to facility build-outs and investments in IT infrastructure and the next generation of our REALSuite of software applications. On March 29, 2013, we acquired the Homeward fee-based business from Ocwen for $75.8 million, after a working capital and pre-acquisition net income adjustment payment by Ocwen totaling $11.1 million, which we received in September 2013. On April 12, 2013, we entered into an agreement with Ocwen to establish additional terms related to the existing servicing arrangements between Altisource and Ocwen in connection with Ocwen’s acquisition of certain mortgage servicing platform assets of ResCap. The cash consideration paid by Altisource to Ocwen under the ResCap agreements totaled $128.8 million. On March 31, 2013, we sold our 49% interest in Correspondent One S.A. (“Correspondent One”) to Ocwen for $12.6 million. On February 15, 2013, Ocwen repaid the $75.0 million loan that it borrowed from us in December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flows from financing activities for the six months ended June 30, 2014 and 2013 primarily include activity associated with share repurchases, stock option exercises and payments to non-controlling interests. For the six months ended June 30, 2014 and 2013, we spent $80.7 million and $51.6 million, respectively, to repurchase our common stock. Stock option exercises provided proceeds of $0.6 million and $2.9 million for the six months ended June 30, 2014 and 2013, respectively. During the six months ended June 30, 2014 and 2013, we repaid $2.0 million and $1.5 million, respectively, of the borrowings under the senior secured term loan. Distributions to non-controlling interests were $1.2 million and $1.9 million for the six months ended June 30,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June 30, 2014</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November 15, 2013, we completed the acquisition of Equator and paid $63.4 million at closing in cash (net of closing working capital adjustments). Additionally, the purchase agreement provides for the payment of up to $80 million in potential additional consideration determined based on Equator’s Adjusted EBITA (as defined in the purchase agreement) in the three consecutive 12-month periods following closing. Up to $22.5 million of this potential additional consideration can be earned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of the first two 12-month periods, and up to $35.0 million can be earned in the third 12-month period. Any amounts earned upon the achievement of Adjusted EBITA thresholds are payable through 2017. We may, at our discretion, pay up to 20% of each payment of any of this potential additional consideration in shares of Company restricted stock, with the balance to be paid in cash. As of June 30, 2014, we estimate the fair value of the potential additional consideration related to the Equator acquisition is $8.1 million. The amount ultimately paid will depend on Equator’s actual Adjusted EBITA in the three consecutive 12-month periods following closing.</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third quarter of 2014, we expect to distribute $0.6 million to the Lenders One members representing non-controlling interests and repay $1.0 million of the senior secured term loan.</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we will generate sufficient cash flows to fund operations, capital expenditures and required debt and interest payments as well as repurchase shares of our common stock. If we require additional capital, we believe that we have adequate access to both debt and equity capital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six months ended June 30, 2014, there were no significant changes to our contractual obligations from those identified in our Form 10-K for the fiscal year ended December 31, 2013, other than those that occur in the normal course of business (primarily the addition of operating leases due to our growth). See also Note 18 to the interim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2013 filed with the SEC on February 13, 2014. Those policies have not changed during the six months ended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a New Accounting Pronouncement</w:t>
      </w:r>
    </w:p>
    <w:p>
      <w:pPr>
        <w:sectPr>
          <w:pgSz w:w="11900" w:h="16838" w:orient="portrait"/>
          <w:cols w:equalWidth="0" w:num="1">
            <w:col w:w="11420"/>
          </w:cols>
          <w:pgMar w:left="240" w:top="125" w:right="239" w:bottom="0" w:gutter="0" w:footer="0" w:header="0"/>
        </w:sectPr>
      </w:pPr>
    </w:p>
    <w:bookmarkStart w:id="31" w:name="page32"/>
    <w:bookmarkEnd w:id="31"/>
    <w:p>
      <w:pPr>
        <w:ind w:right="120"/>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condensed consolidated financial statements for a description of the nature of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For the six months ended June 30, 2014 and 2013, we recognized segment revenue from Ocwen of $266.4 million and $180.6 million, respectively, in the Mortgage Services segment ($144.7 million and $101.0 million for the second quarter of 2014 and 2013, respectively), $13.4 million and $6.7 million, respectively, in the Financial Services segment ($7.1 million and $6.7 million for the second quarter of 2014 and 2013, respectively) and $40.0 million and $23.5 million, respectively, in the Technology Services segment ($23.2 million and $13.3 million for the second quarter of 2014 and 2013, respectively). Services provided to Ocwen during these periods included residential property valuation, real estate asset management and sales, trustee management services, property inspection and preservation, insurance services, charge-off mortgage collections, IT infrastructure management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services and software applications including our REALSuite of software products. We provided services at rates we believe to be comparable to market rates.</w:t>
      </w: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six months ended June 30, 2014 and 2013, Ocwen billed us $16.8 million and $8.9 million, respectively ($9.6 million and $5.1 million for the second quarter of 2014 and 2013, respectively), for data access fees and contractor and/or employee costs under agreements described in Note 2 to the condensed consolidated financial statements. These amounts are reflected as a component of cost of revenue in the condensed consolidated statements of operations.</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six months ended June 30, 2014 and 2013, we billed Ocwen $2.2 million and $1.3 million, respectively ($1.2 million and $0.6 million for the second quarter of 2014 and 2013, respectively), and Ocwen billed us $2.4 million and $1.6 million, respectively ($1.2 million and $0.9 million for the second quarter of 2014 and 2013, respectively) for other services provided under the agreements described in Note 2 to the condensed consolidated financial statements. These amounts are reflected as a component of selling, general and administrative expenses in the condensed consolidated statements of operations.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is not less than 1.50%. On February 15, 2013, Ocwen repaid the outstanding principal amount of this loan and all accrued and unpaid interest and the term loan was terminated. Interest income related to this loan was $0.8 million for the six months ended June 30, 2013, all of which was recognized in the first quarter of 2013.</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3 to the condensed consolidated financial statements). Altisource entered into an agreement with Ocwen on April 12, 2013 to establish additional terms related to our services in connection with the ResCap fee-based businesses (see Note 3 to the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months ended June 30, 2013, we billed Correspondent One $0.1 million (no comparative amounts for 2014 and the second quarter of 2013). This amount is reflected as a component of selling, general and administrative expenses in the condensed consolidated statements of operations. We also provided certain origination related services to Correspondent One. We earned revenue of $0.1 million for the six months ended June 30, 2013 for these services (no comparative amounts for 2014 and the second quarter of 2013).</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billed HLSS $0.4 million and $0.3 million for the six months ended June 30, 2014 and 2013, respectively ($0.2 million in each period for the second quarter of 2014 and 2013). These amounts are reflected as a component of selling, general and administrative expenses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six months ended June 30, 2014 and 2013, we billed Residential $4.7 million and $0.4 million, respectively ($3.9 million and $0.2 million for the second quarter of 2014 and 2013, respectively). For the six months ended June 30, 2014 and 2013, we billed AAMC less than $0.1 million in each period (less than $0.1 million in each period for the second quarter of 2014 and 2013) under the services agreements described in Note 2 to the condensed consolidated financial statements. These amounts are reflected in revenue in the condensed consolidated statements of operations. In addition, for the six months ended June 30, 2014 and 2013, we billed AAMC $0.5 million and $0.2 million, respectively ($0.3 million and $0.1 million for the second quarter of 2014 and 2013, respectively), under the support services agreements described in Note 2 to the condensed consolidated financial statements. These amounts are reflected as a component of selling, general and administrative expenses in the condensed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ectPr>
          <w:pgSz w:w="11900" w:h="16838" w:orient="portrait"/>
          <w:cols w:equalWidth="0" w:num="1">
            <w:col w:w="11420"/>
          </w:cols>
          <w:pgMar w:left="240" w:top="125" w:right="239" w:bottom="0" w:gutter="0" w:footer="0" w:header="0"/>
        </w:sectPr>
      </w:pPr>
    </w:p>
    <w:bookmarkStart w:id="32" w:name="page33"/>
    <w:bookmarkEnd w:id="32"/>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2014, the interest rate charged on the senior secured term loan was 4.50%. The interest rate is calculated based on the Adjusted Eurodollar Rate (as defined in the senior secured term loan agreement) with a minimum floor of 1.00% plus 3.5%.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principal amount outstanding at June 30, 2014, a one percentage point increase in the Eurodollar rate would increase our annual interest expense by approximately $0.9 million, based on the June 30, 2014 Adjusted Eurodollar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2014, a one percentage point increase in value of the Indian Rupee in relation to the United States dollar would increase our annual expenses by approximately $1.0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225" w:lineRule="exact"/>
        <w:rPr>
          <w:rFonts w:ascii="Arial" w:cs="Arial" w:eastAsia="Arial" w:hAnsi="Arial"/>
          <w:sz w:val="18"/>
          <w:szCs w:val="18"/>
          <w:color w:val="auto"/>
        </w:rPr>
      </w:pPr>
    </w:p>
    <w:p>
      <w:pPr>
        <w:jc w:val="both"/>
        <w:ind w:left="340" w:right="200"/>
        <w:spacing w:after="0" w:line="264" w:lineRule="auto"/>
        <w:rPr>
          <w:rFonts w:ascii="Arial" w:cs="Arial" w:eastAsia="Arial" w:hAnsi="Arial"/>
          <w:sz w:val="18"/>
          <w:szCs w:val="18"/>
          <w:color w:val="auto"/>
        </w:rPr>
      </w:pPr>
      <w:r>
        <w:rPr>
          <w:rFonts w:ascii="Arial" w:cs="Arial" w:eastAsia="Arial" w:hAnsi="Arial"/>
          <w:sz w:val="18"/>
          <w:szCs w:val="18"/>
          <w:color w:val="auto"/>
        </w:rPr>
        <w:t>Other than described below, there were no changes in our internal control over financial reporting (as defined in the Exchange Act Rules 13a-15(f) and 15d-15(f)) that occurred during the quarter ended June 30, 2014, that have materially affected, or are reasonably likely to materially affect, our internal control over financial reporting.</w:t>
      </w:r>
    </w:p>
    <w:p>
      <w:pPr>
        <w:spacing w:after="0" w:line="181" w:lineRule="exact"/>
        <w:rPr>
          <w:rFonts w:ascii="Arial" w:cs="Arial" w:eastAsia="Arial" w:hAnsi="Arial"/>
          <w:sz w:val="18"/>
          <w:szCs w:val="18"/>
          <w:color w:val="auto"/>
        </w:rPr>
      </w:pPr>
    </w:p>
    <w:p>
      <w:pPr>
        <w:ind w:left="340" w:right="60"/>
        <w:spacing w:after="0" w:line="286" w:lineRule="auto"/>
        <w:rPr>
          <w:rFonts w:ascii="Arial" w:cs="Arial" w:eastAsia="Arial" w:hAnsi="Arial"/>
          <w:sz w:val="18"/>
          <w:szCs w:val="18"/>
          <w:color w:val="auto"/>
        </w:rPr>
      </w:pPr>
      <w:r>
        <w:rPr>
          <w:rFonts w:ascii="Arial" w:cs="Arial" w:eastAsia="Arial" w:hAnsi="Arial"/>
          <w:sz w:val="17"/>
          <w:szCs w:val="17"/>
          <w:color w:val="auto"/>
        </w:rPr>
        <w:t>During the second quarter of 2014, we determined that disclosures of related party expenses in previously issued financial statements were not complete. Accordingly, we enhanced our related party disclosure controls to include disclosure reconciliation procedures between us and our related parties and reviews of related party activity reflected in accounts receivable and accounts payable to ensure our disclosures are complete.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2013 filed with the SEC on February 13, 2014, except as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We are dependent on a certain key customer relationship, the loss of which or reduction in the size of which could affect our business and results of operations.</w:t>
      </w:r>
    </w:p>
    <w:p>
      <w:pPr>
        <w:spacing w:after="0" w:line="170"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For the second quarter of 2014, we generated approximately 59% of our revenue from Ocwen. Ocwen purchases certain services from our Mortgage Services, Financial Services and Technology Services segments under service agreements that extend through August 2025, subject to termination under certain provisions. The loss of Ocwen as a customer or their failure to pay us would significantly reduce our revenue and adversely affect our results of operations. Further, Ocwen has grown significantly in recent years through acquisitions of mortgage servicing rights and acquisitions of companies with</w:t>
      </w:r>
    </w:p>
    <w:p>
      <w:pPr>
        <w:sectPr>
          <w:pgSz w:w="11900" w:h="16945" w:orient="portrait"/>
          <w:cols w:equalWidth="0" w:num="1">
            <w:col w:w="11400"/>
          </w:cols>
          <w:pgMar w:left="240" w:top="341" w:right="259" w:bottom="0" w:gutter="0" w:footer="0" w:header="0"/>
        </w:sectPr>
      </w:pPr>
    </w:p>
    <w:bookmarkStart w:id="33" w:name="page34"/>
    <w:bookmarkEnd w:id="33"/>
    <w:p>
      <w:pPr>
        <w:ind w:right="560"/>
        <w:spacing w:after="0" w:line="342" w:lineRule="auto"/>
        <w:rPr>
          <w:sz w:val="20"/>
          <w:szCs w:val="20"/>
          <w:color w:val="auto"/>
        </w:rPr>
      </w:pPr>
      <w:r>
        <w:rPr>
          <w:rFonts w:ascii="Arial" w:cs="Arial" w:eastAsia="Arial" w:hAnsi="Arial"/>
          <w:sz w:val="16"/>
          <w:szCs w:val="16"/>
          <w:color w:val="auto"/>
        </w:rPr>
        <w:t>mortgage servicing rights and mortgage origination platforms. As a result of Ocwen’s growth, we have grown. If Ocwen does not continue to acquire mortgage servicing rights or does not grow its mortgage origination business, our business and results of operations could be negatively impacted.</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regulatory scrutiny of foreclosure practices of the servicing industry has resulted in settlements between banks and servicers and government entities, on-going monitoring of banks and servicers by regulatory authorities, investigations of banks and servicers and private lawsuits. Additionally, Ocwen is subject to a number of pending federal and state regulatory investigations, inquiries and requests for information that could result in adverse regulatory action against Ocwen, certain of which include inquiries related to the ways in which Ocwen does business with its related parties. If Ocwen were to be negatively impacted in a significant way by this regulatory scrutiny or other actions, Altisource’s business and results of operations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FTC, the CFPB, the SEC and the state and local agencies that license or oversee certain of our mortgage related services, including insurance services, and collection services. We also must comply with a number of federal, state and local consumer protection laws including, among others, the Gramm-Leach-Bliley Act, the Fair Debt Collection Practices Act, RESPA, TILA, the Fair Credit Reporting Act, the Telephone Consumer Protection Act, the Homeowners Protection Act, the California Homeowner’s Bill of Rights, the SAFE Act, the Mortgage Act and the FCPA. These requirements can and do change as statutes and regulations are enacted, promulgated or amended.</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enacted regulation is the Dodd-Frank Act (see further description in the “Government Regulation” section in Item 1 of Part I, “Business”). In some cases, penalties for noncompliance are significantly increased and could lead to settlements or consent orders on us, or our customers, that may curtail or restrict our business as it is currently conducted.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certain additional federal, state and local consumer protection regulations. We also are subject to licensing and regulation as a mortgage services provider, mortgage origination underwriter, valuation provider, appraisal management company, asset manager, property manager, title insurance agent, property and casualty insurance broker, real estate broker and/or debt collector in a number of states. Our employees and subsidiaries may be required to be licensed by various state commissions for the particular type of service sold and to participate in regular continuing education programs. Additionally, we are subject to audits and examinations and receive requests from federal, state and other regulatory agencies for records, documents and information regarding our policies, procedures and practices which could result in adverse regulatory action against us or cause us to incur costs, fines, penalties, settlement costs, damages, legal fees or other charges in material amounts or could impose additional requirements or restrictions on our activities. We incur significant ongoing costs to comply with governmental regulations.</w:t>
      </w:r>
    </w:p>
    <w:p>
      <w:pPr>
        <w:spacing w:after="0" w:line="17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result of increased federal and state governmental scrutiny of the mortgage industry, legislation has been enacted to address the mortgage market, with particular focus on loans that are in default. In addition, national servicing standards have been implemented that, among other things, require very specific loan modification and foreclosure procedures to be followed. This legislation and these standards have further reduced the number of loans entering the foreclosure process and have negatively impacted our default services revenue and profit. It is unclear when or if volumes will increase in the future.</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repurchased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for the second quarter of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16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number of</w:t>
            </w:r>
          </w:p>
        </w:tc>
        <w:tc>
          <w:tcPr>
            <w:tcW w:w="320" w:type="dxa"/>
            <w:vAlign w:val="bottom"/>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w:t>
            </w:r>
          </w:p>
        </w:tc>
        <w:tc>
          <w:tcPr>
            <w:tcW w:w="320" w:type="dxa"/>
            <w:vAlign w:val="bottom"/>
          </w:tcPr>
          <w:p>
            <w:pPr>
              <w:spacing w:after="0"/>
              <w:rPr>
                <w:sz w:val="12"/>
                <w:szCs w:val="12"/>
                <w:color w:val="auto"/>
              </w:rPr>
            </w:pP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 paid</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32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per share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April 1 – 30, 2014</w:t>
            </w:r>
          </w:p>
        </w:tc>
        <w:tc>
          <w:tcPr>
            <w:tcW w:w="1720" w:type="dxa"/>
            <w:vAlign w:val="bottom"/>
          </w:tcPr>
          <w:p>
            <w:pPr>
              <w:jc w:val="right"/>
              <w:spacing w:after="0"/>
              <w:rPr>
                <w:sz w:val="20"/>
                <w:szCs w:val="20"/>
                <w:color w:val="auto"/>
              </w:rPr>
            </w:pPr>
            <w:r>
              <w:rPr>
                <w:rFonts w:ascii="Arial" w:cs="Arial" w:eastAsia="Arial" w:hAnsi="Arial"/>
                <w:sz w:val="18"/>
                <w:szCs w:val="18"/>
                <w:color w:val="auto"/>
              </w:rPr>
              <w:t>146,198</w:t>
            </w:r>
          </w:p>
        </w:tc>
        <w:tc>
          <w:tcPr>
            <w:tcW w:w="3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113.74</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146,198</w:t>
            </w:r>
          </w:p>
        </w:tc>
        <w:tc>
          <w:tcPr>
            <w:tcW w:w="1700" w:type="dxa"/>
            <w:vAlign w:val="bottom"/>
          </w:tcPr>
          <w:p>
            <w:pPr>
              <w:jc w:val="right"/>
              <w:spacing w:after="0"/>
              <w:rPr>
                <w:sz w:val="20"/>
                <w:szCs w:val="20"/>
                <w:color w:val="auto"/>
              </w:rPr>
            </w:pPr>
            <w:r>
              <w:rPr>
                <w:rFonts w:ascii="Arial" w:cs="Arial" w:eastAsia="Arial" w:hAnsi="Arial"/>
                <w:sz w:val="18"/>
                <w:szCs w:val="18"/>
                <w:color w:val="auto"/>
              </w:rPr>
              <w:t>3,132,776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1 – 31, 2014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105.25</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268,850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June 1 – 30, 2014</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2,863,926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Total shares of common stock</w:t>
            </w:r>
          </w:p>
        </w:tc>
        <w:tc>
          <w:tcPr>
            <w:tcW w:w="1720" w:type="dxa"/>
            <w:vAlign w:val="bottom"/>
          </w:tcPr>
          <w:p>
            <w:pPr>
              <w:jc w:val="right"/>
              <w:spacing w:after="0"/>
              <w:rPr>
                <w:sz w:val="20"/>
                <w:szCs w:val="20"/>
                <w:color w:val="auto"/>
              </w:rPr>
            </w:pPr>
            <w:r>
              <w:rPr>
                <w:rFonts w:ascii="Arial" w:cs="Arial" w:eastAsia="Arial" w:hAnsi="Arial"/>
                <w:sz w:val="18"/>
                <w:szCs w:val="18"/>
                <w:color w:val="auto"/>
              </w:rPr>
              <w:t>415,048</w:t>
            </w:r>
          </w:p>
        </w:tc>
        <w:tc>
          <w:tcPr>
            <w:tcW w:w="3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108.24</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415,048</w:t>
            </w:r>
          </w:p>
        </w:tc>
        <w:tc>
          <w:tcPr>
            <w:tcW w:w="1700" w:type="dxa"/>
            <w:vAlign w:val="bottom"/>
          </w:tcPr>
          <w:p>
            <w:pPr>
              <w:jc w:val="right"/>
              <w:spacing w:after="0"/>
              <w:rPr>
                <w:sz w:val="20"/>
                <w:szCs w:val="20"/>
                <w:color w:val="auto"/>
              </w:rPr>
            </w:pPr>
            <w:r>
              <w:rPr>
                <w:rFonts w:ascii="Arial" w:cs="Arial" w:eastAsia="Arial" w:hAnsi="Arial"/>
                <w:sz w:val="18"/>
                <w:szCs w:val="18"/>
                <w:color w:val="auto"/>
              </w:rPr>
              <w:t>2,863,926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205740</wp:posOffset>
            </wp:positionV>
            <wp:extent cx="17926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7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01" w:lineRule="exact"/>
        <w:rPr>
          <w:rFonts w:ascii="Arial" w:cs="Arial" w:eastAsia="Arial" w:hAnsi="Arial"/>
          <w:sz w:val="23"/>
          <w:szCs w:val="23"/>
          <w:color w:val="auto"/>
          <w:vertAlign w:val="superscript"/>
        </w:rPr>
      </w:pPr>
    </w:p>
    <w:p>
      <w:pPr>
        <w:ind w:left="260" w:right="260" w:hanging="252"/>
        <w:spacing w:after="0" w:line="227" w:lineRule="auto"/>
        <w:tabs>
          <w:tab w:leader="none" w:pos="25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On February 28, 2014, our shareholders authorized a new share repurchase program that replaces the prior program and authorizes us to purchase up to 3.4 million shares of our common stock in the open market.</w:t>
      </w:r>
    </w:p>
    <w:p>
      <w:pPr>
        <w:sectPr>
          <w:pgSz w:w="11900" w:h="16838" w:orient="portrait"/>
          <w:cols w:equalWidth="0" w:num="1">
            <w:col w:w="11420"/>
          </w:cols>
          <w:pgMar w:left="240" w:top="125" w:right="239" w:bottom="185" w:gutter="0" w:footer="0" w:header="0"/>
        </w:sectPr>
      </w:pPr>
    </w:p>
    <w:bookmarkStart w:id="34" w:name="page35"/>
    <w:bookmarkEnd w:id="34"/>
    <w:p>
      <w:pPr>
        <w:ind w:right="500"/>
        <w:spacing w:after="0" w:line="277" w:lineRule="auto"/>
        <w:rPr>
          <w:sz w:val="20"/>
          <w:szCs w:val="20"/>
          <w:color w:val="auto"/>
        </w:rPr>
      </w:pPr>
      <w:r>
        <w:rPr>
          <w:rFonts w:ascii="Arial" w:cs="Arial" w:eastAsia="Arial" w:hAnsi="Arial"/>
          <w:sz w:val="18"/>
          <w:szCs w:val="18"/>
          <w:color w:val="auto"/>
        </w:rPr>
        <w:t>The provisions of our senior secured term loan agreement, as amended, limit, among other things, our ability to incur additional debt, pay dividends and repurchase stock. In addition, Luxembourg law currently limits our ability to pay dividends and repurchase stock.</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Exhibits</w:t>
            </w:r>
          </w:p>
        </w:tc>
        <w:tc>
          <w:tcPr>
            <w:tcW w:w="94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31.1</w:t>
            </w:r>
          </w:p>
        </w:tc>
        <w:tc>
          <w:tcPr>
            <w:tcW w:w="9420" w:type="dxa"/>
            <w:vAlign w:val="bottom"/>
          </w:tcPr>
          <w:p>
            <w:pPr>
              <w:ind w:left="320"/>
              <w:spacing w:after="0"/>
              <w:rPr>
                <w:sz w:val="20"/>
                <w:szCs w:val="20"/>
                <w:color w:val="auto"/>
              </w:rPr>
            </w:pPr>
            <w:r>
              <w:rPr>
                <w:rFonts w:ascii="Arial" w:cs="Arial" w:eastAsia="Arial" w:hAnsi="Arial"/>
                <w:sz w:val="18"/>
                <w:szCs w:val="18"/>
                <w:color w:val="auto"/>
                <w:w w:val="97"/>
              </w:rPr>
              <w:t>Certification by the Chief Executive Officer pursuant to Section 302 of the Sarbanes-Oxley Act of 2002 (filed herewith)</w:t>
            </w:r>
          </w:p>
        </w:tc>
      </w:tr>
      <w:tr>
        <w:trPr>
          <w:trHeight w:val="432"/>
        </w:trPr>
        <w:tc>
          <w:tcPr>
            <w:tcW w:w="76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31.2</w:t>
            </w:r>
          </w:p>
        </w:tc>
        <w:tc>
          <w:tcPr>
            <w:tcW w:w="9420" w:type="dxa"/>
            <w:vAlign w:val="bottom"/>
          </w:tcPr>
          <w:p>
            <w:pPr>
              <w:ind w:left="320"/>
              <w:spacing w:after="0"/>
              <w:rPr>
                <w:sz w:val="20"/>
                <w:szCs w:val="20"/>
                <w:color w:val="auto"/>
              </w:rPr>
            </w:pPr>
            <w:r>
              <w:rPr>
                <w:rFonts w:ascii="Arial" w:cs="Arial" w:eastAsia="Arial" w:hAnsi="Arial"/>
                <w:sz w:val="18"/>
                <w:szCs w:val="18"/>
                <w:color w:val="auto"/>
                <w:w w:val="97"/>
              </w:rPr>
              <w:t>Certification by the Chief Financial Officer pursuant to Section 302 of the Sarbanes-Oxley Act of 2002 (filed herewith)</w:t>
            </w:r>
          </w:p>
        </w:tc>
      </w:tr>
      <w:tr>
        <w:trPr>
          <w:trHeight w:val="418"/>
        </w:trPr>
        <w:tc>
          <w:tcPr>
            <w:tcW w:w="76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32.1</w:t>
            </w:r>
          </w:p>
        </w:tc>
        <w:tc>
          <w:tcPr>
            <w:tcW w:w="9420" w:type="dxa"/>
            <w:vAlign w:val="bottom"/>
          </w:tcPr>
          <w:p>
            <w:pPr>
              <w:ind w:left="320"/>
              <w:spacing w:after="0"/>
              <w:rPr>
                <w:sz w:val="20"/>
                <w:szCs w:val="20"/>
                <w:color w:val="auto"/>
              </w:rPr>
            </w:pPr>
            <w:r>
              <w:rPr>
                <w:rFonts w:ascii="Arial" w:cs="Arial" w:eastAsia="Arial" w:hAnsi="Arial"/>
                <w:sz w:val="18"/>
                <w:szCs w:val="18"/>
                <w:color w:val="auto"/>
                <w:w w:val="92"/>
              </w:rPr>
              <w:t>Certification by the Chief Executive Officer and Chief Financial Officer pursuant to Section 906 of the Sarbanes-Oxley Act of</w:t>
            </w:r>
          </w:p>
        </w:tc>
      </w:tr>
      <w:tr>
        <w:trPr>
          <w:trHeight w:val="230"/>
        </w:trPr>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2002 (filed herewith)</w:t>
            </w:r>
          </w:p>
        </w:tc>
      </w:tr>
    </w:tbl>
    <w:p>
      <w:pPr>
        <w:spacing w:after="0" w:line="202" w:lineRule="exact"/>
        <w:rPr>
          <w:sz w:val="20"/>
          <w:szCs w:val="20"/>
          <w:color w:val="auto"/>
        </w:rPr>
      </w:pPr>
    </w:p>
    <w:p>
      <w:pPr>
        <w:ind w:left="2220" w:right="60" w:hanging="1240"/>
        <w:spacing w:after="0" w:line="273" w:lineRule="auto"/>
        <w:tabs>
          <w:tab w:leader="none" w:pos="2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Pursuant to Rule 405 of Regulation S-T, the following financial information from the Company’s Quarterly Report on Form 10-Q for the period ended June 30, 2014, is formatted in XBRL interactive data files: (i) Condensed Consolidated Balance Sheets as of June 30, 2014 and December 31, 2013; (ii) Condensed Consolidated Statements of Operations for the three and six months ended June 30, 2014 and 2013; (iii) Condensed Consolidated Statements of Equity for the six months ended June 30, 2014 and 2013; (iv) Condensed Consolidated Statements of Cash Flows for the six months ended June 30, 2014 and 2013; and (v) Notes to Condensed Consolidated Financial Statements (filed herewith).</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ALTISOURCE PORTFOLIO SOLUTIONS S.A.</w:t>
            </w:r>
          </w:p>
        </w:tc>
        <w:tc>
          <w:tcPr>
            <w:tcW w:w="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48"/>
        </w:trPr>
        <w:tc>
          <w:tcPr>
            <w:tcW w:w="2680" w:type="dxa"/>
            <w:vAlign w:val="bottom"/>
          </w:tcPr>
          <w:p>
            <w:pPr>
              <w:spacing w:after="0"/>
              <w:rPr>
                <w:sz w:val="20"/>
                <w:szCs w:val="20"/>
                <w:color w:val="auto"/>
              </w:rPr>
            </w:pPr>
            <w:r>
              <w:rPr>
                <w:rFonts w:ascii="Arial" w:cs="Arial" w:eastAsia="Arial" w:hAnsi="Arial"/>
                <w:sz w:val="18"/>
                <w:szCs w:val="18"/>
                <w:color w:val="auto"/>
              </w:rPr>
              <w:t>Date: July 29, 2014</w:t>
            </w:r>
          </w:p>
        </w:tc>
        <w:tc>
          <w:tcPr>
            <w:tcW w:w="8740" w:type="dxa"/>
            <w:vAlign w:val="bottom"/>
            <w:gridSpan w:val="2"/>
          </w:tcPr>
          <w:p>
            <w:pPr>
              <w:ind w:left="306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4"/>
                <w:szCs w:val="24"/>
                <w:color w:val="auto"/>
              </w:rPr>
            </w:pPr>
          </w:p>
        </w:tc>
      </w:tr>
      <w:tr>
        <w:trPr>
          <w:trHeight w:val="195"/>
        </w:trPr>
        <w:tc>
          <w:tcPr>
            <w:tcW w:w="26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2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9"/>
              </w:rPr>
              <w:t>(On behalf of the Registrant and as its Principal Financial Officer)</w:t>
            </w:r>
          </w:p>
        </w:tc>
        <w:tc>
          <w:tcPr>
            <w:tcW w:w="40" w:type="dxa"/>
            <w:vAlign w:val="bottom"/>
          </w:tcPr>
          <w:p>
            <w:pPr>
              <w:spacing w:after="0"/>
              <w:rPr>
                <w:sz w:val="20"/>
                <w:szCs w:val="20"/>
                <w:color w:val="auto"/>
              </w:rPr>
            </w:pPr>
          </w:p>
        </w:tc>
      </w:tr>
      <w:tr>
        <w:trPr>
          <w:trHeight w:val="432"/>
        </w:trPr>
        <w:tc>
          <w:tcPr>
            <w:tcW w:w="2680" w:type="dxa"/>
            <w:vAlign w:val="bottom"/>
          </w:tcPr>
          <w:p>
            <w:pPr>
              <w:spacing w:after="0"/>
              <w:rPr>
                <w:sz w:val="24"/>
                <w:szCs w:val="24"/>
                <w:color w:val="auto"/>
              </w:rPr>
            </w:pPr>
          </w:p>
        </w:tc>
        <w:tc>
          <w:tcPr>
            <w:tcW w:w="3540" w:type="dxa"/>
            <w:vAlign w:val="bottom"/>
          </w:tcPr>
          <w:p>
            <w:pPr>
              <w:jc w:val="center"/>
              <w:ind w:left="2430"/>
              <w:spacing w:after="0"/>
              <w:rPr>
                <w:sz w:val="20"/>
                <w:szCs w:val="20"/>
                <w:color w:val="auto"/>
              </w:rPr>
            </w:pPr>
            <w:r>
              <w:rPr>
                <w:rFonts w:ascii="Arial" w:cs="Arial" w:eastAsia="Arial" w:hAnsi="Arial"/>
                <w:sz w:val="18"/>
                <w:szCs w:val="18"/>
                <w:color w:val="auto"/>
                <w:w w:val="89"/>
              </w:rPr>
              <w:t>48</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68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2014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20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980" w:right="60"/>
        <w:spacing w:after="0" w:line="264" w:lineRule="auto"/>
        <w:tabs>
          <w:tab w:leader="none" w:pos="12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40"/>
        <w:spacing w:after="0" w:line="264" w:lineRule="auto"/>
        <w:tabs>
          <w:tab w:leader="none" w:pos="12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20"/>
        <w:spacing w:after="0" w:line="342" w:lineRule="auto"/>
        <w:tabs>
          <w:tab w:leader="none" w:pos="12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spacing w:after="0" w:line="264" w:lineRule="auto"/>
        <w:tabs>
          <w:tab w:leader="none" w:pos="12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spacing w:after="0" w:line="277" w:lineRule="auto"/>
        <w:tabs>
          <w:tab w:leader="none" w:pos="12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July 29, 2014</w:t>
            </w:r>
          </w:p>
        </w:tc>
        <w:tc>
          <w:tcPr>
            <w:tcW w:w="7320" w:type="dxa"/>
            <w:vAlign w:val="bottom"/>
            <w:gridSpan w:val="2"/>
          </w:tcPr>
          <w:p>
            <w:pPr>
              <w:ind w:left="164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2014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20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980" w:right="60"/>
        <w:spacing w:after="0" w:line="264" w:lineRule="auto"/>
        <w:tabs>
          <w:tab w:leader="none" w:pos="12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4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60"/>
        <w:spacing w:after="0" w:line="342" w:lineRule="auto"/>
        <w:tabs>
          <w:tab w:leader="none" w:pos="12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spacing w:after="0" w:line="277"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July 29, 2014</w:t>
            </w:r>
          </w:p>
        </w:tc>
        <w:tc>
          <w:tcPr>
            <w:tcW w:w="7320" w:type="dxa"/>
            <w:vAlign w:val="bottom"/>
            <w:gridSpan w:val="2"/>
          </w:tcPr>
          <w:p>
            <w:pPr>
              <w:ind w:left="162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Accounting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2014</w:t>
      </w:r>
    </w:p>
    <w:p>
      <w:pPr>
        <w:spacing w:after="0" w:line="200" w:lineRule="exact"/>
        <w:rPr>
          <w:sz w:val="20"/>
          <w:szCs w:val="20"/>
          <w:color w:val="auto"/>
        </w:rPr>
      </w:pPr>
    </w:p>
    <w:p>
      <w:pPr>
        <w:spacing w:after="0" w:line="20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ending June 30, 2014,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100" w:type="dxa"/>
            <w:vAlign w:val="bottom"/>
            <w:gridSpan w:val="2"/>
          </w:tcPr>
          <w:p>
            <w:pPr>
              <w:ind w:left="46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6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9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320" w:type="dxa"/>
            <w:vAlign w:val="bottom"/>
            <w:gridSpan w:val="2"/>
          </w:tcPr>
          <w:p>
            <w:pPr>
              <w:ind w:left="460"/>
              <w:spacing w:after="0"/>
              <w:rPr>
                <w:sz w:val="20"/>
                <w:szCs w:val="20"/>
                <w:color w:val="auto"/>
              </w:rPr>
            </w:pPr>
            <w:r>
              <w:rPr>
                <w:rFonts w:ascii="Arial" w:cs="Arial" w:eastAsia="Arial" w:hAnsi="Arial"/>
                <w:sz w:val="18"/>
                <w:szCs w:val="18"/>
                <w:color w:val="auto"/>
              </w:rPr>
              <w:t>Director and Chief Executive Officer</w:t>
            </w:r>
          </w:p>
        </w:tc>
        <w:tc>
          <w:tcPr>
            <w:tcW w:w="9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320" w:type="dxa"/>
            <w:vAlign w:val="bottom"/>
            <w:gridSpan w:val="2"/>
          </w:tcPr>
          <w:p>
            <w:pPr>
              <w:ind w:left="460"/>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16"/>
        </w:trPr>
        <w:tc>
          <w:tcPr>
            <w:tcW w:w="5320" w:type="dxa"/>
            <w:vAlign w:val="bottom"/>
            <w:gridSpan w:val="2"/>
          </w:tcPr>
          <w:p>
            <w:pPr>
              <w:ind w:left="460"/>
              <w:spacing w:after="0"/>
              <w:rPr>
                <w:sz w:val="20"/>
                <w:szCs w:val="20"/>
                <w:color w:val="auto"/>
              </w:rPr>
            </w:pPr>
            <w:r>
              <w:rPr>
                <w:rFonts w:ascii="Arial" w:cs="Arial" w:eastAsia="Arial" w:hAnsi="Arial"/>
                <w:sz w:val="18"/>
                <w:szCs w:val="18"/>
                <w:color w:val="auto"/>
              </w:rPr>
              <w:t>July 29, 2014</w:t>
            </w:r>
          </w:p>
        </w:tc>
        <w:tc>
          <w:tcPr>
            <w:tcW w:w="9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July 29, 2014</w:t>
            </w:r>
          </w:p>
        </w:tc>
        <w:tc>
          <w:tcPr>
            <w:tcW w:w="40" w:type="dxa"/>
            <w:vAlign w:val="bottom"/>
          </w:tcPr>
          <w:p>
            <w:pPr>
              <w:spacing w:after="0"/>
              <w:rPr>
                <w:sz w:val="20"/>
                <w:szCs w:val="20"/>
                <w:color w:val="auto"/>
              </w:rPr>
            </w:pPr>
          </w:p>
        </w:tc>
      </w:tr>
      <w:tr>
        <w:trPr>
          <w:trHeight w:val="348"/>
        </w:trPr>
        <w:tc>
          <w:tcPr>
            <w:tcW w:w="4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5"/>
    </w:lvl>
  </w:abstractNum>
  <w:abstractNum w:abstractNumId="6">
    <w:nsid w:val="3352255A"/>
    <w:multiLevelType w:val="hybridMultilevel"/>
    <w:lvl w:ilvl="0">
      <w:lvlJc w:val="left"/>
      <w:lvlText w:val="(%1)"/>
      <w:numFmt w:val="lowerRoman"/>
      <w:start w:val="9"/>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2019-12-07T21:06:53Z</dcterms:created>
  <dcterms:modified xsi:type="dcterms:W3CDTF">2019-12-07T21:06:53Z</dcterms:modified>
</cp:coreProperties>
</file>