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113665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7"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September 30, 2022</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165735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125095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8"/>
        </w:trPr>
        <w:tc>
          <w:tcPr>
            <w:tcW w:w="7260" w:type="dxa"/>
            <w:vAlign w:val="bottom"/>
            <w:gridSpan w:val="6"/>
          </w:tcPr>
          <w:p>
            <w:pPr>
              <w:jc w:val="center"/>
              <w:ind w:right="16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980" w:type="dxa"/>
            <w:vAlign w:val="bottom"/>
          </w:tcPr>
          <w:p>
            <w:pPr>
              <w:jc w:val="center"/>
              <w:ind w:right="162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6"/>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33, Boulevard Prince Henri</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L-1724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tc>
        <w:tc>
          <w:tcPr>
            <w:tcW w:w="3980" w:type="dxa"/>
            <w:vAlign w:val="bottom"/>
          </w:tcPr>
          <w:p>
            <w:pPr>
              <w:spacing w:after="0"/>
              <w:rPr>
                <w:sz w:val="18"/>
                <w:szCs w:val="18"/>
                <w:color w:val="auto"/>
              </w:rPr>
            </w:pPr>
          </w:p>
        </w:tc>
      </w:tr>
      <w:tr>
        <w:trPr>
          <w:trHeight w:val="188"/>
        </w:trPr>
        <w:tc>
          <w:tcPr>
            <w:tcW w:w="3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980" w:type="dxa"/>
            <w:vAlign w:val="bottom"/>
          </w:tcPr>
          <w:p>
            <w:pPr>
              <w:spacing w:after="0"/>
              <w:rPr>
                <w:sz w:val="16"/>
                <w:szCs w:val="16"/>
                <w:color w:val="auto"/>
              </w:rPr>
            </w:pPr>
          </w:p>
        </w:tc>
      </w:tr>
      <w:tr>
        <w:trPr>
          <w:trHeight w:val="311"/>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Times New Roman" w:cs="Times New Roman" w:eastAsia="Times New Roman" w:hAnsi="Times New Roman"/>
                <w:sz w:val="18"/>
                <w:szCs w:val="18"/>
                <w:b w:val="1"/>
                <w:bCs w:val="1"/>
                <w:color w:val="auto"/>
                <w:w w:val="99"/>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8"/>
        </w:trPr>
        <w:tc>
          <w:tcPr>
            <w:tcW w:w="3720" w:type="dxa"/>
            <w:vAlign w:val="bottom"/>
          </w:tcPr>
          <w:p>
            <w:pPr>
              <w:spacing w:after="0"/>
              <w:rPr>
                <w:sz w:val="16"/>
                <w:szCs w:val="16"/>
                <w:color w:val="auto"/>
              </w:rPr>
            </w:pPr>
          </w:p>
        </w:tc>
        <w:tc>
          <w:tcPr>
            <w:tcW w:w="3540" w:type="dxa"/>
            <w:vAlign w:val="bottom"/>
            <w:gridSpan w:val="5"/>
          </w:tcPr>
          <w:p>
            <w:pPr>
              <w:jc w:val="center"/>
              <w:ind w:lef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6"/>
                <w:szCs w:val="16"/>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10"/>
        </w:trPr>
        <w:tc>
          <w:tcPr>
            <w:tcW w:w="3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80" w:type="dxa"/>
            <w:vAlign w:val="bottom"/>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r>
      <w:tr>
        <w:trPr>
          <w:trHeight w:val="182"/>
        </w:trPr>
        <w:tc>
          <w:tcPr>
            <w:tcW w:w="37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97" w:right="339" w:bottom="1440" w:gutter="0" w:footer="0" w:header="0"/>
        </w:sectPr>
      </w:pPr>
    </w:p>
    <w:p>
      <w:pPr>
        <w:spacing w:after="0" w:line="94" w:lineRule="exact"/>
        <w:rPr>
          <w:sz w:val="24"/>
          <w:szCs w:val="24"/>
          <w:color w:val="auto"/>
        </w:rPr>
      </w:pPr>
    </w:p>
    <w:p>
      <w:pPr>
        <w:ind w:left="140"/>
        <w:spacing w:after="0" w:line="34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40" w:space="340"/>
            <w:col w:w="5520" w:space="720"/>
            <w:col w:w="1580" w:space="480"/>
            <w:col w:w="1160"/>
          </w:cols>
          <w:pgMar w:left="320" w:top="1397" w:right="339" w:bottom="1440" w:gutter="0" w:footer="0" w:header="0"/>
          <w:type w:val="continuous"/>
        </w:sectPr>
      </w:pPr>
    </w:p>
    <w:p>
      <w:pPr>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28, 2022, there were 16,123,433 outstanding shares of the registrant’s common stock (excluding 9,289,315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1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12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4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0000FF"/>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40" w:type="dxa"/>
            <w:vAlign w:val="bottom"/>
          </w:tcPr>
          <w:p>
            <w:pPr>
              <w:spacing w:after="0"/>
              <w:rPr>
                <w:sz w:val="22"/>
                <w:szCs w:val="22"/>
                <w:color w:val="auto"/>
              </w:rPr>
            </w:pP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40" w:type="dxa"/>
            <w:vAlign w:val="bottom"/>
          </w:tcPr>
          <w:p>
            <w:pPr>
              <w:spacing w:after="0"/>
              <w:rPr>
                <w:sz w:val="22"/>
                <w:szCs w:val="22"/>
                <w:color w:val="auto"/>
              </w:rPr>
            </w:pP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20" w:type="dxa"/>
            <w:vAlign w:val="bottom"/>
            <w:gridSpan w:val="14"/>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138,004</w:t>
            </w: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r>
      <w:tr>
        <w:trPr>
          <w:trHeight w:val="142"/>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LIABILITIES AND DEFICIT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54,747</w:t>
            </w: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contingencies and regulatory matters (Note 21)</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($1.00 par value; 100,000 shares authorized, 25,413 issued and 16,117 outstanding as of</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2022; 15,911 outstanding as of December 31, 2021)</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186,592</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(9,296 shares as of September 30, 2022 and 9,502 shares as of December 31, 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(426,445)</w:t>
            </w:r>
          </w:p>
        </w:tc>
      </w:tr>
      <w:tr>
        <w:trPr>
          <w:trHeight w:val="22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Altisource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(70,142)</w:t>
            </w: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(68,870)</w:t>
            </w:r>
          </w:p>
        </w:tc>
      </w:tr>
      <w:tr>
        <w:trPr>
          <w:trHeight w:val="142"/>
        </w:trPr>
        <w:tc>
          <w:tcPr>
            <w:tcW w:w="8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257,808</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2"/>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139,749</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134,862</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52,046</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16,087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15,831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16,051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15,816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7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(82,556)</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(105,258)</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(123,724)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(141,683)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7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(68,870)</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(80,887)</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(58,897)</w:t>
            </w:r>
          </w:p>
        </w:tc>
      </w:tr>
      <w:tr>
        <w:trPr>
          <w:trHeight w:val="21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(41,133)</w:t>
            </w:r>
          </w:p>
        </w:tc>
      </w:tr>
      <w:tr>
        <w:trPr>
          <w:trHeight w:val="145"/>
        </w:trPr>
        <w:tc>
          <w:tcPr>
            <w:tcW w:w="8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business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145"/>
        </w:trPr>
        <w:tc>
          <w:tcPr>
            <w:tcW w:w="8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convertible debt payable to related parties (Note 1)</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17,929</w:t>
            </w:r>
          </w:p>
        </w:tc>
      </w:tr>
      <w:tr>
        <w:trPr>
          <w:trHeight w:val="145"/>
        </w:trPr>
        <w:tc>
          <w:tcPr>
            <w:tcW w:w="8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(21,329)</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62,096</w:t>
            </w:r>
          </w:p>
        </w:tc>
      </w:tr>
      <w:tr>
        <w:trPr>
          <w:trHeight w:val="145"/>
        </w:trPr>
        <w:tc>
          <w:tcPr>
            <w:tcW w:w="8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r>
      <w:tr>
        <w:trPr>
          <w:trHeight w:val="162"/>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 payables for purchases of premises and equipment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65"/>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bl>
    <w:p>
      <w:pPr>
        <w:ind w:left="20" w:right="420"/>
        <w:spacing w:after="0" w:line="245"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consolidated balance sheets and the unaudited consolidated statements of cash flows: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40"/>
        </w:trPr>
        <w:tc>
          <w:tcPr>
            <w:tcW w:w="8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40,767</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 See Note 22 for a description of our business segments.</w:t>
      </w:r>
    </w:p>
    <w:p>
      <w:pPr>
        <w:spacing w:after="0" w:line="1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2022, Lenders One had total assets of $1.1 million and total liabilities of $0.8 million. As of December 31, 2021, Lenders One had total assets of $2.2 million and total liabilities of $1.4 million.</w:t>
      </w:r>
    </w:p>
    <w:p>
      <w:pPr>
        <w:spacing w:after="0" w:line="1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2019, Altisource created Pointillist, Inc. (“Pointillist”) and contributed the Pointillist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customer journey analytics business and $8.5 million to it. On May 27, 2021, Pointillist issued $1.3 million in principal of convertible notes to related parties with a maturity date of January 1, 2023. The notes bore interest at a rate of 7% per annum. The principal and unpaid accrued interest then outstanding under the notes (1) would automatically convert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On December 1, 2021, the notes were converted to Pointillist equity and Altisource and other shareholders of Pointillist sold all of the equity interests in Pointillist (See Note 3 for additional information). Prior to the sale, Pointillist was owned by Altisource and management of Pointillist, with management of Pointillist owning a non-controlling interest representing 12.1% of the outstanding equity of Pointillist. Through December 1, 2021, Pointillist is presented in the accompanying condensed consolidated financial statements on a consolidated basis and the portion of Pointillist owned by Pointillist management is reported as non-controlling interests.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2021, as filed with the SEC on March 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and in January 2021, the FASB issued ASU No.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This standard applies only to contracts, hedging relationships, and other transactions that reference the London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Ocwen was our largest customer, accounting for 40% of our total revenue for the nine months ended September 30, 2022 (45% of our revenue for the third quarter of 2022).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nine months ended September 30, 2022 and 2021, we recognized revenue from Ocwen of $47.2 million and $44.7 million, respectively ($17.2 million and $13.6 million for the third quarter of 2022 and 2021, respectively). Revenue from Ocwen as a percentage of segment and consolidated revenue was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33655</wp:posOffset>
            </wp:positionV>
            <wp:extent cx="1697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5" w:lineRule="exact"/>
        <w:rPr>
          <w:sz w:val="20"/>
          <w:szCs w:val="20"/>
          <w:color w:val="auto"/>
        </w:rPr>
      </w:pPr>
    </w:p>
    <w:p>
      <w:pPr>
        <w:ind w:left="628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33655</wp:posOffset>
            </wp:positionV>
            <wp:extent cx="2580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13335</wp:posOffset>
            </wp:positionV>
            <wp:extent cx="16973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33655</wp:posOffset>
            </wp:positionV>
            <wp:extent cx="814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121" w:right="33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3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56 %</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51 %</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52 %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3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3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3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45 %</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31 %</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 owner selects Altisource as the service provider. For the nine months ended September 30, 2022 and 2021, we recognized revenue of $7.3 million and $7.4 million, respectively ($2.2 million and $1.9 million for the third quarter of 2022 and 2021, respectively), of such revenue. These amounts are not included in deriving revenue from Ocwen and revenue from Ocwen as a percentage of revenue discussed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accounts receivable from Ocwen totaled $4.9 million, $4.3 million of which was billed and $0.6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accounts receivable from Ocwen totaled $3.0 million, $2.8 million of which was billed and $0.2 million of which was unbilled.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“RITM”) (formerly New Residential Investment Corp., or “NRZ”) is a real estate investment trust that invests in and manages investments primarily related to residential real estate, including MSRs and excess MSRs.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Ocwen has disclosed that RITM is its largest client. As of June 30, 2022, approximately 18% of loans serviced and subserviced by Ocwen (measured in unpaid principal balance (“UPB”)) were related to RITM MSRs or rights to MSRs (the “Subject MSRs”).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and 2021, we recognized revenue from RITM of $2.6 million and $2.4 million, respectively ($0.8 million and $0.7 million for the third quarter of 2022 and 2021, respectively), under the Brokerage Agreement. For the nine months ended September 30, 2022 and 2021, we recognized additional revenue of $10.4 million and $10.9 million, respectively ($3.0 million and $3.4 million for the third quarter of 2022 and 2021, respectively), relating to the Subject MSRs when a party other than RITM selects Altisource as the service provider.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Pointillist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6, 2021, Altisource and other shareholders of Pointillist entered into a definitive Stock Purchase Agreement (as amended, the “SPA”) to sell all of the equity interests in Pointillist to Genesys Cloud Services, Inc. (“Genesys”) for $150.0 million (the “Purchase Price”) (the “Transaction”). The Purchase Price consisted of (1) an up-front payment of $144.5 million, subject to certain adjustments, (2) $0.5 million deposited into an escrow account to be used to satisfy potential deficits between estimated closing date working capital and actual closing date working capital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(the “Indemnification Escrow”), with the balance to be paid to the sellers thereafter. The Transaction closed on December 1, 2021. On a fully diluted basis, Altisource owned approximately 69% of the equity of Pointillist.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The Working Capital Escrow was received in May 2022. The present value of the amounts in escrow is included in other current assets in the accompanying condensed consolidated balance sheets at a discounted value of $3.4 million and $3.6 million as of September 30, 2022 and December 31,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Property Management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in August 2018 and the second installment of $3.0 million was received in January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gridSpan w:val="3"/>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Deductions Note </w:t>
            </w:r>
            <w:r>
              <w:rPr>
                <w:rFonts w:ascii="Times New Roman" w:cs="Times New Roman" w:eastAsia="Times New Roman" w:hAnsi="Times New Roman"/>
                <w:sz w:val="18"/>
                <w:szCs w:val="18"/>
                <w:b w:val="1"/>
                <w:bCs w:val="1"/>
                <w:color w:val="auto"/>
                <w:vertAlign w:val="superscript"/>
              </w:rPr>
              <w:t>(1)</w:t>
            </w: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80" w:type="dxa"/>
            <w:vAlign w:val="bottom"/>
            <w:gridSpan w:val="2"/>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203"/>
        </w:trPr>
        <w:tc>
          <w:tcPr>
            <w:tcW w:w="4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2021</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1" w:lineRule="exact"/>
        <w:rPr>
          <w:sz w:val="20"/>
          <w:szCs w:val="20"/>
          <w:color w:val="auto"/>
        </w:rPr>
      </w:pPr>
    </w:p>
    <w:p>
      <w:pPr>
        <w:ind w:left="5540" w:right="5180" w:hanging="5532"/>
        <w:spacing w:after="0" w:line="495" w:lineRule="auto"/>
        <w:tabs>
          <w:tab w:leader="none" w:pos="317"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written off as uncollectible or transferred to other accounts or utilized.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agreements,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Surety bond collateral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amounted to $2.7 million and $3.5 million for the nine months ended September 30, 2022 and 2021, respectively ($0.9 million and $1.1 million for the third quarter of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122" w:lineRule="exact"/>
        <w:rPr>
          <w:sz w:val="20"/>
          <w:szCs w:val="20"/>
          <w:color w:val="auto"/>
        </w:rPr>
      </w:pPr>
    </w:p>
    <w:p>
      <w:pPr>
        <w:ind w:right="530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NOTE 7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9"/>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2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$2.3 million and $6.3 million for the nine months ended September 30, 2022 and 2021, respectively ($0.5 million and $1.8 million for the third quarter of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10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 and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30,681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each reportable segment represents a reporting unit. Goodwill was allocated to each reporting unit based on the relative fair value of each of our reporting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0" w:type="dxa"/>
            <w:vAlign w:val="bottom"/>
          </w:tcPr>
          <w:p>
            <w:pPr>
              <w:spacing w:after="0"/>
              <w:rPr>
                <w:sz w:val="15"/>
                <w:szCs w:val="15"/>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40" w:type="dxa"/>
            <w:vAlign w:val="bottom"/>
          </w:tcPr>
          <w:p>
            <w:pPr>
              <w:spacing w:after="0"/>
              <w:rPr>
                <w:sz w:val="15"/>
                <w:szCs w:val="15"/>
                <w:color w:val="auto"/>
              </w:rPr>
            </w:pPr>
          </w:p>
        </w:tc>
        <w:tc>
          <w:tcPr>
            <w:tcW w:w="23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80" w:type="dxa"/>
            <w:vAlign w:val="bottom"/>
            <w:gridSpan w:val="2"/>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line="20" w:lineRule="exact"/>
              <w:rPr>
                <w:sz w:val="1"/>
                <w:szCs w:val="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line="20" w:lineRule="exact"/>
              <w:rPr>
                <w:sz w:val="1"/>
                <w:szCs w:val="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line="20" w:lineRule="exact"/>
              <w:rPr>
                <w:sz w:val="1"/>
                <w:szCs w:val="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120" w:type="dxa"/>
            <w:vAlign w:val="bottom"/>
          </w:tcPr>
          <w:p>
            <w:pPr>
              <w:spacing w:after="0"/>
              <w:rPr>
                <w:sz w:val="17"/>
                <w:szCs w:val="17"/>
                <w:color w:val="auto"/>
              </w:rPr>
            </w:pPr>
          </w:p>
        </w:tc>
        <w:tc>
          <w:tcPr>
            <w:tcW w:w="10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Customer related intangible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9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$3.8 million and $8.2 million for the nine months ended September 30, 2022 and 2021, respectively ($1.3 million and $2.7 million for the third quarter of 2022 and 2021, respectively). Forecasted annual definite lived intangible asset amortization expense for 2022 through 2026 is $5.1 million, $5.1 million, $5.1 million, $5.1 million and $4.9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400" w:type="dxa"/>
            <w:vAlign w:val="bottom"/>
            <w:tcBorders>
              <w:bottom w:val="single" w:sz="8" w:color="auto"/>
            </w:tcBorders>
            <w:vMerge w:val="continue"/>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ind w:right="318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NOTE 10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9"/>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 general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46,535</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secured term loans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244,078</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Credit Facility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Altisource terminated the revolving credit facility on December 1, 2021. Altisource Portfolio Solutions S.A. and certain subsidiaries are guarantors of the Term B Loans (collectively, the “Guarantors”).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mandatory repayments of the Term B Loans except as set forth below until the April 2024 maturity when the balance is due.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September 30, 2022 was 6.25%.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debt issuance costs were $1.1 million, net of $3.5 million of accumulated amortization. As of December 31, 2021, debt issuance costs were $1.6 million, net of $2.9 million of accumulated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September 30,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amounts borrowed pursuant to the Credit Facility will amortize over the three-year term as follows: on June 22, 2022, the difference between the then outstanding balance above $15.0 million and $15.0 million, on June 22, 2023, the difference between the then outstanding balance above $10.0 million and $10.0 million, and on June 22, 2024, the then outstanding balance of the loan will be due and payable by Altisource.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bear interest at 9.00% per annum and are payable quarterly on the last business day of each March, June, September and December.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there was no outstanding debt under the Credit Facility. As of September 30, 2022 and December 31, 2021, debt issuance costs were $0.3 million, net of $0.2 million of accumulated amortization, and $0.4 million, net of $0.1 million of accumulated amortization,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auto"/>
            </w:tcBorders>
            <w:vMerge w:val="continue"/>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38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September 30, 2022 and December 31, 2021. The following fair values are estimated using market information and what the Company believes to be appropriate valuation methodologies under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receivable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Altisource is scheduled to receive, assuming no indemnification claims, $3.5 million on the first anniversary of the sale closing and received $0.3 million from the Working Capital Escrow in May 2022 (See Note 3 for additional information). We measure short-term receivables without a stated interest rate based on the present value of the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45% and 40% of its revenue from Ocwen for the three and nine months ended September 30, 2022, respectively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25"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2022, approximately 2.4 million shares of common stock remain available for repurchase under the program. There were no purchases of shares of common stock during the nine months ended September 30, 2022 and 2021. Luxembourg law limits share repurchases to the balance of Altisource Portfolio Solutions S.A. (unconsolidated parent company) retained earnings, less the value of shares repurchased. As of September 30, 2022, we can repurchase up to approximately $71 million of our common stock under Luxembourg law. Our Credit Agreement also limits the amount we can spend on share repurchases, which limit was approximately $421 million as of September 30, 2022, and may prevent repurchases in certain circumstances, including if our leverage ratio exceeds 3.50 to 1.00.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$3.9 million and $2.5 million for the nine months ended September 30, 2022 and 2021, respectively ($1.3 million and $0.4 million for the third quarter of 2022 and 2021, respectively). As of September 30, 2022, estimated unrecognized compensation costs related to share-based awards amounted to $4.0 million, which we expect to recognize over a weighted average remaining requisite service period of approximately 1.43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185 thousand service-based options were outstanding as of September 30, 2022.</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September 30, 2022.</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450 thousand performance-based options outstanding as of September 30, 2022.</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105 thousand stock options (at a weighted average exercise price of $11.86 per share) for the nine months ended September 30, 2022 (no comparative amount for the nine months ended September 30,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 The following assumptions were used to determine the fair values as of the grant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95"/>
        </w:trPr>
        <w:tc>
          <w:tcPr>
            <w:tcW w:w="9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Black-Scholes</w:t>
            </w:r>
          </w:p>
        </w:tc>
      </w:tr>
      <w:tr>
        <w:trPr>
          <w:trHeight w:val="202"/>
        </w:trPr>
        <w:tc>
          <w:tcPr>
            <w:tcW w:w="9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0" w:type="dxa"/>
            <w:vAlign w:val="bottom"/>
            <w:vMerge w:val="restart"/>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 average grant date fair value of stock options granted per share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stock options that vested</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47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24"/>
                <w:szCs w:val="24"/>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687,339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(61,800)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730,539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2022</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542,290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2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 to four year periods with vesting in equal annual installments. A total of 402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service-based awards were outstanding as of September 30, 2022.</w:t>
      </w:r>
    </w:p>
    <w:p>
      <w:pPr>
        <w:spacing w:after="0" w:line="10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154 thousand performance-based awards were outstanding as of September 30, 2022.</w:t>
      </w:r>
    </w:p>
    <w:p>
      <w:pPr>
        <w:spacing w:after="0" w:line="12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of these awards generally vest on the one year anniversary of the initial vesting. The Company estimates the grant date fair value of these awards using a lattice (binomial) model. A total of 112 thousand market-based awards were outstanding as of September 30, 2022.</w:t>
      </w:r>
    </w:p>
    <w:p>
      <w:pPr>
        <w:spacing w:after="0" w:line="119"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98 thousand performance-based and market-based awards were outstanding as of September 30, 2022.</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440 thousand restricted share units (at a weighted average grant date fair value of $10.69 per share) during the nine months ended September 30, 2022. These grants include 46 thousand performance-based awards that include both a performance condition and a market condition and 46 thousand performance-based awards, for the nine months ended September 30, 2022. The Company granted 29 thousand performance-based awards that include both a performance condition and a market condition and 89 thousand performance-based awards, for the nine months ended September 30,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8"/>
        </w:trPr>
        <w:tc>
          <w:tcPr>
            <w:tcW w:w="960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r>
      <w:tr>
        <w:trPr>
          <w:trHeight w:val="702"/>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tc>
        <w:tc>
          <w:tcPr>
            <w:tcW w:w="1640" w:type="dxa"/>
            <w:vAlign w:val="bottom"/>
          </w:tcPr>
          <w:p>
            <w:pPr>
              <w:spacing w:after="0"/>
              <w:rPr>
                <w:sz w:val="24"/>
                <w:szCs w:val="24"/>
                <w:color w:val="auto"/>
              </w:rPr>
            </w:pPr>
          </w:p>
        </w:tc>
      </w:tr>
      <w:tr>
        <w:trPr>
          <w:trHeight w:val="326"/>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6"/>
        </w:trPr>
        <w:tc>
          <w:tcPr>
            <w:tcW w:w="96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6"/>
        </w:trPr>
        <w:tc>
          <w:tcPr>
            <w:tcW w:w="96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02"/>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677,175</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440,072</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rPr>
              <w:t>(205,905)</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Times New Roman" w:cs="Times New Roman" w:eastAsia="Times New Roman" w:hAnsi="Times New Roman"/>
                <w:sz w:val="18"/>
                <w:szCs w:val="18"/>
                <w:color w:val="auto"/>
              </w:rPr>
              <w:t>(145,377)</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64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9"/>
              </w:rPr>
              <w:t>765,965</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r>
      <w:tr>
        <w:trPr>
          <w:trHeight w:val="19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9"/>
        </w:trPr>
        <w:tc>
          <w:tcPr>
            <w:tcW w:w="6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133,672</w:t>
            </w: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5"/>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revenues by segment and major source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5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560" w:type="dxa"/>
            <w:vAlign w:val="bottom"/>
            <w:gridSpan w:val="2"/>
            <w:vMerge w:val="continue"/>
          </w:tcPr>
          <w:p>
            <w:pPr>
              <w:spacing w:after="0"/>
              <w:rPr>
                <w:sz w:val="12"/>
                <w:szCs w:val="12"/>
                <w:color w:val="auto"/>
              </w:rPr>
            </w:pP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00"/>
        </w:trPr>
        <w:tc>
          <w:tcPr>
            <w:tcW w:w="4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0" w:type="dxa"/>
            <w:vAlign w:val="bottom"/>
          </w:tcPr>
          <w:p>
            <w:pPr>
              <w:spacing w:after="0"/>
              <w:rPr>
                <w:sz w:val="1"/>
                <w:szCs w:val="1"/>
                <w:color w:val="auto"/>
              </w:rPr>
            </w:pPr>
          </w:p>
        </w:tc>
      </w:tr>
      <w:tr>
        <w:trPr>
          <w:trHeight w:val="46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5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8"/>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540" w:type="dxa"/>
            <w:vAlign w:val="bottom"/>
            <w:gridSpan w:val="2"/>
            <w:vMerge w:val="continue"/>
          </w:tcPr>
          <w:p>
            <w:pPr>
              <w:spacing w:after="0"/>
              <w:rPr>
                <w:sz w:val="12"/>
                <w:szCs w:val="12"/>
                <w:color w:val="auto"/>
              </w:rPr>
            </w:pP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00"/>
        </w:trPr>
        <w:tc>
          <w:tcPr>
            <w:tcW w:w="4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1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0" w:type="dxa"/>
            <w:vAlign w:val="bottom"/>
          </w:tcPr>
          <w:p>
            <w:pPr>
              <w:spacing w:after="0"/>
              <w:rPr>
                <w:sz w:val="1"/>
                <w:szCs w:val="1"/>
                <w:color w:val="auto"/>
              </w:rPr>
            </w:pPr>
          </w:p>
        </w:tc>
      </w:tr>
      <w:tr>
        <w:trPr>
          <w:trHeight w:val="46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Reimbursable</w:t>
            </w:r>
          </w:p>
        </w:tc>
        <w:tc>
          <w:tcPr>
            <w:tcW w:w="220" w:type="dxa"/>
            <w:vAlign w:val="bottom"/>
          </w:tcPr>
          <w:p>
            <w:pPr>
              <w:spacing w:after="0"/>
              <w:rPr>
                <w:sz w:val="13"/>
                <w:szCs w:val="13"/>
                <w:color w:val="auto"/>
              </w:rPr>
            </w:pPr>
          </w:p>
        </w:tc>
        <w:tc>
          <w:tcPr>
            <w:tcW w:w="12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5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28"/>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139,749</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4). Our contract liabilities consist of current deferred revenue and other non-current liabilities as reported on the accompanying condensed consolidated balance sheets. Revenue recognized that was included in the contract liability at the beginning of the period was $3.7 million and $4.7 million for the nine months ended September 30, 2022 and 2021, respectively ($0.8 million and $0.9 million for the third quarter of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55,655</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6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0" w:type="dxa"/>
            <w:vAlign w:val="bottom"/>
          </w:tcPr>
          <w:p>
            <w:pPr>
              <w:spacing w:after="0"/>
              <w:rPr>
                <w:sz w:val="1"/>
                <w:szCs w:val="1"/>
                <w:color w:val="auto"/>
              </w:rPr>
            </w:pPr>
          </w:p>
        </w:tc>
      </w:tr>
      <w:tr>
        <w:trPr>
          <w:trHeight w:val="23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0" w:type="dxa"/>
            <w:vAlign w:val="bottom"/>
          </w:tcPr>
          <w:p>
            <w:pPr>
              <w:spacing w:after="0"/>
              <w:rPr>
                <w:sz w:val="1"/>
                <w:szCs w:val="1"/>
                <w:color w:val="auto"/>
              </w:rPr>
            </w:pPr>
          </w:p>
        </w:tc>
      </w:tr>
      <w:tr>
        <w:trPr>
          <w:trHeight w:val="22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18 — OTHER INCOME (EXPENSE),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20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6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an income tax (provision) benefit of $(2.2) million and $(1.9) million for the nine months ended September 30, 2022 and 2021, respectively ($0.2 million and $(0.4) million for the third quarter of 2022 and 2021, respectively). The income tax (provision) benefit for the three and nine months ended September 30, 2022 was driven by income tax expense on transfer pricing income from India, income tax benefit from losses in the United States, no tax benefit on the pretax loss from our Luxembourg operating company and uncertain tax positions.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0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9"/>
        </w:trPr>
        <w:tc>
          <w:tcPr>
            <w:tcW w:w="6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5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8"/>
        </w:trPr>
        <w:tc>
          <w:tcPr>
            <w:tcW w:w="64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15,816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1.3 million and 1.5 million, respectively (1.3 million and 1.3 million for the third quarter of 2022 and 2021, respectively), stock options, restricted shares and restricted share units, were excluded from the computation of loss per share, as a result of the following:</w:t>
      </w:r>
    </w:p>
    <w:p>
      <w:pPr>
        <w:spacing w:after="0" w:line="122" w:lineRule="exact"/>
        <w:rPr>
          <w:sz w:val="20"/>
          <w:szCs w:val="20"/>
          <w:color w:val="auto"/>
        </w:rPr>
      </w:pPr>
    </w:p>
    <w:p>
      <w:pPr>
        <w:jc w:val="both"/>
        <w:ind w:left="50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nine months ended September 30, 2022 and 2021, 0.2 million (0.2 million for both the third quarter of 2022 and 2021), stock options, restricted shares and restricted share units were anti-dilutive and have been excluded from the computation of diluted loss per share because the Company incurred a net loss</w:t>
      </w:r>
    </w:p>
    <w:p>
      <w:pPr>
        <w:spacing w:after="0" w:line="13"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2022 and 2021, 0.2 million and 0.3 million, respectively (0.2 million and 0.3 million for the third quarter of 2022 and 2021, respectively), stock options were anti-dilutive and have been excluded from the computation of diluted loss per share because their exercise price was greater than the average market price of our common stock</w:t>
      </w:r>
    </w:p>
    <w:p>
      <w:pPr>
        <w:spacing w:after="0" w:line="13"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2022 and 2021, 0.9 million and 1.0 million, respectively (0.9 million and 0.8 million for the third quarter of 2022 and 2021,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during the nine months ended September 30, 2022, Ocwen was our largest customer, accounting for 40% of our total revenue (45% of our revenue for the third quarter of 2022). Additionally, 6% of our revenue for the three and nine months ended September 30, 2022 was earned on the loan portfolios serviced by Ocwen, when a party other than Ocwen or the MSRs owner selected Altisource as the service provider.</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Ocwen has disclosed that RITM is its largest client. As of June 30, 2022, approximately 18% of loans serviced and subserviced by Ocwen (measured in UPB) were related to RITM MSRs or rights to MSRs.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RITM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RITM changes significantly, including Ocwen’s sub-servicing arrangement with RITM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Management cannot predict whether any of these events will occur or the amount of any impact they may have on Altisource. </w:t>
      </w:r>
      <w:r>
        <w:rPr>
          <w:rFonts w:ascii="Times New Roman" w:cs="Times New Roman" w:eastAsia="Times New Roman" w:hAnsi="Times New Roman"/>
          <w:sz w:val="18"/>
          <w:szCs w:val="18"/>
          <w:b w:val="1"/>
          <w:bCs w:val="1"/>
          <w:color w:val="auto"/>
        </w:rPr>
        <w:t>Leases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$0.4 million and $0.6 million for the nine months ended September 30, 2022 and 2021, respectively (less than $0.1 million and $0.2 million for the third quarter of 2022 and 2021, respectively). The amortization periods of right-of-use assets are generally limited by the expected lease term. Our leases generally have expected lease terms at adoption of one to six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was as follows for the nine months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6.24 %</w:t>
            </w:r>
          </w:p>
        </w:tc>
        <w:tc>
          <w:tcPr>
            <w:tcW w:w="0" w:type="dxa"/>
            <w:vAlign w:val="bottom"/>
          </w:tcPr>
          <w:p>
            <w:pPr>
              <w:spacing w:after="0"/>
              <w:rPr>
                <w:sz w:val="1"/>
                <w:szCs w:val="1"/>
                <w:color w:val="auto"/>
              </w:rPr>
            </w:pPr>
          </w:p>
        </w:tc>
      </w:tr>
      <w:tr>
        <w:trPr>
          <w:trHeight w:val="46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 activity during the period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24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used in operating activities for amounts included in the measurement of lease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(twelve months or less) lease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September 30, 2022 are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7"/>
        </w:trPr>
        <w:tc>
          <w:tcPr>
            <w:tcW w:w="65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9"/>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$20.0 million and $27.5 million as of September 30, 2022 and December 31,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includes Pointillist (sold on December 1, 2021), interest expense and costs related to corporate functions including executive, infrastructure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technology groups, finance, law, compliance, human resources, vendor management, facilities, risk management, as well as eliminations between reportable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460" w:type="dxa"/>
            <w:vAlign w:val="bottom"/>
            <w:gridSpan w:val="3"/>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14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7"/>
          <w:szCs w:val="17"/>
          <w:color w:val="auto"/>
        </w:rPr>
        <w:t>Income (loss) before income taxes and</w:t>
      </w:r>
    </w:p>
    <w:p>
      <w:pPr>
        <w:ind w:left="2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488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3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2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104,611</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(51,310)</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1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134,862</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52,046</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(70,424)</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(57,040)</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24"/>
                <w:szCs w:val="24"/>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24"/>
                <w:szCs w:val="24"/>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211,282</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primarily located in the United States. Premises and equipment, net consist of the following, by country: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vMerge w:val="continue"/>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2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5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4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4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490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2021 filed with the Securities and Exchange Commission (“SEC”) on March 3,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63"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in response to lower revenue due to COVID-19 or other factors;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2021 including:</w:t>
      </w:r>
    </w:p>
    <w:p>
      <w:pPr>
        <w:spacing w:after="0" w:line="108"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13"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“RITM”) (formerly New Residential Investment Corp., or “NRZ”) as a customer or our ability to receive the anticipated volume of referrals from RITM;</w:t>
      </w: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68" w:lineRule="exact"/>
        <w:rPr>
          <w:sz w:val="20"/>
          <w:szCs w:val="20"/>
          <w:color w:val="auto"/>
        </w:rPr>
      </w:pPr>
    </w:p>
    <w:p>
      <w:pPr>
        <w:jc w:val="both"/>
        <w:ind w:left="660" w:right="20"/>
        <w:spacing w:after="0" w:line="230" w:lineRule="auto"/>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online real estate auction platform and real estate auction, real estate brokerage and asset management services.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68"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single family rental data, analytics and rent-based valuation solution), REALSynergy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 automated valuation model and analytics solution).</w:t>
      </w:r>
    </w:p>
    <w:p>
      <w:pPr>
        <w:spacing w:after="0" w:line="1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ADMS (a document management and data analytics delivery platform), and automated valuation technology.</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Pointillist, Inc. (“Pointillist”) (sold on December 1, 2021), interest expense and costs related to corporate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executive, infrastructure and certain technology groups, finance, law, compliance, human resources, vendor management, facilities, risk management and eliminations between reportable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RITM.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Pointillist (sold on December 1, 2021), interest expense and costs related to corporate functions including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certain technology groups, finance, law, compliance, human resources, vendor management, facilities, risk management and eliminations between reportable segments. We developed the Pointillist business through our consumer analytics capabilities. On December 1, 2021, the shareholders of Pointillist sold all of the equity interests in Pointillist to Genesys Cloud Services, Inc. for $150.0 million. On a fully diluted basis, we owned approximately 69% of the equity of Pointillist. After working capital and other applicable adjustments, we received approximately $106.0 million from the sale of our Pointillist equity and the collection of outstanding receivables, with $102.2 million received at closing, approximately $0.3 million deposited into the Working Capital Escrow and approximately $3.5 million deposited into the Indemnification Escrow. The Working Capital Escrow was received on May 9,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beginning in March 2020, various governmental entities and servicers implemented unprecedented foreclosure and eviction moratoriums, forbearance programs and loss mitigation measures to help mitigate the impact to borrowers and renters. As a result of these measures and other related actions, industrywide foreclosure initiations were 89% lower for the nine months ended September 2021 compared to the same pre-COVID-19 period in 2019 and foreclosure sales were 79% lower for the same periods. The Federal government’s foreclosure moratorium expired on July 1, 2021 and the Consumer Financial Protection Bureau’s (“CFPB’s”) temporary loss mitigation measures expired on December 31, 2021. Despite the expiration of such governmental measures, we believe servicers are proceeding slowly with foreclosure initiations for borrowers in default. Industrywide foreclosure initiations were 386% higher for the nine months ended September 2022 compared to the same period in 2021, although still 45% lower than the same pre-COVID-19 period in 2019. Industrywide foreclosure sales were 45% higher for the nine months ended September 2022 compared to the same period in 2021, although still 69% lower than the same pre-COVID-19 period in 2019.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same time, beginning in March 2020 the Federal Reserve lowered the target for the federal funds rate to 0% to 0.25% and bought billions of dollars of mortgage backed securities on the secondary market to reduce interest rates. As a result of the lower interest rate environment, mortgage originations were 25% higher for the nine months ended September 30, 2021 compared to the same period in 2020 (according to the Mortgage Bankers Association) driving higher demand for origination related services. In November of 2021, the Federal Reserve began reducing the volume of mortgage backed securities it was purchasing and ended its monthly purchases in March 2022. Additionally, the Federal Reserve increased the target for the federal funds rate several times in 2022, most recently to 3.75% to 4.00% in November 2022. As a result of the higher interest rate environment, mortgage originations were 46% lower for the nine months ended September 30, 2022 compared to the same period in 2021 (according to the Mortgage Bankers Association).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predict the duration of the pandemic and future governmental and industry measures. Based on the expirations of the Federal government’s foreclosure and eviction moratoriums and the CFPB’s rules on temporary loss mitigation measures, we believe the demand for our Default business will grow. We estimate that in today’s environment it typically takes on average two years to convert foreclosure initiations to foreclosure sales and six months to market and sell the REO. Due to this timing, we anticipate that our later stage foreclosure auction and REO asset management services will not fully benefit from the early 2022 higher foreclosure initiations until late 2023 or early 2024. We further anticipate that despite the forecasted decline in origination volumes in 2022 compared to 2021 and increases in the target federal funds rate, our Lenders One business within our Origination segment may outperform the market for the full year compared to 2021 from new customer wins, and cross selling existing and new offerings to customers that are intended to help reduce their costs.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and 2022,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(3) grow Lenders One membership, launch new solutions and increase customer adoption of our solutions to accelerate the growth of our origination business, and (4) generate cash from the 2021 sale of Pointillist.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2022, approximately 2.4 million shares of common stock remain available for repurchase under the program. There were no purchases of shares of common stock during the nine months ended September 30, 2022 and 2021. Luxembourg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 limits share repurchases to the balance of Altisource Portfolio Solutions S.A. (unconsolidated parent company) retained earnings, less the value of shares repurchased. As of September 30, 2022, we can repurchase up to approximately $71 million of our common stock under Luxembourg law. Our senior secured term loan agreement also limits the amount we can spend on share repurchases, which limit was approximately $421 million as of September 30, 2022, and may prevent repurchases in certain circumstances, including if our leverage ratio exceeds 3.50 to 1.00.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Ocwen was our largest customer, accounting for 40% of our total revenue for the nine months ended September 30, 2022 (45% of our revenue for the third quarter of 2022). Additionally, 6% of our revenue for the three and nine months ended September 30, 2022 was earned on the loan portfolios serviced by Ocwen, when a party other than Ocwen or the mortgage servicing rights (“MSRs”) owner selected Altisource as the service provider.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Ocwen has disclosed that RITM is its largest client. As of June 30, 2022, approximately 18% of loans serviced and subserviced by Ocwen (measured in unpaid principal balance) were related to RITM MSRs or rights to MSRs.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RITM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RITM changes significantly, including Ocwen’s sub-servicing arrangement with RITM expiring without renewal, and this change results in a change in our status as a provider of services related to the RITM MSRs or rights to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386% higher for the nine months ended September 30, 2022 compared to the same period in 2021 as the foreclosure market begins to normalize following the Federal government’s foreclosure moratorium expiration on July 1, 2021 and the CFPB’s temporary loss mitigation measures expiration on December 31, 2021.</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45% higher for the nine months ended September 30, 2022, compared to the same period in 2021.</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originations were 46% lower for the nine months ended September 30, 2022 compared to the same period in 2021 resulting from a higher interest rate environment.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2021 the shareholders of Pointillist, a majority owned subsidiary of Altisource, sold all of the equity interests in Pointillist. For the three and nine months ended 2021, service revenue from Pointillist was $1.9 million and $3.4 million, respectively, and loss before income taxes and non-controlling interest was $1.9 million and $6.3 million, respectively (no comparative amounts for the three and nine months ended September 30, 2022).</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benefit of $(2.2) million and $(1.9) million for the nine months ended September 30, 2022 and 2021, respectively ($0.2 million and $(0.4) million for the third quarter of 2022 and 2021, respectively). The income tax (provision) benefit for the three and nine months ended September 30, 2022 was driven by income tax expense on transfer pricing income from India, income tax benefit from losses in the United States, no tax benefit on the pretax loss from our Luxembourg operating company and uncertain tax positions.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1"/>
              <w:spacing w:after="0" w:line="131"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51"/>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4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Servicer and Real Estate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85,601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Origination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45,533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and Others</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service revenue</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41,626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111,691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133,672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43,243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139,749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40,667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134,862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43,055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52,046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Loss before income taxes and non-</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(17,898)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(57,040)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(18,328)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3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non-</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(18,269)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(42,074)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(58,746)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operations/service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16,087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15,831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16,051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15,816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service revenue of $111.7 million for the nine months ended September 30, 2022, a 16% decrease compared to the nine months ended September 30, 2021 ($36.3 million for the third quarter of 2022, a 13% decrease compared to the third quarter of 2021).</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service revenue in the Servicer and Real Estate segment for the nine months ended September 30, 2022 is primarily from higher revenue in our Marketplace and Technology and SaaS Products businesses, partially offset by lower revenue in our Solutions business. The increase in the Marketplace business is driven by a higher number of homes sold, partially offset by lower average sales prices and lower commission rate from a higher percentage of foreclosure auctions. The increase in the Technology and SaaS Products business is from higher professional services revenue in the Equator business. The decline in our Solutions business is primarily driven by fewer preservation referrals per property in the Field Services business, largely offset by higher revenues from our other Solutions businesses. Revenue in the other Solutions businesses grew as the default market began to recover following the expiration of the pandemic related borrower relief measures. For the three months ended September 30, 2022, the increase in service revenue is driven by increases across all our Solutions, Marketplace and Technology and SaaS Products businesses as the default market continues to recover.</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service revenue in the Origination segment for the three and nine months ended September 30, 2022 is primarily driven by the overall market decline in mortgage originations. The decline in Lenders One revenue is lower than the overall market decline as we gained traction with our solutions that are designed to help our members save money. The decline in the Solutions business revenue was greater than the overall market decline as customers transitioned services in-house to retain their employees in some of our Solutions businesses and a greater percentage of revenue in some of these businesses was derived from refinance transactions which declined faster than the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service revenue in Corporate and Other is from the December 2021 Pointillist sale.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reimbursable expense revenue of $6.2 million for the nine months ended September 30, 2022, a 15% increase compared to the nine months ended September 30, 2021 ($2.0 million for the third quarter of 2022, a 38% increase compared to the third quarter of 2021). The increase in reimbursable expenses for the three and nine months ended September 30, 2022 is largely due to a higher volume of asset resolution and asset management activities.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55,655</w:t>
            </w:r>
          </w:p>
        </w:tc>
        <w:tc>
          <w:tcPr>
            <w:tcW w:w="110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52,473</w:t>
            </w:r>
          </w:p>
        </w:tc>
        <w:tc>
          <w:tcPr>
            <w:tcW w:w="11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10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1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10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134,862</w:t>
            </w:r>
          </w:p>
        </w:tc>
        <w:tc>
          <w:tcPr>
            <w:tcW w:w="1100" w:type="dxa"/>
            <w:vAlign w:val="bottom"/>
            <w:tcBorders>
              <w:bottom w:val="single" w:sz="8" w:color="CCEEFF"/>
            </w:tcBorders>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cost of revenue of $104.6 million for the nine months ended September 30, 2022, a 22% decrease compared to the nine months ended September 30, 2021 ($34.4 million for the third quarter of 2022, a 15% decrease compared to the third quarter of 2021). Compensation and benefits for the three and nine months ended September 30, 2022 decreased primarily due to cash cost savings measures taken in 2021, the December 2021 sale of Pointillist and from lower service revenue in the Origination segment. Outside fees and services for the nine months ended September 30, 2022 decreased primarily from lower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revenue in the Origination segment, as discussed in the revenue section above, and from lower Field Services revenue in the Solutions business of the Servicer and Real Estate segment. In addition, the increases in reimbursable expenses are consistent with the changes in reimbursable expense revenue discussed in the revenue section above.</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Gross profit increased to $13.7 million, representing 12% of service revenue, for the nine months ended September 30, 2022 compared to $4.9 million, representing 4% of service revenue, for the nine months ended September 30, 2021 (increased to $4.0 million, representing 11% of service revenue, for the third quarter of 2022, compared to $2.6 million, representing 6% of service revenue, for the third quarter of 2021). Gross profit as a percentage of service revenue for the three and nine months ended September 30, 2022 increased compared to the three and nine months ended September 30, 2021 primarily due to revenue mix with higher revenue from the higher margin businesses in Servicer and Real Estate, the December 1, 2021 Pointillist sale and our COVID-19 cash cost savings measures, partially offset by lower gross profit margin in the Origination business from lower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for the nine months ended September 30, 2022 of $43.1 million decreased by 17% compared to the nine months ended September 30, 2021 ($14.6 million for the third quarter of 2022, a 12% decrease compared to the third quarter of 2021). Compensation and benefits for the nine months ended September 30, 2022 decreased primarily due to cash cost savings initiatives. Occupancy related costs for the three and nine months ended September 30, 2022 decreased primarily from facility consolidation initiatives. Amortization of intangible assets for the three and nine months ended September 30, 2022 decreased from the completion of the amortization period of certain intangible assets during 2021. The decreases for the nine months ended September 30, 2022 are partially offset by increases in marketing costs from Lenders One convention activities that were cancelled in first quarter of 2021 due to the pandemic.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from operations for the nine months ended September 30, 2022 was $(29.3) million, representing (26)% of service revenue, compared to $(47.2) million, representing (35)% of service revenue, for the nine months ended September 30, 2021 (increased to $(10.6) million, representing (29)% of service revenue, for the third quarter of 2022, compared to $(14.0) million, representing (34)% of service revenue for the third quarter of 2021). Loss from operations as a percentage of service revenue improved for the three and nine months ended September 30, 2022 compared to the three and nine months ended September 30, 2021, primarily as a result of higher gross profit margins and, for the nine months ended September 30, 2022, the percentage reduction in SG&amp;A expenses in excess of the percentage change in revenue,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net was $(10.0) million for the nine months ended September 30, 2022 compared to $(9.9) million for the nine months ended September 30, 2021 ($(3.9) million for the third quarter of 2022 and $(3.9) million for the third quarter of 2021). The change for the nine months ended September 30, 2022 is primarily driven by an increase of $0.8 million in interest expense driven by higher interest rate on our Credit Facility partially offset by higher interest income and foreign currency exchange gains. For the three months ended September 30, 2022, higher interest expense from higher interest rates on our Credit Facility was largely offset by higher interest income and foreign currency exchange gains.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an income tax (provision) benefit of $(2.2) million and $(1.9) million for the nine months ended September 30, 2022 and 2021, respectively ($0.2 million and $(0.4) million for the third quarter of 2022 and 2021, respectively). The income tax (provision) benefit for the three and nine months ended September 30, 2022 was driven by income tax expense on transfer pricing income from India, income tax benefit from losses in the United States, no tax benefit on the pretax loss from our Luxembourg operating company and uncertain tax positions.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36,290</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30,866</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38,380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22,082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34,387</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14,556</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(14,453)</w:t>
            </w: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420" w:type="dxa"/>
            <w:vAlign w:val="bottom"/>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50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Corporate and Others</w:t>
            </w:r>
          </w:p>
        </w:tc>
        <w:tc>
          <w:tcPr>
            <w:tcW w:w="220" w:type="dxa"/>
            <w:vAlign w:val="bottom"/>
          </w:tcPr>
          <w:p>
            <w:pPr>
              <w:spacing w:after="0"/>
              <w:rPr>
                <w:sz w:val="11"/>
                <w:szCs w:val="11"/>
                <w:color w:val="auto"/>
              </w:rPr>
            </w:pPr>
          </w:p>
        </w:tc>
        <w:tc>
          <w:tcPr>
            <w:tcW w:w="120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50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25,567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41,626</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26,793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1,887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21,088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8,024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40,667</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11,729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(17,866)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(14,028)</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5"/>
                <w:szCs w:val="15"/>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(21,738)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111,691</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91,349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26,968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118,317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104,611</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43,055</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(51,310)</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2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84,730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45,533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133,672</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139,749</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69,063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38,722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134,862</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52,046</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(47,159)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(70,424)</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(57,040)</w:t>
            </w:r>
          </w:p>
        </w:tc>
        <w:tc>
          <w:tcPr>
            <w:tcW w:w="0" w:type="dxa"/>
            <w:vAlign w:val="bottom"/>
          </w:tcPr>
          <w:p>
            <w:pPr>
              <w:spacing w:after="0"/>
              <w:rPr>
                <w:sz w:val="1"/>
                <w:szCs w:val="1"/>
                <w:color w:val="auto"/>
              </w:rPr>
            </w:pPr>
          </w:p>
        </w:tc>
      </w:tr>
      <w:tr>
        <w:trPr>
          <w:trHeight w:val="22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1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1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84,730</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Marketplace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service revenue of $85.6 million for the nine months ended September 30, 2022, a 1% increase compared to the nine months ended September 30, 2021 ($29.0 million for the third quarter of 2022, a 14% increase compared to the third quarter of 2021). We also recognized reimbursable expense revenue of $5.7 million for the nine months ended September 30, 2022, an 18% increase compared to the nine months ended September 30, 2021 ($1.8 million for the third quarter of 2022, a 51% increase compared to the third quarter of 2021). The increase in service revenue in the Servicer and Real Estate segment for the nine months ended September 30, 2022 is primarily from higher revenue in our Marketplace and Technology and SaaS Products businesses, partially offset by lower revenue in our Solutions business. The increase in the Marketplace business is driven by a higher number of homes sold, partially offset by lower average sales prices and lower commission rate from a higher percentage of foreclosure auctions. The increase in the Technology and SaaS Products business is from higher professional services revenue in the Equator business. The decline in our Solutions business is primarily driven by fewer preservation referrals per property in the Field Services business, largely offset by higher revenues from our other Solutions businesses. Revenue in the other Solutions businesses grew as the default market began to recover following the expiration of the pandemic related borrower relief measures. For the three months ended September 30, 2022 the increase in service revenue is driven by increases across all our Solutions, Marketplace and Technology and SaaS Products businesses as the default market continues to recover.</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 increase in service revenue is driven by an increase in our Solutions business as the default market continues to recover, higher revenue in our Marketplace business driven by a higher number of homes sold, partially offset by lower average sales prices and lower commission rate from a higher percentage of foreclosure auction sales, and an increase in our Technology and SaaS Products business from higher professional services revenue in the Equator business.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the seasonal impact to revenue may not follow historical patterns.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1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for the nine months ended September 30, 2022 of $64.2 million decrease by 7% compared to the nine months ended September 30, 2021 ($22.1 million for the third quarter of 2022, a 5% increase compared to the third quarter of 2021). The decrease in cost of revenue for the nine months ended September 30, 2022 is primarily driven by lower outside fees and services from lower Field Services revenue in the Solutions business, as discussed above, and lower compensation and benefits primarily due to cash cost savings initiatives. These decreases are partially offset by an increase in reimbursable expenses from a higher volume of asset resolution and asset management activities.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cost of revenue for the three months ended September 30, 2022 is primarily driven by an increase in reimbursable expenses from a higher volume of asset resolution and asset management activities and higher outside fees and services in the Field Services business in the Solutions business from revenue growth. This increase is partially offset by slightly lower compensation and benefits primarily due to cash costs savings initiatives.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to $27.1 million, representing 32% of service revenue, for the nine months ended September 30, 2022 compared to $20.5 million, representing 24% of service revenue, for the nine months ended September 30, 2021 (increase to $8.8 million, representing 30% of service revenue, for the third quarter of 2022, compared to $5.7 million, representing 22% of service revenue, for the third quarter of 2021). Gross profit as a percentage of service revenue for the three and nine months ended September 30, 2022 increased primarily due to our COVID-19 cash cost savings and efficiency measures. Our margins can vary substantially depending upon the service revenue mix.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5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for the nine months ended September 30, 2022 of $9.2 million decreased by 14% compared to the nine months ended September 30, 2021 ($2.9 million for the third quarter of 2022, a 11% decrease compared to the third quarter of 2021). The decrease in SG&amp;A for the three and nine months ended September 30, 2022 is primarily due to lower amortization of intangible assets driven by the completion of the amortization period of certain intangible assets during 2021. These decreases are partially offset by higher compensation and benefits for the three and nine months ended September 30, 2022 from the assignment of sales and marketing employees to the business segments beginning in January 1, 2022 and higher marketing costs from higher participation in convention activities for the Solutions businesses and related Technology and SaaS Products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from operations increased to $17.9 million, representing 21% of service revenue, for the nine months ended September 30, 2022 compared to $9.8 million, representing 12% of service revenue, for the nine months ended September 30, 2021 (increased to $5.9 million, representing 20% of service revenue, for the third quarter of 2022, compared to $2.4 million, representing 9% of service revenue for the third quarter of 2021). The increase in operating income as a percentage of service revenue for the three and nine months ended September 30, 2022 is primarily the result of higher gross profit margins and, for the nine months ended September 30, 2022, the percentage reduction in SG&amp;A expenses in excess of the percentage change in revenue, discussed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Lenders One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service revenue of $26.1 million for the nine months ended September 30, 2022, a 43% decrease compared to the nine months ended September 30, 2021 ($7.3 million for the third quarter of 2022, a 49% decrease compared to the third quarter of 2021). We also recognized reimbursable expense revenue of $0.4 million for the nine months ended September 30, 2022, a 20% decrease compared to the nine months ended September 30, 2021 ($0.1 million for the third quarter of 2022, a 42% decrease compared to the third quarter of 2021). The decrease in service revenue in the Origination segment for the three and nine months ended September 30, 2022 is primarily driven by the overall market decline in mortgage originations. The decline in Lenders One revenue for the three and nine months ended September 30, 2022 is lower than the overall market decline as we gained traction with our solutions, comprising existing and recent product launches, that are designed to help our members save money. The decline in our other Solutions business revenue for the three and nine months ended September 30, 2022 is greater than the overall market decline as customers transitioned services in-house to retain their employees in some of our Solutions businesses and a greater percentage of revenue in some of these businesses was derived from refinance transactions which declined faster than the market.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for the nine months ended September 30, 2022 of $26.2 million decreased by 32% compared to the nine months ended September 30, 2021 ($7.7 million for the third quarter of 2022, a 34% decrease compared to the third quarter of 2021). The decrease in cost of revenue for the three and nine months ended September 30, 2022 are primarily driven by lower compensation and benefits and outside fees and services driven by the decrease in service revenue discussed above. In addition, the decrease in reimbursable expenses for the three and nine months ended September 30, 2022 is consistent with the changes in reimbursable expense revenue discussed in the revenue section above.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to $0.8 million, representing 3% of service revenue, for the nine months ended September 30, 2022 compared to $8.0 million, representing 18% of service revenue, for the nine months ended September 30, 2021 (decreased to $(0.1) million, representing (2)% of service revenue, for the third quarter of 2022, compared to $3.0 million, representing 21% of service revenue for the third quarter of 2021). Gross profit as a percentage of service revenue decreased primarily as costs did not decline at the same rate that revenue declined.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nine months ended September 30, 2022 of $6.7 million increased by 51% compared to the nine months ended September 30, 2021 ($2.4 million for the third quarter of 2022, increased by 51% compared to the third quarter of 2021). The increase in SG&amp;A for the three and nine months ended September 30, 2022 is primarily due to higher compensation and benefits from the assignment of sales and marketing employees to the business segments beginning in January 1, 2022. In addition, the increase in marketing costs and other for the nine months ended September 30, 2022 is from Lenders One convention activities that were cancelled in first quarter of 2021 due to the pandemic.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 income from operations decreased to $(6.0) million, representing (23)% of service revenue, for the nine months ended September 30, 2022 compared to $3.6 million, representing 8% of service revenue, for the nine months ended September 30, 2021 (decreased to $(2.5) million, representing (35)% of service revenue, for the third quarter of 2022, compared to $1.4 million, representing 10% of service revenue for the third quarter of 2021). The decrease in operating (loss) income as a percentage of service revenue for the three and nine months ended September 30, 2022 is primarily the result of lower gross profit margins and higher SG&amp;A costs, as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Pointillist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service revenue of $1.9 million and $3.4 million for the three and nine months ended September 30, 2021, respectively (no comparative amount for the three and nine months ended September 30, 2022). The decrease in service revenue for the three and nine months ended September 30, 2022 is driven by the December 1, 2021, Pointillist sale.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for the nine months ended September 30, 2022 of $14.2 million decreased by 48% compared to the nine months ended September 30, 2021 ($4.7 million for the third quarter of 2022, a 42% decrease compared to the third quarter of 2021). The decrease in cost of revenue for the three and nine months ended September 30, 2022 is primarily driven by lower compensation and benefits due to cash cost savings initiatives, the December 1, 2021 Pointillist sale and the assignment of sales and marketing employees to the business segments beginning in January 1, 2022. In addition, technology and telecommunications decreased due to lower service contract costs as a result of the December 1, 2021, Pointillist sale and cost savings initiatives.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48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1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1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nine months ended September 30, 2022 of $27.1 million decreased by 27% compared to the nine months ended September 30, 2021 ($9.2 million for the third quarter of 2022, a 21% decrease compared to the third quarter of 2021). Compensation and benefits for the three and nine months ended September 30, 2022 decreased primarily due to cash cost savings initiatives, and from the assignment of sales and marketing employees to the business segments beginning in January 1, 2022. In addition, the decrease in occupancy related costs for the three and nine months ended September 30, 2022 primarily resulted from facility elimination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$(10.1) million for the nine months ended September 30, 2022 compared to $(9.9) million for the nine months ended September 30, 2021 ($(3.9) million for the third quarter of 2022 and $(3.9) million for the third quarter of 2021). The change for the nine months ended September 30, 2022 is primarily driven by an increase of $0.8 million in interest expense driven by higher interest rate of our Credit Facility, partially offset by higher interest income and foreign currency exchange gains.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and cash on hand. However, due to the COVID-19 pandemic revenue has declined significantly. The lower revenue, partially offset by cost savings initiatives, resulted in negative operating cash flow from operations for nine months ended September 30, 2022 and 2021. To increase our liquidity we entered into a $20 million revolving credit facility during the second quarter of 2021 ($15 million available as of September 30, 2022). In addition, Altisource’s December 1, 2021 sale of its equity interest in Pointillist increased our liquidity. The Pointillist sale generated approximately $106.0 million in cash, with $102.2 million received at closing, approximately $0.3 million deposited into the Working Capital Escrow and received in May 2022, and approximately $3.5 million deposited into the Indemnification Escrow. Finally, we believe the anticipated revenue growth as the default market returns and revenue mix along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2018, Altisource Portfolio Solutions S.A. and its wholly-owned subsidiary, Altisource S.à r.l. entered into a credit agreement (the “Credit Agreement”) pursuant to which Altisource borrowed $412.0 million in the form of Term B Loans and obtained a $15.0 million revolving credit facility. The Term B Loans mature in April 2024. We terminated the revolving credit facility on December 1, 2021. As of September 30, 2022, the principal balance of the Term B Loans was $247.2 million.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maturity in April 2024, except as otherwise described herein and in the Credit Agreement.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on the Term B Loans as of September 30, 2022 was 6.25%, representing the sum of (i) the greater of (x) the Adjusted Eurodollar Rate for a three month interest period and (y) 1.00% plus (ii) 4.00%.</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September 30,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amounts borrowed pursuant to the Credit Facility will amortize over the three-year term as follows: on June 22, 2022, the difference between the then outstanding balance above $15.0 million and $15.0 million, will be due and payable by Altisource; on June 22, 2023, the difference between the then outstanding balance above $10.0 million and $10.0 million, will be due and payable by Altisource; and on June 22, 2024, the then outstanding balance of the loan will be due and payable by Altisource.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there was no outstanding debt under the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nine months ended September 30: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w:t>
            </w:r>
          </w:p>
        </w:tc>
        <w:tc>
          <w:tcPr>
            <w:tcW w:w="1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nine months ended September 30, 2022, net cash used in operating activities was $(32.3) million compared to net cash used in operating activities of $(41.1) million for the nine months ended September 30, 2021. During the nine months ended September 30, 2022, the decrease in cash used in operating activities was driven by a $17.3 million decrease in net loss partially offset by a $4.1 million decrease in non-cash depreciation, amortization of intangibles and stock based compensation expenses, and a $4.0 million increase in cash used for working capital. The decrease in net loss was primarily due to higher gross profit during the nine months ended September 30, 2022 from revenue mix with higher revenue from the higher margin businesses in Servicer and Real Estate, our cash cost savings measures, the sale of Pointillist and lower SG&amp;A expenses, partially offset by lower gross profit in the Origination business from lower revenue. The increase in cash used for changes in working capital was primarily driven by higher cash payments for annual incentive compensation bonuses in the first quarter of 2022 by $3.7 million partially offset by $1.3 million more cash generated from the change in accounts receivable for the nine months ended September 30, 2022 compared to the nine months ended September 30, 2021,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investing activities for the nine months ended September 30, 2022 and 2021 consisted of additions to premises and equipment and proceeds from the sale of a business. Net cash (used in) provided by investing activities was $(0.5) million and $1.9 million for the nine months ended September 30, 2022 and 2021, respectively. The change in cash provided by investing activities was driven by $3.0 million in proceeds received in 2021 in connection with the second installment from the August 2018 sale of the rental property management business to Front Yard Residential Corporation (“RESI”). In addition, we used $(0.9) million for the nine months ended September 30, 2022 compared to $(1.1) million in 2021, for additions to premises and equipment primarily related to investments in the development of certain software applications and facility improvements.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were $(1.9) million and $17.9 million for the nine months ended September 30, 2022 and 2021, respectively. During the nine months ended September 30, 2022 and 2021, we made payments of $(1.1) million and $(0.9)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2022 and 2021, we distributed $(0.9) million and $(1.8) million, respectively, to non-controlling interests. During the nine months ended September 30, 2021, we received proceeds from the issuance of long-term debt of $20.0 million and paid $0.5 million in debt issuance costs in connection with borrowings under the Credit Facility (no comparable amount for the nine months ended September 30, 2022). During the nine months ended September 30, 2021, we also received proceeds from the Pointillist convertible notes payable to related parties of $1.2 million (no comparable amount for the nine months ended September 30,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the maturity of the Credit Agreement, interest expense under the Credit Agreement (see Liquidity section above), distributions to Lenders One members and operating lease payments on certain of our premises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Credit Agreement outstanding balance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payments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Credit Agreement of $247.2 million is due on April 1, 2024.</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32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no further principal repayments, estimated future interest payments based on the interest rate as of September 30, 2022 and the April 1, 2024 maturity date. Based on the April 1, 2024 maturity date, no interest expense has been included beyond April 1, 2024.</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to fund future liquidity requirements with a combination of existing cash balances, cash anticipated to be generated by operating activities and anticipated proceeds from a refinancing of our Credit Agreement. For further information, see Note 11 and Note 21 to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arrangements.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$20.0 million and $27.5 million as of September 30, 2022 and December 31,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there were no significant changes to our contractual obligations from those identified in our Form 10-K for the fiscal year ended December 31, 2021 and this Form 10-Q, other than those that occur in the normal course of business. See Note 21 to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accounting principles generally accepted in the United States of America. In applying many of these accounting principles, we need to make assumptions,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2021 filed with the SEC on March 3, 2022. There have been no material changes to our critical accounting policies during the nine months ended September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 interest rate charged on the Term B Loan was 6.25%. The interest rate is calculated based on the Adjusted Eurodollar Rate for a three month interest period (as defined in the senior secured term loan agreement) with a minimum floor of 1.00% plus 4.00%.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and the Adjusted Eurodollar Rate as of September 30, 2022, a one percentage point increase in the Eurodollar rate above the minimum floor would increase our annual interest expense by approximately $2.5 million. There would be a $2.5 million decrease in our annual interest expense if there was a one percentage point decrease in the Eurodollar 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third quarter of 2022, a one percentage point increase or decrease in value of the Indian rupee in relation to the United States dollar would increase or decrease our annual expenses by approximately $0.3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2022.</w:t>
      </w:r>
    </w:p>
    <w:p>
      <w:pPr>
        <w:spacing w:after="0" w:line="12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2021 filed with the SEC on March 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September 30, 2022.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September 30, 2022, the maximum number of shares that may be purchased under the repurchase program is 2.4 million shares of the Company’s common stock. In addition to the share repurchase program, during the three months ended September 30, 2022, 93,628 common shares were withheld from employees to satisfy tax withholding obligations that arose from the vesting of restricted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period ended September 30, 2022 is formatted in Inline XBRL interactive data files: (i) Condensed Consolidated Balance Sheets as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30, 2022 and December 31, 2021; (ii) Condensed Consolidated Statements of Operations and Comprehensive Loss for the three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and nine months ended September 30, 2022 and 2021; (iii) Condensed Consolidated Statements of Equity for the nine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30, 2022 and 2021; (iv) Condensed Consolidated Statements of Cash Flows for the nine months ended September 30, 2022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2021; and (v) Notes to Condensed 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1120" w:hanging="109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71"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Altisource Portfolio Solutions S.A.;</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0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8"/>
        </w:trPr>
        <w:tc>
          <w:tcPr>
            <w:tcW w:w="39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30"/>
        </w:trPr>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71"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Altisource Portfolio Solutions S.A.;</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0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8"/>
        </w:trPr>
        <w:tc>
          <w:tcPr>
            <w:tcW w:w="39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39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left="340" w:right="2180"/>
        <w:spacing w:after="0" w:line="260"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2022</w:t>
      </w: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Altisource Portfolio Solutions S.A. (the “Company”) for the quarterly period ended September 30, 2022,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26" w:lineRule="exact"/>
        <w:rPr>
          <w:sz w:val="20"/>
          <w:szCs w:val="20"/>
          <w:color w:val="auto"/>
        </w:rPr>
      </w:pPr>
    </w:p>
    <w:p>
      <w:pPr>
        <w:ind w:left="720" w:hanging="38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0"/>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2022</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2022-11-03T06:22:44Z</dcterms:created>
  <dcterms:modified xsi:type="dcterms:W3CDTF">2022-11-03T06:22:44Z</dcterms:modified>
</cp:coreProperties>
</file>