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9g91hmaa-live.xml.htm"/>
      <w:bookmarkStart w:id="1" w:name="ksf4_a1eus000009g91hmaa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MORETTINI JOSEPH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1375 PORTMARNOCK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ALTISOURCE PORTFOLIO SOLUTIONS S.A.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116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 Exercise Stakeholder Warrants (ASPSZ)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2,518.812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0.2319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Net Settle Stakeholder Warrants (ASPSW)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223.443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0.3776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88,900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 Exercise Stakeholder Warrants (ASPSZ)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1,015.65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open market sale of 12,400 Altisource Portfolio Solutions S.A. ("ASPS") Cash Exercise Stakeholder Warrants (ASPSZ) in multiple transactions executed at prices ranging from $0.23 to $0.25 per warrant, resulting in a weighted-average sale price of $0.2319 per warrant. Upon request, the reporting person will provide to the SEC staff, the issuer, or a security holder of the issuer full information regarding the number of warrants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Cash Exercise Stakeholder Warrant (ASPSZ) and Net Settle Stakeholder Warrant (ASPSW) is exercisable into 0.20313 shares of ASPS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open market sale of 1,100 Net Settle Stakeholder Warrants (ASPSW).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open market sale of 5,000 Cash Exercise Stakeholder Warrants (ASPSZ).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Teresa L. Szupello,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137" TargetMode="External"/><Relationship Id="rId5" Type="http://schemas.openxmlformats.org/officeDocument/2006/relationships/hyperlink" Target="http://www.sec.gov/cgi-bin/browse-edgar?action=getcompany&amp;CIK=00014624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733</Words>
  <Characters>4095</Characters>
  <CharactersWithSpaces>4731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