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8gwmlmay-live.xml.htm"/>
      <w:bookmarkStart w:id="1" w:name="ksf4_a1eus000008gwmlmay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Iseley Wesley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ALTISOURCE PORTFOLIO SOLUTIONS S.A.</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 BOULEVARD PRINCE HENRI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L-1724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ALTISOURCE PORTFOLIO SOLUTIONS S.A.</w:t>
              </w:r>
            </w:hyperlink>
            <w:r>
              <w:rPr/>
              <w:t xml:space="preserve"> [ </w:t>
            </w:r>
            <w:r>
              <w:rPr>
                <w:rFonts w:ascii="Times;serif" w:hAnsi="Times;serif"/>
                <w:color w:val="0000FF"/>
                <w:sz w:val="24"/>
                <w:shd w:fill="FFFFFF" w:val="clear"/>
              </w:rPr>
              <w:t>ASPS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19,215</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38,289</w:t>
            </w:r>
            <w:r>
              <w:rPr>
                <w:rFonts w:ascii="Times;serif" w:hAnsi="Times;serif"/>
                <w:color w:val="008000"/>
                <w:position w:val="7"/>
                <w:sz w:val="16"/>
                <w:sz w:val="20"/>
                <w:shd w:fill="FFFFFF" w:val="clear"/>
              </w:rPr>
              <w:t>(2)</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21, 2026, Mr. Iseley received 19,215 restricted share units ("RSUs") as compensation for his service as a non-management director of Altisource Portfolio Solutions S.A. ("ASPS" or the "Company") for the 2026 to 2027 service year. Each RSU represents a contingent right to receive one share of ASPS Common Stock. The RSUs will vest on the date of the Company's 2027 Annual General Meeting of Shareholders ("Annual Meeting"), provided that Mr. Iseley attends at least 75% of all Board and Committee meetings on which he serves.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19,215 unvested RSUs, and 46 previously granted restricted shares of ASPS common stock that are scheduled to vest in equal installments on the dates of the Company's next three Annual Meetings.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amount of securities beneficially owned following the reported transaction set forth in this Form_4 reflects the Company's 1:8 share consolidation effected as of May_28,_2025.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Teresa L. Szupello,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0176" TargetMode="External"/><Relationship Id="rId5" Type="http://schemas.openxmlformats.org/officeDocument/2006/relationships/hyperlink" Target="http://www.sec.gov/cgi-bin/browse-edgar?action=getcompany&amp;CIK=00014624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3881</Characters>
  <CharactersWithSpaces>4531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