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8"/>
        <w:gridCol w:w="298"/>
        <w:gridCol w:w="299"/>
        <w:gridCol w:w="2714"/>
        <w:gridCol w:w="2714"/>
        <w:gridCol w:w="3842"/>
      </w:tblGrid>
      <w:tr>
        <w:trPr/>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 One)</w:t>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1-34354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ALTISOURCE PORTFOLIO SOLUTIONS S.A.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959" w:type="dxa"/>
        <w:jc w:val="left"/>
        <w:tblInd w:w="0" w:type="dxa"/>
        <w:tblLayout w:type="fixed"/>
        <w:tblCellMar>
          <w:top w:w="28" w:type="dxa"/>
          <w:left w:w="28" w:type="dxa"/>
          <w:bottom w:w="28" w:type="dxa"/>
          <w:right w:w="28" w:type="dxa"/>
        </w:tblCellMar>
      </w:tblPr>
      <w:tblGrid>
        <w:gridCol w:w="1554"/>
        <w:gridCol w:w="1366"/>
        <w:gridCol w:w="1369"/>
        <w:gridCol w:w="780"/>
        <w:gridCol w:w="780"/>
        <w:gridCol w:w="1110"/>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Luxembourg</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98-0554932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 Boulevard Prince Henri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L-1724 Luxembourg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Grand Duchy of Luxembourg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(352) 2060 2055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or to be registered pursuant to Section 12(b) of the Act:</w:t>
      </w:r>
    </w:p>
    <w:tbl>
      <w:tblPr>
        <w:tblW w:w="7851" w:type="dxa"/>
        <w:jc w:val="center"/>
        <w:tblInd w:w="0" w:type="dxa"/>
        <w:tblLayout w:type="fixed"/>
        <w:tblCellMar>
          <w:top w:w="28" w:type="dxa"/>
          <w:left w:w="28" w:type="dxa"/>
          <w:bottom w:w="28" w:type="dxa"/>
          <w:right w:w="28" w:type="dxa"/>
        </w:tblCellMar>
      </w:tblPr>
      <w:tblGrid>
        <w:gridCol w:w="944"/>
        <w:gridCol w:w="827"/>
        <w:gridCol w:w="838"/>
        <w:gridCol w:w="109"/>
        <w:gridCol w:w="109"/>
        <w:gridCol w:w="109"/>
        <w:gridCol w:w="424"/>
        <w:gridCol w:w="424"/>
        <w:gridCol w:w="426"/>
        <w:gridCol w:w="109"/>
        <w:gridCol w:w="109"/>
        <w:gridCol w:w="109"/>
        <w:gridCol w:w="970"/>
        <w:gridCol w:w="970"/>
        <w:gridCol w:w="1374"/>
      </w:tblGrid>
      <w:tr>
        <w:trPr/>
        <w:tc>
          <w:tcPr>
            <w:tcW w:w="9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 Exercise Stakeholder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ASPSZ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Settle Stakeholder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ASPSW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w:t>
      </w:r>
      <w:r>
        <w:rPr>
          <w:color w:val="000000"/>
        </w:rPr>
        <w:t xml:space="preserve">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288" w:before="0" w:after="120"/>
        <w:jc w:val="both"/>
        <w:rPr/>
      </w:pPr>
      <w:r>
        <w:rPr>
          <w:rFonts w:ascii="Times New Roman;serif" w:hAnsi="Times New Roman;serif"/>
          <w:b w:val="false"/>
          <w:color w:val="000000"/>
          <w:sz w:val="16"/>
        </w:rPr>
        <w:t xml:space="preserve">Yes </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41" w:type="dxa"/>
        <w:jc w:val="left"/>
        <w:tblInd w:w="0" w:type="dxa"/>
        <w:tblLayout w:type="fixed"/>
        <w:tblCellMar>
          <w:top w:w="28" w:type="dxa"/>
          <w:left w:w="28" w:type="dxa"/>
          <w:bottom w:w="28" w:type="dxa"/>
          <w:right w:w="28" w:type="dxa"/>
        </w:tblCellMar>
      </w:tblPr>
      <w:tblGrid>
        <w:gridCol w:w="619"/>
        <w:gridCol w:w="545"/>
        <w:gridCol w:w="546"/>
        <w:gridCol w:w="292"/>
        <w:gridCol w:w="292"/>
        <w:gridCol w:w="296"/>
        <w:gridCol w:w="109"/>
        <w:gridCol w:w="109"/>
        <w:gridCol w:w="109"/>
        <w:gridCol w:w="109"/>
        <w:gridCol w:w="109"/>
        <w:gridCol w:w="109"/>
        <w:gridCol w:w="534"/>
        <w:gridCol w:w="534"/>
        <w:gridCol w:w="537"/>
        <w:gridCol w:w="140"/>
        <w:gridCol w:w="140"/>
        <w:gridCol w:w="140"/>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0" w:type="dxa"/>
            <w:gridSpan w:val="6"/>
            <w:tcBorders/>
            <w:tcMar>
              <w:top w:w="0" w:type="dxa"/>
              <w:left w:w="0" w:type="dxa"/>
              <w:bottom w:w="0" w:type="dxa"/>
              <w:right w:w="0" w:type="dxa"/>
            </w:tcMar>
            <w:vAlign w:val="center"/>
          </w:tcPr>
          <w:p>
            <w:pPr>
              <w:pStyle w:val="TableContents"/>
              <w:bidi w:val="0"/>
              <w:spacing w:lineRule="auto" w:line="240" w:before="0" w:after="0"/>
              <w:ind w:left="0" w:right="0" w:firstLine="135"/>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35"/>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12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w:t>
      </w:r>
      <w:r>
        <w:rPr>
          <w:color w:val="000000"/>
        </w:rPr>
        <w:t xml:space="preserve">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As of July 17, 2026, there were 11,420,206 outstanding shares of the registrant’s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736" w:type="dxa"/>
        <w:jc w:val="center"/>
        <w:tblInd w:w="0" w:type="dxa"/>
        <w:tblLayout w:type="fixed"/>
        <w:tblCellMar>
          <w:top w:w="28" w:type="dxa"/>
          <w:left w:w="28" w:type="dxa"/>
          <w:bottom w:w="28" w:type="dxa"/>
          <w:right w:w="28" w:type="dxa"/>
        </w:tblCellMar>
      </w:tblPr>
      <w:tblGrid>
        <w:gridCol w:w="345"/>
        <w:gridCol w:w="303"/>
        <w:gridCol w:w="303"/>
        <w:gridCol w:w="303"/>
        <w:gridCol w:w="303"/>
        <w:gridCol w:w="303"/>
        <w:gridCol w:w="2441"/>
        <w:gridCol w:w="2441"/>
        <w:gridCol w:w="2483"/>
        <w:gridCol w:w="149"/>
        <w:gridCol w:w="149"/>
        <w:gridCol w:w="213"/>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22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0">
              <w:r>
                <w:rPr>
                  <w:rStyle w:val="InternetLink"/>
                  <w:rFonts w:ascii="Times New Roman;serif" w:hAnsi="Times New Roman;serif"/>
                  <w:b w:val="false"/>
                  <w:color w:val="0000FF"/>
                  <w:sz w:val="20"/>
                  <w:u w:val="single"/>
                </w:rPr>
                <w:t>PART I —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
              <w:r>
                <w:rPr>
                  <w:rStyle w:val="InternetLink"/>
                  <w:rFonts w:ascii="Times New Roman;serif" w:hAnsi="Times New Roman;serif"/>
                  <w:b w:val="false"/>
                  <w:color w:val="0000FF"/>
                  <w:sz w:val="20"/>
                  <w:u w:val="single"/>
                </w:rPr>
                <w:t>Interim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6">
              <w:r>
                <w:rPr>
                  <w:rStyle w:val="InternetLink"/>
                  <w:rFonts w:ascii="Times New Roman;serif" w:hAnsi="Times New Roman;serif"/>
                  <w:b w:val="false"/>
                  <w:color w:val="0000FF"/>
                  <w:sz w:val="20"/>
                  <w:u w:val="single"/>
                </w:rPr>
                <w:t>3</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9">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9">
              <w:r>
                <w:rPr>
                  <w:rStyle w:val="InternetLink"/>
                  <w:rFonts w:ascii="Times New Roman;serif" w:hAnsi="Times New Roman;serif"/>
                  <w:b w:val="false"/>
                  <w:color w:val="0000FF"/>
                  <w:sz w:val="20"/>
                  <w:u w:val="single"/>
                </w:rPr>
                <w:t>4</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22">
              <w:r>
                <w:rPr>
                  <w:rStyle w:val="InternetLink"/>
                  <w:rFonts w:ascii="Times New Roman;serif" w:hAnsi="Times New Roman;serif"/>
                  <w:b w:val="false"/>
                  <w:color w:val="0000FF"/>
                  <w:sz w:val="20"/>
                  <w:u w:val="single"/>
                </w:rPr>
                <w:t>Condensed Consolidated Statements of Equity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22">
              <w:r>
                <w:rPr>
                  <w:rStyle w:val="InternetLink"/>
                  <w:rFonts w:ascii="Times New Roman;serif" w:hAnsi="Times New Roman;serif"/>
                  <w:b w:val="false"/>
                  <w:color w:val="0000FF"/>
                  <w:sz w:val="20"/>
                  <w:u w:val="single"/>
                </w:rPr>
                <w:t>5</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25">
              <w:r>
                <w:rPr>
                  <w:rStyle w:val="InternetLink"/>
                  <w:rFonts w:ascii="Times New Roman;serif" w:hAnsi="Times New Roman;serif"/>
                  <w:b w:val="false"/>
                  <w:color w:val="0000FF"/>
                  <w:sz w:val="20"/>
                  <w:u w:val="single"/>
                </w:rPr>
                <w:t>6</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28">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28">
              <w:r>
                <w:rPr>
                  <w:rStyle w:val="InternetLink"/>
                  <w:rFonts w:ascii="Times New Roman;serif" w:hAnsi="Times New Roman;serif"/>
                  <w:b w:val="false"/>
                  <w:color w:val="0000FF"/>
                  <w:sz w:val="20"/>
                  <w:u w:val="single"/>
                </w:rPr>
                <w:t>8</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03">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03">
              <w:r>
                <w:rPr>
                  <w:rStyle w:val="InternetLink"/>
                  <w:rFonts w:ascii="Times New Roman;serif" w:hAnsi="Times New Roman;serif"/>
                  <w:b w:val="false"/>
                  <w:color w:val="0000FF"/>
                  <w:sz w:val="20"/>
                  <w:u w:val="single"/>
                </w:rPr>
                <w:t>33</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3">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33">
              <w:r>
                <w:rPr>
                  <w:rStyle w:val="InternetLink"/>
                  <w:rFonts w:ascii="Times New Roman;serif" w:hAnsi="Times New Roman;serif"/>
                  <w:b w:val="false"/>
                  <w:color w:val="0000FF"/>
                  <w:sz w:val="20"/>
                  <w:u w:val="single"/>
                </w:rPr>
                <w:t>51</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6">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36">
              <w:r>
                <w:rPr>
                  <w:rStyle w:val="InternetLink"/>
                  <w:rFonts w:ascii="Times New Roman;serif" w:hAnsi="Times New Roman;serif"/>
                  <w:b w:val="false"/>
                  <w:color w:val="0000FF"/>
                  <w:sz w:val="20"/>
                  <w:u w:val="single"/>
                </w:rPr>
                <w:t>51</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39">
              <w:r>
                <w:rPr>
                  <w:rStyle w:val="InternetLink"/>
                  <w:rFonts w:ascii="Times New Roman;serif" w:hAnsi="Times New Roman;serif"/>
                  <w:b w:val="false"/>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2">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2">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42">
              <w:r>
                <w:rPr>
                  <w:rStyle w:val="InternetLink"/>
                  <w:rFonts w:ascii="Times New Roman;serif" w:hAnsi="Times New Roman;serif"/>
                  <w:b w:val="false"/>
                  <w:color w:val="0000FF"/>
                  <w:sz w:val="20"/>
                  <w:u w:val="single"/>
                </w:rPr>
                <w:t>52</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5">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45">
              <w:r>
                <w:rPr>
                  <w:rStyle w:val="InternetLink"/>
                  <w:rFonts w:ascii="Times New Roman;serif" w:hAnsi="Times New Roman;serif"/>
                  <w:b w:val="false"/>
                  <w:color w:val="0000FF"/>
                  <w:sz w:val="20"/>
                  <w:u w:val="single"/>
                </w:rPr>
                <w:t>52</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8">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4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48">
              <w:r>
                <w:rPr>
                  <w:rStyle w:val="InternetLink"/>
                  <w:rFonts w:ascii="Times New Roman;serif" w:hAnsi="Times New Roman;serif"/>
                  <w:b w:val="false"/>
                  <w:color w:val="0000FF"/>
                  <w:sz w:val="20"/>
                  <w:u w:val="single"/>
                </w:rPr>
                <w:t>54</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51">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5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51">
              <w:r>
                <w:rPr>
                  <w:rStyle w:val="InternetLink"/>
                  <w:rFonts w:ascii="Times New Roman;serif" w:hAnsi="Times New Roman;serif"/>
                  <w:b w:val="false"/>
                  <w:color w:val="0000FF"/>
                  <w:sz w:val="20"/>
                  <w:u w:val="single"/>
                </w:rPr>
                <w:t>55</w:t>
              </w:r>
            </w:hyperlink>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cbbd2b1f45a4d09b078c5446182c246_154">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bbd2b1f45a4d09b078c5446182c246_154">
              <w:r>
                <w:rPr>
                  <w:rStyle w:val="InternetLink"/>
                  <w:rFonts w:ascii="Times New Roman;serif" w:hAnsi="Times New Roman;serif"/>
                  <w:b w:val="false"/>
                  <w:color w:val="0000FF"/>
                  <w:sz w:val="20"/>
                  <w:u w:val="singl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Interim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929"/>
        <w:gridCol w:w="2401"/>
        <w:gridCol w:w="2389"/>
        <w:gridCol w:w="196"/>
        <w:gridCol w:w="736"/>
        <w:gridCol w:w="109"/>
        <w:gridCol w:w="109"/>
        <w:gridCol w:w="109"/>
        <w:gridCol w:w="109"/>
        <w:gridCol w:w="201"/>
        <w:gridCol w:w="756"/>
        <w:gridCol w:w="161"/>
      </w:tblGrid>
      <w:tr>
        <w:trPr/>
        <w:tc>
          <w:tcPr>
            <w:tcW w:w="2929"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ASSETS</w:t>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$1,935 and $2,492,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Premises and equipment,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under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LIABILITIES AND DEFICIT</w:t>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non-current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contingencies and regulatory matters (Note 21)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250,000 shares authorized, 11,420 issued and outstanding as of June 30, 2026; 11,021 issued and 10,994 outstanding as of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(27 shares as of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Altisource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(110,214)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(109,463)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deficit</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139,801 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See accompanying notes to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thousands, except per share data)</w:t>
      </w:r>
    </w:p>
    <w:p>
      <w:pPr>
        <w:pStyle w:val="TextBody"/>
        <w:bidi w:val="0"/>
        <w:spacing w:before="0" w:after="0"/>
        <w:jc w:val="center"/>
        <w:rPr/>
      </w:pPr>
      <w:r>
        <w:rPr/>
      </w:r>
    </w:p>
    <w:tbl>
      <w:tblPr>
        <w:tblW w:w="9821" w:type="dxa"/>
        <w:jc w:val="left"/>
        <w:tblInd w:w="0" w:type="dxa"/>
        <w:tblLayout w:type="fixed"/>
        <w:tblCellMar>
          <w:top w:w="28" w:type="dxa"/>
          <w:left w:w="28" w:type="dxa"/>
          <w:bottom w:w="28" w:type="dxa"/>
          <w:right w:w="28" w:type="dxa"/>
        </w:tblCellMar>
      </w:tblPr>
      <w:tblGrid>
        <w:gridCol w:w="1686"/>
        <w:gridCol w:w="1483"/>
        <w:gridCol w:w="1495"/>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exchange transaction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Altisource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Altisource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See accompanying notes to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 (Deficit)</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0479" w:type="dxa"/>
        <w:jc w:val="center"/>
        <w:tblInd w:w="0" w:type="dxa"/>
        <w:tblLayout w:type="fixed"/>
        <w:tblCellMar>
          <w:top w:w="28" w:type="dxa"/>
          <w:left w:w="28" w:type="dxa"/>
          <w:bottom w:w="28" w:type="dxa"/>
          <w:right w:w="28" w:type="dxa"/>
        </w:tblCellMar>
      </w:tblPr>
      <w:tblGrid>
        <w:gridCol w:w="756"/>
        <w:gridCol w:w="229"/>
        <w:gridCol w:w="231"/>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109"/>
        <w:gridCol w:w="109"/>
        <w:gridCol w:w="196"/>
        <w:gridCol w:w="751"/>
        <w:gridCol w:w="109"/>
        <w:gridCol w:w="109"/>
        <w:gridCol w:w="109"/>
        <w:gridCol w:w="109"/>
        <w:gridCol w:w="340"/>
        <w:gridCol w:w="731"/>
        <w:gridCol w:w="190"/>
        <w:gridCol w:w="109"/>
        <w:gridCol w:w="109"/>
        <w:gridCol w:w="109"/>
        <w:gridCol w:w="196"/>
        <w:gridCol w:w="751"/>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Altisource Equity (Deficit)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 net of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share units and restricted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withheld for the payment of tax on restricted share unit and restricted share issuances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share units and restricted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fractional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withheld for the payment of tax on restricted share unit and restricted share issuances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share units and restricted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withheld for the payment of tax on restricted share unit and restricted share issuances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share units and restricted shares,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11,420 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(368,899)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(109,329)</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See accompanying notes to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i/>
          <w:color w:val="000000"/>
          <w:sz w:val="20"/>
        </w:rPr>
        <w:t>(in thousands</w:t>
      </w:r>
      <w:r>
        <w:rPr>
          <w:rFonts w:ascii="Times New Roman;serif" w:hAnsi="Times New Roman;serif"/>
          <w:b w:val="false"/>
          <w:color w:val="000000"/>
          <w:sz w:val="20"/>
        </w:rPr>
        <w:t>)</w:t>
      </w:r>
    </w:p>
    <w:tbl>
      <w:tblPr>
        <w:tblW w:w="8394" w:type="dxa"/>
        <w:jc w:val="center"/>
        <w:tblInd w:w="0" w:type="dxa"/>
        <w:tblLayout w:type="fixed"/>
        <w:tblCellMar>
          <w:top w:w="28" w:type="dxa"/>
          <w:left w:w="28" w:type="dxa"/>
          <w:bottom w:w="28" w:type="dxa"/>
          <w:right w:w="28" w:type="dxa"/>
        </w:tblCellMar>
      </w:tblPr>
      <w:tblGrid>
        <w:gridCol w:w="2217"/>
        <w:gridCol w:w="1944"/>
        <w:gridCol w:w="1959"/>
        <w:gridCol w:w="196"/>
        <w:gridCol w:w="646"/>
        <w:gridCol w:w="109"/>
        <w:gridCol w:w="109"/>
        <w:gridCol w:w="109"/>
        <w:gridCol w:w="109"/>
        <w:gridCol w:w="196"/>
        <w:gridCol w:w="646"/>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 under operating leases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premium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and non-current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premises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Super Senior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and repurchases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fractional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on vesting of restricted share units and restricted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end of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i/>
          <w:color w:val="000000"/>
          <w:sz w:val="20"/>
        </w:rPr>
        <w:t>(in thousands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2475"/>
        <w:gridCol w:w="2160"/>
        <w:gridCol w:w="2172"/>
        <w:gridCol w:w="292"/>
        <w:gridCol w:w="965"/>
        <w:gridCol w:w="162"/>
        <w:gridCol w:w="162"/>
        <w:gridCol w:w="162"/>
        <w:gridCol w:w="162"/>
        <w:gridCol w:w="292"/>
        <w:gridCol w:w="965"/>
        <w:gridCol w:w="236"/>
      </w:tblGrid>
      <w:tr>
        <w:trPr/>
        <w:tc>
          <w:tcPr>
            <w:tcW w:w="247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(refunded) paid,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right-of-use assets with operating lease liabilities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of right-of-use assets from operating lease modifications or reassessments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in exchange for debt reduction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cash, cash equivalents and restricted cash reported within the unaudited condensed consolidated balance sheets and the unaudited condensed consolidated statements of cash flows:</w:t>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reported in the statements of cash flows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32,863 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 ORGANIZATION AND BASIS OF PRESENTATION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publicly traded on the NASDAQ Global Select Market under the symbol “ASPS.” We are organized under the laws of the Grand Duchy of Luxembourg.</w:t>
      </w:r>
    </w:p>
    <w:p>
      <w:pPr>
        <w:pStyle w:val="TextBody"/>
        <w:bidi w:val="0"/>
        <w:spacing w:lineRule="auto" w:line="288" w:before="0" w:after="180"/>
        <w:jc w:val="both"/>
        <w:rPr/>
      </w:pPr>
      <w:r>
        <w:rPr>
          <w:rFonts w:ascii="Times New Roman;serif" w:hAnsi="Times New Roman;serif"/>
          <w:b w:val="false"/>
          <w:color w:val="000000"/>
          <w:sz w:val="20"/>
        </w:rPr>
        <w:t xml:space="preserve">We conduct our operations through two reportable segments: </w:t>
      </w:r>
      <w:r>
        <w:rPr>
          <w:rFonts w:ascii="Times New Roman;serif" w:hAnsi="Times New Roman;serif"/>
          <w:b w:val="false"/>
          <w:i/>
          <w:color w:val="000000"/>
          <w:sz w:val="20"/>
        </w:rPr>
        <w:t>Servicer and Real Estate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Origination</w:t>
      </w:r>
      <w:r>
        <w:rPr>
          <w:rFonts w:ascii="Times New Roman;serif" w:hAnsi="Times New Roman;serif"/>
          <w:b w:val="false"/>
          <w:color w:val="000000"/>
          <w:sz w:val="20"/>
        </w:rPr>
        <w:t xml:space="preserve">. In addition, we report </w:t>
      </w:r>
      <w:r>
        <w:rPr>
          <w:rFonts w:ascii="Times New Roman;serif" w:hAnsi="Times New Roman;serif"/>
          <w:b w:val="false"/>
          <w:i/>
          <w:color w:val="000000"/>
          <w:sz w:val="20"/>
        </w:rPr>
        <w:t>Corporate and Others</w:t>
      </w:r>
      <w:r>
        <w:rPr>
          <w:color w:val="000000"/>
        </w:rPr>
        <w:t xml:space="preserve"> </w:t>
      </w:r>
      <w:r>
        <w:rPr>
          <w:rFonts w:ascii="Times New Roman;serif" w:hAnsi="Times New Roman;serif"/>
          <w:b w:val="false"/>
          <w:color w:val="000000"/>
          <w:sz w:val="20"/>
        </w:rPr>
        <w:t>separately (se</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Note 22 for a description of our business segments).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Accounting and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are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financial statements include the accounts of the Company, its wholly-owned subsidiaries and those entities in which we have a variable interest and are the primary beneficiary.</w:t>
      </w:r>
    </w:p>
    <w:p>
      <w:pPr>
        <w:pStyle w:val="TextBody"/>
        <w:bidi w:val="0"/>
        <w:spacing w:lineRule="auto" w:line="288" w:before="0" w:after="180"/>
        <w:jc w:val="left"/>
        <w:rPr/>
      </w:pPr>
      <w:r>
        <w:rPr>
          <w:rFonts w:ascii="Times New Roman;serif" w:hAnsi="Times New Roman;serif"/>
          <w:b w:val="false"/>
          <w:color w:val="000000"/>
          <w:sz w:val="20"/>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(“Lenders One”). MPA provides services to Lenders One under a management agreement. The management agreement expires on December 31, 2030 and provides for up to two automatic five-year renewal terms to December 31, 2040.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2026, Lenders One had total assets of $0.7 million and total liabilities of $0.4 million. As of December 31, 2025, Lenders One had total assets of $0.6 million and total liabilities of $0.4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interim condensed consolidated financial statements should be read in conjunction with the Company’s Annual Report on Form 10-K for the year ended December 31, 2025, as filed with the SEC on March 4,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28, 2025, Altisource Portfolio Solutions S.A. effected a consolidation of its shares of common stock (the “common stock”) (also known as a reverse stock split) at a ratio of 1-for-8 (the “Share Consolidation”). As a result of the Share Consolidation, every eight shares of common stock outstanding immediately prior to effectiveness of the Share Consolidation were combined and converted into one share of common stock, reducing the total number of issued and outstanding shares from 88,129,766 to 11,016,220. No fractional shares were issued in connection with the Share Consolidation. Instead, shareholders received cash in lieu of fractional shares, based on the closing price of Altisource’s common stock on May 27,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Share Consolidation did not change the authorized number of shares of Altisource’s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and exercise prices of stock options, and warrants in the accompanying condensed consolidated financial statements and notes to the condensed consolidated financial statements have been retroactively adjusted to reflect the Share Consolidation for all periods presented.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pStyle w:val="TextBody"/>
        <w:bidi w:val="0"/>
        <w:spacing w:lineRule="auto" w:line="288" w:before="0" w:after="0"/>
        <w:jc w:val="both"/>
        <w:rPr/>
      </w:pPr>
      <w:r>
        <w:rPr>
          <w:rFonts w:ascii="Times New Roman;serif" w:hAnsi="Times New Roman;serif"/>
          <w:b w:val="false"/>
          <w:color w:val="000000"/>
          <w:sz w:val="20"/>
        </w:rPr>
        <w:t>Level 1</w:t>
      </w:r>
      <w:r>
        <w:rPr>
          <w:color w:val="000000"/>
        </w:rPr>
        <w:t xml:space="preserve"> — </w:t>
      </w:r>
      <w:r>
        <w:rPr>
          <w:rFonts w:ascii="Times New Roman;serif" w:hAnsi="Times New Roman;serif"/>
          <w:b w:val="false"/>
          <w:color w:val="000000"/>
          <w:sz w:val="20"/>
        </w:rPr>
        <w:t>Quoted prices in active markets for identical assets and liabilities</w:t>
      </w:r>
    </w:p>
    <w:p>
      <w:pPr>
        <w:pStyle w:val="TextBody"/>
        <w:bidi w:val="0"/>
        <w:spacing w:lineRule="auto" w:line="288" w:before="0" w:after="0"/>
        <w:jc w:val="both"/>
        <w:rPr/>
      </w:pPr>
      <w:r>
        <w:rPr>
          <w:rFonts w:ascii="Times New Roman;serif" w:hAnsi="Times New Roman;serif"/>
          <w:b w:val="false"/>
          <w:color w:val="000000"/>
          <w:sz w:val="20"/>
        </w:rPr>
        <w:t>Level 2</w:t>
      </w:r>
      <w:r>
        <w:rPr>
          <w:color w:val="000000"/>
        </w:rPr>
        <w:t xml:space="preserve"> — </w:t>
      </w:r>
      <w:r>
        <w:rPr>
          <w:rFonts w:ascii="Times New Roman;serif" w:hAnsi="Times New Roman;serif"/>
          <w:b w:val="false"/>
          <w:color w:val="000000"/>
          <w:sz w:val="20"/>
        </w:rPr>
        <w:t>Observable inputs other than quoted prices included in Level 1</w:t>
      </w:r>
    </w:p>
    <w:p>
      <w:pPr>
        <w:pStyle w:val="TextBody"/>
        <w:bidi w:val="0"/>
        <w:spacing w:lineRule="auto" w:line="288" w:before="0" w:after="180"/>
        <w:ind w:left="0" w:right="0" w:hanging="900"/>
        <w:jc w:val="left"/>
        <w:rPr/>
      </w:pPr>
      <w:r>
        <w:rPr>
          <w:rFonts w:ascii="Times New Roman;serif" w:hAnsi="Times New Roman;serif"/>
          <w:b w:val="false"/>
          <w:color w:val="000000"/>
          <w:sz w:val="20"/>
        </w:rPr>
        <w:t>Level 3</w:t>
      </w:r>
      <w:r>
        <w:rPr>
          <w:color w:val="000000"/>
        </w:rPr>
        <w:t xml:space="preserve"> — </w:t>
      </w:r>
      <w:r>
        <w:rPr>
          <w:rFonts w:ascii="Times New Roman;serif" w:hAnsi="Times New Roman;serif"/>
          <w:b w:val="false"/>
          <w:color w:val="000000"/>
          <w:sz w:val="20"/>
        </w:rPr>
        <w:t>Unobservable inputs that are supported by little or no market activity and that are significant to the fair value of assets or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0" w:after="180"/>
        <w:jc w:val="left"/>
        <w:rPr/>
      </w:pPr>
      <w:r>
        <w:rPr>
          <w:rFonts w:ascii="Times New Roman;serif" w:hAnsi="Times New Roman;serif"/>
          <w:b w:val="false"/>
          <w:color w:val="000000"/>
          <w:sz w:val="20"/>
        </w:rPr>
        <w:t xml:space="preserve">In July 2025, the Financial Accounting Standards Board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standard provides a practical expedient for estimating expected credit losses for current accounts receivable and current contract assets arising from transactions accounted for under Topic 606. This standard allows companies to assume that conditions as of the balance sheet date remain unchanged for the remaining life of the asset. The Company adopted this standard effective January 1, 2026 and has applied it prospectively. Adoption of this new standard did not have a material impact on the Company’s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Future Adoption of New Accounting Pronouncement</w:t>
      </w:r>
    </w:p>
    <w:p>
      <w:pPr>
        <w:pStyle w:val="TextBody"/>
        <w:bidi w:val="0"/>
        <w:spacing w:lineRule="auto" w:line="288" w:before="0" w:after="180"/>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This standard amends the codification to enhance the disclosure requirements, in the notes to the financial statements, of specified information about 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This standard clarifies the form and content requirements for interim financial statements and introduces a disclosure principle requiring entities to report material events and changes occurring after the most recent annual period. This standard will be effective for interim periods within fiscal years beginning after December 15, 2027 for public business entities. Early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this standard is permitted. The Company is currently evaluating the impact this guidance may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This standard provides clarification and minor updates to various Topics in the FASB Accounting Standards Codification, including guidance related to earnings per share, lease receivables, beneficial interests, treasury stock, and transfers of receivables. This standard will be effective for annual periods beginning after December 15, 2026 and for interim periods within those annual reporting periods. Early adoption of this standard is permitted. The Company is currently evaluating the impact this guidance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 — CUSTOMER CONCENTRATION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Onity Group Inc. (together with its subsidiaries, “Onity”) is a residential mortgage loan servicer of mortgage servicing rights (“MSRs”) it owns, including those MSRs in which others have an economic interest, and a subservicer of loans owned by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Onity was our largest customer, accounting for 29% and 33%, respectively,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from Onity primarily consists of revenue earned from the loan portfolios serviced and subserviced by Onity when Onity engages us as the service provider, and revenue earned directly from Onity, pursuant to the Onity Services Agreements. For the six months ended June 30, 2026 and 2025, we recognized revenue from Onity of $36.1 million and $37.8 million, respectively ($16.6 million and $18.5 million for the second quarter of 2026 and 2025, respectively). Revenue from Onity as a percentage of segment and consolidated revenue was as follows:</w:t>
      </w:r>
    </w:p>
    <w:tbl>
      <w:tblPr>
        <w:tblW w:w="7007" w:type="dxa"/>
        <w:jc w:val="left"/>
        <w:tblInd w:w="0" w:type="dxa"/>
        <w:tblLayout w:type="fixed"/>
        <w:tblCellMar>
          <w:top w:w="28" w:type="dxa"/>
          <w:left w:w="28" w:type="dxa"/>
          <w:bottom w:w="28" w:type="dxa"/>
          <w:right w:w="28" w:type="dxa"/>
        </w:tblCellMar>
      </w:tblPr>
      <w:tblGrid>
        <w:gridCol w:w="661"/>
        <w:gridCol w:w="583"/>
        <w:gridCol w:w="586"/>
        <w:gridCol w:w="109"/>
        <w:gridCol w:w="109"/>
        <w:gridCol w:w="109"/>
        <w:gridCol w:w="231"/>
        <w:gridCol w:w="189"/>
        <w:gridCol w:w="445"/>
        <w:gridCol w:w="189"/>
        <w:gridCol w:w="189"/>
        <w:gridCol w:w="189"/>
        <w:gridCol w:w="231"/>
        <w:gridCol w:w="189"/>
        <w:gridCol w:w="445"/>
        <w:gridCol w:w="109"/>
        <w:gridCol w:w="109"/>
        <w:gridCol w:w="109"/>
        <w:gridCol w:w="213"/>
        <w:gridCol w:w="193"/>
        <w:gridCol w:w="410"/>
        <w:gridCol w:w="174"/>
        <w:gridCol w:w="174"/>
        <w:gridCol w:w="174"/>
        <w:gridCol w:w="213"/>
        <w:gridCol w:w="193"/>
        <w:gridCol w:w="482"/>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Servicer and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earn additional revenue related to the portfolios serviced and subserviced by Onity when a party other than Onity or the MSR owner selects Altisource as the service provider. For the six months ended June 30, 2026 and 2025, we recognized $3.9 million and $4.1 million, respectively ($2.1 million and $1.9 million for the second quarter of 2026 and 2025, respectively), of such revenue. These amounts are not included in deriving revenue from Onity and revenue from Onity as a percentage of revenue discussed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accounts receivable from Onity totaled $5.1 million, $2.6 million of which was billed and $2.5 million of which was unbilled. As of December 31, 2025, accounts receivable from Onity totaled $5.1 million, $2.6 million of which was billed and $2.5 million of which was unbilled.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Rithm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Rithm Capital Corp. (individually, together with one or more of its subsidiaries or one or more of its subsidiaries individually, “Rithm”) is an asset manager focused on the real estate and financial services industries.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Onity has disclosed that Rithm is one of its largest servicing clients. As of March 31, 2026, Onity reported that Rithm MSRs and rights to MSRs (the “Subject MSRs”) represented $29.7 billion of Onity’s servicing and subservicing portfolio. Onity disclosed that the Subject MSRs represent approximately 9% of loans serviced and subserviced by Onity (measured in unpaid principal balance (“UPB”)) and approximately 47% of all delinquent loans that Onity services (measured in UPB). In November 2025, Onity disclosed that it had received notification from Rithm that Rithm does not intend to renew its subservicing agreements with Onity effective January 31, 2026. Onity also disclosed that the servicing transfer to Rithm’s own servicing platform began in the first quarter of 2026 and that the transfer of $6.9 billion UPB of the Subject MSRs is subject to the receipt of necessary consents from trustees and others, the timing and success of which are uncertain.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Rithm previously purchased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The Rithm Brokerage Agreement expired on August 31, 2025. With limited exceptions, however, Altisource has continued to manage REO and receive referrals from Subject MSRs serviced or subserviced by Onity (“Rithm REO”) despite the expiration of the Rithm Brokerage Agreement. Beginning in the first quarter of 2026, Altisource began transferring Rithm REO to Rithm in connection with Onity’s servicing transfers discussed above. As such servicing transfers occur, we do not anticipate receiving future referrals from the transferred MSR portfolios.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recognized revenue from Rithm of $1.1 million and $1.8 million, respectively ($0.5 million and $1.1 million for the second quarters of 2026 and 2025, respectively). For the six months ended June 30, 2026 and 2025, we recognized additional revenue of $4.2 million and $5.3 million, respectively ($1.6 million and $2.7 million for the second quarter of 2026 and 2025, respectively), relating to the Subject MSRs when a party other than Rithm selected us as the service provider.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3 — ACCOUNTS RECEIVABLE,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w:t>
      </w:r>
    </w:p>
    <w:tbl>
      <w:tblPr>
        <w:tblW w:w="5220" w:type="dxa"/>
        <w:jc w:val="left"/>
        <w:tblInd w:w="0" w:type="dxa"/>
        <w:tblLayout w:type="fixed"/>
        <w:tblCellMar>
          <w:top w:w="28" w:type="dxa"/>
          <w:left w:w="28" w:type="dxa"/>
          <w:bottom w:w="28" w:type="dxa"/>
          <w:right w:w="28" w:type="dxa"/>
        </w:tblCellMar>
      </w:tblPr>
      <w:tblGrid>
        <w:gridCol w:w="896"/>
        <w:gridCol w:w="788"/>
        <w:gridCol w:w="791"/>
        <w:gridCol w:w="109"/>
        <w:gridCol w:w="109"/>
        <w:gridCol w:w="109"/>
        <w:gridCol w:w="196"/>
        <w:gridCol w:w="646"/>
        <w:gridCol w:w="109"/>
        <w:gridCol w:w="109"/>
        <w:gridCol w:w="109"/>
        <w:gridCol w:w="109"/>
        <w:gridCol w:w="224"/>
        <w:gridCol w:w="740"/>
        <w:gridCol w:w="176"/>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17,984 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 over the service delivery period but bill following completion of the service. We also include amounts in unbilled accounts receivable that are earned during a month and billed in the following month. As of January 1, 2025, gross accounts receivable totaled $18.2 million, $12.2 million of which was billed and $6.0 million of which was unbilled, less allowance for credit losses of $3.1 million, resulting in net accounts receivable of $15.1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Changes in the allowance for expected credit losses consist of the following:</w:t>
      </w:r>
    </w:p>
    <w:tbl>
      <w:tblPr>
        <w:tblW w:w="10205" w:type="dxa"/>
        <w:jc w:val="left"/>
        <w:tblInd w:w="0" w:type="dxa"/>
        <w:tblLayout w:type="fixed"/>
        <w:tblCellMar>
          <w:top w:w="28" w:type="dxa"/>
          <w:left w:w="28" w:type="dxa"/>
          <w:bottom w:w="28" w:type="dxa"/>
          <w:right w:w="28" w:type="dxa"/>
        </w:tblCellMar>
      </w:tblPr>
      <w:tblGrid>
        <w:gridCol w:w="795"/>
        <w:gridCol w:w="698"/>
        <w:gridCol w:w="703"/>
        <w:gridCol w:w="109"/>
        <w:gridCol w:w="109"/>
        <w:gridCol w:w="109"/>
        <w:gridCol w:w="435"/>
        <w:gridCol w:w="1236"/>
        <w:gridCol w:w="242"/>
        <w:gridCol w:w="109"/>
        <w:gridCol w:w="109"/>
        <w:gridCol w:w="109"/>
        <w:gridCol w:w="446"/>
        <w:gridCol w:w="959"/>
        <w:gridCol w:w="249"/>
        <w:gridCol w:w="109"/>
        <w:gridCol w:w="109"/>
        <w:gridCol w:w="109"/>
        <w:gridCol w:w="109"/>
        <w:gridCol w:w="109"/>
        <w:gridCol w:w="332"/>
        <w:gridCol w:w="741"/>
        <w:gridCol w:w="185"/>
        <w:gridCol w:w="109"/>
        <w:gridCol w:w="109"/>
        <w:gridCol w:w="109"/>
        <w:gridCol w:w="357"/>
        <w:gridCol w:w="1014"/>
        <w:gridCol w:w="287"/>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 / Subtractions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Deductions Note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End of Period</w:t>
            </w:r>
          </w:p>
        </w:tc>
      </w:tr>
      <w:tr>
        <w:trPr/>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18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Amounts written off as uncollectible or transferred to other accounts or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 PREPAID EXPENSES AND OTHER CURRENT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5654" w:type="dxa"/>
        <w:jc w:val="left"/>
        <w:tblInd w:w="0" w:type="dxa"/>
        <w:tblLayout w:type="fixed"/>
        <w:tblCellMar>
          <w:top w:w="28" w:type="dxa"/>
          <w:left w:w="28" w:type="dxa"/>
          <w:bottom w:w="28" w:type="dxa"/>
          <w:right w:w="28" w:type="dxa"/>
        </w:tblCellMar>
      </w:tblPr>
      <w:tblGrid>
        <w:gridCol w:w="1085"/>
        <w:gridCol w:w="954"/>
        <w:gridCol w:w="961"/>
        <w:gridCol w:w="109"/>
        <w:gridCol w:w="109"/>
        <w:gridCol w:w="109"/>
        <w:gridCol w:w="196"/>
        <w:gridCol w:w="556"/>
        <w:gridCol w:w="109"/>
        <w:gridCol w:w="109"/>
        <w:gridCol w:w="109"/>
        <w:gridCol w:w="109"/>
        <w:gridCol w:w="246"/>
        <w:gridCol w:w="700"/>
        <w:gridCol w:w="19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agreements,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Surety bond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9,690 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PREMISES AND EQUIPMENT,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Premises and equipment, net consists of the following:</w:t>
      </w:r>
    </w:p>
    <w:tbl>
      <w:tblPr>
        <w:tblW w:w="6330" w:type="dxa"/>
        <w:jc w:val="left"/>
        <w:tblInd w:w="0" w:type="dxa"/>
        <w:tblLayout w:type="fixed"/>
        <w:tblCellMar>
          <w:top w:w="28" w:type="dxa"/>
          <w:left w:w="28" w:type="dxa"/>
          <w:bottom w:w="28" w:type="dxa"/>
          <w:right w:w="28" w:type="dxa"/>
        </w:tblCellMar>
      </w:tblPr>
      <w:tblGrid>
        <w:gridCol w:w="1298"/>
        <w:gridCol w:w="1142"/>
        <w:gridCol w:w="1145"/>
        <w:gridCol w:w="109"/>
        <w:gridCol w:w="109"/>
        <w:gridCol w:w="109"/>
        <w:gridCol w:w="196"/>
        <w:gridCol w:w="646"/>
        <w:gridCol w:w="109"/>
        <w:gridCol w:w="109"/>
        <w:gridCol w:w="109"/>
        <w:gridCol w:w="109"/>
        <w:gridCol w:w="224"/>
        <w:gridCol w:w="740"/>
        <w:gridCol w:w="176"/>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amounted to $0.1 million and $0.4 million for the six months ended June 30, 2026 and 2025, respectively ($0.1 million and $0.2 million for the second quarters of 2026 and 2025, respectively), and is included in cost of revenue for operating assets and in selling, general and administrative expenses for non-operating assets in the accompanying condensed consolidated statements of operations and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Premises and equipment, net consist of the following by country:</w:t>
      </w:r>
    </w:p>
    <w:tbl>
      <w:tblPr>
        <w:tblW w:w="3675"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96"/>
        <w:gridCol w:w="421"/>
        <w:gridCol w:w="109"/>
        <w:gridCol w:w="109"/>
        <w:gridCol w:w="109"/>
        <w:gridCol w:w="109"/>
        <w:gridCol w:w="289"/>
        <w:gridCol w:w="622"/>
        <w:gridCol w:w="2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Uruguay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 RIGHT-OF-USE ASSETS UNDER OPERATING LEASES,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Right-of-use assets under operating leases, net consists of the following:</w:t>
      </w:r>
    </w:p>
    <w:tbl>
      <w:tblPr>
        <w:tblW w:w="5759" w:type="dxa"/>
        <w:jc w:val="left"/>
        <w:tblInd w:w="0" w:type="dxa"/>
        <w:tblLayout w:type="fixed"/>
        <w:tblCellMar>
          <w:top w:w="28" w:type="dxa"/>
          <w:left w:w="28" w:type="dxa"/>
          <w:bottom w:w="28" w:type="dxa"/>
          <w:right w:w="28" w:type="dxa"/>
        </w:tblCellMar>
      </w:tblPr>
      <w:tblGrid>
        <w:gridCol w:w="1124"/>
        <w:gridCol w:w="989"/>
        <w:gridCol w:w="992"/>
        <w:gridCol w:w="109"/>
        <w:gridCol w:w="109"/>
        <w:gridCol w:w="109"/>
        <w:gridCol w:w="196"/>
        <w:gridCol w:w="556"/>
        <w:gridCol w:w="109"/>
        <w:gridCol w:w="109"/>
        <w:gridCol w:w="109"/>
        <w:gridCol w:w="109"/>
        <w:gridCol w:w="246"/>
        <w:gridCol w:w="700"/>
        <w:gridCol w:w="193"/>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Amortization of operating leases was $0.8 million and $0.5 million for the six months ended June 30, 2026 and 2025, respectively ($0.4 million and $0.4 million for the second quarters of 2026 and 2025, respectively), and is included in cost of revenue for operating assets and in selling, general and administrative expenses for non-operating assets in the accompanying condensed consolidated statements of operations and comprehensive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 GOODWILL AND INTANGIBLE ASSETS, NET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goodwill by segment:</w:t>
      </w:r>
    </w:p>
    <w:tbl>
      <w:tblPr>
        <w:tblW w:w="10205" w:type="dxa"/>
        <w:jc w:val="left"/>
        <w:tblInd w:w="0" w:type="dxa"/>
        <w:tblLayout w:type="fixed"/>
        <w:tblCellMar>
          <w:top w:w="28" w:type="dxa"/>
          <w:left w:w="28" w:type="dxa"/>
          <w:bottom w:w="28" w:type="dxa"/>
          <w:right w:w="28" w:type="dxa"/>
        </w:tblCellMar>
      </w:tblPr>
      <w:tblGrid>
        <w:gridCol w:w="1280"/>
        <w:gridCol w:w="1125"/>
        <w:gridCol w:w="1128"/>
        <w:gridCol w:w="109"/>
        <w:gridCol w:w="109"/>
        <w:gridCol w:w="109"/>
        <w:gridCol w:w="366"/>
        <w:gridCol w:w="1209"/>
        <w:gridCol w:w="203"/>
        <w:gridCol w:w="109"/>
        <w:gridCol w:w="109"/>
        <w:gridCol w:w="109"/>
        <w:gridCol w:w="198"/>
        <w:gridCol w:w="652"/>
        <w:gridCol w:w="111"/>
        <w:gridCol w:w="109"/>
        <w:gridCol w:w="109"/>
        <w:gridCol w:w="109"/>
        <w:gridCol w:w="447"/>
        <w:gridCol w:w="927"/>
        <w:gridCol w:w="249"/>
        <w:gridCol w:w="109"/>
        <w:gridCol w:w="109"/>
        <w:gridCol w:w="109"/>
        <w:gridCol w:w="196"/>
        <w:gridCol w:w="646"/>
        <w:gridCol w:w="160"/>
      </w:tblGrid>
      <w:tr>
        <w:trPr/>
        <w:tc>
          <w:tcPr>
            <w:tcW w:w="128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30,681 </w:t>
            </w:r>
          </w:p>
        </w:tc>
        <w:tc>
          <w:tcPr>
            <w:tcW w:w="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25,279 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55,960 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 of the following:</w:t>
      </w:r>
    </w:p>
    <w:tbl>
      <w:tblPr>
        <w:tblW w:w="10322"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65"/>
        <w:gridCol w:w="265"/>
        <w:gridCol w:w="266"/>
        <w:gridCol w:w="109"/>
        <w:gridCol w:w="109"/>
        <w:gridCol w:w="109"/>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64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estimated useful life </w:t>
              <w:br/>
            </w:r>
            <w:r>
              <w:rPr>
                <w:rFonts w:ascii="Times New Roman;serif" w:hAnsi="Times New Roman;serif"/>
                <w:b/>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Definite 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(245,183)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(242,336)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definite lived intangible assets was $2.8 million and $2.5 million for the six months ended June 30, 2026 and 2025, respectively ($1.4 million and $1.3 million for the second quarter of 2026 and 2025, respectively). Forecasted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annual definite lived intangible asset amortization expense for 2026 through 2030 is $5.5 million, $4.9 million, $4.4 million, $2.1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8 — OTHER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assets consist of the following:</w:t>
      </w:r>
    </w:p>
    <w:tbl>
      <w:tblPr>
        <w:tblW w:w="3989"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196"/>
        <w:gridCol w:w="556"/>
        <w:gridCol w:w="109"/>
        <w:gridCol w:w="109"/>
        <w:gridCol w:w="109"/>
        <w:gridCol w:w="109"/>
        <w:gridCol w:w="246"/>
        <w:gridCol w:w="700"/>
        <w:gridCol w:w="19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9 — ACCOUNTS PAYABLE, ACCRUED EXPENSES AND OTHER CURRENT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 of the following:</w:t>
      </w:r>
    </w:p>
    <w:tbl>
      <w:tblPr>
        <w:tblW w:w="4934" w:type="dxa"/>
        <w:jc w:val="left"/>
        <w:tblInd w:w="0" w:type="dxa"/>
        <w:tblLayout w:type="fixed"/>
        <w:tblCellMar>
          <w:top w:w="28" w:type="dxa"/>
          <w:left w:w="28" w:type="dxa"/>
          <w:bottom w:w="28" w:type="dxa"/>
          <w:right w:w="28" w:type="dxa"/>
        </w:tblCellMar>
      </w:tblPr>
      <w:tblGrid>
        <w:gridCol w:w="792"/>
        <w:gridCol w:w="698"/>
        <w:gridCol w:w="699"/>
        <w:gridCol w:w="109"/>
        <w:gridCol w:w="109"/>
        <w:gridCol w:w="109"/>
        <w:gridCol w:w="196"/>
        <w:gridCol w:w="646"/>
        <w:gridCol w:w="109"/>
        <w:gridCol w:w="109"/>
        <w:gridCol w:w="109"/>
        <w:gridCol w:w="109"/>
        <w:gridCol w:w="224"/>
        <w:gridCol w:w="740"/>
        <w:gridCol w:w="176"/>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 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39,595 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w:t>
      </w:r>
    </w:p>
    <w:tbl>
      <w:tblPr>
        <w:tblW w:w="4544"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556"/>
        <w:gridCol w:w="109"/>
        <w:gridCol w:w="109"/>
        <w:gridCol w:w="109"/>
        <w:gridCol w:w="109"/>
        <w:gridCol w:w="246"/>
        <w:gridCol w:w="700"/>
        <w:gridCol w:w="193"/>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Revolving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3, 2024, in connection with the Company’s Property Renovation Services business, Altisource Solutions, Inc., an indirect subsidiary of Altisource Portfolio Solutions S.A, entered into a revolving loan agreement (the “Revolving Loan Agreement”) with a then related-party, Accelitron Advanced Motor Controls, Inc. (“AAMC”) (formerly Altisource Asset Management Corporation)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 of the Revolving Loan Agreement was extended in June 2026 to June 3, 2027 and may be automatically extended for one year on each anniversary of the maturity date. During any extension period, AAMC may terminate the Revolving Loan Agreement upon 150 days prior written notice and the loan will mature upon such termination.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Loan Agreement bear interest of 12.00% per annum in cash and are payable monthly in arrears on the first business day of each calendar month. Altisource pays AAMC a monthly unused commitment fee in an amount equal to 0.25% per annum of the average amount of the unused available credit under the Revolving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was no outstanding debt under the Revolving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LONG-TERM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6838" w:type="dxa"/>
        <w:jc w:val="left"/>
        <w:tblInd w:w="0" w:type="dxa"/>
        <w:tblLayout w:type="fixed"/>
        <w:tblCellMar>
          <w:top w:w="28" w:type="dxa"/>
          <w:left w:w="28" w:type="dxa"/>
          <w:bottom w:w="28" w:type="dxa"/>
          <w:right w:w="28" w:type="dxa"/>
        </w:tblCellMar>
      </w:tblPr>
      <w:tblGrid>
        <w:gridCol w:w="1450"/>
        <w:gridCol w:w="1274"/>
        <w:gridCol w:w="1280"/>
        <w:gridCol w:w="109"/>
        <w:gridCol w:w="109"/>
        <w:gridCol w:w="109"/>
        <w:gridCol w:w="196"/>
        <w:gridCol w:w="736"/>
        <w:gridCol w:w="109"/>
        <w:gridCol w:w="109"/>
        <w:gridCol w:w="109"/>
        <w:gridCol w:w="109"/>
        <w:gridCol w:w="205"/>
        <w:gridCol w:w="773"/>
        <w:gridCol w:w="161"/>
      </w:tblGrid>
      <w:tr>
        <w:trPr/>
        <w:tc>
          <w:tcPr>
            <w:tcW w:w="145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Super senior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Unamortized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and amendment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Principal payments are due as follows:</w:t>
      </w:r>
    </w:p>
    <w:tbl>
      <w:tblPr>
        <w:tblW w:w="2316" w:type="dxa"/>
        <w:jc w:val="left"/>
        <w:tblInd w:w="0" w:type="dxa"/>
        <w:tblLayout w:type="fixed"/>
        <w:tblCellMar>
          <w:top w:w="28" w:type="dxa"/>
          <w:left w:w="28" w:type="dxa"/>
          <w:bottom w:w="28" w:type="dxa"/>
          <w:right w:w="28" w:type="dxa"/>
        </w:tblCellMar>
      </w:tblPr>
      <w:tblGrid>
        <w:gridCol w:w="418"/>
        <w:gridCol w:w="368"/>
        <w:gridCol w:w="369"/>
        <w:gridCol w:w="196"/>
        <w:gridCol w:w="811"/>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Senior Secured Term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the Borrower entered into Amendment No. 2 to the Credit Agreement (as amended by Amendment No. 2, the “Amended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(the “New Facility Credit Agreement”), are guarantors on the New Facility (collectively, the “Guarantors”).</w:t>
      </w:r>
    </w:p>
    <w:p>
      <w:pPr>
        <w:pStyle w:val="TextBody"/>
        <w:bidi w:val="0"/>
        <w:spacing w:lineRule="auto" w:line="288" w:before="0" w:after="180"/>
        <w:jc w:val="both"/>
        <w:rPr/>
      </w:pPr>
      <w:r>
        <w:rPr>
          <w:rFonts w:ascii="Times New Roman;serif" w:hAnsi="Times New Roman;serif"/>
          <w:b w:val="false"/>
          <w:color w:val="000000"/>
          <w:sz w:val="20"/>
        </w:rPr>
        <w:t xml:space="preserve">We evaluated the Debt Exchange Transaction in accordance with ASC 470-60 </w:t>
      </w:r>
      <w:r>
        <w:rPr>
          <w:rFonts w:ascii="Times New Roman;serif" w:hAnsi="Times New Roman;serif"/>
          <w:b w:val="false"/>
          <w:i/>
          <w:color w:val="000000"/>
          <w:sz w:val="20"/>
        </w:rPr>
        <w:t>Troubled Debt Restructuring</w:t>
      </w:r>
      <w:r>
        <w:rPr>
          <w:rFonts w:ascii="Times New Roman;serif" w:hAnsi="Times New Roman;serif"/>
          <w:b w:val="false"/>
          <w:color w:val="000000"/>
          <w:sz w:val="20"/>
        </w:rPr>
        <w:t xml:space="preserve">. The evaluation for troubled debt restructuring includes assessing both qualitative and quantitative factors to determine whether the creditor granted a concession and whether the Company is experiencing financial difficulties. Our quantitative analysis consisted of comparing the effective borrowing rate on the New Facility to the effective borrowing rate on the SSTL immediately before the Debt Exchange Transaction. For purposes of ASC 470-60 </w:t>
      </w:r>
      <w:r>
        <w:rPr>
          <w:rFonts w:ascii="Times New Roman;serif" w:hAnsi="Times New Roman;serif"/>
          <w:b w:val="false"/>
          <w:i/>
          <w:color w:val="000000"/>
          <w:sz w:val="20"/>
        </w:rPr>
        <w:t>Troubled Debt Restructuring</w:t>
      </w:r>
      <w:r>
        <w:rPr>
          <w:rFonts w:ascii="Times New Roman;serif" w:hAnsi="Times New Roman;serif"/>
          <w:b w:val="false"/>
          <w:color w:val="000000"/>
          <w:sz w:val="20"/>
        </w:rPr>
        <w:t>, the Company concluded that (1) the lenders granted the Company a concession by reducing the effective borrowing rate on the debt and (2) the Company was experiencing financial difficulties. As a result, the Debt Exchange Transaction was accounted for as a troubled debt restructuring. The carrying value of the New Facility was determined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tbl>
      <w:tblPr>
        <w:tblW w:w="8105" w:type="dxa"/>
        <w:jc w:val="left"/>
        <w:tblInd w:w="0" w:type="dxa"/>
        <w:tblLayout w:type="fixed"/>
        <w:tblCellMar>
          <w:top w:w="28" w:type="dxa"/>
          <w:left w:w="28" w:type="dxa"/>
          <w:bottom w:w="28" w:type="dxa"/>
          <w:right w:w="28" w:type="dxa"/>
        </w:tblCellMar>
      </w:tblPr>
      <w:tblGrid>
        <w:gridCol w:w="2540"/>
        <w:gridCol w:w="2236"/>
        <w:gridCol w:w="2243"/>
        <w:gridCol w:w="196"/>
        <w:gridCol w:w="736"/>
        <w:gridCol w:w="154"/>
      </w:tblGrid>
      <w:tr>
        <w:trPr/>
        <w:tc>
          <w:tcPr>
            <w:tcW w:w="254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SSTL immediately before the Debt Exchange Transaction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and discount immediately before the Debt Exchange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fair value of equity issued to the SSTL lenders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fees paid to third parties on behalf of the SSTL lenders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of the New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Comprised of:</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 value of the New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and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of the New Facility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Debt Exchange Transaction, the Company also paid $3.6 million to advisors and others and recorded these payments as other expense in the consolidated statements of operations and comprehensive (loss) income for the year ended December 31, 2025. Of the total $3.6 million, $3.5 million was recorded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repurchased $2.0 million of debt under the New Facility at a discount of 23.7%, recognizing a net gain of $0.7 million on the early extinguishment of debt. This net gain is included in Other income (expense), net, in the Condensed Consolidated Statements of Operations and Comprehensive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 for $155.3 million of the New Facility is April 30, 2030 and the maturity date for $1.4 million of the New Facility is January 15, 2029.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New Facility requires mandatory prepayments of the term loans, subject to customary exceptions, as follows: (i) 100% of the proceeds of any other debt not permitted by the New Facility Credit Agreement, (ii) 95% of the net proceeds from the exercise of the Cash Exercise Stakeholder Warrants (as defined in Note 11 below), (iii) 100% of the proceeds of Asset Sales (as defined in the New Facility Credit Agreement),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Consolidated Excess Cash Flow (as defined in the New Facility Credit Agreement)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New Facility will become due on the earlier of (i) the applicable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as of June 30, 2026 was 10.30%.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payment of all amounts owing by the Borrower under the New Facility Credit Agreement is guaranteed by the Guarantors and is secured by a lien on substantially all of the assets of the Borrower, Altisource Portfolio Solutions S.A. and the other Guarantors, subject to certain exceptions. The liens securing the New Facility are junior to the liens securing the Super Senior Facility (defined below) pursuant to, and as set forth in, an intercreditor agreement.</w:t>
      </w:r>
    </w:p>
    <w:p>
      <w:pPr>
        <w:pStyle w:val="TextBody"/>
        <w:bidi w:val="0"/>
        <w:spacing w:lineRule="auto" w:line="288" w:before="0" w:after="180"/>
        <w:jc w:val="both"/>
        <w:rPr/>
      </w:pPr>
      <w:r>
        <w:rPr>
          <w:rFonts w:ascii="Times New Roman;serif" w:hAnsi="Times New Roman;serif"/>
          <w:b w:val="false"/>
          <w:color w:val="000000"/>
          <w:sz w:val="20"/>
        </w:rPr>
        <w:t>The New Facility Credit Agreement contains representations, warranties, covenants, term and conditions customary for transactions of this type.</w:t>
      </w:r>
      <w:r>
        <w:rPr>
          <w:color w:val="000000"/>
        </w:rPr>
        <w:t xml:space="preserve"> </w:t>
      </w:r>
      <w:r>
        <w:rPr>
          <w:rFonts w:ascii="Times New Roman;serif" w:hAnsi="Times New Roman;serif"/>
          <w:b w:val="false"/>
          <w:color w:val="000000"/>
          <w:sz w:val="20"/>
        </w:rPr>
        <w:t xml:space="preserve">These include covenants limiting the ability of Altisource, the Borrower and its subsidiaries, subject to certain exceptions and baskets, to (i) incur indebtedness, (ii) incur liens on its assets, (iii) agree to additional negative pledges, (iv) make Restricted Junior Payments (as defined in the New Facility Credit Agreement), (v) pay dividends or distribute assets, (vi) make investments, (vii) enter into any transaction of merger or consolidation, liquidate, wind-up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dissolve, or convey any part of its business, assets or property, or acquire the business, property or assets of another person, (viii) dispose of the equity interests of any Significant Subsidiary (as such term is defined in the New Credit Facility Credit Agreement), (ix) enter into sale and leaseback transactions, (x) enter into certain transactions with shareholders and affiliates, (xi) engage in a line of business substantially different than existing business and businesses reasonably related, complementary or ancillary thereto, (xii) modify the terms of certain indebtedness, (xiii) modify the terms of its organizational documents, (xiv) change its fiscal year, and (xv) enter into any transactions undertaken in connection with a Liability Management Transaction (as defined in the New Facility Credit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New Facility contains certain events of default including (i) failure to pay (x) principal when due or (y) interest or any other amount owing on any other obligation under the New Facility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New Facility Credit Agreement),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of Control (as defined in the New Credit Facility Credit Agreement), (x) the failure of certain Loan Documents (as defined in the New Facility Credit Agreement)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(as those terms are defined in the New Credit Facility Credit Agreement). If any event of default occurs and is not cured within applicable grace periods set forth in the New Facility Credit Agreement or waived, all loans and other obligations could become due and immediately payable.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Deer Park Road Management Company, LP (together with its affiliates and managed funds, “Deer Park”), a related party, owned approximately 13% of Altisource’s common stock as of June 30, 2026 and December 31, 2025, and $19.8 million of Altisource debt as of June 30, 2026 and December 31, 2025, respectively. An employee of Deer Park is a member of Altisource’s Board of Directors. During the six months ended June 30, 2026 and 2025, Deer Park received interest of $0.7 million and $1.1 million, respectively ($0.4 million for the second quarters of 2026 and 2025, respectively) from Altisource. On April 3, 2025, Altisource Portfolio Solutions S.A. issued Deer Park Stakeholder Warrants to purchase 1.9 million shares of common stock for $9.5998 per share, which was its pro-rata share of the Stakeholder Warrants issued to all holders of common stock, restricted share units (“RSUs”) and Penny Warrants (as defined in Note 11) as of the record date for the issuance of Stakeholder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UBS Asset Management (Americas) LLC (together with its affiliates and managed funds, “UBS”), a related party, owned approximately 22% of Altisource’s common stock as of June 30, 2026 and December 31, 2025, and $63.5 million and $63.7 million of Altisource debt (including the Super Senior Facility), as of June 30, 2026 and December 31, 2025, respectively. During the six months ended June 30, 2026 and 2025, UBS received interest of $2.1 million and $1.3 million, respectively ($0.9 million and $1.3 million for the second quarters of 2026 and 2025, respectively) from Altisource. On April 3, 2025, Altisource Portfolio Solutions S.A. issued UBS Stakeholder Warrants to purchase 0.2 million shares of common stock for $9.5998 per share, which was its pro-rata share of the Stakeholder Warrants issued to all holders of common stock, RSUs and Penny Warrants as of the record date for the issuance of Stakeholder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Benefit Street Partners L.L.C. (together with its affiliates and managed funds, “Benefit Street”), a related party, owned approximately 15% and 16% of Altisource’s common stock as of June 30, 2026 and December 31, 2025, respectively, and $33.1 million and $30.8 million of Altisource debt as of June 30, 2026 and December 31, 2025, respectively. During the six months ended June 30, 2026 and 2025, Benefit Street received interest of $1.2 million and $0.6 million, respectively ($0.6 million and $0.6 million for the second quarters of 2026 and 2025, respectively) from Altisource. On April 3, 2025, Altisource Portfolio Solutions S.A. issued Benefit Street Stakeholder Warrants to purchase 2.2 million shares of common stock for $9.5998 per share, which was its pro-rata share of the Stakeholder Warrants issued to all holders of common stock, RSUs and Penny Warrants as of the record date for the issuance of Stakeholder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Stakeholder Warrants, see Note 11.</w:t>
      </w:r>
    </w:p>
    <w:p>
      <w:pPr>
        <w:pStyle w:val="TextBody"/>
        <w:bidi w:val="0"/>
        <w:spacing w:lineRule="auto" w:line="288" w:before="0" w:after="180"/>
        <w:jc w:val="both"/>
        <w:rPr/>
      </w:pPr>
      <w:r>
        <w:rPr>
          <w:rFonts w:ascii="Times New Roman;serif" w:hAnsi="Times New Roman;serif"/>
          <w:b w:val="false"/>
          <w:color w:val="000000"/>
          <w:sz w:val="20"/>
        </w:rPr>
        <w:t xml:space="preserve">As of June 30, 2026, debt issuance and amendment costs were $0.8 million, net of $9.2 million of accumulated amortization. As of December 31, 2025, debt issuance and amendment costs were </w:t>
      </w:r>
      <w:r>
        <w:rPr>
          <w:rFonts w:ascii="Times New Roman;serif" w:hAnsi="Times New Roman;serif"/>
          <w:b w:val="false"/>
          <w:color w:val="000000"/>
          <w:sz w:val="20"/>
          <w:shd w:fill="FFFFFF" w:val="clear"/>
        </w:rPr>
        <w:t>$0.9 million, net of $9.1 million</w:t>
      </w:r>
      <w:r>
        <w:rPr>
          <w:color w:val="000000"/>
        </w:rPr>
        <w:t xml:space="preserve"> </w:t>
      </w:r>
      <w:r>
        <w:rPr>
          <w:rFonts w:ascii="Times New Roman;serif" w:hAnsi="Times New Roman;serif"/>
          <w:b w:val="false"/>
          <w:color w:val="000000"/>
          <w:sz w:val="20"/>
        </w:rPr>
        <w:t>of accumulated amortization.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Super Senior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19, 2025, Altisource Portfolio Solutions S.A. and the Borrower also entered into a $12.5 million super senior credit facility (the “Super Senior Facility”) to fund transaction costs related to the Debt Exchange Transactions (defined above) and for general corporate purposes. The maturity date of the Super Senior Facility is February 19, 2029. The original issue discount on the Super Senior Facility was 10.0%.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Beginning with the fiscal year ending December 31, 2025, the lesser of (a) 75% of the aggregate Consolidated Excess Cash Flow (as defined in the Super Senior Facility credit agreement (the “Super Senior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payment of all amounts owing by the Borrower under the Super Senior Credit Agreement is guaranteed by the Guarantors and is secured by a lien on substantially all of the assets of Altisource Portfolio Solutions S.A. and the Guarantors, subject to certain exceptions. The liens securing the Super Senior Facility are senior to the liens securing the New Facility pursuant to, and as set forth in, an intercreditor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Super Senior Credit Agreement contains representations, warranties, covenants, terms and conditions customary for transactions of this type. These include covenants limiting the ability of Altisource Portfolio Solutions S.A., the Borrower and their subsidiaries, subject to certain exceptions and baskets, to (i) incur indebtedness, (ii) incur liens on its assets, (iii) agree to additional negative pledges, (iv) make Restricted Junior Payments (as defined in the Super Senior Credit Agreement),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Subsidiary (as defined in the New Credit Facility Credit Agreement), (ix) enter into sale and leaseback transactions, (x) enter into certain transactions with shareholders and affiliates, (xi) engage in a line of business substantially different than existing business and businesses reasonably related, complementary or ancillary thereto, (xii) modify the terms of certain indebtedness, (xiii) modify the terms of its organizational documents, (xiv) change its fiscal year, and (xv) enter into any transactions undertaken in connection with a Liability Management Transaction (as defined in the Super Senior Credit Agreement). The Super Senior Credit Agreement also requires that the Borrower maintain minimum daily liquidity of not less than the lesser of (a) $12.5 million and (b) the aggregate principal amount of Term Loans (as defined in the Super Senior Credit Agreement) under the Super Senior Facility outstanding on such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 (iii) 100% of the proceeds of Asset Sales (as defined in the Super Senior Credit Agreement), subject to customary reinvestment rights for net proceeds of less than $3 million and certain exceptions, where applicable, (iv) 100% of insurance or condemnation proceeds in excess of $10 million in the aggregate for all losses in any fiscal year, subject to customary reinvestment rights, where applicable, and (v) beginning with the fiscal year ending December 31, 2025, the lesser of (a) 75% of the aggregate Consolidated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Super Senior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 The interest rate as of June 30, 2026 was 10.30%.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Super Senior Credit Agreement), (vii) entry by a court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one or more judgments against Altisource Portfolio Solutions S.A., Borrower or any Material Subsidiary in an amount in excess of $15 million that remain undischarged, unvacated, unbonded or unstayed for a certain number of days.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Revolver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2021, Altisource S.à r.l; a subsidiary of Altisource Portfolio Solutions S.A., entered into a revolving credit facility with STS Master Fund, Ltd. (“STS”) (the “Revolver”). STS is an investment fund managed by Deer Park. The Revolver was amended effective February 14, 2023. On February 19, 2025, Altisource entered into an agreement to terminate the $15.0 million Revolver with 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WARRANTS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Penny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14, 2023, the lenders under the Amended Credit Agreement (see Note 10 for additional information) received warrants (the “Penny Warrants”) to purchase 402,981 shares of common stock (the “Penny Warrant Shares”). The number of Penny Warrant Shares was subject to reduction based on the amount of Aggregate Paydowns (as defined in the Amended Credit Agreement). Based on Aggregate Paydowns made during 2023, the number of Penny Warrant Shares was reduced to 201,588. The exercise price per share of common stock under each Penny Warrant was equal to $0.01. The remaining 189,483 Penny Warrant Shares were exercised in the first quarter of 2025, leaving no remaining Penny Warrants outstanding as of June 30,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Stakeholder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3, 2025, the Company issued 70.5 million warrants to purchase approximately 14.3 million shares of common stock for $9.5998 per share (the “Stakeholder Warrants”). The distribution of Stakeholder Warrants was contingent upon, among other things, approval of the issuance by the Company’s shareholders and the consummation of the Debt Exchange Transaction (such conditions, collectively, the “Distribution Conditions”). The Distribution Conditions were satisfied during the quarter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Stakeholder Warrant is exercisable for 0.20313 shares of our common stock, subject to adjustment in accordance with the terms of the Stakeholder Warrants. The Stakeholder Warrants became exercisable pursuant to their term on July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Stakeholder Warrants are listed on the NASDAQ Global Select Market and began trading on May 7, 2025. The Cash Exercise Stakeholder Warrants trade under the symbol “ASPSZ” and the Net Settle Stakeholder Warrants trade under the symbol “ASPSW”.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purposes of recording the issuance of the Stakeholder Warrants during the three months ended March 31, 2025, the fair values of the Cash Exercise Stakeholder Warrants and the Net Settle Stakeholder Warrants were determined using the Black-Scholes option pricing model. The following table summarizes the fair value of the Stakeholder Warrants and the assumptions used to determine the fair value:</w:t>
      </w:r>
    </w:p>
    <w:tbl>
      <w:tblPr>
        <w:tblW w:w="8543" w:type="dxa"/>
        <w:jc w:val="left"/>
        <w:tblInd w:w="0" w:type="dxa"/>
        <w:tblLayout w:type="fixed"/>
        <w:tblCellMar>
          <w:top w:w="28" w:type="dxa"/>
          <w:left w:w="28" w:type="dxa"/>
          <w:bottom w:w="28" w:type="dxa"/>
          <w:right w:w="28" w:type="dxa"/>
        </w:tblCellMar>
      </w:tblPr>
      <w:tblGrid>
        <w:gridCol w:w="940"/>
        <w:gridCol w:w="824"/>
        <w:gridCol w:w="830"/>
        <w:gridCol w:w="109"/>
        <w:gridCol w:w="109"/>
        <w:gridCol w:w="109"/>
        <w:gridCol w:w="637"/>
        <w:gridCol w:w="637"/>
        <w:gridCol w:w="1501"/>
        <w:gridCol w:w="109"/>
        <w:gridCol w:w="109"/>
        <w:gridCol w:w="109"/>
        <w:gridCol w:w="528"/>
        <w:gridCol w:w="528"/>
        <w:gridCol w:w="146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Exercise Stakeholder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Settle Stakeholder Warrants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stock price volatility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57.50 </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57.50 </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option life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Stakeholder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r>
    </w:tbl>
    <w:p>
      <w:pPr>
        <w:pStyle w:val="TextBody"/>
        <w:bidi w:val="0"/>
        <w:spacing w:lineRule="auto" w:line="288" w:before="0" w:after="180"/>
        <w:jc w:val="both"/>
        <w:rPr/>
      </w:pPr>
      <w:r>
        <w:rPr>
          <w:rFonts w:ascii="Times New Roman;serif" w:hAnsi="Times New Roman;serif"/>
          <w:b w:val="false"/>
          <w:color w:val="000000"/>
          <w:sz w:val="20"/>
        </w:rPr>
        <w:t xml:space="preserve">The Stakeholder Warrants are indexed to the common stock and are classified as equity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resulting in a $40.5 million increase in Additional paid-in capital. The distribution of the Stakeholder Warrants are non-reciprocal pro rata distributions and are accounted for as a dividend. Because the Company has negative retained earnings, the Company recorded the dividend as a $40.5 million reduction to Additional paid-in capital. Since the transaction is accounted for as both an increase and a decrease in Additional paid-in capital, the net result is zero and is not reflected in the Condensed Consolidated Statements of Equity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Stakeholder Warrants and equivalent Stakeholder Warrant Shares:</w:t>
      </w:r>
    </w:p>
    <w:tbl>
      <w:tblPr>
        <w:tblW w:w="10205" w:type="dxa"/>
        <w:jc w:val="left"/>
        <w:tblInd w:w="0" w:type="dxa"/>
        <w:tblLayout w:type="fixed"/>
        <w:tblCellMar>
          <w:top w:w="28" w:type="dxa"/>
          <w:left w:w="28" w:type="dxa"/>
          <w:bottom w:w="28" w:type="dxa"/>
          <w:right w:w="28" w:type="dxa"/>
        </w:tblCellMar>
      </w:tblPr>
      <w:tblGrid>
        <w:gridCol w:w="587"/>
        <w:gridCol w:w="517"/>
        <w:gridCol w:w="518"/>
        <w:gridCol w:w="109"/>
        <w:gridCol w:w="109"/>
        <w:gridCol w:w="109"/>
        <w:gridCol w:w="735"/>
        <w:gridCol w:w="531"/>
        <w:gridCol w:w="533"/>
        <w:gridCol w:w="109"/>
        <w:gridCol w:w="109"/>
        <w:gridCol w:w="109"/>
        <w:gridCol w:w="729"/>
        <w:gridCol w:w="584"/>
        <w:gridCol w:w="586"/>
        <w:gridCol w:w="109"/>
        <w:gridCol w:w="109"/>
        <w:gridCol w:w="109"/>
        <w:gridCol w:w="700"/>
        <w:gridCol w:w="497"/>
        <w:gridCol w:w="498"/>
        <w:gridCol w:w="109"/>
        <w:gridCol w:w="109"/>
        <w:gridCol w:w="109"/>
        <w:gridCol w:w="676"/>
        <w:gridCol w:w="497"/>
        <w:gridCol w:w="709"/>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Exercise Stakeholder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Exercise Stakeholder 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Settle Stakeholder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Settle Stakeholder Warrant Shares</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35,213,952 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7,153,010 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35,169,380 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7,143,956 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35,213,952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7,153,010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35,169,327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4" w:before="0" w:after="283"/>
              <w:jc w:val="right"/>
              <w:rPr>
                <w:rFonts w:ascii="Times New Roman;serif" w:hAnsi="Times New Roman;serif"/>
                <w:b w:val="false"/>
                <w:color w:val="000000"/>
                <w:sz w:val="18"/>
              </w:rPr>
            </w:pPr>
            <w:r>
              <w:rPr>
                <w:rFonts w:ascii="Times New Roman;serif" w:hAnsi="Times New Roman;serif"/>
                <w:b w:val="false"/>
                <w:color w:val="000000"/>
                <w:sz w:val="18"/>
              </w:rPr>
              <w:t>7,143,945</w:t>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 xml:space="preserve">OTHER NON-CURRENT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consist of the following:</w:t>
      </w:r>
    </w:p>
    <w:tbl>
      <w:tblPr>
        <w:tblW w:w="4724" w:type="dxa"/>
        <w:jc w:val="left"/>
        <w:tblInd w:w="0" w:type="dxa"/>
        <w:tblLayout w:type="fixed"/>
        <w:tblCellMar>
          <w:top w:w="28" w:type="dxa"/>
          <w:left w:w="28" w:type="dxa"/>
          <w:bottom w:w="28" w:type="dxa"/>
          <w:right w:w="28" w:type="dxa"/>
        </w:tblCellMar>
      </w:tblPr>
      <w:tblGrid>
        <w:gridCol w:w="749"/>
        <w:gridCol w:w="660"/>
        <w:gridCol w:w="661"/>
        <w:gridCol w:w="109"/>
        <w:gridCol w:w="109"/>
        <w:gridCol w:w="109"/>
        <w:gridCol w:w="196"/>
        <w:gridCol w:w="556"/>
        <w:gridCol w:w="109"/>
        <w:gridCol w:w="109"/>
        <w:gridCol w:w="109"/>
        <w:gridCol w:w="109"/>
        <w:gridCol w:w="246"/>
        <w:gridCol w:w="700"/>
        <w:gridCol w:w="193"/>
      </w:tblGrid>
      <w:tr>
        <w:trPr/>
        <w:tc>
          <w:tcPr>
            <w:tcW w:w="74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 FAIR VALUE MEASUREMENTS AND FINANCIAL INSTRUMENTS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 and estimated fair value of financial instruments and certain liabilities measured at fair value as of June 30, 2026 and December 31, 2025. The following fair values are estimated using market information and what the Company believes to be appropriate valuation methodologies under GAAP:</w:t>
      </w:r>
    </w:p>
    <w:tbl>
      <w:tblPr>
        <w:tblW w:w="10581" w:type="dxa"/>
        <w:jc w:val="left"/>
        <w:tblInd w:w="0" w:type="dxa"/>
        <w:tblLayout w:type="fixed"/>
        <w:tblCellMar>
          <w:top w:w="28" w:type="dxa"/>
          <w:left w:w="28" w:type="dxa"/>
          <w:bottom w:w="28" w:type="dxa"/>
          <w:right w:w="28" w:type="dxa"/>
        </w:tblCellMar>
      </w:tblPr>
      <w:tblGrid>
        <w:gridCol w:w="370"/>
        <w:gridCol w:w="272"/>
        <w:gridCol w:w="274"/>
        <w:gridCol w:w="109"/>
        <w:gridCol w:w="109"/>
        <w:gridCol w:w="109"/>
        <w:gridCol w:w="196"/>
        <w:gridCol w:w="646"/>
        <w:gridCol w:w="109"/>
        <w:gridCol w:w="109"/>
        <w:gridCol w:w="109"/>
        <w:gridCol w:w="109"/>
        <w:gridCol w:w="196"/>
        <w:gridCol w:w="646"/>
        <w:gridCol w:w="109"/>
        <w:gridCol w:w="109"/>
        <w:gridCol w:w="109"/>
        <w:gridCol w:w="109"/>
        <w:gridCol w:w="239"/>
        <w:gridCol w:w="497"/>
        <w:gridCol w:w="109"/>
        <w:gridCol w:w="109"/>
        <w:gridCol w:w="109"/>
        <w:gridCol w:w="109"/>
        <w:gridCol w:w="210"/>
        <w:gridCol w:w="436"/>
        <w:gridCol w:w="109"/>
        <w:gridCol w:w="109"/>
        <w:gridCol w:w="109"/>
        <w:gridCol w:w="109"/>
        <w:gridCol w:w="196"/>
        <w:gridCol w:w="646"/>
        <w:gridCol w:w="109"/>
        <w:gridCol w:w="109"/>
        <w:gridCol w:w="109"/>
        <w:gridCol w:w="109"/>
        <w:gridCol w:w="196"/>
        <w:gridCol w:w="646"/>
        <w:gridCol w:w="109"/>
        <w:gridCol w:w="109"/>
        <w:gridCol w:w="109"/>
        <w:gridCol w:w="109"/>
        <w:gridCol w:w="239"/>
        <w:gridCol w:w="497"/>
        <w:gridCol w:w="109"/>
        <w:gridCol w:w="109"/>
        <w:gridCol w:w="109"/>
        <w:gridCol w:w="109"/>
        <w:gridCol w:w="210"/>
        <w:gridCol w:w="43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Super senior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rFonts w:ascii="Times New Roman;serif" w:hAnsi="Times New Roman;serif"/>
          <w:b/>
          <w:color w:val="000000"/>
          <w:sz w:val="20"/>
        </w:rPr>
      </w:pPr>
      <w:r>
        <w:rPr>
          <w:rFonts w:ascii="Times New Roman;serif" w:hAnsi="Times New Roman;serif"/>
          <w:b/>
          <w:color w:val="000000"/>
          <w:sz w:val="20"/>
        </w:rPr>
        <w:t>Fair Value Measurements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are carried at amounts that approximate their fair values due to the highly liquid nature of these instruments and are measured using Level 1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our senior secured term loan is based on quoted mark prices. Based on the frequency of trading, we do not believe that there is an active market for our debt. Therefore, the quoted prices are considered Level 2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Super Senior Facility was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different levels during the periods presented.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subject us to concentrations of credit risk primarily consist of cash and cash equivalents and accounts receivable. Generally, our policy is to deposit our cash and cash equivalents with larger, highly rated financial institutions.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Company derived 29% and 33% of its revenue from Onity for the three and six months ended June 30, 2026, respectively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14 — SHAREHOLDERS’ EQUITY AND SHARE-BASED COMPENSATION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250.0 million shares authorized, 11.4 million issued and outstanding shares of common stock. As of December 31, 2025, we had 250.0 million shares authorized, 11.0 million shares issued and outstanding shares of common stock. The holders of shares of common stock generally are entitled to one vote for each share on all matters voted on by shareholders, and the holders of such shares generally possess all voting power.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18, 2025, the Company’s shareholders approved an increase in the number of authorized shares from 100 million to 250 million and a decrease in the par value of the common stock from $1.00 to $0.01.</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2026, the Company’s shareholders approved an increase in shares reserved under the Equity Plan from approximately 2.0 million to approximately 2.8 million and approved annual automatic increases for four years beginning January 1, 2027, equal to the lesser of: (i) 5% of the total number of shares of common stock outstanding on December 31 of the preceding year, (ii) 700,000 shares of common stock, and (iii) such lesser number of shares of common stock as determined by the Board or the Compensation Committee of Altisource. </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19, 2025, the Company issued 7.3 million Debt Exchange Shares to lenders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were not, among other things, permitted to sell, offer to sell, grant any option to purchase or otherwise dispose of any Debt Exchange Shares, without the prior written consent of Altisource Portfolio Solutions S.A., until September 17,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June 30, 2026, approximately 0.4 million shares of common stock remain available for repurchase under the program. In connection with the elimination of the fractional shares resulting from the Share Consolidation, the Company purchased 204 shares of common stock during the second quarter of the year ended December 31, 2025 (no comparative amount for the six months ended June 30, 2026). There were no other purchases of shares of common stock during the year ended December 31, 2025 or the six months ended June 30, 2026. Under the New Facility and the Super Senior Facility, we are not permitted to repurchase shares except under limited circumstances.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issue share-based awards in the form of stock options, restricted shares and RSUs for certain employees, officers and directors. We recognized share-based compensation expense of $2.4 million and $1.8 million for the six months ended June 30, 2026 and 2025, respectively ($1.2 million and $0.7 million for the second quarters of 2026 and 2025, respectively). As of June 30, 2026, estimated unrecognized compensation costs related to share-based awards amounted to $4.5 million, which we expect to recognize over a weighted average remaining requisite service period of approximately 1.62 years.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 option grants are composed of a combination of service-based, market-based and performance-based options.</w:t>
      </w:r>
    </w:p>
    <w:p>
      <w:pPr>
        <w:pStyle w:val="TextBody"/>
        <w:bidi w:val="0"/>
        <w:spacing w:lineRule="auto" w:line="288" w:before="0" w:after="180"/>
        <w:jc w:val="both"/>
        <w:rPr/>
      </w:pPr>
      <w:r>
        <w:rPr>
          <w:rFonts w:ascii="Times New Roman;serif" w:hAnsi="Times New Roman;serif"/>
          <w:b w:val="false"/>
          <w:i/>
          <w:color w:val="000000"/>
          <w:sz w:val="20"/>
        </w:rPr>
        <w:t xml:space="preserve">Service-Based Options. </w:t>
      </w:r>
      <w:r>
        <w:rPr>
          <w:rFonts w:ascii="Times New Roman;serif" w:hAnsi="Times New Roman;serif"/>
          <w:b w:val="false"/>
          <w:color w:val="000000"/>
          <w:sz w:val="20"/>
        </w:rPr>
        <w:t>These options generally vest over three or four years with equal annual vesting and generally expire on the earlier of ten years after the date of grant or following termination of service. A total of 4 thousand service-based options were outstanding as of June 30, 2026.</w:t>
      </w:r>
    </w:p>
    <w:p>
      <w:pPr>
        <w:pStyle w:val="TextBody"/>
        <w:bidi w:val="0"/>
        <w:spacing w:lineRule="auto" w:line="288" w:before="0" w:after="180"/>
        <w:jc w:val="both"/>
        <w:rPr/>
      </w:pPr>
      <w:r>
        <w:rPr>
          <w:rFonts w:ascii="Times New Roman;serif" w:hAnsi="Times New Roman;serif"/>
          <w:b w:val="false"/>
          <w:i/>
          <w:color w:val="000000"/>
          <w:sz w:val="20"/>
        </w:rPr>
        <w:t>Market-Based Options</w:t>
      </w:r>
      <w:r>
        <w:rPr>
          <w:rFonts w:ascii="Times New Roman;serif" w:hAnsi="Times New Roman;serif"/>
          <w:b w:val="false"/>
          <w:color w:val="000000"/>
          <w:sz w:val="20"/>
        </w:rPr>
        <w:t xml:space="preserve">. These option grants generally have two components, each of which vests only upon the achievement of certain criteria. The first component, which we refer to as “ordinary performance” grants, generally consists of two-thirds of the market-based grant and begins to vest if the stock price is at least double the exercise price,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2 thousand market-based options were outstanding as of June 30, 2026.</w:t>
      </w:r>
    </w:p>
    <w:p>
      <w:pPr>
        <w:pStyle w:val="TextBody"/>
        <w:bidi w:val="0"/>
        <w:spacing w:lineRule="auto" w:line="288" w:before="0" w:after="180"/>
        <w:jc w:val="both"/>
        <w:rPr/>
      </w:pPr>
      <w:r>
        <w:rPr>
          <w:rFonts w:ascii="Times New Roman;serif" w:hAnsi="Times New Roman;serif"/>
          <w:b w:val="false"/>
          <w:i/>
          <w:color w:val="000000"/>
          <w:sz w:val="20"/>
        </w:rPr>
        <w:t xml:space="preserve">Performance-Based Options. </w:t>
      </w:r>
      <w:r>
        <w:rPr>
          <w:rFonts w:ascii="Times New Roman;serif" w:hAnsi="Times New Roman;serif"/>
          <w:b w:val="false"/>
          <w:color w:val="000000"/>
          <w:sz w:val="20"/>
        </w:rPr>
        <w:t>These option grants generally will vest if certain specific financial measures are achieved; typically with one-fourth 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33 thousand performance-based options outstanding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stock option grants during the six months ended June 30,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grant date fair value of stock options that vested during the periods presented:</w:t>
      </w:r>
    </w:p>
    <w:tbl>
      <w:tblPr>
        <w:tblW w:w="5932" w:type="dxa"/>
        <w:jc w:val="left"/>
        <w:tblInd w:w="0" w:type="dxa"/>
        <w:tblLayout w:type="fixed"/>
        <w:tblCellMar>
          <w:top w:w="28" w:type="dxa"/>
          <w:left w:w="28" w:type="dxa"/>
          <w:bottom w:w="28" w:type="dxa"/>
          <w:right w:w="28" w:type="dxa"/>
        </w:tblCellMar>
      </w:tblPr>
      <w:tblGrid>
        <w:gridCol w:w="1282"/>
        <w:gridCol w:w="1128"/>
        <w:gridCol w:w="1130"/>
        <w:gridCol w:w="109"/>
        <w:gridCol w:w="109"/>
        <w:gridCol w:w="109"/>
        <w:gridCol w:w="246"/>
        <w:gridCol w:w="416"/>
        <w:gridCol w:w="137"/>
        <w:gridCol w:w="137"/>
        <w:gridCol w:w="137"/>
        <w:gridCol w:w="137"/>
        <w:gridCol w:w="246"/>
        <w:gridCol w:w="416"/>
        <w:gridCol w:w="193"/>
      </w:tblGrid>
      <w:tr>
        <w:trPr/>
        <w:tc>
          <w:tcPr>
            <w:tcW w:w="128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date fair value of stock options that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our stock options:</w:t>
      </w:r>
    </w:p>
    <w:tbl>
      <w:tblPr>
        <w:tblW w:w="10205" w:type="dxa"/>
        <w:jc w:val="left"/>
        <w:tblInd w:w="0" w:type="dxa"/>
        <w:tblLayout w:type="fixed"/>
        <w:tblCellMar>
          <w:top w:w="28" w:type="dxa"/>
          <w:left w:w="28" w:type="dxa"/>
          <w:bottom w:w="28" w:type="dxa"/>
          <w:right w:w="28" w:type="dxa"/>
        </w:tblCellMar>
      </w:tblPr>
      <w:tblGrid>
        <w:gridCol w:w="701"/>
        <w:gridCol w:w="615"/>
        <w:gridCol w:w="620"/>
        <w:gridCol w:w="419"/>
        <w:gridCol w:w="392"/>
        <w:gridCol w:w="394"/>
        <w:gridCol w:w="109"/>
        <w:gridCol w:w="109"/>
        <w:gridCol w:w="109"/>
        <w:gridCol w:w="355"/>
        <w:gridCol w:w="1171"/>
        <w:gridCol w:w="197"/>
        <w:gridCol w:w="109"/>
        <w:gridCol w:w="109"/>
        <w:gridCol w:w="109"/>
        <w:gridCol w:w="739"/>
        <w:gridCol w:w="739"/>
        <w:gridCol w:w="741"/>
        <w:gridCol w:w="109"/>
        <w:gridCol w:w="109"/>
        <w:gridCol w:w="109"/>
        <w:gridCol w:w="552"/>
        <w:gridCol w:w="1144"/>
        <w:gridCol w:w="445"/>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contractual term </w:t>
            </w:r>
            <w:r>
              <w:rPr>
                <w:rFonts w:ascii="Times New Roman;serif" w:hAnsi="Times New Roman;serif"/>
                <w:b/>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Aggregate intrinsic value </w:t>
            </w:r>
            <w:r>
              <w:rPr>
                <w:rFonts w:ascii="Times New Roman;serif" w:hAnsi="Times New Roman;serif"/>
                <w:b/>
                <w:i/>
                <w:color w:val="000000"/>
                <w:sz w:val="16"/>
              </w:rPr>
              <w:t>(in thousands)</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2026</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as of June 30, 2026</w:t>
            </w:r>
          </w:p>
        </w:tc>
        <w:tc>
          <w:tcPr>
            <w:tcW w:w="8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36,316 </w:t>
            </w:r>
          </w:p>
        </w:tc>
        <w:tc>
          <w:tcPr>
            <w:tcW w:w="3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Share-Based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other share-based and similar types of awards are comprised of restricted shares and RSUs. The restricted shares and RSUs are comprised of a combination of service-based awards, performance-based awards and performance and market-based awards.</w:t>
      </w:r>
    </w:p>
    <w:p>
      <w:pPr>
        <w:pStyle w:val="TextBody"/>
        <w:bidi w:val="0"/>
        <w:spacing w:lineRule="auto" w:line="288" w:before="0" w:after="180"/>
        <w:jc w:val="both"/>
        <w:rPr/>
      </w:pPr>
      <w:r>
        <w:rPr>
          <w:rFonts w:ascii="Times New Roman;serif" w:hAnsi="Times New Roman;serif"/>
          <w:b w:val="false"/>
          <w:i/>
          <w:color w:val="000000"/>
          <w:sz w:val="20"/>
        </w:rPr>
        <w:t xml:space="preserve">Service-Based Awards. </w:t>
      </w:r>
      <w:r>
        <w:rPr>
          <w:rFonts w:ascii="Times New Roman;serif" w:hAnsi="Times New Roman;serif"/>
          <w:b w:val="false"/>
          <w:color w:val="000000"/>
          <w:sz w:val="20"/>
        </w:rPr>
        <w:t>These awards generally vest over one-to-four-year periods. A total of 941 thousand service-based awards were outstanding as of June 30, 2026.</w:t>
      </w:r>
    </w:p>
    <w:p>
      <w:pPr>
        <w:pStyle w:val="TextBody"/>
        <w:bidi w:val="0"/>
        <w:spacing w:lineRule="auto" w:line="288" w:before="0" w:after="180"/>
        <w:jc w:val="both"/>
        <w:rPr/>
      </w:pPr>
      <w:r>
        <w:rPr>
          <w:rFonts w:ascii="Times New Roman;serif" w:hAnsi="Times New Roman;serif"/>
          <w:b w:val="false"/>
          <w:i/>
          <w:color w:val="000000"/>
          <w:sz w:val="20"/>
        </w:rPr>
        <w:t>Performance-Based Awards.</w:t>
      </w:r>
      <w:r>
        <w:rPr>
          <w:color w:val="000000"/>
        </w:rPr>
        <w:t xml:space="preserve"> </w:t>
      </w:r>
      <w:r>
        <w:rPr>
          <w:rFonts w:ascii="Times New Roman;serif" w:hAnsi="Times New Roman;serif"/>
          <w:b w:val="false"/>
          <w:color w:val="000000"/>
          <w:sz w:val="20"/>
        </w:rPr>
        <w:t xml:space="preserve">These awards generally vest if certain specific financial measures are achieved; generally one-third vests on each 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is above certain established criteria, participants have the opportunity to vest in up to 150% of the restricted share unit award for certain awards. If the performance criteria achieved is below certain thresholds, the award is canceled. A total of 57 thousand performance-based awards were outstanding as of June 30, 2026.</w:t>
      </w:r>
    </w:p>
    <w:p>
      <w:pPr>
        <w:pStyle w:val="TextBody"/>
        <w:bidi w:val="0"/>
        <w:spacing w:lineRule="auto" w:line="288" w:before="0" w:after="180"/>
        <w:jc w:val="both"/>
        <w:rPr/>
      </w:pPr>
      <w:r>
        <w:rPr>
          <w:rFonts w:ascii="Times New Roman;serif" w:hAnsi="Times New Roman;serif"/>
          <w:b w:val="false"/>
          <w:i/>
          <w:color w:val="000000"/>
          <w:sz w:val="20"/>
        </w:rPr>
        <w:t>Performance-Based and Market-Based Awards.</w:t>
      </w:r>
      <w:r>
        <w:rPr>
          <w:color w:val="000000"/>
        </w:rPr>
        <w:t xml:space="preserve"> </w:t>
      </w:r>
      <w:r>
        <w:rPr>
          <w:rFonts w:ascii="Times New Roman;serif" w:hAnsi="Times New Roman;serif"/>
          <w:b w:val="false"/>
          <w:color w:val="000000"/>
          <w:sz w:val="20"/>
        </w:rPr>
        <w:t>These awards generally vest if certain specific financial measures are achieved and if certain specific 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57 thousand performance-based and market-based awards were outstanding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granted 637 thousand RSUs (at a weighted average grant date fair value of $7.41 per share) during the six months ended June 30, 2026. These grants included approximately 49 thousand performance-based awards and 49 thousand awards that include both a performance condition and a market condition. The Company granted 1.0 million RSUs (at a weighted average grant date fair value of $7.56 per share) during the six months ended June 30, 2025. Approximately 573 thousand of these RSUs were granted to senior management in connection with the Debt Exchange Transaction. These grants included 11 thousand performance-based awards and 11 thousand awards that include both a performance condition and a market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our restricted shares and RSUs:</w:t>
      </w:r>
    </w:p>
    <w:tbl>
      <w:tblPr>
        <w:tblW w:w="6853" w:type="dxa"/>
        <w:jc w:val="left"/>
        <w:tblInd w:w="0" w:type="dxa"/>
        <w:tblLayout w:type="fixed"/>
        <w:tblCellMar>
          <w:top w:w="28" w:type="dxa"/>
          <w:left w:w="28" w:type="dxa"/>
          <w:bottom w:w="28" w:type="dxa"/>
          <w:right w:w="28" w:type="dxa"/>
        </w:tblCellMar>
      </w:tblPr>
      <w:tblGrid>
        <w:gridCol w:w="1021"/>
        <w:gridCol w:w="896"/>
        <w:gridCol w:w="902"/>
        <w:gridCol w:w="1180"/>
        <w:gridCol w:w="1180"/>
        <w:gridCol w:w="167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shares and restricted share units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1,025,845 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637,330 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(425,677)</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Forfeited/canceled</w:t>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(181,796)</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2026</w:t>
            </w:r>
          </w:p>
        </w:tc>
        <w:tc>
          <w:tcPr>
            <w:tcW w:w="236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1,055,702 </w:t>
            </w:r>
          </w:p>
        </w:tc>
        <w:tc>
          <w:tcPr>
            <w:tcW w:w="16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One’s earnings are included in revenue and reduced from net (loss) income to arrive at net (loss) income attributable to Altisource (see Note 1). Our services are provided to customers primarily located in the United States. The components of revenue were as follows:</w:t>
      </w:r>
    </w:p>
    <w:tbl>
      <w:tblPr>
        <w:tblW w:w="7046"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Disaggregation of total revenue by segment and major source was as follows:</w:t>
      </w:r>
    </w:p>
    <w:tbl>
      <w:tblPr>
        <w:tblW w:w="10205" w:type="dxa"/>
        <w:jc w:val="left"/>
        <w:tblInd w:w="0" w:type="dxa"/>
        <w:tblLayout w:type="fixed"/>
        <w:tblCellMar>
          <w:top w:w="28" w:type="dxa"/>
          <w:left w:w="28" w:type="dxa"/>
          <w:bottom w:w="28" w:type="dxa"/>
          <w:right w:w="28" w:type="dxa"/>
        </w:tblCellMar>
      </w:tblPr>
      <w:tblGrid>
        <w:gridCol w:w="712"/>
        <w:gridCol w:w="626"/>
        <w:gridCol w:w="628"/>
        <w:gridCol w:w="109"/>
        <w:gridCol w:w="109"/>
        <w:gridCol w:w="109"/>
        <w:gridCol w:w="240"/>
        <w:gridCol w:w="792"/>
        <w:gridCol w:w="133"/>
        <w:gridCol w:w="109"/>
        <w:gridCol w:w="109"/>
        <w:gridCol w:w="109"/>
        <w:gridCol w:w="198"/>
        <w:gridCol w:w="652"/>
        <w:gridCol w:w="111"/>
        <w:gridCol w:w="109"/>
        <w:gridCol w:w="109"/>
        <w:gridCol w:w="109"/>
        <w:gridCol w:w="203"/>
        <w:gridCol w:w="671"/>
        <w:gridCol w:w="113"/>
        <w:gridCol w:w="109"/>
        <w:gridCol w:w="109"/>
        <w:gridCol w:w="109"/>
        <w:gridCol w:w="240"/>
        <w:gridCol w:w="792"/>
        <w:gridCol w:w="133"/>
        <w:gridCol w:w="109"/>
        <w:gridCol w:w="109"/>
        <w:gridCol w:w="109"/>
        <w:gridCol w:w="198"/>
        <w:gridCol w:w="652"/>
        <w:gridCol w:w="111"/>
        <w:gridCol w:w="109"/>
        <w:gridCol w:w="109"/>
        <w:gridCol w:w="109"/>
        <w:gridCol w:w="203"/>
        <w:gridCol w:w="669"/>
        <w:gridCol w:w="166"/>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r>
      <w:tr>
        <w:trPr/>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when services are performed or assets are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related to technology platforms and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r>
      <w:tr>
        <w:trPr/>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when services are performed or assets are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related to technology platforms and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Disaggregation of service revenue by the timing of revenue recognition was as follows:</w:t>
      </w:r>
    </w:p>
    <w:tbl>
      <w:tblPr>
        <w:tblW w:w="7646" w:type="dxa"/>
        <w:jc w:val="left"/>
        <w:tblInd w:w="0" w:type="dxa"/>
        <w:tblLayout w:type="fixed"/>
        <w:tblCellMar>
          <w:top w:w="28" w:type="dxa"/>
          <w:left w:w="28" w:type="dxa"/>
          <w:bottom w:w="28" w:type="dxa"/>
          <w:right w:w="28" w:type="dxa"/>
        </w:tblCellMar>
      </w:tblPr>
      <w:tblGrid>
        <w:gridCol w:w="901"/>
        <w:gridCol w:w="793"/>
        <w:gridCol w:w="795"/>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Over-time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Point-in-time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and unbilled accounts receivable (presented as accounts receivable on our condensed consolidated balance sheets), and customer advances (presented as deferred revenue on our condensed consolidated balance sheets), where applicable.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over-time revenue recognition model consists primarily of the following services for which revenue is recognized over the period during which services are provided: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foreclosure trustee services, revenue is recognized as work progresses, in accordance with agreed upon milestones with full recognition upon completion and/or recording the related foreclosure deed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software-as-a-service (“SaaS”) based technology to manage REO, we recognize revenue over the estimated average number of months the REO properties are on the platform before they are sold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vendor management transactions, revenue is recognized over the period during which services are provided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For fund disbursement services, we recognize revenue over the estimated average period during which we perform the processing services, with full recognition upon completion of the related fund disbursement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June 30, 2026, the value of unfulfilled renovation orders amounted to $3.4 million, with the majority of this backlog expected to be completed and recognized as revenue within the third quarter of 2026 and the remainder anticipated to be completed in the fourth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recognize membership fees from Lenders One members ratably over the term of membership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vendor management oversight SaaS, we recognize revenue over the period during which we perform the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Transactions with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less than $0.1 million for the six months ended June 30, 2026 and 2025, respectively (less than $0.1 million for the both the second quarters of 2026 and 2025), relating to services provided to Aldridge Pite.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Contract Balances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contract assets consist of unbilled accounts receivable (see Note 3). Our contract liabilities consist of current deferred revenue and other non-current liabilities as reported on the accompanying condensed consolidated balance sheets. The deferred revenue opening and closing balances were as follows:</w:t>
      </w:r>
    </w:p>
    <w:tbl>
      <w:tblPr>
        <w:tblW w:w="10205" w:type="dxa"/>
        <w:jc w:val="left"/>
        <w:tblInd w:w="0" w:type="dxa"/>
        <w:tblLayout w:type="fixed"/>
        <w:tblCellMar>
          <w:top w:w="28" w:type="dxa"/>
          <w:left w:w="28" w:type="dxa"/>
          <w:bottom w:w="28" w:type="dxa"/>
          <w:right w:w="28" w:type="dxa"/>
        </w:tblCellMar>
      </w:tblPr>
      <w:tblGrid>
        <w:gridCol w:w="1872"/>
        <w:gridCol w:w="1649"/>
        <w:gridCol w:w="1652"/>
        <w:gridCol w:w="109"/>
        <w:gridCol w:w="109"/>
        <w:gridCol w:w="109"/>
        <w:gridCol w:w="196"/>
        <w:gridCol w:w="615"/>
        <w:gridCol w:w="109"/>
        <w:gridCol w:w="109"/>
        <w:gridCol w:w="109"/>
        <w:gridCol w:w="109"/>
        <w:gridCol w:w="196"/>
        <w:gridCol w:w="615"/>
        <w:gridCol w:w="109"/>
        <w:gridCol w:w="109"/>
        <w:gridCol w:w="109"/>
        <w:gridCol w:w="109"/>
        <w:gridCol w:w="196"/>
        <w:gridCol w:w="611"/>
        <w:gridCol w:w="109"/>
        <w:gridCol w:w="109"/>
        <w:gridCol w:w="109"/>
        <w:gridCol w:w="109"/>
        <w:gridCol w:w="196"/>
        <w:gridCol w:w="611"/>
        <w:gridCol w:w="161"/>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the deferred revenue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billing,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16 — COST OF REVENUE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tbl>
      <w:tblPr>
        <w:tblW w:w="7857" w:type="dxa"/>
        <w:jc w:val="left"/>
        <w:tblInd w:w="0" w:type="dxa"/>
        <w:tblLayout w:type="fixed"/>
        <w:tblCellMar>
          <w:top w:w="28" w:type="dxa"/>
          <w:left w:w="28" w:type="dxa"/>
          <w:bottom w:w="28" w:type="dxa"/>
          <w:right w:w="28" w:type="dxa"/>
        </w:tblCellMar>
      </w:tblPr>
      <w:tblGrid>
        <w:gridCol w:w="977"/>
        <w:gridCol w:w="861"/>
        <w:gridCol w:w="86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fees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recognized cost of revenue of $0.6 million and $0.5 million for the six months ended June 30, 2026 and 2025, respectively ($0.3 million for both the second quarters of 2026 and 2025, respectively), relating to services received from Aldridge Pite. As of June 30, 2026, the Company had no amounts payable to Aldridge Pite.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17 — SELLING, GENERAL AND ADMINISTRATIVE EXPENSES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tbl>
      <w:tblPr>
        <w:tblW w:w="7511"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18 — OTHER INCOME (EXPENSE),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following:</w:t>
      </w:r>
    </w:p>
    <w:tbl>
      <w:tblPr>
        <w:tblW w:w="6326" w:type="dxa"/>
        <w:jc w:val="left"/>
        <w:tblInd w:w="0" w:type="dxa"/>
        <w:tblLayout w:type="fixed"/>
        <w:tblCellMar>
          <w:top w:w="28" w:type="dxa"/>
          <w:left w:w="28" w:type="dxa"/>
          <w:bottom w:w="28" w:type="dxa"/>
          <w:right w:w="28" w:type="dxa"/>
        </w:tblCellMar>
      </w:tblPr>
      <w:tblGrid>
        <w:gridCol w:w="700"/>
        <w:gridCol w:w="616"/>
        <w:gridCol w:w="618"/>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8"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19 —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recognized an income tax (provision) benefit of $(1.4) million and $15.7 million for the six months ended June 30, 2026 and 2025, respectively ($(0.5) million and $16.5 million for the second quarters of 2026 and 2025, respectively). The income tax provision for the three and six months ended June 30, 2026 was driven by income tax expense on transfer pricing income from India and the United States, no tax benefit on the pretax loss from our Luxembourg operating company, and uncertain tax positions. The income tax benefit for the three and six months ended June 30, 2025 was driven primarily by the reversal of liabilities for uncertain tax positions, partially offset by income tax expense on transfer pricing income from India and the United States and no tax benefit on the pretax loss from our Luxembourg operating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Management concluded that certain of its India tax positions for several prior years were more likely than not to be sustained based on developments during the quarter. As a result, the Company recorded an income tax benefit from the reversal of liabilities for uncertain tax positions and related accrued interest expense. The recorded income tax benefit had a significant impact on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20 — (LOSS)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earnings per share is computed by dividing net (loss) income available to common shareholders by the weighted average number of common shares outstanding for the period. For the three and six months ended June 30, 2026, diluted earnings per share reflects the assumed conversion of all dilutive securities using the treasury stock method. For three and six months ended June 30, 2026, diluted net (loss) earnings per share excludes all dilutive securities because their impact would be anti-dilutive, as described below. Basic and diluted (loss) earnings per share has been retroactively adjusted for all prior periods presented to reflect the effects of the Share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are calculated as follows:</w:t>
      </w:r>
    </w:p>
    <w:tbl>
      <w:tblPr>
        <w:tblW w:w="9011" w:type="dxa"/>
        <w:jc w:val="left"/>
        <w:tblInd w:w="0" w:type="dxa"/>
        <w:tblLayout w:type="fixed"/>
        <w:tblCellMar>
          <w:top w:w="28" w:type="dxa"/>
          <w:left w:w="28" w:type="dxa"/>
          <w:bottom w:w="28" w:type="dxa"/>
          <w:right w:w="28" w:type="dxa"/>
        </w:tblCellMar>
      </w:tblPr>
      <w:tblGrid>
        <w:gridCol w:w="1440"/>
        <w:gridCol w:w="1266"/>
        <w:gridCol w:w="1268"/>
        <w:gridCol w:w="109"/>
        <w:gridCol w:w="109"/>
        <w:gridCol w:w="109"/>
        <w:gridCol w:w="196"/>
        <w:gridCol w:w="541"/>
        <w:gridCol w:w="109"/>
        <w:gridCol w:w="109"/>
        <w:gridCol w:w="109"/>
        <w:gridCol w:w="109"/>
        <w:gridCol w:w="196"/>
        <w:gridCol w:w="646"/>
        <w:gridCol w:w="109"/>
        <w:gridCol w:w="109"/>
        <w:gridCol w:w="109"/>
        <w:gridCol w:w="109"/>
        <w:gridCol w:w="196"/>
        <w:gridCol w:w="631"/>
        <w:gridCol w:w="109"/>
        <w:gridCol w:w="109"/>
        <w:gridCol w:w="109"/>
        <w:gridCol w:w="109"/>
        <w:gridCol w:w="196"/>
        <w:gridCol w:w="64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0" w:name="i1d63e566d76741b3aad12abdca6e435d_0-5-13"/>
            <w:bookmarkStart w:id="1" w:name="i1d63e566d76741b3aad12abdca6e435d_0-5-13"/>
            <w:bookmarkEnd w:id="1"/>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Altisource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0.5 million and 0.1 million, respectively (0.5 million and 0.1 million for the second quarters of 2026 and 2025, respectively), stock options, restricted shares and RSUs were excluded from the computation of diluted (loss) earnings per share as a result of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 the six months ended June 30, 2026 and 2025, 0.4 million and less than 0.1 million, respectively (0.3 million and less than 0.1 million for the second quarters of 2026 and 2025, respectively), stock options, restricted shares and RSUs were anti-dilutive and have been excluded from the computation of diluted (loss) earnings per share because the Company incurred a net loss.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 the six months ended June 30, 2026 and 2025, less than 0.1 million (less than 0.1 million for the second quarters of 2026 and 2025), stock options were anti-dilutive and have been excluded from the computation of diluted (loss) earnings per share because their exercise price was greater than the average market price of our common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 the six months ended June 30, 2026 and 2025, 0.1 million (0.2 million and 0.1 million for the second quarters of 2026 and 2025,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(loss) earnings per share because the achievement levels have not yet been met.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addition to the above, for the six months ended June 30, 2026 and 2025, all Stakeholder Warrants were anti-dilutive and have been excluded from the computation of diluted loss per share because their exercise price was greater than the average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21 — COMMITMENTS, CONTINGENCIES AND REGULATORY MATTERS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legal actions in the course of our business, most of which seek monetary damages. Although the outcome of these proceedings cannot be predicted with certainty, we currently believe that their outcome, both individually and in the aggregate, other than as described below, will not have a material impact on our financial condition, results of operations or cash flows.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National Fair Housing Alliance v. Altisource Solutions, Inc., et 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11, 2026, Defendants entered into a settlement agreement (the “Settlement Agreement”) with the Plaintiffs, providing for a full release of claims against the Defendants. The Settlement Agreement contains customary terms and conditions and does not include any admission of liability, fault or unlawful conduct by the Defendants. The Litigation was subsequently dismissed with prejudice.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Altisource recorded a $7.5 million loss for the year ended December 31, 2025 reflecting the settlement and associated defense costs. In March 2026, the Company paid $5 million to Plaintiffs, representing Altisource’s portion of the settlement. In March 2026, the Company received $5 million from one of its insurance providers related to the Litigation and subject to a reservation of rights. The Company is seeking to recover the remaining loss pursuant to applicable insurance, subject to the terms and conditions of the applicable insurance policies. Since an estimated portion of the funds received from an insurance provider are subject to a reservation of rights and the recovery of the remaining loss is not certain, no gain from insurance recoveries on the estimated portion that is subject to a reservation of rights has been recorded.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Onity Related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in Note 2, during the six months ended June 30, 2026, Onity was our largest customer, accounting for 33% of our total revenue (29% of our revenue for the second quarter of 2026). Additionally, 4% of our revenue for the three and six months ended June 30, 2026 was earned on the loan portfolios serviced by Onity, when a party other than Onity or the MSR owner selected Altisource as the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Onity has disclosed that it is subject to a number of ongoing federal and state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Onity has disclosed that Rithm is one of its largest servicing clients. As of March 31, 2026, Onity reported that Subject MSRs represented $29.7 billion of Onity’s servicing and subservicing portfolio. Onity disclosed that the Subject MSRs represent approximately 9% of loans serviced and subserviced by Onity (measured in UPB) and approximately 47% of all delinquent loans that Onity services (measured in UPB). In November 2025, Onity disclosed that it had received notification from Rithm that Rithm does not intend to renew its subservicing agreements with Onity effective January 31, 2026. Onity also disclosed that the servicing transfer to Rithm’s own servicing platform began in the first quarter of 2026 and that the transfer of $6.9 billion UPB of the Subject MSRs is subject to the receipt of necessary consents from trustees and others, the timing and success of which are uncertain.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termination of Onity’s subservicing agreements with Rithm may have significant adverse effects on Onity’s business. Additionally, Altisource’s revenue from Onity and Rithm (and revenue associated with the Rithm MSRs) will be reduced and our results of operations will be adversely affected by this termination.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Altisource loses Onity as a customer or there is a significant reduction in the volume of services it purchases from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loses state servicing licenses in states with a significant number of loans in Onity’s servicing portfolio</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is subject to stays, moratoriums, suspensions or other restrictions that limit or delay default-related actions on the loans it services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contractual relationship between Onity and Altisource changes significantly or there are significant changes to our pricing to Onity for services from which we generate material revenue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Altisource otherwise fails to be retained as a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list is not intended to be exhaustive. Management cannot predict whether any of these events or other events will occur or the amount of any impact they may have on Altisource.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$0.1 million and $0.2 million for the six months ended June 30, 2026 and 2025, respectively (less than $0.1 million for each of the second quarters of 2026 and 2025). The amortization periods of right-of-use assets are generally limited by the expected lease term. Our leases generally have expected lease terms at adoption of one to six years.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about our lease terms and our discount rate assumption were as follows as of June 30:</w:t>
      </w:r>
    </w:p>
    <w:tbl>
      <w:tblPr>
        <w:tblW w:w="565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0"/>
        <w:gridCol w:w="211"/>
        <w:gridCol w:w="256"/>
        <w:gridCol w:w="109"/>
        <w:gridCol w:w="109"/>
        <w:gridCol w:w="109"/>
        <w:gridCol w:w="210"/>
        <w:gridCol w:w="211"/>
        <w:gridCol w:w="301"/>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lease activity during the periods was as follows:</w:t>
      </w:r>
    </w:p>
    <w:tbl>
      <w:tblPr>
        <w:tblW w:w="10205" w:type="dxa"/>
        <w:jc w:val="left"/>
        <w:tblInd w:w="0" w:type="dxa"/>
        <w:tblLayout w:type="fixed"/>
        <w:tblCellMar>
          <w:top w:w="28" w:type="dxa"/>
          <w:left w:w="28" w:type="dxa"/>
          <w:bottom w:w="28" w:type="dxa"/>
          <w:right w:w="28" w:type="dxa"/>
        </w:tblCellMar>
      </w:tblPr>
      <w:tblGrid>
        <w:gridCol w:w="2171"/>
        <w:gridCol w:w="1880"/>
        <w:gridCol w:w="1895"/>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6"/>
      </w:tblGrid>
      <w:tr>
        <w:trPr/>
        <w:tc>
          <w:tcPr>
            <w:tcW w:w="2171"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3" w:type="dxa"/>
            <w:gridSpan w:val="12"/>
            <w:tcBorders/>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operating activities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(twelve months or less)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Maturities of our lease liabilities as of June 30, 2026 are as follows:</w:t>
      </w:r>
    </w:p>
    <w:tbl>
      <w:tblPr>
        <w:tblW w:w="4782" w:type="dxa"/>
        <w:jc w:val="left"/>
        <w:tblInd w:w="0" w:type="dxa"/>
        <w:tblLayout w:type="fixed"/>
        <w:tblCellMar>
          <w:top w:w="28" w:type="dxa"/>
          <w:left w:w="28" w:type="dxa"/>
          <w:bottom w:w="28" w:type="dxa"/>
          <w:right w:w="28" w:type="dxa"/>
        </w:tblCellMar>
      </w:tblPr>
      <w:tblGrid>
        <w:gridCol w:w="841"/>
        <w:gridCol w:w="739"/>
        <w:gridCol w:w="745"/>
        <w:gridCol w:w="109"/>
        <w:gridCol w:w="109"/>
        <w:gridCol w:w="109"/>
        <w:gridCol w:w="540"/>
        <w:gridCol w:w="1162"/>
        <w:gridCol w:w="428"/>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 obligations</w:t>
            </w:r>
          </w:p>
        </w:tc>
      </w:tr>
      <w:tr>
        <w:trPr/>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4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executed no standby letters of credit related to office leases that are secured by restricted cash balances.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Escrow and Other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hold customers’ assets in escrow and other accounts at various financial institutions pending completion of certain real estate activities and construction review activities. These amounts are held in escrow and other accounts for limited periods of time and are not included in the accompanying condensed consolidated balance sheets. Amounts held in escrow and other accounts were $38.1 million and $50.5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22 — SEGMENT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pStyle w:val="TextBody"/>
        <w:bidi w:val="0"/>
        <w:spacing w:lineRule="auto" w:line="288" w:before="0" w:after="180"/>
        <w:jc w:val="both"/>
        <w:rPr/>
      </w:pPr>
      <w:r>
        <w:rPr>
          <w:rFonts w:ascii="Times New Roman;serif" w:hAnsi="Times New Roman;serif"/>
          <w:b w:val="false"/>
          <w:color w:val="000000"/>
          <w:sz w:val="20"/>
        </w:rPr>
        <w:t xml:space="preserve">We conduct our operations through two reportable segments: </w:t>
      </w:r>
      <w:r>
        <w:rPr>
          <w:rFonts w:ascii="Times New Roman;serif" w:hAnsi="Times New Roman;serif"/>
          <w:b w:val="false"/>
          <w:i/>
          <w:color w:val="000000"/>
          <w:sz w:val="20"/>
        </w:rPr>
        <w:t>Servicer and Real Estate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Origination</w:t>
      </w:r>
      <w:r>
        <w:rPr>
          <w:rFonts w:ascii="Times New Roman;serif" w:hAnsi="Times New Roman;serif"/>
          <w:b w:val="false"/>
          <w:color w:val="000000"/>
          <w:sz w:val="20"/>
        </w:rPr>
        <w:t xml:space="preserve">. In addition, we report </w:t>
      </w:r>
      <w:r>
        <w:rPr>
          <w:rFonts w:ascii="Times New Roman;serif" w:hAnsi="Times New Roman;serif"/>
          <w:b w:val="false"/>
          <w:i/>
          <w:color w:val="000000"/>
          <w:sz w:val="20"/>
        </w:rPr>
        <w:t>Corporate and Others</w:t>
      </w:r>
      <w:r>
        <w:rPr>
          <w:color w:val="000000"/>
        </w:rPr>
        <w:t xml:space="preserve"> </w:t>
      </w:r>
      <w:r>
        <w:rPr>
          <w:rFonts w:ascii="Times New Roman;serif" w:hAnsi="Times New Roman;serif"/>
          <w:b w:val="false"/>
          <w:color w:val="000000"/>
          <w:sz w:val="20"/>
        </w:rPr>
        <w:t>separately.</w:t>
      </w:r>
    </w:p>
    <w:p>
      <w:pPr>
        <w:pStyle w:val="TextBody"/>
        <w:bidi w:val="0"/>
        <w:spacing w:lineRule="auto" w:line="288" w:before="0" w:after="18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 xml:space="preserve">Servicer and Real Estate </w:t>
      </w:r>
      <w:r>
        <w:rPr>
          <w:rFonts w:ascii="Times New Roman;serif" w:hAnsi="Times New Roman;serif"/>
          <w:b w:val="false"/>
          <w:color w:val="000000"/>
          <w:sz w:val="20"/>
        </w:rPr>
        <w:t xml:space="preserve">segment provides loan servicers and real estate investors with solutions and technologies that span the mortgage and real estate lifecycle. The </w:t>
      </w:r>
      <w:r>
        <w:rPr>
          <w:rFonts w:ascii="Times New Roman;serif" w:hAnsi="Times New Roman;serif"/>
          <w:b w:val="false"/>
          <w:i/>
          <w:color w:val="000000"/>
          <w:sz w:val="20"/>
        </w:rPr>
        <w:t xml:space="preserve">Origination </w:t>
      </w:r>
      <w:r>
        <w:rPr>
          <w:rFonts w:ascii="Times New Roman;serif" w:hAnsi="Times New Roman;serif"/>
          <w:b w:val="false"/>
          <w:color w:val="000000"/>
          <w:sz w:val="20"/>
        </w:rPr>
        <w:t xml:space="preserve">segment provides originators with solutions and technologies that span the mortgage origination lifecycle. </w:t>
      </w:r>
      <w:r>
        <w:rPr>
          <w:rFonts w:ascii="Times New Roman;serif" w:hAnsi="Times New Roman;serif"/>
          <w:b w:val="false"/>
          <w:i/>
          <w:color w:val="000000"/>
          <w:sz w:val="20"/>
        </w:rPr>
        <w:t>Corporate and Others</w:t>
      </w:r>
      <w:r>
        <w:rPr>
          <w:color w:val="000000"/>
        </w:rPr>
        <w:t xml:space="preserve"> </w:t>
      </w:r>
      <w:r>
        <w:rPr>
          <w:rFonts w:ascii="Times New Roman;serif" w:hAnsi="Times New Roman;serif"/>
          <w:b w:val="false"/>
          <w:color w:val="000000"/>
          <w:sz w:val="20"/>
        </w:rPr>
        <w:t>includes interest expense and costs related to corporate functions including executive, infrastructure and certain technology groups, finance, law, compliance, human resources, vendor management, facilities, risk management, and eliminations between reportable 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Financial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information for our segments is as follows:</w:t>
      </w:r>
    </w:p>
    <w:tbl>
      <w:tblPr>
        <w:tblW w:w="10205" w:type="dxa"/>
        <w:jc w:val="left"/>
        <w:tblInd w:w="0" w:type="dxa"/>
        <w:tblLayout w:type="fixed"/>
        <w:tblCellMar>
          <w:top w:w="28" w:type="dxa"/>
          <w:left w:w="28" w:type="dxa"/>
          <w:bottom w:w="28" w:type="dxa"/>
          <w:right w:w="28" w:type="dxa"/>
        </w:tblCellMar>
      </w:tblPr>
      <w:tblGrid>
        <w:gridCol w:w="1169"/>
        <w:gridCol w:w="913"/>
        <w:gridCol w:w="901"/>
        <w:gridCol w:w="109"/>
        <w:gridCol w:w="109"/>
        <w:gridCol w:w="109"/>
        <w:gridCol w:w="296"/>
        <w:gridCol w:w="977"/>
        <w:gridCol w:w="164"/>
        <w:gridCol w:w="109"/>
        <w:gridCol w:w="109"/>
        <w:gridCol w:w="109"/>
        <w:gridCol w:w="198"/>
        <w:gridCol w:w="652"/>
        <w:gridCol w:w="111"/>
        <w:gridCol w:w="109"/>
        <w:gridCol w:w="109"/>
        <w:gridCol w:w="109"/>
        <w:gridCol w:w="265"/>
        <w:gridCol w:w="947"/>
        <w:gridCol w:w="147"/>
        <w:gridCol w:w="109"/>
        <w:gridCol w:w="109"/>
        <w:gridCol w:w="109"/>
        <w:gridCol w:w="299"/>
        <w:gridCol w:w="987"/>
        <w:gridCol w:w="168"/>
        <w:gridCol w:w="109"/>
        <w:gridCol w:w="109"/>
        <w:gridCol w:w="109"/>
        <w:gridCol w:w="109"/>
        <w:gridCol w:w="109"/>
        <w:gridCol w:w="158"/>
      </w:tblGrid>
      <w:tr>
        <w:trPr/>
        <w:tc>
          <w:tcPr>
            <w:tcW w:w="116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458" w:type="dxa"/>
            <w:gridSpan w:val="24"/>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5"/>
        <w:gridCol w:w="1041"/>
        <w:gridCol w:w="1035"/>
        <w:gridCol w:w="109"/>
        <w:gridCol w:w="109"/>
        <w:gridCol w:w="109"/>
        <w:gridCol w:w="317"/>
        <w:gridCol w:w="1048"/>
        <w:gridCol w:w="176"/>
        <w:gridCol w:w="109"/>
        <w:gridCol w:w="109"/>
        <w:gridCol w:w="109"/>
        <w:gridCol w:w="218"/>
        <w:gridCol w:w="620"/>
        <w:gridCol w:w="123"/>
        <w:gridCol w:w="109"/>
        <w:gridCol w:w="109"/>
        <w:gridCol w:w="109"/>
        <w:gridCol w:w="279"/>
        <w:gridCol w:w="1008"/>
        <w:gridCol w:w="155"/>
        <w:gridCol w:w="109"/>
        <w:gridCol w:w="109"/>
        <w:gridCol w:w="109"/>
        <w:gridCol w:w="311"/>
        <w:gridCol w:w="1028"/>
        <w:gridCol w:w="253"/>
      </w:tblGrid>
      <w:tr>
        <w:trPr/>
        <w:tc>
          <w:tcPr>
            <w:tcW w:w="12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Three months ended June 30, 2025</w:t>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amendment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6844"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w:t>
      </w:r>
    </w:p>
    <w:p>
      <w:pPr>
        <w:pStyle w:val="TextBody"/>
        <w:bidi w:val="0"/>
        <w:spacing w:lineRule="auto" w:line="288" w:before="0" w:after="180"/>
        <w:jc w:val="center"/>
        <w:rPr/>
      </w:pPr>
      <w:r>
        <w:rPr>
          <w:rFonts w:ascii="Times New Roman;serif" w:hAnsi="Times New Roman;serif"/>
          <w:b/>
          <w:color w:val="000000"/>
          <w:sz w:val="20"/>
        </w:rPr>
        <w:t>Notes to Condensed Consolidated Financial Statements (</w:t>
      </w:r>
      <w:r>
        <w:rPr>
          <w:rFonts w:ascii="Times New Roman;serif" w:hAnsi="Times New Roman;serif"/>
          <w:b/>
          <w:i/>
          <w:color w:val="000000"/>
          <w:sz w:val="20"/>
        </w:rPr>
        <w:t>Continued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285"/>
        <w:gridCol w:w="1041"/>
        <w:gridCol w:w="1035"/>
        <w:gridCol w:w="109"/>
        <w:gridCol w:w="109"/>
        <w:gridCol w:w="109"/>
        <w:gridCol w:w="317"/>
        <w:gridCol w:w="1048"/>
        <w:gridCol w:w="176"/>
        <w:gridCol w:w="109"/>
        <w:gridCol w:w="109"/>
        <w:gridCol w:w="109"/>
        <w:gridCol w:w="198"/>
        <w:gridCol w:w="652"/>
        <w:gridCol w:w="111"/>
        <w:gridCol w:w="109"/>
        <w:gridCol w:w="109"/>
        <w:gridCol w:w="109"/>
        <w:gridCol w:w="279"/>
        <w:gridCol w:w="1008"/>
        <w:gridCol w:w="155"/>
        <w:gridCol w:w="109"/>
        <w:gridCol w:w="109"/>
        <w:gridCol w:w="109"/>
        <w:gridCol w:w="311"/>
        <w:gridCol w:w="1028"/>
        <w:gridCol w:w="253"/>
      </w:tblGrid>
      <w:tr>
        <w:trPr/>
        <w:tc>
          <w:tcPr>
            <w:tcW w:w="12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6844" w:type="dxa"/>
            <w:gridSpan w:val="24"/>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4"/>
        <w:gridCol w:w="1057"/>
        <w:gridCol w:w="1061"/>
        <w:gridCol w:w="109"/>
        <w:gridCol w:w="109"/>
        <w:gridCol w:w="109"/>
        <w:gridCol w:w="317"/>
        <w:gridCol w:w="1048"/>
        <w:gridCol w:w="176"/>
        <w:gridCol w:w="109"/>
        <w:gridCol w:w="109"/>
        <w:gridCol w:w="109"/>
        <w:gridCol w:w="198"/>
        <w:gridCol w:w="652"/>
        <w:gridCol w:w="111"/>
        <w:gridCol w:w="109"/>
        <w:gridCol w:w="109"/>
        <w:gridCol w:w="109"/>
        <w:gridCol w:w="279"/>
        <w:gridCol w:w="1008"/>
        <w:gridCol w:w="155"/>
        <w:gridCol w:w="109"/>
        <w:gridCol w:w="109"/>
        <w:gridCol w:w="109"/>
        <w:gridCol w:w="311"/>
        <w:gridCol w:w="1028"/>
        <w:gridCol w:w="252"/>
      </w:tblGrid>
      <w:tr>
        <w:trPr/>
        <w:tc>
          <w:tcPr>
            <w:tcW w:w="12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amendment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22,200 </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2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Total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assets for our segments are as follows:</w:t>
      </w:r>
    </w:p>
    <w:tbl>
      <w:tblPr>
        <w:tblW w:w="9272" w:type="dxa"/>
        <w:jc w:val="left"/>
        <w:tblInd w:w="0" w:type="dxa"/>
        <w:tblLayout w:type="fixed"/>
        <w:tblCellMar>
          <w:top w:w="28" w:type="dxa"/>
          <w:left w:w="28" w:type="dxa"/>
          <w:bottom w:w="28" w:type="dxa"/>
          <w:right w:w="28" w:type="dxa"/>
        </w:tblCellMar>
      </w:tblPr>
      <w:tblGrid>
        <w:gridCol w:w="548"/>
        <w:gridCol w:w="483"/>
        <w:gridCol w:w="484"/>
        <w:gridCol w:w="109"/>
        <w:gridCol w:w="109"/>
        <w:gridCol w:w="109"/>
        <w:gridCol w:w="389"/>
        <w:gridCol w:w="1284"/>
        <w:gridCol w:w="216"/>
        <w:gridCol w:w="109"/>
        <w:gridCol w:w="109"/>
        <w:gridCol w:w="109"/>
        <w:gridCol w:w="198"/>
        <w:gridCol w:w="652"/>
        <w:gridCol w:w="111"/>
        <w:gridCol w:w="109"/>
        <w:gridCol w:w="109"/>
        <w:gridCol w:w="109"/>
        <w:gridCol w:w="355"/>
        <w:gridCol w:w="1172"/>
        <w:gridCol w:w="197"/>
        <w:gridCol w:w="109"/>
        <w:gridCol w:w="109"/>
        <w:gridCol w:w="109"/>
        <w:gridCol w:w="337"/>
        <w:gridCol w:w="1270"/>
        <w:gridCol w:w="268"/>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we refer to “Altisource,” the “Company,” “we,” “us” or “our” we mean Altisource Portfolio Solutions S.A., a Luxembourg société anonyme, or public limited liability company, and its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2025 filed with the Securities and Exchange Commission (“SEC”) on March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safe harbor provisions of the Private Securities Litigation Reform Act of 1995. These forward-looking statements include all statements that are not historical fact, including statements that may relate to, among other things, future events or our future financial/operating performance or financial condition. Words such as “anticipate,” “intend,” “expect,” “may,” “could,” “should,” “would,” “will,”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assumptions related to sources of liquidity and the adequacy of financial resources;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assumptions about our ability to grow our business, execute our strategic initiatives and improve margins;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assumptions about the variable nature of our cost structure that would allow us to realign our cost structure in line with revenue;</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assumptions regarding the impact of seasonality;</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estimates regarding our effective tax rate;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estimates regarding our reserves and valuations.</w:t>
      </w:r>
    </w:p>
    <w:p>
      <w:pPr>
        <w:pStyle w:val="TextBody"/>
        <w:bidi w:val="0"/>
        <w:spacing w:lineRule="auto" w:line="288" w:before="0" w:after="180"/>
        <w:jc w:val="both"/>
        <w:rPr/>
      </w:pPr>
      <w:r>
        <w:rPr>
          <w:rFonts w:ascii="Times New Roman;serif" w:hAnsi="Times New Roman;serif"/>
          <w:b w:val="false"/>
          <w:color w:val="000000"/>
          <w:sz w:val="20"/>
        </w:rPr>
        <w:t xml:space="preserve">Important factors that could cause actual results to differ materially from those suggested by the forward-looking statements include, but are not limited to, the risks discussed in the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section of our Form 10-K for the year ended December 31, 2025, and in Part II, Item 1A of this Form 10-Q, such as: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a depressed rate of residential mortgage delinquencies, defaults or foreclosures, and REO volume can negatively affect demand for certain of our services;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retain Onity Group Inc. (together with its subsidiaries, “Onity”) (formerly Ocwen Financial Corporation, or “Ocwen”) as a customer or our ability to receive the anticipated volume of referrals from Onity;</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mitigate the potential impacts arising from the expiration of the Rithm Brokerage Agreement in August 2025 and the termination of Rithm’s subservicing agreement with Onity effective January 31, 2026;</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execute on our strategic initiatives;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retain our existing customers, expand relationships and attract new customers;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 xml:space="preserve">our ability to comply with governmental regulations and policies and any changes in such regulations and policies; </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our ability to develop, launch and gain market acceptance of new solutions or recoup our investments in developing such new solutions;</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depressed levels of origination volume;</w:t>
      </w:r>
    </w:p>
    <w:p>
      <w:pPr>
        <w:pStyle w:val="TextBody"/>
        <w:bidi w:val="0"/>
        <w:spacing w:lineRule="auto" w:line="288" w:before="0" w:after="50"/>
        <w:ind w:left="0" w:right="0" w:hanging="360"/>
        <w:jc w:val="both"/>
        <w:rPr/>
      </w:pPr>
      <w:r>
        <w:rPr>
          <w:color w:val="000000"/>
        </w:rPr>
        <w:t>•</w:t>
      </w:r>
      <w:r>
        <w:rPr>
          <w:rFonts w:ascii="Times New Roman;serif" w:hAnsi="Times New Roman;serif"/>
          <w:b w:val="false"/>
          <w:color w:val="000000"/>
          <w:sz w:val="20"/>
        </w:rPr>
        <w:t>technology failures, data breaches and cybersecurity risks;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changes in tax regulations and interpretations in the countries, states and local jurisdictions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pStyle w:val="TextBody"/>
        <w:bidi w:val="0"/>
        <w:spacing w:lineRule="auto" w:line="288" w:before="0" w:after="180"/>
        <w:jc w:val="both"/>
        <w:rPr/>
      </w:pPr>
      <w:r>
        <w:rPr>
          <w:rFonts w:ascii="Times New Roman;serif" w:hAnsi="Times New Roman;serif"/>
          <w:b w:val="false"/>
          <w:color w:val="000000"/>
          <w:sz w:val="20"/>
        </w:rPr>
        <w:t xml:space="preserve">We conduct our operations through two reportable segments: </w:t>
      </w:r>
      <w:r>
        <w:rPr>
          <w:rFonts w:ascii="Times New Roman;serif" w:hAnsi="Times New Roman;serif"/>
          <w:b w:val="false"/>
          <w:i/>
          <w:color w:val="000000"/>
          <w:sz w:val="20"/>
        </w:rPr>
        <w:t xml:space="preserve">Servicer and Real Estate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Origination. </w:t>
      </w:r>
      <w:r>
        <w:rPr>
          <w:rFonts w:ascii="Times New Roman;serif" w:hAnsi="Times New Roman;serif"/>
          <w:b w:val="false"/>
          <w:color w:val="000000"/>
          <w:sz w:val="20"/>
        </w:rPr>
        <w:t>In addition, we report</w:t>
      </w:r>
      <w:r>
        <w:rPr>
          <w:color w:val="000000"/>
        </w:rPr>
        <w:t xml:space="preserve"> </w:t>
      </w:r>
      <w:r>
        <w:rPr>
          <w:rFonts w:ascii="Times New Roman;serif" w:hAnsi="Times New Roman;serif"/>
          <w:b w:val="false"/>
          <w:i/>
          <w:color w:val="000000"/>
          <w:sz w:val="20"/>
        </w:rPr>
        <w:t>Corporate and Others</w:t>
      </w:r>
      <w:r>
        <w:rPr>
          <w:color w:val="000000"/>
        </w:rPr>
        <w:t xml:space="preserve"> </w:t>
      </w:r>
      <w:r>
        <w:rPr>
          <w:rFonts w:ascii="Times New Roman;serif" w:hAnsi="Times New Roman;serif"/>
          <w:b w:val="false"/>
          <w:color w:val="000000"/>
          <w:sz w:val="20"/>
        </w:rPr>
        <w:t>separately.</w:t>
      </w:r>
    </w:p>
    <w:p>
      <w:pPr>
        <w:pStyle w:val="TextBody"/>
        <w:bidi w:val="0"/>
        <w:spacing w:lineRule="auto" w:line="288" w:before="0" w:after="18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 xml:space="preserve">Servicer and Real Estate </w:t>
      </w:r>
      <w:r>
        <w:rPr>
          <w:rFonts w:ascii="Times New Roman;serif" w:hAnsi="Times New Roman;serif"/>
          <w:b w:val="false"/>
          <w:color w:val="000000"/>
          <w:sz w:val="20"/>
        </w:rPr>
        <w:t>segment provides loan servicers and real estate investors with solutions and technologies that span the mortgage and real estate lifecycle. Within the Servicer and Real Estate segment we provide:</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Solutions</w:t>
      </w:r>
    </w:p>
    <w:p>
      <w:pPr>
        <w:pStyle w:val="TextBody"/>
        <w:bidi w:val="0"/>
        <w:spacing w:lineRule="auto" w:line="256" w:before="0" w:after="180"/>
        <w:jc w:val="both"/>
        <w:rPr>
          <w:rFonts w:ascii="Times New Roman;serif" w:hAnsi="Times New Roman;serif"/>
          <w:b w:val="false"/>
          <w:color w:val="000000"/>
          <w:sz w:val="20"/>
        </w:rPr>
      </w:pPr>
      <w:r>
        <w:rPr>
          <w:rFonts w:ascii="Times New Roman;serif" w:hAnsi="Times New Roman;serif"/>
          <w:b w:val="false"/>
          <w:color w:val="000000"/>
          <w:sz w:val="20"/>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Marketplace</w:t>
      </w:r>
    </w:p>
    <w:p>
      <w:pPr>
        <w:pStyle w:val="TextBody"/>
        <w:bidi w:val="0"/>
        <w:spacing w:lineRule="auto" w:line="288" w:before="0" w:after="180"/>
        <w:jc w:val="both"/>
        <w:rPr/>
      </w:pPr>
      <w:r>
        <w:rPr>
          <w:rFonts w:ascii="Times New Roman;serif" w:hAnsi="Times New Roman;serif"/>
          <w:b w:val="false"/>
          <w:color w:val="000000"/>
          <w:sz w:val="20"/>
        </w:rPr>
        <w:t>Our Marketplace business includes the Hubzu</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online real estate auction platform, real estate brokerage and asset management services.</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and software-as-a-service (“SaaS”) Products</w:t>
      </w:r>
    </w:p>
    <w:p>
      <w:pPr>
        <w:pStyle w:val="TextBody"/>
        <w:bidi w:val="0"/>
        <w:spacing w:lineRule="auto" w:line="288" w:before="0" w:after="180"/>
        <w:jc w:val="both"/>
        <w:rPr/>
      </w:pPr>
      <w:r>
        <w:rPr>
          <w:rFonts w:ascii="Times New Roman;serif" w:hAnsi="Times New Roman;serif"/>
          <w:b w:val="false"/>
          <w:color w:val="000000"/>
          <w:sz w:val="20"/>
        </w:rPr>
        <w:t>Our Technology and SaaS Products business includes Equator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SaaS-based technology to manage real estate owned (“REO”) and investor homes, short sales, foreclosure, bankruptcy and eviction processes), Vendorly Invoice (a vendor invoicing and payment system), RentRange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single and multi-family rental data, analytics and rent-based valuation solution) and REALSynergy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commercial loan servicing platform).</w:t>
      </w:r>
    </w:p>
    <w:p>
      <w:pPr>
        <w:pStyle w:val="TextBody"/>
        <w:bidi w:val="0"/>
        <w:spacing w:lineRule="auto" w:line="288" w:before="0" w:after="18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 xml:space="preserve">Origination </w:t>
      </w:r>
      <w:r>
        <w:rPr>
          <w:rFonts w:ascii="Times New Roman;serif" w:hAnsi="Times New Roman;serif"/>
          <w:b w:val="false"/>
          <w:color w:val="000000"/>
          <w:sz w:val="20"/>
        </w:rPr>
        <w:t>segment provides originators with solutions and technologies that span the mortgage origination lifecycle. Within the Origination segment we provide:</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Lenders One</w:t>
      </w:r>
    </w:p>
    <w:p>
      <w:pPr>
        <w:pStyle w:val="TextBody"/>
        <w:bidi w:val="0"/>
        <w:spacing w:lineRule="auto" w:line="288" w:before="0" w:after="180"/>
        <w:jc w:val="both"/>
        <w:rPr/>
      </w:pPr>
      <w:r>
        <w:rPr>
          <w:rFonts w:ascii="Times New Roman;serif" w:hAnsi="Times New Roman;serif"/>
          <w:b w:val="false"/>
          <w:color w:val="000000"/>
          <w:sz w:val="20"/>
        </w:rPr>
        <w:t>Our Lenders One business includes management services provided to the Best Partners Mortgage Cooperative, Inc., doing business as Lenders 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(“Lenders One”), and certain loan manufacturing and capital markets solutions provided primarily to the members of the Lenders One cooperative.</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Solutions business includes loan fulfillment services, real estate valuation services, title insurance (as an agent) and settlement services, and insurance services.</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and SaaS Products</w:t>
      </w:r>
    </w:p>
    <w:p>
      <w:pPr>
        <w:pStyle w:val="TextBody"/>
        <w:bidi w:val="0"/>
        <w:spacing w:lineRule="auto" w:line="288" w:before="0" w:after="180"/>
        <w:jc w:val="both"/>
        <w:rPr/>
      </w:pPr>
      <w:r>
        <w:rPr>
          <w:rFonts w:ascii="Times New Roman;serif" w:hAnsi="Times New Roman;serif"/>
          <w:b w:val="false"/>
          <w:color w:val="000000"/>
          <w:sz w:val="20"/>
        </w:rPr>
        <w:t>Our Technology and SaaS Products business includes Vendorly Monitor (a vendor management platform), Lenders One Loan Automation (“LOLA”) (a marketplace to order services and a tool to automate components of the loan manufacturing process) and TrelixAI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(technology to manage the workflow and automate components of the loan fulfillment and pre and post-close quality control).</w:t>
      </w:r>
    </w:p>
    <w:p>
      <w:pPr>
        <w:pStyle w:val="TextBody"/>
        <w:bidi w:val="0"/>
        <w:spacing w:lineRule="auto" w:line="288" w:before="0" w:after="180"/>
        <w:jc w:val="both"/>
        <w:rPr/>
      </w:pPr>
      <w:r>
        <w:rPr>
          <w:rFonts w:ascii="Times New Roman;serif" w:hAnsi="Times New Roman;serif"/>
          <w:b w:val="false"/>
          <w:i/>
          <w:color w:val="000000"/>
          <w:sz w:val="20"/>
        </w:rPr>
        <w:t>Corporate and Others</w:t>
      </w:r>
      <w:r>
        <w:rPr>
          <w:color w:val="000000"/>
        </w:rPr>
        <w:t xml:space="preserve"> </w:t>
      </w:r>
      <w:r>
        <w:rPr>
          <w:rFonts w:ascii="Times New Roman;serif" w:hAnsi="Times New Roman;serif"/>
          <w:b w:val="false"/>
          <w:color w:val="000000"/>
          <w:sz w:val="20"/>
        </w:rPr>
        <w:t>includes interest expense and costs related to corporate functions including executive, infrastructure and certain technology groups, finance, law, compliance, human resources, vendor management, facilities, risk management and eliminations between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One’s earnings are included in revenue and reduced from net (loss) income to arrive at net (loss) income attributable to Altisource.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Strategy and Core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Servicer and Real Estate: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government-sponsored enterprises (“GSEs”), asset managers, and several large bank and non-bank servicers.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Origination: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Default Related Mortgage Market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Serious delinquency rates, foreclosure initiations and foreclosure sales are low relative to historical levels but increased during the five months ended May 31, 2026 relative to the same period in 2025. Additionally, foreclosure initiations and sales as a percentage of seriously delinquent loans for 2020 through 2025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rate environment drove a high volume of refinance transactions and home prices appreciated significantly. Although interest rates began to increase in 2022, home prices remained high. With greater home equity from home price appreciation, we believe troubled borrowers have more options to avoid foreclosure. Foreclosure initiations and sales increased during the six months ended June 30, 2026 compared to the same period in 2025. However, both measures remain below pre-pandemic levels.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cannot predict whether the default market will return to a pre-pandemic operating environment, we believe the demand for our default related business is likely to grow. We estimate that in today’s environment it typically takes on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2025 and the six months ended June 30, 2026,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and (3) launch new solutions and increase customer adoption of our existing solutions to accelerate the growth of our Origination segment.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June 30, 2026, approximately 0.4 million shares of common stock remain available for repurchase under the program. In connection with the elimination of fractional shares resulting from the Share Consolidation, the Company purchased 204 shares of common stock during the year ended December 31, 2025 (no comparative amount for the six months ended June 30, 2026). There were no other purchases of shares of common stock during the six months ended June 30, 2026 and 2025. Under the New Facility (as defined below) and the super senior credit facility (the “Super Senior Facility”), we are not permitted to repurchase shares except for limited circumstances.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Onity Related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Onity was our largest customer, accounting for 33% of our total revenue (29% of our revenue for the second quarter of 2026). Additionally, 4% of our revenue for the three and six months ended June 30, 2026, was earned on the loan portfolios serviced by Onity, when a party other than Onity or the mortgage servicing rights (“MSRs”) owner selected Altisource as the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Onity has disclosed that it is subject to a number of ongoing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Onity has disclosed that Rithm is one of its largest servicing clients. As of March 31, 2026, Onity reported that Rithm MSRs and rights to MSRs (the “Subject MSRs”) represented $29.7 billion of Onity’s servicing and subservicing portfolio. Onity disclosed that the Subject MSRs represent approximately 9% of loans serviced and subserviced by Onity (measured in unpaid principal balance (“UPB”)) and approximately 47% of all delinquent loans that Onity services (measured in UPB). In November 2025, Onity disclosed that it had received notification from Rithm that Rithm does not intend to renew its subservicing agreements with Onity effective January 31, 2026. Onity also disclosed that the servicing transfer to Rithm’s own servicing platform began in the first quarter of 2026 and that the transfer of $6.9 billion UPB of the Subject MSRs is subject to the receipt of necessary consents from trustees and others, the timing and success of which are uncertain.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termination of Onity’s subservicing agreements with Rithm may have a significant adverse effect on Onity’s business. Additionally, this termination will reduce Altisource’s revenue from Onity and Rithm (and revenue associated with the Rithm MSRs) and our results of operations will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Altisource loses Onity as a customer or there is a significant reduction in the volume of services it purchases from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loses state servicing licenses in states with a significant number of loans in Onity’s servicing portfolio</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Onity is subject to stays, moratoriums, suspensions or other restrictions that limit or delay default-related actions on the loans it services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contractual relationship between Onity and Altisource changes significantly or there are significant changes to our pricing to Onity for services from which we generate material revenue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Altisource otherwise fails to be retained as a service provider and/or there is a reduction in referral volumes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foregoing list is not intended to be exhaustive. Management cannot predict whether any of these events or other events will occur or the amount of any impact they may have on Altisource.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Exchange Transaction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the Borrower entered into Amendment No. 2 to the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(the “New Facility Credit Agreement”), are guarantors on the New Facility (collectively, the “Guarantors”).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repurchased $2.0 million of debt under the New Facility at a discount of 23.7%, recognizing a net gain of $0.7 million on the early extinguishment of debt. This net gain is included in Other income (expense), net, in the Condensed Consolidated Statements of Operations and Comprehensive (Loss) Income. For further information, see Note 10 and Note 21 to the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Factors Affecting Comparability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items impact the comparability of our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Industrywide foreclosure initiations were 14% higher for the five months ended May 31, 2026 compared to the same period in 2025 (although still 11% lower than the same pre-COVID-19 period in 2019)</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Industrywide foreclosure sales were 19% higher for the five months ended May 31, 2026 compared to the same period in 2025 (although still 42% lower than the same pre-COVID-19 period in 2019)</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Industrywide mortgage origination unit volume increased by 23% for the six months ended June 30, 2026 compared to the same period in 2025, comprised of a 6% increase in purchase origination and a 60% increase in refinancing origination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weighted average interest rate on the Company’s long-term debt was 7.36% for the six months ended June 30, 2026 compared to 8.24% for the same period in 2025</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Company recognized $3.5 million of expenses related to the Debt Exchange Transaction for the six months ended June 30, 2025 (no comparable amount for the six months ended June 30, 2026)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Company recognized a $0.7 million gain on early extinguishment of debt from a second quarter 2026 repurchase of $2.0 million of debt under the New Facility at a discount of 23.7% (no comparable amount for the second quarter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 recognized an income tax (provision) benefit of $(1.4) million and $15.7 million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ended June 30, 2026 and 2025, respectively. The income tax provision for the three and six months ended June 30, 2026 was driven by income tax expense on transfer pricing income from India and the United States, no tax benefit on the pretax loss from our Luxembourg operating company, and uncertain tax positions. The income tax benefit for the three and six months ended June 30, 2025 was driven primarily by the reversal of liabilities for uncertain tax positions, partially offset by income tax expense on transfer pricing income from India and the United States and no tax benefit on the pretax loss from our Luxembourg operating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CONSOLIDATED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Results</w:t>
      </w:r>
    </w:p>
    <w:p>
      <w:pPr>
        <w:pStyle w:val="TextBody"/>
        <w:bidi w:val="0"/>
        <w:spacing w:lineRule="auto" w:line="288" w:before="0" w:after="180"/>
        <w:jc w:val="both"/>
        <w:rPr/>
      </w:pPr>
      <w:r>
        <w:rPr>
          <w:rFonts w:ascii="Times New Roman;serif" w:hAnsi="Times New Roman;serif"/>
          <w:b w:val="false"/>
          <w:color w:val="000000"/>
          <w:sz w:val="20"/>
        </w:rPr>
        <w:t>The following is a discussion of our consolidated results of operations for the periods indicated. For a more detailed discussion of the factors that affected the results of our business segments in these periods, see “</w:t>
      </w:r>
      <w:r>
        <w:rPr>
          <w:rFonts w:ascii="Times New Roman;serif" w:hAnsi="Times New Roman;serif"/>
          <w:b w:val="false"/>
          <w:i/>
          <w:color w:val="000000"/>
          <w:sz w:val="20"/>
        </w:rPr>
        <w:t>Segment Results of Operations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on our consolidated results of operations:</w:t>
      </w:r>
    </w:p>
    <w:tbl>
      <w:tblPr>
        <w:tblW w:w="10947" w:type="dxa"/>
        <w:jc w:val="left"/>
        <w:tblInd w:w="0" w:type="dxa"/>
        <w:tblLayout w:type="fixed"/>
        <w:tblCellMar>
          <w:top w:w="28" w:type="dxa"/>
          <w:left w:w="28" w:type="dxa"/>
          <w:bottom w:w="28" w:type="dxa"/>
          <w:right w:w="28" w:type="dxa"/>
        </w:tblCellMar>
      </w:tblPr>
      <w:tblGrid>
        <w:gridCol w:w="984"/>
        <w:gridCol w:w="865"/>
        <w:gridCol w:w="867"/>
        <w:gridCol w:w="109"/>
        <w:gridCol w:w="109"/>
        <w:gridCol w:w="109"/>
        <w:gridCol w:w="196"/>
        <w:gridCol w:w="646"/>
        <w:gridCol w:w="256"/>
        <w:gridCol w:w="109"/>
        <w:gridCol w:w="109"/>
        <w:gridCol w:w="109"/>
        <w:gridCol w:w="196"/>
        <w:gridCol w:w="646"/>
        <w:gridCol w:w="256"/>
        <w:gridCol w:w="109"/>
        <w:gridCol w:w="109"/>
        <w:gridCol w:w="109"/>
        <w:gridCol w:w="305"/>
        <w:gridCol w:w="305"/>
        <w:gridCol w:w="306"/>
        <w:gridCol w:w="109"/>
        <w:gridCol w:w="109"/>
        <w:gridCol w:w="109"/>
        <w:gridCol w:w="196"/>
        <w:gridCol w:w="646"/>
        <w:gridCol w:w="256"/>
        <w:gridCol w:w="109"/>
        <w:gridCol w:w="109"/>
        <w:gridCol w:w="109"/>
        <w:gridCol w:w="196"/>
        <w:gridCol w:w="646"/>
        <w:gridCol w:w="256"/>
        <w:gridCol w:w="109"/>
        <w:gridCol w:w="109"/>
        <w:gridCol w:w="109"/>
        <w:gridCol w:w="281"/>
        <w:gridCol w:w="281"/>
        <w:gridCol w:w="399"/>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Servicer and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exchange 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 and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Altisource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 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service revenue of $93.8 million for the six months ended June 30, 2026, a 15% increase compared to the six months ended June 30, 2025 ($48.7 million for the second quarter of 2026, a 19% increase compared to the second quarter of 2025). The increase in service revenue for the three and six months ended June 30, 2026 was primarily driven by service revenue growth in the Origination segment from sales wins and a stronger origination market. The increase in service revenue for the three months ended June 30, 2026 was also supported by 8% growth in the Servicer and Real Estate segment primarily from sales wins. </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We recognized reimbursable expenses revenue of $4.3 million for the six months ended June 30, 2026, a 13% decrease compared to the six months ended June 30, 2025 ($1.9 million for the second quarter of 2026, a 22% decrease compared to the second quarter of 2025). The decrease in reimbursable expenses for the three and six months ended June 30, 2026 was primarily driven by fewer asset resolution and asset management activities in Marketplace within the Servicer and Real Estate segment, reflecting the transfer of certain Hubzu REO to Rithm.</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Profit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the following:</w:t>
      </w:r>
    </w:p>
    <w:tbl>
      <w:tblPr>
        <w:tblW w:w="10205" w:type="dxa"/>
        <w:jc w:val="left"/>
        <w:tblInd w:w="0" w:type="dxa"/>
        <w:tblLayout w:type="fixed"/>
        <w:tblCellMar>
          <w:top w:w="28" w:type="dxa"/>
          <w:left w:w="28" w:type="dxa"/>
          <w:bottom w:w="28" w:type="dxa"/>
          <w:right w:w="28" w:type="dxa"/>
        </w:tblCellMar>
      </w:tblPr>
      <w:tblGrid>
        <w:gridCol w:w="829"/>
        <w:gridCol w:w="593"/>
        <w:gridCol w:w="545"/>
        <w:gridCol w:w="109"/>
        <w:gridCol w:w="109"/>
        <w:gridCol w:w="109"/>
        <w:gridCol w:w="196"/>
        <w:gridCol w:w="646"/>
        <w:gridCol w:w="109"/>
        <w:gridCol w:w="109"/>
        <w:gridCol w:w="109"/>
        <w:gridCol w:w="109"/>
        <w:gridCol w:w="196"/>
        <w:gridCol w:w="646"/>
        <w:gridCol w:w="109"/>
        <w:gridCol w:w="109"/>
        <w:gridCol w:w="109"/>
        <w:gridCol w:w="109"/>
        <w:gridCol w:w="403"/>
        <w:gridCol w:w="403"/>
        <w:gridCol w:w="405"/>
        <w:gridCol w:w="109"/>
        <w:gridCol w:w="109"/>
        <w:gridCol w:w="109"/>
        <w:gridCol w:w="196"/>
        <w:gridCol w:w="646"/>
        <w:gridCol w:w="109"/>
        <w:gridCol w:w="109"/>
        <w:gridCol w:w="109"/>
        <w:gridCol w:w="109"/>
        <w:gridCol w:w="196"/>
        <w:gridCol w:w="646"/>
        <w:gridCol w:w="109"/>
        <w:gridCol w:w="109"/>
        <w:gridCol w:w="109"/>
        <w:gridCol w:w="109"/>
        <w:gridCol w:w="368"/>
        <w:gridCol w:w="368"/>
        <w:gridCol w:w="525"/>
      </w:tblGrid>
      <w:tr>
        <w:trPr/>
        <w:tc>
          <w:tcPr>
            <w:tcW w:w="8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1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fees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cost of revenue of $72.3 million for the six months ended June 30, 2026, a 20% increase compared to the six months ended June 30, 2025 ($37.8 million for the second quarter of 2026, a 25% increase compared to the second quarter of 2025). The increase in cost of revenue for the three and six months ended June 30, 2026 was driven by higher outside fees and services from service revenue growth in Lenders One within the Origination segment.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decreased to $25.9 million, representing 28% of service revenue, for the six months ended June 30, 2026 compared to $26.4 million, representing 32% of service revenue, for the six months ended June 30, 2025 (decreased to $12.8 million, representing 26% of service revenue, for the second quarter of 2026, compared to $13.0 million, representing 32% of service revenue, for the second quarter of 2025). Gross profit as a percentage of service revenue for the three and six months ended June 30, 2026 decreased compared to the three and six months ended June 30, 2025 primarily due to revenue mix in Lenders One within the Origination segment and higher costs associated with the newer Hubzu and Foreclosure Trustee business in the Servicer and Real Estate segment. Our margins can vary substantially depending upon the service revenue mix.</w:t>
      </w: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SG&amp;A expenses consist of the following:</w:t>
      </w:r>
    </w:p>
    <w:tbl>
      <w:tblPr>
        <w:tblW w:w="10205" w:type="dxa"/>
        <w:jc w:val="left"/>
        <w:tblInd w:w="0" w:type="dxa"/>
        <w:tblLayout w:type="fixed"/>
        <w:tblCellMar>
          <w:top w:w="28" w:type="dxa"/>
          <w:left w:w="28" w:type="dxa"/>
          <w:bottom w:w="28" w:type="dxa"/>
          <w:right w:w="28" w:type="dxa"/>
        </w:tblCellMar>
      </w:tblPr>
      <w:tblGrid>
        <w:gridCol w:w="729"/>
        <w:gridCol w:w="642"/>
        <w:gridCol w:w="636"/>
        <w:gridCol w:w="109"/>
        <w:gridCol w:w="109"/>
        <w:gridCol w:w="109"/>
        <w:gridCol w:w="196"/>
        <w:gridCol w:w="646"/>
        <w:gridCol w:w="109"/>
        <w:gridCol w:w="109"/>
        <w:gridCol w:w="109"/>
        <w:gridCol w:w="109"/>
        <w:gridCol w:w="196"/>
        <w:gridCol w:w="556"/>
        <w:gridCol w:w="109"/>
        <w:gridCol w:w="109"/>
        <w:gridCol w:w="109"/>
        <w:gridCol w:w="109"/>
        <w:gridCol w:w="412"/>
        <w:gridCol w:w="412"/>
        <w:gridCol w:w="413"/>
        <w:gridCol w:w="109"/>
        <w:gridCol w:w="109"/>
        <w:gridCol w:w="109"/>
        <w:gridCol w:w="196"/>
        <w:gridCol w:w="646"/>
        <w:gridCol w:w="109"/>
        <w:gridCol w:w="109"/>
        <w:gridCol w:w="109"/>
        <w:gridCol w:w="109"/>
        <w:gridCol w:w="196"/>
        <w:gridCol w:w="646"/>
        <w:gridCol w:w="109"/>
        <w:gridCol w:w="109"/>
        <w:gridCol w:w="109"/>
        <w:gridCol w:w="109"/>
        <w:gridCol w:w="375"/>
        <w:gridCol w:w="375"/>
        <w:gridCol w:w="535"/>
      </w:tblGrid>
      <w:tr>
        <w:trPr/>
        <w:tc>
          <w:tcPr>
            <w:tcW w:w="72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for the six months ended June 30, 2026 of $23.1 million increased by 16% compared to the six months ended June 30, 2025 ($11.7 million for the second quarter of 2026, a 19% increase compared to the second quarter of 2025). The increase in SG&amp;A for the three and six months ended June 30, 2026 was primarily driven by higher compensation and benefits, other SG&amp;A and professional services. Compensation and benefits increased from severance costs related to cost reductions in the Corporate and Other segment and to support revenue growth in certain of our businesses. Other SG&amp;A increased from travel costs to support revenue growth. Other SG&amp;A for the three months ended June 30, 2026 also increased from higher bad debt expense. Professional services increased primarily due to a lower net benefit driven by a second quarter 2025 settlement benefit received related to a legacy matter, partially offset by a second quarter 2026 favorable adjustment to a previously recorded litigation settlement loss.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Income from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from operations for the six months ended June 30, 2026 was $2.9 million, representing 3% of service revenue, compared to $6.5 million, representing 8% of service revenue, for the six months ended June 30, 2025 (decreased to $1.1 million, representing 2% of service revenue, for the second quarter of 2026, compared to $3.2 million representing 8% of service revenue for the second quarter of 2025). Income from operations as a percentage of service revenue declined for the three and six months ended June 30, 2026 compared to the three and six months ended June 30, 2025 primarily from lower gross profit as a percentage of service revenue.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principally includes interest expense and other non-operating gains and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$(2.5) million for the six months ended June 30, 2026 compared to $(10.8) million for the six months ended June 30, 2025 ($(1.2) million and $(3.0) million for the second quarters of 2026 and 2025, respectively). The change for the three and six months ended June 30, 2026 was primarily driven by lower interest expense, no Debt Exchange Transaction expenses in 2026, and a gain on early extinguishment of debt in 2026 (no comparable amount in 2025). The lower interest expense was driven by the decrease in outstanding debt and a lower interest rate from the Debt Exchange Transaction. The $0.7 million gain on early extinguishment of debt was from a second quarter 2026 repurchase of $2.0 million of debt under the New Facility at a discount of 23.7%.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recognized an income tax (provision) benefit of $(1.4) million and $15.7 million for the six months ended June 30, 2026 and 2025, respectively ($(0.5) million and $16.5 million for the second quarters of 2026 and 2025, respectively). The income tax (provision) benefit for the three and six months ended June 30, 2026 was driven by income tax expense on transfer pricing income from India and the United States, no tax benefit on the pretax loss from our Luxembourg operating company, and uncertain tax positions. The income tax benefit for the three and six months ended June 30, 2025 was driven primarily by the reversal of liabilities for uncertain tax positions, partially offset by income tax expense on transfer pricing income from India and the United States and no tax benefit on the pretax loss from our Luxembourg operating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SEGMENT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section provides a discussion of pretax results of operations of our business segments. Transactions between segments are accounted for as third party arrangements for purposes of presenting segment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information for our segments was as follows:</w:t>
      </w:r>
    </w:p>
    <w:tbl>
      <w:tblPr>
        <w:tblW w:w="10205" w:type="dxa"/>
        <w:jc w:val="left"/>
        <w:tblInd w:w="0" w:type="dxa"/>
        <w:tblLayout w:type="fixed"/>
        <w:tblCellMar>
          <w:top w:w="28" w:type="dxa"/>
          <w:left w:w="28" w:type="dxa"/>
          <w:bottom w:w="28" w:type="dxa"/>
          <w:right w:w="28" w:type="dxa"/>
        </w:tblCellMar>
      </w:tblPr>
      <w:tblGrid>
        <w:gridCol w:w="1148"/>
        <w:gridCol w:w="960"/>
        <w:gridCol w:w="965"/>
        <w:gridCol w:w="109"/>
        <w:gridCol w:w="109"/>
        <w:gridCol w:w="109"/>
        <w:gridCol w:w="289"/>
        <w:gridCol w:w="955"/>
        <w:gridCol w:w="378"/>
        <w:gridCol w:w="109"/>
        <w:gridCol w:w="109"/>
        <w:gridCol w:w="109"/>
        <w:gridCol w:w="196"/>
        <w:gridCol w:w="646"/>
        <w:gridCol w:w="256"/>
        <w:gridCol w:w="109"/>
        <w:gridCol w:w="109"/>
        <w:gridCol w:w="109"/>
        <w:gridCol w:w="284"/>
        <w:gridCol w:w="1027"/>
        <w:gridCol w:w="158"/>
        <w:gridCol w:w="109"/>
        <w:gridCol w:w="109"/>
        <w:gridCol w:w="109"/>
        <w:gridCol w:w="279"/>
        <w:gridCol w:w="921"/>
        <w:gridCol w:w="435"/>
      </w:tblGrid>
      <w:tr>
        <w:trPr/>
        <w:tc>
          <w:tcPr>
            <w:tcW w:w="114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48,730 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11,504 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bl>
      <w:tblPr>
        <w:tblW w:w="10205" w:type="dxa"/>
        <w:jc w:val="left"/>
        <w:tblInd w:w="0" w:type="dxa"/>
        <w:tblLayout w:type="fixed"/>
        <w:tblCellMar>
          <w:top w:w="28" w:type="dxa"/>
          <w:left w:w="28" w:type="dxa"/>
          <w:bottom w:w="28" w:type="dxa"/>
          <w:right w:w="28" w:type="dxa"/>
        </w:tblCellMar>
      </w:tblPr>
      <w:tblGrid>
        <w:gridCol w:w="1164"/>
        <w:gridCol w:w="977"/>
        <w:gridCol w:w="982"/>
        <w:gridCol w:w="109"/>
        <w:gridCol w:w="109"/>
        <w:gridCol w:w="109"/>
        <w:gridCol w:w="292"/>
        <w:gridCol w:w="964"/>
        <w:gridCol w:w="381"/>
        <w:gridCol w:w="109"/>
        <w:gridCol w:w="109"/>
        <w:gridCol w:w="109"/>
        <w:gridCol w:w="196"/>
        <w:gridCol w:w="556"/>
        <w:gridCol w:w="256"/>
        <w:gridCol w:w="109"/>
        <w:gridCol w:w="109"/>
        <w:gridCol w:w="109"/>
        <w:gridCol w:w="286"/>
        <w:gridCol w:w="1037"/>
        <w:gridCol w:w="159"/>
        <w:gridCol w:w="109"/>
        <w:gridCol w:w="109"/>
        <w:gridCol w:w="109"/>
        <w:gridCol w:w="281"/>
        <w:gridCol w:w="928"/>
        <w:gridCol w:w="438"/>
      </w:tblGrid>
      <w:tr>
        <w:trPr/>
        <w:tc>
          <w:tcPr>
            <w:tcW w:w="116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5"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Three months ended June 30, 2025</w:t>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40,787 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30,261 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17"/>
        <w:gridCol w:w="1011"/>
        <w:gridCol w:w="1015"/>
        <w:gridCol w:w="109"/>
        <w:gridCol w:w="109"/>
        <w:gridCol w:w="109"/>
        <w:gridCol w:w="279"/>
        <w:gridCol w:w="921"/>
        <w:gridCol w:w="364"/>
        <w:gridCol w:w="109"/>
        <w:gridCol w:w="109"/>
        <w:gridCol w:w="109"/>
        <w:gridCol w:w="196"/>
        <w:gridCol w:w="646"/>
        <w:gridCol w:w="256"/>
        <w:gridCol w:w="109"/>
        <w:gridCol w:w="109"/>
        <w:gridCol w:w="109"/>
        <w:gridCol w:w="274"/>
        <w:gridCol w:w="986"/>
        <w:gridCol w:w="152"/>
        <w:gridCol w:w="109"/>
        <w:gridCol w:w="109"/>
        <w:gridCol w:w="109"/>
        <w:gridCol w:w="269"/>
        <w:gridCol w:w="890"/>
        <w:gridCol w:w="421"/>
      </w:tblGrid>
      <w:tr>
        <w:trPr/>
        <w:tc>
          <w:tcPr>
            <w:tcW w:w="121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65,752 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93,819 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44,831 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72,316 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21,302 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 /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bl>
      <w:tblPr>
        <w:tblW w:w="10205" w:type="dxa"/>
        <w:jc w:val="left"/>
        <w:tblInd w:w="0" w:type="dxa"/>
        <w:tblLayout w:type="fixed"/>
        <w:tblCellMar>
          <w:top w:w="28" w:type="dxa"/>
          <w:left w:w="28" w:type="dxa"/>
          <w:bottom w:w="28" w:type="dxa"/>
          <w:right w:w="28" w:type="dxa"/>
        </w:tblCellMar>
      </w:tblPr>
      <w:tblGrid>
        <w:gridCol w:w="1217"/>
        <w:gridCol w:w="1011"/>
        <w:gridCol w:w="1015"/>
        <w:gridCol w:w="109"/>
        <w:gridCol w:w="109"/>
        <w:gridCol w:w="109"/>
        <w:gridCol w:w="279"/>
        <w:gridCol w:w="921"/>
        <w:gridCol w:w="364"/>
        <w:gridCol w:w="109"/>
        <w:gridCol w:w="109"/>
        <w:gridCol w:w="109"/>
        <w:gridCol w:w="196"/>
        <w:gridCol w:w="646"/>
        <w:gridCol w:w="256"/>
        <w:gridCol w:w="109"/>
        <w:gridCol w:w="109"/>
        <w:gridCol w:w="109"/>
        <w:gridCol w:w="274"/>
        <w:gridCol w:w="986"/>
        <w:gridCol w:w="152"/>
        <w:gridCol w:w="109"/>
        <w:gridCol w:w="109"/>
        <w:gridCol w:w="109"/>
        <w:gridCol w:w="269"/>
        <w:gridCol w:w="890"/>
        <w:gridCol w:w="421"/>
      </w:tblGrid>
      <w:tr>
        <w:trPr/>
        <w:tc>
          <w:tcPr>
            <w:tcW w:w="121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Servicer and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Altisource</w:t>
            </w:r>
          </w:p>
        </w:tc>
      </w:tr>
      <w:tr>
        <w:trPr/>
        <w:tc>
          <w:tcPr>
            <w:tcW w:w="3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 /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 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Servicer and Real Estate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by line of business was as follows:</w:t>
      </w:r>
    </w:p>
    <w:tbl>
      <w:tblPr>
        <w:tblW w:w="10205" w:type="dxa"/>
        <w:jc w:val="left"/>
        <w:tblInd w:w="0" w:type="dxa"/>
        <w:tblLayout w:type="fixed"/>
        <w:tblCellMar>
          <w:top w:w="28" w:type="dxa"/>
          <w:left w:w="28" w:type="dxa"/>
          <w:bottom w:w="28" w:type="dxa"/>
          <w:right w:w="28" w:type="dxa"/>
        </w:tblCellMar>
      </w:tblPr>
      <w:tblGrid>
        <w:gridCol w:w="632"/>
        <w:gridCol w:w="556"/>
        <w:gridCol w:w="557"/>
        <w:gridCol w:w="109"/>
        <w:gridCol w:w="109"/>
        <w:gridCol w:w="109"/>
        <w:gridCol w:w="196"/>
        <w:gridCol w:w="646"/>
        <w:gridCol w:w="109"/>
        <w:gridCol w:w="109"/>
        <w:gridCol w:w="109"/>
        <w:gridCol w:w="109"/>
        <w:gridCol w:w="196"/>
        <w:gridCol w:w="646"/>
        <w:gridCol w:w="109"/>
        <w:gridCol w:w="109"/>
        <w:gridCol w:w="109"/>
        <w:gridCol w:w="109"/>
        <w:gridCol w:w="440"/>
        <w:gridCol w:w="440"/>
        <w:gridCol w:w="442"/>
        <w:gridCol w:w="109"/>
        <w:gridCol w:w="109"/>
        <w:gridCol w:w="109"/>
        <w:gridCol w:w="196"/>
        <w:gridCol w:w="646"/>
        <w:gridCol w:w="109"/>
        <w:gridCol w:w="109"/>
        <w:gridCol w:w="109"/>
        <w:gridCol w:w="109"/>
        <w:gridCol w:w="196"/>
        <w:gridCol w:w="646"/>
        <w:gridCol w:w="109"/>
        <w:gridCol w:w="109"/>
        <w:gridCol w:w="109"/>
        <w:gridCol w:w="109"/>
        <w:gridCol w:w="400"/>
        <w:gridCol w:w="400"/>
        <w:gridCol w:w="572"/>
      </w:tblGrid>
      <w:tr>
        <w:trPr/>
        <w:tc>
          <w:tcPr>
            <w:tcW w:w="63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1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SaaS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service revenue of $65.8 million for the six months ended June 30, 2026, a 1% increase compared to the six months ended June 30, 2025 ($34.4 million for the second quarter of 2026, an 8% increase compared to the second quarter of 2025). We also recognized reimbursable expenses revenue of $4.1 million for the six months ended June 30, 2026, an 11% decrease compared to the six months ended June 30, 2025 ($1.8 million for the second quarter of 2026, a 22% decrease compared to the second quarter of 2025). The increase in service revenue for the six months ended June 30, 2026 was driven by sales wins in the Hubzu business within Marketplace and Title business within Solutions, partially offset by lower service revenue in the Property Renovation business within Solutions. The increase in service revenue for the three months ended June 30, 2026 was driven by sales wins the Foreclosure Trustee and Title businesses within Solutions and the Hubzu business within Marketplace. The decrease in reimbursable expenses revenue for the three and six months ended June 30, 2026 was driven by fewer asset resolution and asset management activities in the Hubzu business within Marketplace, reflecting the transfer of certain Hubzu REO to Rithm. </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Profit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consisted of the following:</w:t>
      </w:r>
    </w:p>
    <w:tbl>
      <w:tblPr>
        <w:tblW w:w="10205" w:type="dxa"/>
        <w:jc w:val="left"/>
        <w:tblInd w:w="0" w:type="dxa"/>
        <w:tblLayout w:type="fixed"/>
        <w:tblCellMar>
          <w:top w:w="28" w:type="dxa"/>
          <w:left w:w="28" w:type="dxa"/>
          <w:bottom w:w="28" w:type="dxa"/>
          <w:right w:w="28" w:type="dxa"/>
        </w:tblCellMar>
      </w:tblPr>
      <w:tblGrid>
        <w:gridCol w:w="829"/>
        <w:gridCol w:w="593"/>
        <w:gridCol w:w="545"/>
        <w:gridCol w:w="109"/>
        <w:gridCol w:w="109"/>
        <w:gridCol w:w="109"/>
        <w:gridCol w:w="196"/>
        <w:gridCol w:w="646"/>
        <w:gridCol w:w="109"/>
        <w:gridCol w:w="109"/>
        <w:gridCol w:w="109"/>
        <w:gridCol w:w="109"/>
        <w:gridCol w:w="196"/>
        <w:gridCol w:w="646"/>
        <w:gridCol w:w="109"/>
        <w:gridCol w:w="109"/>
        <w:gridCol w:w="109"/>
        <w:gridCol w:w="109"/>
        <w:gridCol w:w="403"/>
        <w:gridCol w:w="403"/>
        <w:gridCol w:w="405"/>
        <w:gridCol w:w="109"/>
        <w:gridCol w:w="109"/>
        <w:gridCol w:w="109"/>
        <w:gridCol w:w="196"/>
        <w:gridCol w:w="646"/>
        <w:gridCol w:w="109"/>
        <w:gridCol w:w="109"/>
        <w:gridCol w:w="109"/>
        <w:gridCol w:w="109"/>
        <w:gridCol w:w="196"/>
        <w:gridCol w:w="646"/>
        <w:gridCol w:w="109"/>
        <w:gridCol w:w="109"/>
        <w:gridCol w:w="109"/>
        <w:gridCol w:w="109"/>
        <w:gridCol w:w="368"/>
        <w:gridCol w:w="368"/>
        <w:gridCol w:w="525"/>
      </w:tblGrid>
      <w:tr>
        <w:trPr/>
        <w:tc>
          <w:tcPr>
            <w:tcW w:w="8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682" w:type="dxa"/>
            <w:gridSpan w:val="24"/>
            <w:tcBorders/>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1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fees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telecommunications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six months ended June 30, 2026 of $44.8 million increased by 2% compared to the three and six months ended June 30, 2025 ($23.3 million for the second quarter of 2026, a 6% increase compared to the second quarter of 2025). The increase in cost of revenue for the three and six months ended June 30, 2026 was primarily driven by higher compensation and benefits to support revenue growth in certain businesses and higher outside fees and services. This was partially offset by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reimbursable expenses driven by the transfer of certain Hubzu REO to Rithm. Outside fees and services increased primarily from service revenue growth in the Foreclosure Trustee and Title businesses within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decreased to $25.0 million, representing 38% of service revenue, for the six months ended June 30, 2026 compared to $25.6 million, representing 40% of service revenue, for the six months ended June 30, 2025 (increased to $12.9 million, representing 37% of service revenue, for the second quarter of 2026, compared to $12.3 million, representing 39% of service revenue, for the second quarter of 2025). Gross profit as a percentage of service revenue for the three and six months ended June 30, 2026 decreased primarily from higher costs associated with newer Hubzu and Foreclosure Trustee business within Marketplace and Solutions, respectively, partially offset by a change in revenue mix with a higher percentage of revenue from the higher margin Hubzu, Foreclosure Trustee and Title businesses. Our margins can vary substantially depending upon the service revenue mix.</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SG&amp;A expenses consisted of the following:</w:t>
      </w:r>
    </w:p>
    <w:tbl>
      <w:tblPr>
        <w:tblW w:w="10205" w:type="dxa"/>
        <w:jc w:val="left"/>
        <w:tblInd w:w="0" w:type="dxa"/>
        <w:tblLayout w:type="fixed"/>
        <w:tblCellMar>
          <w:top w:w="28" w:type="dxa"/>
          <w:left w:w="28" w:type="dxa"/>
          <w:bottom w:w="28" w:type="dxa"/>
          <w:right w:w="28" w:type="dxa"/>
        </w:tblCellMar>
      </w:tblPr>
      <w:tblGrid>
        <w:gridCol w:w="798"/>
        <w:gridCol w:w="681"/>
        <w:gridCol w:w="683"/>
        <w:gridCol w:w="109"/>
        <w:gridCol w:w="109"/>
        <w:gridCol w:w="109"/>
        <w:gridCol w:w="196"/>
        <w:gridCol w:w="556"/>
        <w:gridCol w:w="109"/>
        <w:gridCol w:w="109"/>
        <w:gridCol w:w="109"/>
        <w:gridCol w:w="109"/>
        <w:gridCol w:w="196"/>
        <w:gridCol w:w="556"/>
        <w:gridCol w:w="109"/>
        <w:gridCol w:w="109"/>
        <w:gridCol w:w="109"/>
        <w:gridCol w:w="109"/>
        <w:gridCol w:w="431"/>
        <w:gridCol w:w="431"/>
        <w:gridCol w:w="432"/>
        <w:gridCol w:w="109"/>
        <w:gridCol w:w="109"/>
        <w:gridCol w:w="109"/>
        <w:gridCol w:w="196"/>
        <w:gridCol w:w="556"/>
        <w:gridCol w:w="109"/>
        <w:gridCol w:w="109"/>
        <w:gridCol w:w="109"/>
        <w:gridCol w:w="109"/>
        <w:gridCol w:w="196"/>
        <w:gridCol w:w="556"/>
        <w:gridCol w:w="109"/>
        <w:gridCol w:w="109"/>
        <w:gridCol w:w="109"/>
        <w:gridCol w:w="109"/>
        <w:gridCol w:w="392"/>
        <w:gridCol w:w="392"/>
        <w:gridCol w:w="559"/>
      </w:tblGrid>
      <w:tr>
        <w:trPr/>
        <w:tc>
          <w:tcPr>
            <w:tcW w:w="7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667" w:type="dxa"/>
            <w:gridSpan w:val="24"/>
            <w:tcBorders/>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SG&amp;A for the six months ended June 30, 2026 of $4.0 million increased by 20% compared to the six months ended June 30, 2025 ($1.5 million for the second quarter of 2026, a 47% increase compared to the second quarter of 2025). The increase in SG&amp;A for the three and six months ended June 30, 2026 was primarily due to lower professional services net benefit and higher bad debt expense and travel costs to support revenue growth. Professional services net benefit decreased primarily due to a second quarter 2025 settlement benefit received related to a legacy matter, partially offset by a second quarter 2026 favorable adjustment to a previously recorded litigation settlement loss.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Income from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from operations decreased to $20.9 million, representing 32% of service revenue, for the six months ended June 30, 2026 compared to $22.2 million, representing 34% of service revenue, for the six months ended June 30, 2025 (increased to $11.4 million, representing 33% of service revenue, for the second quarter of 2026, compared to $11.3 million, representing 35% of service revenue, for the second quarter of 2025). Operating income as a percentage of service revenue for the three and six months ended June 30, 2026 decreased as a result of lower gross profit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Origination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by business unit was as follows:</w:t>
      </w:r>
    </w:p>
    <w:tbl>
      <w:tblPr>
        <w:tblW w:w="10205" w:type="dxa"/>
        <w:jc w:val="left"/>
        <w:tblInd w:w="0" w:type="dxa"/>
        <w:tblLayout w:type="fixed"/>
        <w:tblCellMar>
          <w:top w:w="28" w:type="dxa"/>
          <w:left w:w="28" w:type="dxa"/>
          <w:bottom w:w="28" w:type="dxa"/>
          <w:right w:w="28" w:type="dxa"/>
        </w:tblCellMar>
      </w:tblPr>
      <w:tblGrid>
        <w:gridCol w:w="712"/>
        <w:gridCol w:w="558"/>
        <w:gridCol w:w="559"/>
        <w:gridCol w:w="109"/>
        <w:gridCol w:w="109"/>
        <w:gridCol w:w="109"/>
        <w:gridCol w:w="196"/>
        <w:gridCol w:w="646"/>
        <w:gridCol w:w="109"/>
        <w:gridCol w:w="109"/>
        <w:gridCol w:w="109"/>
        <w:gridCol w:w="109"/>
        <w:gridCol w:w="196"/>
        <w:gridCol w:w="556"/>
        <w:gridCol w:w="109"/>
        <w:gridCol w:w="109"/>
        <w:gridCol w:w="109"/>
        <w:gridCol w:w="109"/>
        <w:gridCol w:w="441"/>
        <w:gridCol w:w="441"/>
        <w:gridCol w:w="443"/>
        <w:gridCol w:w="109"/>
        <w:gridCol w:w="109"/>
        <w:gridCol w:w="109"/>
        <w:gridCol w:w="196"/>
        <w:gridCol w:w="646"/>
        <w:gridCol w:w="109"/>
        <w:gridCol w:w="109"/>
        <w:gridCol w:w="109"/>
        <w:gridCol w:w="109"/>
        <w:gridCol w:w="196"/>
        <w:gridCol w:w="646"/>
        <w:gridCol w:w="109"/>
        <w:gridCol w:w="109"/>
        <w:gridCol w:w="109"/>
        <w:gridCol w:w="109"/>
        <w:gridCol w:w="401"/>
        <w:gridCol w:w="401"/>
        <w:gridCol w:w="573"/>
      </w:tblGrid>
      <w:tr>
        <w:trPr/>
        <w:tc>
          <w:tcPr>
            <w:tcW w:w="71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10" w:type="dxa"/>
            <w:gridSpan w:val="24"/>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Lenders 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SaaS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recognized service revenue of $28.1 million for the six months ended June 30, 2026, a 66% increase compared to the six months ended June 30, 2025 ($14.3 million for the second quarter of 2026, a 62% increase compared to the second quarter of 2025). We also recognized reimbursable expenses revenue of $0.2 million for the six months ended June 30, 2026, a 37% decrease compared to the six months ended June 30, 2025 ($0.1 million for the second quarter of 2026, a 31% decrease compared to the second quarter of 2025). The increase in service revenue for the three and six months ended June 30, 2026 was primarily driven by sales wins in Lenders One and a stronger origination market, partially offset by lower volumes for loan fulfillment services within Solutions. The decrease in reimbursable expenses for the three and six months ended June 30, 2026 was primarily driven by a decline in Title services within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consisted of the following:</w:t>
      </w:r>
    </w:p>
    <w:tbl>
      <w:tblPr>
        <w:tblW w:w="10205" w:type="dxa"/>
        <w:jc w:val="left"/>
        <w:tblInd w:w="0" w:type="dxa"/>
        <w:tblLayout w:type="fixed"/>
        <w:tblCellMar>
          <w:top w:w="28" w:type="dxa"/>
          <w:left w:w="28" w:type="dxa"/>
          <w:bottom w:w="28" w:type="dxa"/>
          <w:right w:w="28" w:type="dxa"/>
        </w:tblCellMar>
      </w:tblPr>
      <w:tblGrid>
        <w:gridCol w:w="837"/>
        <w:gridCol w:w="607"/>
        <w:gridCol w:w="562"/>
        <w:gridCol w:w="109"/>
        <w:gridCol w:w="109"/>
        <w:gridCol w:w="109"/>
        <w:gridCol w:w="196"/>
        <w:gridCol w:w="646"/>
        <w:gridCol w:w="109"/>
        <w:gridCol w:w="109"/>
        <w:gridCol w:w="109"/>
        <w:gridCol w:w="109"/>
        <w:gridCol w:w="196"/>
        <w:gridCol w:w="556"/>
        <w:gridCol w:w="109"/>
        <w:gridCol w:w="109"/>
        <w:gridCol w:w="109"/>
        <w:gridCol w:w="109"/>
        <w:gridCol w:w="412"/>
        <w:gridCol w:w="412"/>
        <w:gridCol w:w="413"/>
        <w:gridCol w:w="109"/>
        <w:gridCol w:w="109"/>
        <w:gridCol w:w="109"/>
        <w:gridCol w:w="196"/>
        <w:gridCol w:w="646"/>
        <w:gridCol w:w="109"/>
        <w:gridCol w:w="109"/>
        <w:gridCol w:w="109"/>
        <w:gridCol w:w="109"/>
        <w:gridCol w:w="196"/>
        <w:gridCol w:w="646"/>
        <w:gridCol w:w="109"/>
        <w:gridCol w:w="109"/>
        <w:gridCol w:w="109"/>
        <w:gridCol w:w="109"/>
        <w:gridCol w:w="375"/>
        <w:gridCol w:w="375"/>
        <w:gridCol w:w="536"/>
      </w:tblGrid>
      <w:tr>
        <w:trPr/>
        <w:tc>
          <w:tcPr>
            <w:tcW w:w="83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33" w:type="dxa"/>
            <w:gridSpan w:val="24"/>
            <w:tcBorders/>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fees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of $24.2 million increased by 80% compared to the six months ended June 30, 2025 ($12.9 million for the second quarter of 2026, a 90% increase compared to the second quarter of 2025). The increase in cost of revenue for the three and six months ended June 30, 2026 was primarily driven by higher outside fees and services from growth in the reseller products in Lenders One and higher compensation and benefits to support revenue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to $4.2 million, representing 15% of service revenue, for the six months ended June 30, 2026 compared to $3.9 million, representing 23% of service revenue, for the six months ended June 30, 2025 (decreased to $1.6 million, representing 11% of service revenue, for the second quarter of 2026, compared to $2.3 million, representing 26% of service revenue for the second quarter of 2025). Gross profit as a percentage of service revenue for the three and six months ended June 30, 2026 decreased compared to the three and six months ended June 30, 2025 from revenue mix in Lenders 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SG&amp;A expenses consisted of the following:</w:t>
      </w:r>
    </w:p>
    <w:tbl>
      <w:tblPr>
        <w:tblW w:w="10205" w:type="dxa"/>
        <w:jc w:val="left"/>
        <w:tblInd w:w="0" w:type="dxa"/>
        <w:tblLayout w:type="fixed"/>
        <w:tblCellMar>
          <w:top w:w="28" w:type="dxa"/>
          <w:left w:w="28" w:type="dxa"/>
          <w:bottom w:w="28" w:type="dxa"/>
          <w:right w:w="28" w:type="dxa"/>
        </w:tblCellMar>
      </w:tblPr>
      <w:tblGrid>
        <w:gridCol w:w="798"/>
        <w:gridCol w:w="681"/>
        <w:gridCol w:w="683"/>
        <w:gridCol w:w="109"/>
        <w:gridCol w:w="109"/>
        <w:gridCol w:w="109"/>
        <w:gridCol w:w="196"/>
        <w:gridCol w:w="556"/>
        <w:gridCol w:w="109"/>
        <w:gridCol w:w="109"/>
        <w:gridCol w:w="109"/>
        <w:gridCol w:w="109"/>
        <w:gridCol w:w="196"/>
        <w:gridCol w:w="556"/>
        <w:gridCol w:w="109"/>
        <w:gridCol w:w="109"/>
        <w:gridCol w:w="109"/>
        <w:gridCol w:w="109"/>
        <w:gridCol w:w="431"/>
        <w:gridCol w:w="431"/>
        <w:gridCol w:w="432"/>
        <w:gridCol w:w="109"/>
        <w:gridCol w:w="109"/>
        <w:gridCol w:w="109"/>
        <w:gridCol w:w="196"/>
        <w:gridCol w:w="556"/>
        <w:gridCol w:w="109"/>
        <w:gridCol w:w="109"/>
        <w:gridCol w:w="109"/>
        <w:gridCol w:w="109"/>
        <w:gridCol w:w="196"/>
        <w:gridCol w:w="556"/>
        <w:gridCol w:w="109"/>
        <w:gridCol w:w="109"/>
        <w:gridCol w:w="109"/>
        <w:gridCol w:w="109"/>
        <w:gridCol w:w="392"/>
        <w:gridCol w:w="392"/>
        <w:gridCol w:w="559"/>
      </w:tblGrid>
      <w:tr>
        <w:trPr/>
        <w:tc>
          <w:tcPr>
            <w:tcW w:w="7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667" w:type="dxa"/>
            <w:gridSpan w:val="24"/>
            <w:tcBorders/>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SG&amp;A for the six months ended June 30, 2026 of $3.8 million increased by 10% compared to the six months ended June 30, 2025 ($1.9 million for the second quarter of 2026, a 5% increase compared to the second quarter of 2025). The increase in SG&amp;A for the three and six months ended June 30, 2026 was primarily due to higher amortization of intangible assets and compensation and benefits, partially offset by lower professional services costs. Amortization of intangible assets increased due to the addition of Lenders One intangible assets in the fourth quarter of 2025. Compensation and benefits increased primarily to support revenue growth in the Origination segment. Professional services decreased primarily due to lower legal-related costs.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Income (loss) from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(loss) from operations was relatively flat at $0.5 million, representing 2% of service revenue for the six months ended June 30, 2026 compared to $0.5 million, representing 3% of service revenue, for the six months ended June 30, 2025 (decreased to $(0.2) million, representing (1%) of service revenue for the second quarter of 2026, compared to $0.6 million, representing 6% of service revenue for the second quarter of 2025). Income from operations as a percentage of service revenue for the three and six months ended June 30, 2026 decreased compared to the three and six months ended June 30, 2025 primarily due to the decline in gross profit margins, partially offset by lower SG&amp;A expenses as a percentage of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and Others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consisted of the following:</w:t>
      </w:r>
    </w:p>
    <w:tbl>
      <w:tblPr>
        <w:tblW w:w="10205" w:type="dxa"/>
        <w:jc w:val="left"/>
        <w:tblInd w:w="0" w:type="dxa"/>
        <w:tblLayout w:type="fixed"/>
        <w:tblCellMar>
          <w:top w:w="28" w:type="dxa"/>
          <w:left w:w="28" w:type="dxa"/>
          <w:bottom w:w="28" w:type="dxa"/>
          <w:right w:w="28" w:type="dxa"/>
        </w:tblCellMar>
      </w:tblPr>
      <w:tblGrid>
        <w:gridCol w:w="769"/>
        <w:gridCol w:w="674"/>
        <w:gridCol w:w="679"/>
        <w:gridCol w:w="109"/>
        <w:gridCol w:w="109"/>
        <w:gridCol w:w="109"/>
        <w:gridCol w:w="196"/>
        <w:gridCol w:w="556"/>
        <w:gridCol w:w="109"/>
        <w:gridCol w:w="109"/>
        <w:gridCol w:w="109"/>
        <w:gridCol w:w="109"/>
        <w:gridCol w:w="196"/>
        <w:gridCol w:w="556"/>
        <w:gridCol w:w="109"/>
        <w:gridCol w:w="109"/>
        <w:gridCol w:w="109"/>
        <w:gridCol w:w="109"/>
        <w:gridCol w:w="437"/>
        <w:gridCol w:w="437"/>
        <w:gridCol w:w="439"/>
        <w:gridCol w:w="109"/>
        <w:gridCol w:w="109"/>
        <w:gridCol w:w="109"/>
        <w:gridCol w:w="196"/>
        <w:gridCol w:w="556"/>
        <w:gridCol w:w="109"/>
        <w:gridCol w:w="109"/>
        <w:gridCol w:w="109"/>
        <w:gridCol w:w="109"/>
        <w:gridCol w:w="196"/>
        <w:gridCol w:w="556"/>
        <w:gridCol w:w="109"/>
        <w:gridCol w:w="109"/>
        <w:gridCol w:w="109"/>
        <w:gridCol w:w="109"/>
        <w:gridCol w:w="397"/>
        <w:gridCol w:w="397"/>
        <w:gridCol w:w="570"/>
      </w:tblGrid>
      <w:tr>
        <w:trPr/>
        <w:tc>
          <w:tcPr>
            <w:tcW w:w="7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07" w:type="dxa"/>
            <w:gridSpan w:val="24"/>
            <w:tcBorders/>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of $3.3 million increased by 4% compared to the six months ended June 30, 2025 ($1.7 million for the second quarter of 2026, a 6% increase compared to the second quarter of 2025). The increase in cost of revenue for the three and six months ended June 30, 2026 was primarily driven by investments in technology initiatives and higher compensation and benefits, partially offset by lower depreciation and amortization from the completion of the depreciation periods for certain premises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in Corporate and Others include costs related to the corporate functions including executive, finance, technology, law, compliance, human resources, vendor management, facilities, risk management and eliminations between reportable segments.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consisted of the following:</w:t>
      </w:r>
    </w:p>
    <w:tbl>
      <w:tblPr>
        <w:tblW w:w="10205" w:type="dxa"/>
        <w:jc w:val="left"/>
        <w:tblInd w:w="0" w:type="dxa"/>
        <w:tblLayout w:type="fixed"/>
        <w:tblCellMar>
          <w:top w:w="28" w:type="dxa"/>
          <w:left w:w="28" w:type="dxa"/>
          <w:bottom w:w="28" w:type="dxa"/>
          <w:right w:w="28" w:type="dxa"/>
        </w:tblCellMar>
      </w:tblPr>
      <w:tblGrid>
        <w:gridCol w:w="748"/>
        <w:gridCol w:w="658"/>
        <w:gridCol w:w="652"/>
        <w:gridCol w:w="109"/>
        <w:gridCol w:w="109"/>
        <w:gridCol w:w="109"/>
        <w:gridCol w:w="196"/>
        <w:gridCol w:w="556"/>
        <w:gridCol w:w="109"/>
        <w:gridCol w:w="109"/>
        <w:gridCol w:w="109"/>
        <w:gridCol w:w="109"/>
        <w:gridCol w:w="196"/>
        <w:gridCol w:w="556"/>
        <w:gridCol w:w="109"/>
        <w:gridCol w:w="109"/>
        <w:gridCol w:w="109"/>
        <w:gridCol w:w="109"/>
        <w:gridCol w:w="418"/>
        <w:gridCol w:w="418"/>
        <w:gridCol w:w="419"/>
        <w:gridCol w:w="109"/>
        <w:gridCol w:w="109"/>
        <w:gridCol w:w="109"/>
        <w:gridCol w:w="196"/>
        <w:gridCol w:w="646"/>
        <w:gridCol w:w="109"/>
        <w:gridCol w:w="109"/>
        <w:gridCol w:w="109"/>
        <w:gridCol w:w="109"/>
        <w:gridCol w:w="196"/>
        <w:gridCol w:w="646"/>
        <w:gridCol w:w="109"/>
        <w:gridCol w:w="109"/>
        <w:gridCol w:w="109"/>
        <w:gridCol w:w="109"/>
        <w:gridCol w:w="380"/>
        <w:gridCol w:w="380"/>
        <w:gridCol w:w="546"/>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71" w:type="dxa"/>
            <w:gridSpan w:val="24"/>
            <w:tcBorders/>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2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for the six months ended June 30, 2026 of $15.3 million increased by 17% compared to the six months ended June 30, 2025 ($8.3 million for the second quarter of 2026, a 19% increase compared to the second quarter of 2025). The increase in SG&amp;A for the three and six months ended June 30, 2026 was primarily driven by higher compensation and benefits from severance costs related to cost reductions. The increase in SG&amp;A for the six months ended June 30, 2026 was also driven by higher professional services from higher accruals for estimated legal matters.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 (Expense), net</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(expense), net principally includes interest expense and other non-operating gains and losses.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(expense), net was $(2.9) million for the six months ended June 30, 2026 compared to $(10.8) million for the six months ended June 30, 2025 ($(1.3) million and $(3.0) million for the second quarters of 2026 and 2025, respectively). The change for the three and six months ended June 30, 2026 was primarily driven by lower interest expense, no Debt Exchange Transaction expenses in 2026, and a gain on early extinguishment of debt in 2026 (no comparable amount in 2025). The lower interest expense was driven by the decrease in outstanding debt and a lower interest rate from the Debt Exchange Transaction. The $0.7 million gain on early extinguishment of debt was from a second quarter 2026 repurchase of $2.0 million of debt under the New Facility at a discount of 23.7%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AND CAPITAL RESOURCES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pre-pandemic levels (although revenue grew in 2025 compared to 2024 and for the three and six months ended June 30, 2026 compared to the three and six months ended June 30, 2025, respectively).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plan to use cash for repayments of our long-term debt and capital investments. In addition, from time to time we may consider and evaluate business acquisitions, dispositions, closures, sales of equity securities or other similar actions that are aligned with our strategy.</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Revolving Loan Agreement</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Company’s Renovation business, on June 3, 2024 Altisource Solutions, Inc., an indirect subsidiary of Altisource Portfolio Solutions S.A, entered into a revolving loan agreement with a then related-party, Accelitron Advanced Motor Controls, Inc. (“AAMC”) (formerly Altisource Asset Management Corporation) (the “Revolving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maturity date of the Revolving Loan Agreement was extended in June 2026 to June 3, 2027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Altisource’s obligation under the Revolving Loan Agreement is secured by certain receivables related to the Company’s residential real estate renovation services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no outstanding debt under the Revolving Loan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six months ended June 30:</w:t>
      </w:r>
    </w:p>
    <w:tbl>
      <w:tblPr>
        <w:tblW w:w="9812" w:type="dxa"/>
        <w:jc w:val="left"/>
        <w:tblInd w:w="0" w:type="dxa"/>
        <w:tblLayout w:type="fixed"/>
        <w:tblCellMar>
          <w:top w:w="28" w:type="dxa"/>
          <w:left w:w="28" w:type="dxa"/>
          <w:bottom w:w="28" w:type="dxa"/>
          <w:right w:w="28" w:type="dxa"/>
        </w:tblCellMar>
      </w:tblPr>
      <w:tblGrid>
        <w:gridCol w:w="1878"/>
        <w:gridCol w:w="1653"/>
        <w:gridCol w:w="1658"/>
        <w:gridCol w:w="109"/>
        <w:gridCol w:w="109"/>
        <w:gridCol w:w="109"/>
        <w:gridCol w:w="196"/>
        <w:gridCol w:w="646"/>
        <w:gridCol w:w="109"/>
        <w:gridCol w:w="109"/>
        <w:gridCol w:w="109"/>
        <w:gridCol w:w="109"/>
        <w:gridCol w:w="196"/>
        <w:gridCol w:w="646"/>
        <w:gridCol w:w="109"/>
        <w:gridCol w:w="109"/>
        <w:gridCol w:w="109"/>
        <w:gridCol w:w="109"/>
        <w:gridCol w:w="509"/>
        <w:gridCol w:w="509"/>
        <w:gridCol w:w="722"/>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Increase (decrease)</w:t>
            </w:r>
          </w:p>
        </w:tc>
      </w:tr>
      <w:tr>
        <w:trPr/>
        <w:tc>
          <w:tcPr>
            <w:tcW w:w="5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generally consist of the cash effects of transactions and events that enter into the determination of net (loss) income. For the six months ended June 30, 2026, net cash used in operating activities was $(2.2) million compared to net cash used in operating activities of $(5.3) million for the six months ended June 30, 2025. The decrease in cash used in operating activities was driven by a $4.7 million improvement in net income (loss) before income tax, partially offset by a $1.6 million increase in net reductions to net income for gain on the early extinguishment of debt, amortization of debt premium, debt discount and debt issuance costs, and share based compensation.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financing activities was $(3.4) million and $5.5 million for the six months ended June 30, 2026 and 2025, respectively. During the six months ended June 30, 2026, we used $0.6 million to make scheduled repayments of the New Facility and Super Senior Facility ($0.3 million for the six months ended June 30, 2025), and $1.5 million to repurchase $2.0 million of our debt under the New Facility in June 2026 (no comparative amount for the six months ended June 30, 2025). During the six months ended June 30, 2025, in connection with the Debt Exchange Transaction, we received $11.3 million in proceeds from the Super Senior Credit Facility, net of original issuance discount and used $1.7 million for debt issuance costs (no comparative amounts for the six months ended June 30, 2026). During the six months ended June 30, 2026, we used $0.3 million related to the issuance of equity ($3.4 million for the six months ended June 30, 2025). During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June 30, 2026 and 2025, we made payments of $0.9 million and $0.3 million, respectively, to satisfy employee tax withholding obligations on the vesting of restricted share units (“RSUs”) and restricted shares. These payments were made to tax authorities, at the employees’ direction, to satisfy the employees’ tax obligations rather than issuing a portion of vested restricted share units and restricted shares to employees. In addition, we distributed $0.1 million and less than $0.1 million during the three and six months ended June 30, 2026 and 2025, respectively, to non-controlling interests.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Future Uses of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significant future liquidity obligations primarily pertain to amortization of the New Facility, amortization and maturity of the Super Senior Facility, interest expense under the New Facility and the Super Senior Facility, and operating lease payments on certain of our premises and equipment.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future uses of cash include the following:</w:t>
      </w:r>
    </w:p>
    <w:tbl>
      <w:tblPr>
        <w:tblW w:w="7062"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196"/>
        <w:gridCol w:w="736"/>
        <w:gridCol w:w="109"/>
        <w:gridCol w:w="109"/>
        <w:gridCol w:w="109"/>
        <w:gridCol w:w="109"/>
        <w:gridCol w:w="196"/>
        <w:gridCol w:w="556"/>
        <w:gridCol w:w="109"/>
        <w:gridCol w:w="109"/>
        <w:gridCol w:w="109"/>
        <w:gridCol w:w="109"/>
        <w:gridCol w:w="196"/>
        <w:gridCol w:w="646"/>
        <w:gridCol w:w="109"/>
        <w:gridCol w:w="109"/>
        <w:gridCol w:w="109"/>
        <w:gridCol w:w="109"/>
        <w:gridCol w:w="196"/>
        <w:gridCol w:w="73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2029-2030</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New Facility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Super Senior Facility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payments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215,773 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6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$155.3 million of the New Facility matures on April 30, 2030 and $1.4 million of the New Facility matures on January 15, 2029.</w:t>
      </w:r>
    </w:p>
    <w:p>
      <w:pPr>
        <w:pStyle w:val="TextBody"/>
        <w:bidi w:val="0"/>
        <w:spacing w:lineRule="auto" w:line="288" w:before="0" w:after="60"/>
        <w:ind w:left="0" w:right="0" w:hanging="27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Super Senior Facility matures on February 19, 2029.</w:t>
      </w:r>
    </w:p>
    <w:p>
      <w:pPr>
        <w:pStyle w:val="TextBody"/>
        <w:bidi w:val="0"/>
        <w:spacing w:lineRule="auto" w:line="288" w:before="0" w:after="180"/>
        <w:ind w:left="0" w:right="0" w:hanging="27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Estimated future interest payments for the New Facility and the Super Senior Facility based on the three-month Secured Overnight Financing Rate (“SOFR”) interest rate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funding future liquidity requirements with a combination of existing cash balances and cash anticipated to be generated by operating activities. For further information, see Note 10 and Note 21 to the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off-balance sheet arrangements consist of escrow and certain other account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$38.1 million and $50.5 million as of June 30, 2026 and December 31, 2025, respectively.</w:t>
      </w:r>
    </w:p>
    <w:p>
      <w:pPr>
        <w:pStyle w:val="TextBody"/>
        <w:bidi w:val="0"/>
        <w:spacing w:lineRule="auto" w:line="288" w:before="0" w:after="180"/>
        <w:jc w:val="both"/>
        <w:rPr/>
      </w:pPr>
      <w:r>
        <w:rPr>
          <w:rFonts w:ascii="Times New Roman;serif" w:hAnsi="Times New Roman;serif"/>
          <w:b/>
          <w:color w:val="000000"/>
          <w:sz w:val="20"/>
        </w:rPr>
        <w:t>Contractual Obligations, Commitments</w:t>
      </w:r>
      <w:r>
        <w:rPr>
          <w:color w:val="000000"/>
        </w:rPr>
        <w:t xml:space="preserve"> </w:t>
      </w:r>
      <w:r>
        <w:rPr>
          <w:rFonts w:ascii="Times New Roman;serif" w:hAnsi="Times New Roman;serif"/>
          <w:b/>
          <w:color w:val="000000"/>
          <w:sz w:val="20"/>
        </w:rPr>
        <w:t>and Contingencies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were no significant changes to our contractual obligations from those identified in our Form 10-K for the fiscal year ended December 31, 2025 and this Form 10-Q, other than those that occur in the normal course of business. See Note 21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 ESTIMATES AND RECENT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in the MD&amp;A section of our Form 10-K for the year ended December 31, 2025 filed with the SEC on March 4, 2026. There have been no material changes to our critical accounting policies during the six months ended June 30,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Adopted and Future Adoption of New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financial statements for a discussion of recently issued accounting pronouncements, including pronouncements that were adopted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financial market risk consists primarily of interest rate and foreign currency exchange rate risk.</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New Facility, the interest rate charged on each of the New Debt and the Super Senior Facility is SOFR plus 6.50% (with a 3.50% SOFR floor).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Currency Exchange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second quarter of 2026, a one percentage point increase or decrease in value of the Indian rupee in relation to the United States dollar would increase or decrease our annual expenses by approximately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Chairman and Chief Executive Officer and Chief Financial Officer, evaluated the effectiveness of our disclosure controls and procedures (as defined in Rule 13a-15(e) and Rule 15d-15(e) of the Exchange Act) as of June 30, 2026, the end of the period covered by this Quarterly Report. Based on this evaluation, our Chairman and Chief Executive Officer and Chief Financial Officer concluded that our disclosure controls and procedures were effective as of June 30, 2026.</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the Exchange Act Rules 13a-15(f) and 15d-15(f)) that occurred during the quarter ended June 30, 2026, that have materially affected, or are reasonably likely to materially affect, our internal control over financial reporting.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Inherent Limitation on the Effectiveness of Internal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Chairman and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record a liability for contingencies if an unfavorable outcome is probable and the amount of loss can be reasonably estimated. For proceedings where the reasonable estimate of loss is a range, we record a best estimate of loss within the range.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National Fair Housing Alliance v. Altisource Solutions, Inc., et 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11, 2026, Defendants entered into a settlement agreement (the “Settlement Agreement”) with the Plaintiffs, providing for a full release of claims against the defendants. The Settlement Agreement contains customary terms and conditions and does not include any admission of liability, fault or unlawful conduct by the defendants. The Litigation was subsequently dismissed with prejudice.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Altisource recorded a $7.5 million loss for the year ended December 31, 2025 reflecting the settlement and associated defense costs. During the three months ended March 31, 2026, the Company received $5 million from one of its insurance providers related to the Litigation and subject to a reservation of rights. The Company is seeking to recover the remaining loss pursuant to applicable insurance, subject to the terms and conditions of the applicable insurance policies. There can be no assurance as to the timing or amount of any reimbursement, if 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cannot reasonably predict the outcome of these matters or estimate any potential loss resulting therefrom,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disclosed in Part I, Item 1A, of our Form 10-K for the year ended December 31, 2025 filed with the SEC on March 4, 2026 (our “2025 Form 10-K”). Capitalized terms used but not defined in this section have the meanings given to them in our 2025 Form 10-K.</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We may lose the ability to market, distribute or resell certain third-party verification, data, technology and other products, or such products may become less competitive, which could adversely affect our revenues, customer relationships and operating results.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our revenue is derived from the marketing, distribution, integration and resale of credit, verification, data, technology and other products and services provided by third parties. In some cases, a significant percentage of the revenue generated from these offerings is derived from products and technologies provided by a limited number of third-party suppliers, licensors and data providers or platform operators. As a result, our business may be particularly vulnerable to the loss, disruption or deterioration of any such relationship. Our ability to offer these products depends on maintaining contractual relationships with these third parties, and such arrangements may be terminated, may not be renewed, may be renewed on less favorable terms, or may become subject to restrictions on our ability to market, distribute, bundle, integrate or resell the applicable products and services.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one or more of these third-party providers were to terminate or materially modify our rights to resell their products, increase pricing, impose more restrictive contractual terms, experience financial, operational, security, regulatory or compliance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discontinue products, be acquired by a competitor or become controlled by a party whose interests do not align with ours, or otherwise limit our access to their products, technologies, platforms, services or underlying data, we may be unable to continue offering those products to our customers or may only be able to do so at reduced margins. In some cases, a competitor that acquires or controls a product, technology or platform that we market, use, distribute or resell may have incentives to favor its own competing offerings, increase pricing, limit investment in products, platforms or technologies made available to us, restrict our access, reduce functionality or support, or make the products, platforms or technologies available to us on less favorable terms, any of which could adversely affect our business, financial condition and results of operations. Third-party providers may also seek to market or distribute their products, platforms or technologies directly to our customers, reduce the role of resellers, intermediaries, cooperatives or distribution partners, or otherwise compete with us for customer relationships. If we are unable to maintain access to competitive products, platforms, technologies, services or pricing, or customers increasingly obtain such products directly from providers, demand for certain of our offerings could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retain the right to resell such products and use applicable platforms or technologies, our business could be adversely affected if the products, services, platforms or technologies provided by our third-party suppliers fail to remain competitive with alternative solutions available in the marketplace. Competitors may develop or obtain access to products, platforms and technologies that are less expensive, more accurate, more technologically advanced, more automated, faster, provide broader data coverage, or may be more comprehensive, more compliant with evolving regulatory requirements, or otherwise more attractive to customers than the products we offer. If our third-party providers fail to innovate, invest in their products, platforms, or technologies, or maintain competitive service levels, or prioritize competing products or channels, customers may reduce their use of our offerings, switch to competing providers, or exert pressure on pricing and contract terms.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identifying, negotiating and implementing alternative suppliers or replacement products, platforms or technologies may be costly, time-consuming and disruptive and may require significant operational, technological and customer-transition efforts. Alternative products, platforms or technologies may not be available on commercially reasonable terms, may not offer comparable functionality, performance, data coverage, or customer acceptance, or may not be capable of being integrated into our offerings on a timely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loss of the ability to resell one or more significant verification, credit reporting, or other third-party products, the deterioration of those products, platforms or technologies' competitive position, or our inability to replace such products, platforms or technologies on a timely and cost-effective basis could result in reduced revenues, lower profitability, customer attrition, damage to our reputation, disruption to customer workflows, increased operating costs and reduced competitiveness. Because some of these products, platforms or technologies are integrated into broader service offerings provided by Altisource, any such event could also adversely affect demand for related services and solutions. Any of these events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Developments affecting REO volumes, REO pricing or REO sales could negatively affect demand for certain of our default-related services and impair our ability to satisfy contractual performance metrics.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reduction in residential foreclosures or the supply or sale of REO in the United States could reduce the demand for services, including foreclosure trustee, foreclosure auction, REO asset management, REO property inspection and preservation, real estate brokerage, real estate auction and marketing services, as well as sales of REO, especially in cases where more loans are resolved prior to foreclosure or sold at foreclosure auctions, and therefore do not convert to REO. A reduction in REO properties, or lower sales volumes, could impair our ability to meet certain contractually required service metrics, including conversion percentage requirements, as the size of the applicable REO inventory declines and the remaining properties are often the most difficult to sell. Reduced volumes may also diminish operating efficiencies, increase per unit costs, and make it more challenging to secure and retain vendors at economically viable scale.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Proposals or actions which seek to limit or restrict participation by institutional investors or other buyer classes in single-family housing or REO markets could depress demand for REO, change the composition of the pool of potential REO buyers, lengthen REO sales cycles, or negatively impact pricing for REO assets. Any such developments could adversely affect demand for our REO disposition, auction, brokerage, marketplace and related services, increase execution complexity, reduce the value of REO and associated sales commission and auction fees, or impair our ability to satisfy contractual performance metrics.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changes in policies, regulations, or program requirements imposed by federal housing agencies or government-sponsored enterprises, including the FHA, HUD, Fannie Mae and Freddie Mac, could adversely affect foreclosure and post-foreclosure processes, auction participation, reimbursement programs and related economics. For example, changes to foreclosure bidding requirements, credit bidding thresholds, eligibility for claims without conveyance of title or similar programs, reimbursement of foreclosure or auction-related costs, conveyance requirements, or other loss mitigation and post-foreclosure programs could reduce the volume of assets eligible for third-party sale, alter servicer behavior at foreclosure auctions, reduce referral volumes, lengthen timelines, negatively impact pricing or fees associated with foreclosure auctions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REO disposition services, or impair our ability to meet contractual performance metrics. Governmental actions that influence mortgage interest rates, mortgage-backed securities markets, or participation by certain buyer classes in residential real estate markets could further reduce demand for our services or increase volatility in volumes and execution complexity. Fannie Mae and Freddie Mac have been under federal conservatorship since 2008. Recapitalization, privatization, exit from conservatorship or other restructuring could result in changes to GSE programs, servicing requirements, foreclosure and REO processes, reimbursement structures, vendor requirements or other aspects of the residential mortgage market. Such changes could affect the volume, timing, economics or profitability of services we provide to GSEs and customers whose portfolios include GSE-backed loans, and could adversely affect our revenues, cash flows, results of operations and financial condition. We may not be able to effectively manage rapid or unanticipated changes in foreclosures or the supply, sale price or sale of REO which could negatively impact our ability to satisfy service level metrics that are tied to conversion rates or other percentage requirements. For example, if a service metric specifies that a certain percentage of the total REO inventory is to be sold within a defined period of time, a rapid change in the total REO inventory may increase the risk of failing to meet the defined percentage metric during the period required to prepare the newly added REO to be marketed. Some of the service metrics which may be impacted include those related to REO conversion rates, aging of REO, time on market and sale price compared to valuation. If we fail to satisfy applicable performance metrics or perform in a manner satisfactory to our customers, such customers may reduce the services they acquire from us or otherwise terminate us as a service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Approval of Equity Amended and Restated 2009 Equity Incentive Plan </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24, 2026, the board of directors (the “Board”) of Altisource Portfolio Solutions S.A., subject to shareholder approval, approved an amendment and restatement of the Altisource Portfolio Solutions S.A. Amended and Restated 2009 Equity Incentive Plan (the “2009 Equity Incentive Plan”) to (i) increase the number of shares of common stock reserved for issuance under the 2009 Equity Incentive Plan by 800,000 shares (the “Initial Share Increase”) and (ii) provide for automatic annual increases to the share reserve on January 1 of each year for a period of four years, beginning on January 1, 2027, subject to specified percentage and numerical limitations and any limitations and any conditions on the ability of the Board to increase the issued share capital under the Company’s Articles, in an amount equal to the lesser of:</w:t>
      </w:r>
    </w:p>
    <w:p>
      <w:pPr>
        <w:pStyle w:val="TextBody"/>
        <w:bidi w:val="0"/>
        <w:spacing w:lineRule="auto" w:line="204" w:before="0" w:after="0"/>
        <w:ind w:left="0" w:right="0" w:hanging="360"/>
        <w:jc w:val="left"/>
        <w:rPr/>
      </w:pPr>
      <w:r>
        <w:rPr>
          <w:color w:val="000000"/>
        </w:rPr>
        <w:t>•</w:t>
      </w:r>
      <w:r>
        <w:rPr>
          <w:rFonts w:ascii="Times New Roman;serif" w:hAnsi="Times New Roman;serif"/>
          <w:b w:val="false"/>
          <w:color w:val="000000"/>
          <w:sz w:val="20"/>
        </w:rPr>
        <w:t>5% of the total number of shares of common stock outstanding on December 31 of the preceding year;</w:t>
      </w:r>
    </w:p>
    <w:p>
      <w:pPr>
        <w:pStyle w:val="TextBody"/>
        <w:bidi w:val="0"/>
        <w:spacing w:before="0" w:after="0"/>
        <w:jc w:val="left"/>
        <w:rPr/>
      </w:pPr>
      <w:r>
        <w:rPr/>
      </w:r>
    </w:p>
    <w:p>
      <w:pPr>
        <w:pStyle w:val="TextBody"/>
        <w:bidi w:val="0"/>
        <w:spacing w:lineRule="auto" w:line="204" w:before="0" w:after="0"/>
        <w:ind w:left="0" w:right="0" w:hanging="360"/>
        <w:jc w:val="left"/>
        <w:rPr/>
      </w:pPr>
      <w:r>
        <w:rPr>
          <w:color w:val="000000"/>
        </w:rPr>
        <w:t>•</w:t>
      </w:r>
      <w:r>
        <w:rPr>
          <w:rFonts w:ascii="Times New Roman;serif" w:hAnsi="Times New Roman;serif"/>
          <w:b w:val="false"/>
          <w:color w:val="000000"/>
          <w:sz w:val="20"/>
        </w:rPr>
        <w:t>700,000 shares of common stock; and</w:t>
      </w:r>
    </w:p>
    <w:p>
      <w:pPr>
        <w:pStyle w:val="TextBody"/>
        <w:bidi w:val="0"/>
        <w:spacing w:before="0" w:after="0"/>
        <w:jc w:val="left"/>
        <w:rPr/>
      </w:pPr>
      <w:r>
        <w:rPr/>
      </w:r>
    </w:p>
    <w:p>
      <w:pPr>
        <w:pStyle w:val="TextBody"/>
        <w:bidi w:val="0"/>
        <w:spacing w:lineRule="auto" w:line="204" w:before="0" w:after="0"/>
        <w:ind w:left="0" w:right="0" w:hanging="360"/>
        <w:jc w:val="left"/>
        <w:rPr/>
      </w:pPr>
      <w:r>
        <w:rPr>
          <w:color w:val="000000"/>
        </w:rPr>
        <w:t>•</w:t>
      </w:r>
      <w:r>
        <w:rPr>
          <w:rFonts w:ascii="Times New Roman;serif" w:hAnsi="Times New Roman;serif"/>
          <w:b w:val="false"/>
          <w:color w:val="000000"/>
          <w:sz w:val="20"/>
        </w:rPr>
        <w:t>such lesser number of shares of common stock as determined by the Board or the Compensation Committee of Altisource prior to January 1 of the applicable year.</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stockholders approved the amended and restated 2009 Equity Incentive Plan on May 20,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disclosure is qualified in its entirety by reference to the amended and restated 2009 Equity Incentive Plan, which is filed as Exhibit 10.1 to this Form 10-Q.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and Officer Trading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6"/>
        <w:gridCol w:w="286"/>
        <w:gridCol w:w="287"/>
        <w:gridCol w:w="109"/>
        <w:gridCol w:w="109"/>
        <w:gridCol w:w="109"/>
        <w:gridCol w:w="2807"/>
        <w:gridCol w:w="2547"/>
        <w:gridCol w:w="3625"/>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ps-06302026xex31.htm">
              <w:r>
                <w:rPr>
                  <w:rStyle w:val="InternetLink"/>
                  <w:rFonts w:ascii="Times New Roman;serif" w:hAnsi="Times New Roman;serif"/>
                  <w:b w:val="false"/>
                  <w:color w:val="0000FF"/>
                  <w:sz w:val="20"/>
                  <w:u w:val="single"/>
                </w:rPr>
                <w:t>3.1</w:t>
              </w:r>
            </w:hyperlink>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sps-06302026xex31.htm">
              <w:r>
                <w:rPr>
                  <w:rStyle w:val="InternetLink"/>
                  <w:rFonts w:ascii="Times New Roman;serif" w:hAnsi="Times New Roman;serif"/>
                  <w:b w:val="false"/>
                  <w:color w:val="0000FF"/>
                  <w:sz w:val="20"/>
                  <w:u w:val="single"/>
                </w:rPr>
                <w:t>Coordinated Articles of Incorporation (Statuts Coordonnés) of Altisource Portfolio Solutions S.A., coordinated as of April 24, 2026</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ps-06302026xex311.htm">
              <w:r>
                <w:rPr>
                  <w:rStyle w:val="InternetLink"/>
                  <w:rFonts w:ascii="Times New Roman;serif" w:hAnsi="Times New Roman;serif"/>
                  <w:b w:val="false"/>
                  <w:color w:val="0000FF"/>
                  <w:sz w:val="20"/>
                  <w:u w:val="single"/>
                </w:rPr>
                <w:t>31.1</w:t>
              </w:r>
            </w:hyperlink>
            <w:r>
              <w:rPr>
                <w:color w:val="2C2C2C"/>
              </w:rPr>
              <w:t xml:space="preserve"> </w:t>
            </w:r>
            <w:r>
              <w:rPr>
                <w:rFonts w:ascii="Times New Roman;serif" w:hAnsi="Times New Roman;serif"/>
                <w:b w:val="false"/>
                <w:color w:val="2C2C2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sps-06302026xex311.htm">
              <w:r>
                <w:rPr>
                  <w:rStyle w:val="InternetLink"/>
                  <w:rFonts w:ascii="Times New Roman;serif" w:hAnsi="Times New Roman;serif"/>
                  <w:b w:val="false"/>
                  <w:color w:val="0000FF"/>
                  <w:sz w:val="20"/>
                  <w:u w:val="single"/>
                </w:rPr>
                <w:t>Section 302 Certification of the Chief Executive Officer pursuant to Exchange Act Rule 13a-14(a)</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ps-06302026xex312.htm">
              <w:r>
                <w:rPr>
                  <w:rStyle w:val="InternetLink"/>
                  <w:rFonts w:ascii="Times New Roman;serif" w:hAnsi="Times New Roman;serif"/>
                  <w:b w:val="false"/>
                  <w:color w:val="0000FF"/>
                  <w:sz w:val="20"/>
                  <w:u w:val="single"/>
                </w:rPr>
                <w:t>31.2</w:t>
              </w:r>
            </w:hyperlink>
            <w:r>
              <w:rPr>
                <w:color w:val="000000"/>
              </w:rPr>
              <w:t xml:space="preserve"> </w:t>
            </w:r>
            <w:r>
              <w:rPr>
                <w:rFonts w:ascii="Times New Roman;serif" w:hAnsi="Times New Roman;serif"/>
                <w:b w:val="false"/>
                <w:color w:val="2C2C2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sps-06302026xex312.htm">
              <w:r>
                <w:rPr>
                  <w:rStyle w:val="InternetLink"/>
                  <w:rFonts w:ascii="Times New Roman;serif" w:hAnsi="Times New Roman;serif"/>
                  <w:b w:val="false"/>
                  <w:color w:val="0000FF"/>
                  <w:sz w:val="20"/>
                  <w:u w:val="single"/>
                </w:rPr>
                <w:t>Section 302 Certification of the Chief Financial Officer pursuant to Exchange Act Rule 13a-14(a)</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ps-06302026xex321.htm">
              <w:r>
                <w:rPr>
                  <w:rStyle w:val="InternetLink"/>
                  <w:rFonts w:ascii="Times New Roman;serif" w:hAnsi="Times New Roman;serif"/>
                  <w:b w:val="false"/>
                  <w:color w:val="0000FF"/>
                  <w:sz w:val="20"/>
                  <w:u w:val="single"/>
                </w:rPr>
                <w:t>32.1</w:t>
              </w:r>
            </w:hyperlink>
            <w:r>
              <w:rPr>
                <w:color w:val="000000"/>
              </w:rPr>
              <w:t xml:space="preserve"> </w:t>
            </w:r>
            <w:r>
              <w:rPr>
                <w:rFonts w:ascii="Times New Roman;serif" w:hAnsi="Times New Roman;serif"/>
                <w:b w:val="false"/>
                <w:color w:val="2C2C2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sps-06302026xex321.htm">
              <w:r>
                <w:rPr>
                  <w:rStyle w:val="InternetLink"/>
                  <w:rFonts w:ascii="Times New Roman;serif" w:hAnsi="Times New Roman;serif"/>
                  <w:b w:val="false"/>
                  <w:color w:val="0000FF"/>
                  <w:sz w:val="20"/>
                  <w:u w:val="single"/>
                </w:rPr>
                <w:t>Certification by the Chief Executive Officer and Chief Financial Officer pursuant to Section 906 of the Sarbanes-Oxley Act of 2002</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ps-6302026xex101.htm">
              <w:r>
                <w:rPr>
                  <w:rStyle w:val="InternetLink"/>
                  <w:rFonts w:ascii="Times New Roman;serif" w:hAnsi="Times New Roman;serif"/>
                  <w:b w:val="false"/>
                  <w:color w:val="0000FF"/>
                  <w:sz w:val="20"/>
                  <w:u w:val="single"/>
                </w:rPr>
                <w:t>10.1</w:t>
              </w:r>
            </w:hyperlink>
            <w:r>
              <w:rPr>
                <w:color w:val="000000"/>
              </w:rPr>
              <w:t xml:space="preserve"> </w:t>
            </w:r>
            <w:r>
              <w:rPr>
                <w:rFonts w:ascii="Times New Roman;serif" w:hAnsi="Times New Roman;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sps-6302026xex101.htm">
              <w:r>
                <w:rPr>
                  <w:rStyle w:val="InternetLink"/>
                  <w:rFonts w:ascii="Times New Roman;serif" w:hAnsi="Times New Roman;serif"/>
                  <w:b w:val="false"/>
                  <w:color w:val="0000FF"/>
                  <w:sz w:val="20"/>
                  <w:u w:val="single"/>
                </w:rPr>
                <w:t>Altisource Portfolio Solutions S.A. Amended and Restated 2009 Equity Incentive Plan (as of May 20, 2026)</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 </w:t>
            </w:r>
            <w:r>
              <w:rPr>
                <w:rFonts w:ascii="Times New Roman;serif" w:hAnsi="Times New Roman;serif"/>
                <w:b w:val="false"/>
                <w:color w:val="2C2C2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405 of Regulation S-T, the following financial information from the Company’s Quarterly Report on Form 10-Q for the period ended June 30, 2026 is formatted in Inline XBRL interactive data files: (i) Condensed Consolidated Balance Sheets as of June 30, 2026 and December 31, 2025; (ii) Condensed Consolidated Statements of Operations and Comprehensive (Loss) Income for the three months ended June 30, 2026 and 2025; (iii) Condensed Consolidated Statements of Equity for the six months ended June 30, 2026 and 2025; (iv) Condensed Consolidated Statements of Cash Flows for the six months ended June 30, 2026 and 2025; and (v) Notes to Condensed Consolidated Financial Statements.</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cbbd2b1f45a4d09b078c5446182c2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5"/>
        <w:gridCol w:w="173"/>
        <w:gridCol w:w="174"/>
        <w:gridCol w:w="351"/>
        <w:gridCol w:w="351"/>
        <w:gridCol w:w="353"/>
        <w:gridCol w:w="109"/>
        <w:gridCol w:w="109"/>
        <w:gridCol w:w="109"/>
        <w:gridCol w:w="525"/>
        <w:gridCol w:w="525"/>
        <w:gridCol w:w="525"/>
        <w:gridCol w:w="2008"/>
        <w:gridCol w:w="1927"/>
        <w:gridCol w:w="2771"/>
      </w:tblGrid>
      <w:tr>
        <w:trPr/>
        <w:tc>
          <w:tcPr>
            <w:tcW w:w="1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ALTISOURCE PORTFOLIO SOLUTIONS S.A.</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706"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D. Esterman</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D. Esterman</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its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43" w:before="0" w:after="18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120"/>
        <w:jc w:val="left"/>
        <w:rPr/>
      </w:pPr>
      <w:r>
        <w:rPr/>
      </w:r>
    </w:p>
    <w:tbl>
      <w:tblPr>
        <w:tblW w:w="6701" w:type="dxa"/>
        <w:jc w:val="left"/>
        <w:tblInd w:w="0" w:type="dxa"/>
        <w:tblLayout w:type="fixed"/>
        <w:tblCellMar>
          <w:top w:w="28" w:type="dxa"/>
          <w:left w:w="28" w:type="dxa"/>
          <w:bottom w:w="28" w:type="dxa"/>
          <w:right w:w="28" w:type="dxa"/>
        </w:tblCellMar>
      </w:tblPr>
      <w:tblGrid>
        <w:gridCol w:w="2146"/>
        <w:gridCol w:w="1887"/>
        <w:gridCol w:w="2668"/>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cMar>
              <w:top w:w="0" w:type="dxa"/>
              <w:left w:w="0" w:type="dxa"/>
              <w:bottom w:w="0" w:type="dxa"/>
              <w:right w:w="0" w:type="dxa"/>
            </w:tcMar>
            <w:vAlign w:val="center"/>
          </w:tcPr>
          <w:p>
            <w:pPr>
              <w:pStyle w:val="TableContents"/>
              <w:bidi w:val="0"/>
              <w:spacing w:lineRule="auto" w:line="417" w:before="0" w:after="0"/>
              <w:ind w:left="0" w:right="0" w:firstLine="567"/>
              <w:jc w:val="center"/>
              <w:rPr>
                <w:rFonts w:ascii="Times New Roman;serif" w:hAnsi="Times New Roman;serif"/>
                <w:b/>
                <w:color w:val="000000"/>
                <w:sz w:val="24"/>
              </w:rPr>
            </w:pPr>
            <w:r>
              <w:rPr>
                <w:rFonts w:ascii="Times New Roman;serif" w:hAnsi="Times New Roman;serif"/>
                <w:b/>
                <w:color w:val="000000"/>
                <w:sz w:val="24"/>
              </w:rPr>
              <w:t>Altisource Portfolio Solutions S.A.</w:t>
            </w:r>
          </w:p>
          <w:p>
            <w:pPr>
              <w:pStyle w:val="TableContents"/>
              <w:bidi w:val="0"/>
              <w:spacing w:lineRule="auto" w:line="417" w:before="0" w:after="0"/>
              <w:ind w:left="0" w:right="0" w:firstLine="567"/>
              <w:jc w:val="center"/>
              <w:rPr>
                <w:rFonts w:ascii="Times New Roman;serif" w:hAnsi="Times New Roman;serif"/>
                <w:b w:val="false"/>
                <w:i/>
                <w:color w:val="000000"/>
                <w:sz w:val="24"/>
              </w:rPr>
            </w:pPr>
            <w:r>
              <w:rPr>
                <w:rFonts w:ascii="Times New Roman;serif" w:hAnsi="Times New Roman;serif"/>
                <w:b w:val="false"/>
                <w:i/>
                <w:color w:val="000000"/>
                <w:sz w:val="24"/>
              </w:rPr>
              <w:t>Société anonyme</w:t>
            </w:r>
          </w:p>
          <w:p>
            <w:pPr>
              <w:pStyle w:val="TableContents"/>
              <w:bidi w:val="0"/>
              <w:spacing w:lineRule="auto" w:line="417" w:before="0" w:after="0"/>
              <w:ind w:left="0" w:right="0" w:firstLine="567"/>
              <w:jc w:val="center"/>
              <w:rPr>
                <w:rFonts w:ascii="Times New Roman;serif" w:hAnsi="Times New Roman;serif"/>
                <w:b w:val="false"/>
                <w:color w:val="000000"/>
                <w:sz w:val="24"/>
              </w:rPr>
            </w:pPr>
            <w:r>
              <w:rPr>
                <w:rFonts w:ascii="Times New Roman;serif" w:hAnsi="Times New Roman;serif"/>
                <w:b w:val="false"/>
                <w:color w:val="000000"/>
                <w:sz w:val="24"/>
              </w:rPr>
              <w:t>Siège social: 33, Boulevard Prince Henri, L-1724 Luxembourg</w:t>
            </w:r>
          </w:p>
          <w:p>
            <w:pPr>
              <w:pStyle w:val="TableContents"/>
              <w:bidi w:val="0"/>
              <w:spacing w:lineRule="auto" w:line="417" w:before="0" w:after="200"/>
              <w:ind w:left="0" w:right="0" w:firstLine="567"/>
              <w:jc w:val="center"/>
              <w:rPr>
                <w:rFonts w:ascii="sans-serif" w:hAnsi="sans-serif"/>
                <w:b w:val="false"/>
                <w:color w:val="000000"/>
                <w:sz w:val="22"/>
              </w:rPr>
            </w:pPr>
            <w:r>
              <w:rPr>
                <w:rFonts w:ascii="sans-serif" w:hAnsi="sans-serif"/>
                <w:b w:val="false"/>
                <w:color w:val="000000"/>
                <w:sz w:val="22"/>
              </w:rPr>
              <w:t>R.C.S. Luxembourg: B 72 391</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43" w:before="0" w:after="120"/>
        <w:jc w:val="center"/>
        <w:rPr>
          <w:rFonts w:ascii="Arial;sans-serif" w:hAnsi="Arial;sans-serif"/>
          <w:b/>
          <w:color w:val="000000"/>
          <w:sz w:val="28"/>
          <w:u w:val="single"/>
        </w:rPr>
      </w:pPr>
      <w:r>
        <w:rPr>
          <w:rFonts w:ascii="Arial;sans-serif" w:hAnsi="Arial;sans-serif"/>
          <w:b/>
          <w:color w:val="000000"/>
          <w:sz w:val="28"/>
          <w:u w:val="single"/>
        </w:rPr>
        <w:t>STATUTS COORDONNES AU 24 AVRIL 2026</w:t>
      </w:r>
    </w:p>
    <w:p>
      <w:pPr>
        <w:pStyle w:val="TextBody"/>
        <w:bidi w:val="0"/>
        <w:spacing w:lineRule="auto" w:line="343" w:before="100" w:after="120"/>
        <w:jc w:val="center"/>
        <w:rPr>
          <w:rFonts w:ascii="Arial;sans-serif" w:hAnsi="Arial;sans-serif"/>
          <w:b/>
          <w:color w:val="000000"/>
          <w:sz w:val="20"/>
        </w:rPr>
      </w:pPr>
      <w:r>
        <w:rPr>
          <w:rFonts w:ascii="Arial;sans-serif" w:hAnsi="Arial;sans-serif"/>
          <w:b/>
          <w:color w:val="000000"/>
          <w:sz w:val="20"/>
        </w:rPr>
        <w:t>Chapter I. Form, Corporate Name, Registered Office, Object, Duration</w:t>
      </w:r>
    </w:p>
    <w:p>
      <w:pPr>
        <w:pStyle w:val="TextBody"/>
        <w:bidi w:val="0"/>
        <w:spacing w:lineRule="auto" w:line="343" w:before="0" w:after="120"/>
        <w:jc w:val="both"/>
        <w:rPr/>
      </w:pPr>
      <w:r>
        <w:rPr>
          <w:rFonts w:ascii="Arial;sans-serif" w:hAnsi="Arial;sans-serif"/>
          <w:b/>
          <w:color w:val="000000"/>
          <w:sz w:val="20"/>
        </w:rPr>
        <w:t>Art. 1. Form, Corporate Name.</w:t>
      </w:r>
      <w:r>
        <w:rPr>
          <w:color w:val="000000"/>
        </w:rPr>
        <w:t xml:space="preserve"> </w:t>
      </w:r>
      <w:r>
        <w:rPr>
          <w:rFonts w:ascii="Arial;sans-serif" w:hAnsi="Arial;sans-serif"/>
          <w:b w:val="false"/>
          <w:color w:val="000000"/>
          <w:sz w:val="20"/>
        </w:rPr>
        <w:t>There is established among the subscriber(s), and all those who may become owners of the shares of the company hereafter issued, a company in the form of a public limited liability company (société anonyme) (the "</w:t>
      </w:r>
      <w:r>
        <w:rPr>
          <w:rFonts w:ascii="Arial;sans-serif" w:hAnsi="Arial;sans-serif"/>
          <w:b/>
          <w:color w:val="000000"/>
          <w:sz w:val="20"/>
        </w:rPr>
        <w:t>Company</w:t>
      </w:r>
      <w:r>
        <w:rPr>
          <w:rFonts w:ascii="Arial;sans-serif" w:hAnsi="Arial;sans-serif"/>
          <w:b w:val="false"/>
          <w:color w:val="000000"/>
          <w:sz w:val="20"/>
        </w:rPr>
        <w:t>") which will be governed by the laws of the Grand Duchy of Luxembourg, in particular the law of 10 August 1915 on commercial companies, as amended (the "</w:t>
      </w:r>
      <w:r>
        <w:rPr>
          <w:rFonts w:ascii="Arial;sans-serif" w:hAnsi="Arial;sans-serif"/>
          <w:b/>
          <w:color w:val="000000"/>
          <w:sz w:val="20"/>
        </w:rPr>
        <w:t>Law</w:t>
      </w:r>
      <w:r>
        <w:rPr>
          <w:rFonts w:ascii="Arial;sans-serif" w:hAnsi="Arial;sans-serif"/>
          <w:b w:val="false"/>
          <w:color w:val="000000"/>
          <w:sz w:val="20"/>
        </w:rPr>
        <w:t>"), Article 1832 of the Luxembourg Civil Code, as amended (the "</w:t>
      </w:r>
      <w:r>
        <w:rPr>
          <w:rFonts w:ascii="Arial;sans-serif" w:hAnsi="Arial;sans-serif"/>
          <w:b/>
          <w:color w:val="000000"/>
          <w:sz w:val="20"/>
        </w:rPr>
        <w:t>Civil Code</w:t>
      </w:r>
      <w:r>
        <w:rPr>
          <w:rFonts w:ascii="Arial;sans-serif" w:hAnsi="Arial;sans-serif"/>
          <w:b w:val="false"/>
          <w:color w:val="000000"/>
          <w:sz w:val="20"/>
        </w:rPr>
        <w:t>"), and by the present articles of incorporation (the "</w:t>
      </w:r>
      <w:r>
        <w:rPr>
          <w:rFonts w:ascii="Arial;sans-serif" w:hAnsi="Arial;sans-serif"/>
          <w:b/>
          <w:color w:val="000000"/>
          <w:sz w:val="20"/>
        </w:rPr>
        <w:t>Articles</w:t>
      </w:r>
      <w:r>
        <w:rPr>
          <w:rFonts w:ascii="Arial;sans-serif" w:hAnsi="Arial;sans-serif"/>
          <w:b w:val="false"/>
          <w:color w:val="000000"/>
          <w:sz w:val="20"/>
        </w:rPr>
        <w:t xml:space="preserve">"). </w:t>
      </w:r>
    </w:p>
    <w:p>
      <w:pPr>
        <w:pStyle w:val="TextBody"/>
        <w:bidi w:val="0"/>
        <w:spacing w:lineRule="auto" w:line="343" w:before="0" w:after="120"/>
        <w:jc w:val="both"/>
        <w:rPr/>
      </w:pPr>
      <w:r>
        <w:rPr>
          <w:rFonts w:ascii="Arial;sans-serif" w:hAnsi="Arial;sans-serif"/>
          <w:b w:val="false"/>
          <w:color w:val="000000"/>
          <w:sz w:val="20"/>
        </w:rPr>
        <w:t>The Company will exist under the name of "</w:t>
      </w:r>
      <w:r>
        <w:rPr>
          <w:rFonts w:ascii="Arial;sans-serif" w:hAnsi="Arial;sans-serif"/>
          <w:b/>
          <w:color w:val="000000"/>
          <w:sz w:val="20"/>
        </w:rPr>
        <w:t>Altisource Portfolio Solutions S.A.</w:t>
      </w:r>
      <w:r>
        <w:rPr>
          <w:rFonts w:ascii="Arial;sans-serif" w:hAnsi="Arial;sans-serif"/>
          <w:b w:val="false"/>
          <w:color w:val="000000"/>
          <w:sz w:val="20"/>
        </w:rPr>
        <w:t>".</w:t>
      </w:r>
    </w:p>
    <w:p>
      <w:pPr>
        <w:pStyle w:val="TextBody"/>
        <w:bidi w:val="0"/>
        <w:spacing w:lineRule="auto" w:line="343" w:before="0" w:after="120"/>
        <w:jc w:val="both"/>
        <w:rPr/>
      </w:pPr>
      <w:r>
        <w:rPr>
          <w:rFonts w:ascii="Arial;sans-serif" w:hAnsi="Arial;sans-serif"/>
          <w:b/>
          <w:color w:val="000000"/>
          <w:sz w:val="20"/>
        </w:rPr>
        <w:t>Art. 2. Registered Office.</w:t>
      </w:r>
      <w:r>
        <w:rPr>
          <w:color w:val="000000"/>
        </w:rPr>
        <w:t xml:space="preserve"> </w:t>
      </w:r>
      <w:r>
        <w:rPr>
          <w:rFonts w:ascii="Arial;sans-serif" w:hAnsi="Arial;sans-serif"/>
          <w:b w:val="false"/>
          <w:color w:val="000000"/>
          <w:sz w:val="20"/>
        </w:rPr>
        <w:t xml:space="preserve">The Company has its registered office in the city of Luxembourg. The Board of Directors (as defined in Article 11) is authorized to change the address of the Company's registered office within the Grand Duchy of Luxembourg and amend these Articles accordingly.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Branches or other offices may be established either in the Grand 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pStyle w:val="TextBody"/>
        <w:bidi w:val="0"/>
        <w:spacing w:lineRule="auto" w:line="343" w:before="0" w:after="120"/>
        <w:jc w:val="both"/>
        <w:rPr/>
      </w:pPr>
      <w:r>
        <w:rPr>
          <w:rFonts w:ascii="Arial;sans-serif" w:hAnsi="Arial;sans-serif"/>
          <w:b/>
          <w:color w:val="000000"/>
          <w:sz w:val="20"/>
        </w:rPr>
        <w:t>Art. 3. Corporate Object.</w:t>
      </w:r>
      <w:r>
        <w:rPr>
          <w:color w:val="000000"/>
        </w:rPr>
        <w:t xml:space="preserve"> </w:t>
      </w:r>
      <w:r>
        <w:rPr>
          <w:rFonts w:ascii="Arial;sans-serif" w:hAnsi="Arial;sans-serif"/>
          <w:b w:val="false"/>
          <w:color w:val="000000"/>
          <w:sz w:val="20"/>
        </w:rPr>
        <w:t xml:space="preserve">The object of the Company is the acquisition, the continuing management and the sale of 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pStyle w:val="TextBody"/>
        <w:bidi w:val="0"/>
        <w:spacing w:lineRule="auto" w:line="343" w:before="0" w:after="120"/>
        <w:jc w:val="both"/>
        <w:rPr/>
      </w:pPr>
      <w:r>
        <w:rPr>
          <w:rFonts w:ascii="Arial;sans-serif" w:hAnsi="Arial;sans-serif"/>
          <w:b/>
          <w:color w:val="000000"/>
          <w:sz w:val="20"/>
        </w:rPr>
        <w:t>Art. 4. Duration</w:t>
      </w:r>
      <w:r>
        <w:rPr>
          <w:rFonts w:ascii="Arial;sans-serif" w:hAnsi="Arial;sans-serif"/>
          <w:b w:val="false"/>
          <w:color w:val="000000"/>
          <w:sz w:val="20"/>
        </w:rPr>
        <w:t xml:space="preserve">. The Company is formed for an unlimited duration. </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II. Share Capital, Shares</w:t>
      </w:r>
    </w:p>
    <w:p>
      <w:pPr>
        <w:pStyle w:val="TextBody"/>
        <w:bidi w:val="0"/>
        <w:spacing w:lineRule="auto" w:line="343" w:before="0" w:after="120"/>
        <w:jc w:val="both"/>
        <w:rPr/>
      </w:pPr>
      <w:r>
        <w:rPr>
          <w:rFonts w:ascii="Arial;sans-serif" w:hAnsi="Arial;sans-serif"/>
          <w:b/>
          <w:color w:val="000000"/>
          <w:sz w:val="20"/>
        </w:rPr>
        <w:t>Art. 5. Share Capital.</w:t>
      </w:r>
      <w:r>
        <w:rPr>
          <w:color w:val="000000"/>
        </w:rPr>
        <w:t xml:space="preserve"> </w:t>
      </w:r>
      <w:r>
        <w:rPr>
          <w:rFonts w:ascii="Arial;sans-serif" w:hAnsi="Arial;sans-serif"/>
          <w:b w:val="false"/>
          <w:color w:val="000000"/>
          <w:sz w:val="20"/>
        </w:rPr>
        <w:t>The share capital of the Company is set at two hundred and twenty-one thousand two hundred and thirty-seven United States Dollars and twenty-nine cents (USD 221,237.29) represented by twenty-two million one hundred and twenty-three thousand seven hundred and twenty-nine (22,123,729) shares of the Company’s common stock without designation of nominal value. As used in the present Articles, “</w:t>
      </w:r>
      <w:r>
        <w:rPr>
          <w:rFonts w:ascii="Arial;sans-serif" w:hAnsi="Arial;sans-serif"/>
          <w:b/>
          <w:color w:val="000000"/>
          <w:sz w:val="20"/>
        </w:rPr>
        <w:t>Shares</w:t>
      </w:r>
      <w:r>
        <w:rPr>
          <w:color w:val="000000"/>
        </w:rPr>
        <w:t xml:space="preserve">” </w:t>
      </w:r>
      <w:r>
        <w:rPr>
          <w:rFonts w:ascii="Arial;sans-serif" w:hAnsi="Arial;sans-serif"/>
          <w:b w:val="false"/>
          <w:color w:val="000000"/>
          <w:sz w:val="20"/>
        </w:rPr>
        <w:t>means shares of the Company’s common stock without nominal value.</w:t>
      </w:r>
    </w:p>
    <w:p>
      <w:pPr>
        <w:pStyle w:val="TextBody"/>
        <w:bidi w:val="0"/>
        <w:spacing w:lineRule="auto" w:line="343"/>
        <w:jc w:val="both"/>
        <w:rPr>
          <w:rFonts w:ascii="Arial;sans-serif" w:hAnsi="Arial;sans-serif"/>
          <w:b w:val="false"/>
          <w:color w:val="000000"/>
          <w:sz w:val="20"/>
        </w:rPr>
      </w:pPr>
      <w:r>
        <w:rPr>
          <w:rFonts w:ascii="Arial;sans-serif" w:hAnsi="Arial;sans-serif"/>
          <w:b w:val="false"/>
          <w:color w:val="000000"/>
          <w:sz w:val="20"/>
        </w:rPr>
        <w:t xml:space="preserve">In addition to the 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310"/>
                <wp:effectExtent l="0" t="0" r="0" b="0"/>
                <wp:wrapNone/>
                <wp:docPr id="58" name="Frame5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43" w:before="0" w:after="0"/>
        <w:jc w:val="both"/>
        <w:rPr>
          <w:rFonts w:ascii="Arial;sans-serif" w:hAnsi="Arial;sans-serif"/>
          <w:b w:val="false"/>
          <w:color w:val="000000"/>
          <w:sz w:val="20"/>
        </w:rPr>
      </w:pPr>
      <w:r>
        <w:rPr>
          <w:rFonts w:ascii="Arial;sans-serif" w:hAnsi="Arial;sans-serif"/>
          <w:b w:val="false"/>
          <w:color w:val="000000"/>
          <w:sz w:val="20"/>
        </w:rPr>
        <w:t xml:space="preserve">and capital contribution accounts paid in on the Shares issued by the Company to one or both of the following from time to time as it deems appropriate: </w:t>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a distributable reserve to be used for distributions of any kind to be made by the Company;</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a special reserve as foreseen by Articles 430-18, 430-22 and 461-2 of the Law.</w:t>
      </w:r>
    </w:p>
    <w:p>
      <w:pPr>
        <w:pStyle w:val="TextBody"/>
        <w:bidi w:val="0"/>
        <w:spacing w:lineRule="auto" w:line="343" w:before="0" w:after="120"/>
        <w:jc w:val="both"/>
        <w:rPr/>
      </w:pPr>
      <w:r>
        <w:rPr>
          <w:rFonts w:ascii="Arial;sans-serif" w:hAnsi="Arial;sans-serif"/>
          <w:b/>
          <w:color w:val="000000"/>
          <w:sz w:val="20"/>
        </w:rPr>
        <w:t>Art. 6. Authorized Share Capital.</w:t>
      </w:r>
      <w:r>
        <w:rPr>
          <w:color w:val="000000"/>
        </w:rPr>
        <w:t xml:space="preserve"> </w:t>
      </w:r>
      <w:r>
        <w:rPr>
          <w:rFonts w:ascii="Arial;sans-serif" w:hAnsi="Arial;sans-serif"/>
          <w:b w:val="false"/>
          <w:color w:val="000000"/>
          <w:sz w:val="20"/>
        </w:rPr>
        <w:t>The authorized share capital is set at one million eight hundred and eight thousand two hundred and eighty-two United States Dollars and forty-three cents (USD 1,808,282.43) divided into one hundred and eighty million eight hundred and twenty-eight thousand two hundred and forty-three (180,828,243) shares of the Company’s common stock without nominal value. The Board of Directors is authorized, during a period ending five (5) years after the date of publication of the minute of the extraordinary general meeting of 18 February 2025 in the electronic gazette RESA (Recueil Electronique des Sociétés et Associations) to:</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 xml:space="preserve">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million eight hundred and eight thousand two hundred and eighty-two United States Dollars and forty-three cents (USD 1,808,282.43). </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Issue any warrants, options, or other similar instruments exercisable into shares, rights to subscribe for shares and set the terms and conditions of these instruments.</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 xml:space="preserve">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 </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 xml:space="preserve">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 </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 xml:space="preserve">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310"/>
                <wp:effectExtent l="0" t="0" r="0" b="0"/>
                <wp:wrapNone/>
                <wp:docPr id="59" name="Frame5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things necessary to amend Articles 5 and 6 of the present Articles in order to record the change of share capital following any increase pursuant to the present Article.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After each increase of the issued share capital according to the above, the present Articles shall be amended to reflect such increase without requiring further approval from the Company’s shareholders.</w:t>
      </w:r>
    </w:p>
    <w:p>
      <w:pPr>
        <w:pStyle w:val="TextBody"/>
        <w:bidi w:val="0"/>
        <w:spacing w:lineRule="auto" w:line="343" w:before="0" w:after="120"/>
        <w:jc w:val="both"/>
        <w:rPr/>
      </w:pPr>
      <w:r>
        <w:rPr>
          <w:rFonts w:ascii="Arial;sans-serif" w:hAnsi="Arial;sans-serif"/>
          <w:b/>
          <w:color w:val="000000"/>
          <w:sz w:val="20"/>
        </w:rPr>
        <w:t>Art. 7. Shares.</w:t>
      </w:r>
      <w:r>
        <w:rPr>
          <w:color w:val="000000"/>
        </w:rPr>
        <w:t xml:space="preserve"> </w:t>
      </w:r>
      <w:r>
        <w:rPr>
          <w:rFonts w:ascii="Arial;sans-serif" w:hAnsi="Arial;sans-serif"/>
          <w:b w:val="false"/>
          <w:color w:val="000000"/>
          <w:sz w:val="20"/>
        </w:rPr>
        <w:t xml:space="preserve">The Shares will take the form of registered shares. The shareholders shall not have the right to ask for the conversion of Shares into bearer shares.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 shareholders' register will be available for inspection by the Company’s shareholders at the Company’s registered office subject to the provisions of Article 430-3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 </w:t>
      </w:r>
    </w:p>
    <w:p>
      <w:pPr>
        <w:pStyle w:val="TextBody"/>
        <w:bidi w:val="0"/>
        <w:spacing w:lineRule="auto" w:line="343" w:before="0" w:after="120"/>
        <w:jc w:val="both"/>
        <w:rPr/>
      </w:pPr>
      <w:r>
        <w:rPr>
          <w:rFonts w:ascii="Arial;sans-serif" w:hAnsi="Arial;sans-serif"/>
          <w:b w:val="false"/>
          <w:color w:val="000000"/>
          <w:sz w:val="20"/>
        </w:rPr>
        <w:t xml:space="preserve">Any transfer of Shares shall be recorded in the share register in accordance with applicable law. </w:t>
      </w:r>
      <w:r>
        <w:rPr>
          <w:rFonts w:ascii="Arial;sans-serif" w:hAnsi="Arial;sans-serif"/>
          <w:b w:val="false"/>
          <w:color w:val="000000"/>
          <w:sz w:val="20"/>
          <w:shd w:fill="FFFFFF" w:val="clear"/>
        </w:rPr>
        <w:t>The Board of Directors may delegate its powers with respect to the recording of such transfers in the share register.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Each Share is indivisible. In case of holding of a Share by more than one person, the Company has the right to suspend the rights attaching thereto (except for the information rights provided for by Article 461-6 of the Law) until one sole person has been designated as being the holder thereof towards the Company.</w:t>
      </w:r>
    </w:p>
    <w:p>
      <w:pPr>
        <w:pStyle w:val="TextBody"/>
        <w:bidi w:val="0"/>
        <w:spacing w:lineRule="auto" w:line="343" w:before="0" w:after="120"/>
        <w:jc w:val="both"/>
        <w:rPr/>
      </w:pPr>
      <w:r>
        <w:rPr>
          <w:rFonts w:ascii="Arial;sans-serif" w:hAnsi="Arial;sans-serif"/>
          <w:b w:val="false"/>
          <w:color w:val="000000"/>
          <w:sz w:val="20"/>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sans-serif" w:hAnsi="Arial;sans-serif"/>
          <w:b/>
          <w:color w:val="000000"/>
          <w:sz w:val="20"/>
        </w:rPr>
        <w:t>Depositories</w:t>
      </w:r>
      <w:r>
        <w:rPr>
          <w:rFonts w:ascii="Arial;sans-serif" w:hAnsi="Arial;sans-serif"/>
          <w:b w:val="false"/>
          <w:color w:val="000000"/>
          <w:sz w:val="20"/>
        </w:rPr>
        <w:t>" and each a "</w:t>
      </w:r>
      <w:r>
        <w:rPr>
          <w:rFonts w:ascii="Arial;sans-serif" w:hAnsi="Arial;sans-serif"/>
          <w:b/>
          <w:color w:val="000000"/>
          <w:sz w:val="20"/>
        </w:rPr>
        <w:t>Depository</w:t>
      </w:r>
      <w:r>
        <w:rPr>
          <w:rFonts w:ascii="Arial;sans-serif" w:hAnsi="Arial;sans-serif"/>
          <w:b w:val="false"/>
          <w:color w:val="000000"/>
          <w:sz w:val="20"/>
        </w:rPr>
        <w:t>") or of a sub-depository designated by one or more Depositories (the "</w:t>
      </w:r>
      <w:r>
        <w:rPr>
          <w:rFonts w:ascii="Arial;sans-serif" w:hAnsi="Arial;sans-serif"/>
          <w:b/>
          <w:color w:val="000000"/>
          <w:sz w:val="20"/>
        </w:rPr>
        <w:t>Indirect Holders</w:t>
      </w:r>
      <w:r>
        <w:rPr>
          <w:rFonts w:ascii="Arial;sans-serif" w:hAnsi="Arial;sans-serif"/>
          <w:b w:val="false"/>
          <w:color w:val="000000"/>
          <w:sz w:val="20"/>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Notwithstanding the foregoing, the Company will make payments, by way of dividends or otherwise, in cash, Shares or other assets only into the hands of the Depository or sub-depository recorded in the share register of the Company or in accordance with their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310"/>
                <wp:effectExtent l="0" t="0" r="0" b="0"/>
                <wp:wrapNone/>
                <wp:docPr id="60" name="Frame6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instructions, and that payment shall release the Company from any and all obligations for such payment.</w:t>
      </w:r>
    </w:p>
    <w:p>
      <w:pPr>
        <w:pStyle w:val="TextBody"/>
        <w:bidi w:val="0"/>
        <w:spacing w:lineRule="auto" w:line="343" w:before="0" w:after="120"/>
        <w:jc w:val="both"/>
        <w:rPr/>
      </w:pPr>
      <w:r>
        <w:rPr>
          <w:rFonts w:ascii="Arial;sans-serif" w:hAnsi="Arial;sans-serif"/>
          <w:b/>
          <w:color w:val="000000"/>
          <w:sz w:val="20"/>
        </w:rPr>
        <w:t>Art. 8. Payment of Shares.</w:t>
      </w:r>
      <w:r>
        <w:rPr>
          <w:color w:val="000000"/>
        </w:rPr>
        <w:t xml:space="preserve"> </w:t>
      </w:r>
      <w:r>
        <w:rPr>
          <w:rFonts w:ascii="Arial;sans-serif" w:hAnsi="Arial;sans-serif"/>
          <w:b w:val="false"/>
          <w:color w:val="000000"/>
          <w:sz w:val="20"/>
        </w:rPr>
        <w:t xml:space="preserve">Payments on Shares not fully paid up at the time of subscription may be made at the time and upon conditions which the Board of Directors shall from time to time determine subject to the Law. Any amount called up on Shares will be charged equally on all outstanding Shares which are not fully paid up. </w:t>
      </w:r>
    </w:p>
    <w:p>
      <w:pPr>
        <w:pStyle w:val="TextBody"/>
        <w:bidi w:val="0"/>
        <w:spacing w:lineRule="auto" w:line="343" w:before="0" w:after="120"/>
        <w:jc w:val="both"/>
        <w:rPr/>
      </w:pPr>
      <w:r>
        <w:rPr>
          <w:rFonts w:ascii="Arial;sans-serif" w:hAnsi="Arial;sans-serif"/>
          <w:b/>
          <w:color w:val="000000"/>
          <w:sz w:val="20"/>
        </w:rPr>
        <w:t>Art. 9. Increase and Reduction of the Share Capital.</w:t>
      </w:r>
      <w:r>
        <w:rPr>
          <w:color w:val="000000"/>
        </w:rPr>
        <w:t xml:space="preserve"> </w:t>
      </w:r>
      <w:r>
        <w:rPr>
          <w:rFonts w:ascii="Arial;sans-serif" w:hAnsi="Arial;sans-serif"/>
          <w:b w:val="false"/>
          <w:color w:val="000000"/>
          <w:sz w:val="20"/>
        </w:rPr>
        <w:t>The issued share capital and the authorized 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preferred subscription right is not applicable when the share capital is increased by means of contributions in kind.</w:t>
      </w:r>
    </w:p>
    <w:p>
      <w:pPr>
        <w:pStyle w:val="TextBody"/>
        <w:bidi w:val="0"/>
        <w:spacing w:lineRule="auto" w:line="343" w:before="0" w:after="120"/>
        <w:jc w:val="both"/>
        <w:rPr/>
      </w:pPr>
      <w:r>
        <w:rPr>
          <w:rFonts w:ascii="Arial;sans-serif" w:hAnsi="Arial;sans-serif"/>
          <w:b/>
          <w:color w:val="000000"/>
          <w:sz w:val="20"/>
        </w:rPr>
        <w:t>Art. 10. Acquisition or Redemption of Own Shares</w:t>
      </w:r>
      <w:r>
        <w:rPr>
          <w:rFonts w:ascii="Arial;sans-serif" w:hAnsi="Arial;sans-serif"/>
          <w:b w:val="false"/>
          <w:color w:val="000000"/>
          <w:sz w:val="20"/>
        </w:rPr>
        <w:t>. The Company may acquire or redeem its own Shares in accordance with the provisions of the Law. It may hold the Shares so acquired or redeemed. As used in this Article 10, "Own Shares" means Shares acquired or redeemed and held by the Company.</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III. Directors, Board of Directors, Statutory Auditors</w:t>
      </w:r>
    </w:p>
    <w:p>
      <w:pPr>
        <w:pStyle w:val="TextBody"/>
        <w:bidi w:val="0"/>
        <w:spacing w:lineRule="auto" w:line="343" w:before="0" w:after="120"/>
        <w:jc w:val="both"/>
        <w:rPr/>
      </w:pPr>
      <w:r>
        <w:rPr>
          <w:rFonts w:ascii="Arial;sans-serif" w:hAnsi="Arial;sans-serif"/>
          <w:b/>
          <w:color w:val="000000"/>
          <w:sz w:val="20"/>
        </w:rPr>
        <w:t>Art. 11. Board of Directors.</w:t>
      </w:r>
      <w:r>
        <w:rPr>
          <w:color w:val="000000"/>
        </w:rPr>
        <w:t xml:space="preserve"> </w:t>
      </w:r>
      <w:r>
        <w:rPr>
          <w:rFonts w:ascii="Arial;sans-serif" w:hAnsi="Arial;sans-serif"/>
          <w:b w:val="false"/>
          <w:color w:val="000000"/>
          <w:sz w:val="20"/>
        </w:rPr>
        <w:t>The Company is managed by a board of directors (the "</w:t>
      </w:r>
      <w:r>
        <w:rPr>
          <w:rFonts w:ascii="Arial;sans-serif" w:hAnsi="Arial;sans-serif"/>
          <w:b/>
          <w:color w:val="000000"/>
          <w:sz w:val="20"/>
        </w:rPr>
        <w:t>Board of Directors</w:t>
      </w:r>
      <w:r>
        <w:rPr>
          <w:rFonts w:ascii="Arial;sans-serif" w:hAnsi="Arial;sans-serif"/>
          <w:b w:val="false"/>
          <w:color w:val="000000"/>
          <w:sz w:val="20"/>
        </w:rPr>
        <w:t>") composed of at least three (3) and of maximum seven (7) members (each a "</w:t>
      </w:r>
      <w:r>
        <w:rPr>
          <w:rFonts w:ascii="Arial;sans-serif" w:hAnsi="Arial;sans-serif"/>
          <w:b/>
          <w:color w:val="000000"/>
          <w:sz w:val="20"/>
        </w:rPr>
        <w:t>Director</w:t>
      </w:r>
      <w:r>
        <w:rPr>
          <w:rFonts w:ascii="Arial;sans-serif" w:hAnsi="Arial;sans-serif"/>
          <w:b w:val="false"/>
          <w:color w:val="000000"/>
          <w:sz w:val="20"/>
        </w:rPr>
        <w:t xml:space="preserve">"), who need not be shareholders.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Director(s) shall be appointed by the general meeting of shareholders. The general meeting of shareholders will determine their number and the duration of their mandate for a term not exceeding six (6) years, and they will hold office until their successors are elected.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310"/>
                <wp:effectExtent l="0" t="0" r="0" b="0"/>
                <wp:wrapNone/>
                <wp:docPr id="61" name="Frame6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Director(s) may be re-elected for successive terms, and may be removed at any time, with or without cause, by a resolution of the general meeting of shareholders.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pStyle w:val="TextBody"/>
        <w:bidi w:val="0"/>
        <w:spacing w:lineRule="auto" w:line="343" w:before="0" w:after="120"/>
        <w:jc w:val="both"/>
        <w:rPr/>
      </w:pPr>
      <w:r>
        <w:rPr>
          <w:rFonts w:ascii="Arial;sans-serif" w:hAnsi="Arial;sans-serif"/>
          <w:b/>
          <w:color w:val="000000"/>
          <w:sz w:val="20"/>
        </w:rPr>
        <w:t>Art. 12. Meetings of the Board of Directors.</w:t>
      </w:r>
      <w:r>
        <w:rPr>
          <w:color w:val="000000"/>
        </w:rPr>
        <w:t xml:space="preserve"> </w:t>
      </w:r>
      <w:r>
        <w:rPr>
          <w:rFonts w:ascii="Arial;sans-serif" w:hAnsi="Arial;sans-serif"/>
          <w:b w:val="false"/>
          <w:color w:val="000000"/>
          <w:sz w:val="20"/>
        </w:rPr>
        <w:t>The Board of Directors will appoint from among its members a chairperson (the "</w:t>
      </w:r>
      <w:r>
        <w:rPr>
          <w:rFonts w:ascii="Arial;sans-serif" w:hAnsi="Arial;sans-serif"/>
          <w:b/>
          <w:color w:val="000000"/>
          <w:sz w:val="20"/>
        </w:rPr>
        <w:t>Chair</w:t>
      </w:r>
      <w:r>
        <w:rPr>
          <w:rFonts w:ascii="Arial;sans-serif" w:hAnsi="Arial;sans-serif"/>
          <w:b w:val="false"/>
          <w:color w:val="000000"/>
          <w:sz w:val="20"/>
        </w:rPr>
        <w:t>"). It may also appoint a corporate secretary, who need not be a Director and who will be responsible for keeping the minutes of the meetings of the Board of Directors and the general meetings of shareholder(s) (the "</w:t>
      </w:r>
      <w:r>
        <w:rPr>
          <w:rFonts w:ascii="Arial;sans-serif" w:hAnsi="Arial;sans-serif"/>
          <w:b/>
          <w:color w:val="000000"/>
          <w:sz w:val="20"/>
        </w:rPr>
        <w:t>Secretary</w:t>
      </w:r>
      <w:r>
        <w:rPr>
          <w:rFonts w:ascii="Arial;sans-serif" w:hAnsi="Arial;sans-serif"/>
          <w:b w:val="false"/>
          <w:color w:val="000000"/>
          <w:sz w:val="20"/>
        </w:rPr>
        <w:t>"). If the Secretary is not a Director, such person shall observe the confidentiality provisions as set forth in Article 15 of these Articles, under the responsibility of the Board of Directors.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Board of Directors will meet upon call by the Chair. A meeting of the Board of Directors must be convened if any two Directors so require.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Chair will preside at all meetings of the Board of Directors. except that in his or her absence the Board of Directors may appoint another Director to preside the meeting.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notice may be waived by unanimous written consent given at the meeting by all Directors. No separate notice is required for meetings held at times and places specified in a schedule previously adopted by resolution of the Board of Directors.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Meetings of the Board of Directors shall be held in the location indicated in the notice of meeting.</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Any Director may act at any meeting of the Board of Directors by appointing in writing another Director as his or her proxy.</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 required).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Decisions will be taken by a majority of the votes of the Directors present or represented at such meeting. In case of a voting tie, the Chair, or when applicable, the pro tempore chair, shall cast the deciding vote.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310"/>
                <wp:effectExtent l="0" t="0" r="0" b="0"/>
                <wp:wrapNone/>
                <wp:docPr id="62" name="Frame6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 written decision, signed by all the Directors, is proper and valid as if it had been adopted at a meeting of the Board of Directors which was duly convened and held. Such a decision can be documented in a single document, signed by all Directors, or in separate identical documents, each signed by a Director.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Directors assume, pursuant to their mandate, no personal liability for any commitment validly made by them in the name of the Company.</w:t>
      </w:r>
    </w:p>
    <w:p>
      <w:pPr>
        <w:pStyle w:val="TextBody"/>
        <w:bidi w:val="0"/>
        <w:spacing w:lineRule="auto" w:line="343" w:before="0" w:after="120"/>
        <w:jc w:val="both"/>
        <w:rPr/>
      </w:pPr>
      <w:r>
        <w:rPr>
          <w:rFonts w:ascii="Arial;sans-serif" w:hAnsi="Arial;sans-serif"/>
          <w:b/>
          <w:color w:val="000000"/>
          <w:sz w:val="20"/>
        </w:rPr>
        <w:t>Art. 13. Minutes of Meetings of the Board of Directors.</w:t>
      </w:r>
      <w:r>
        <w:rPr>
          <w:color w:val="000000"/>
        </w:rPr>
        <w:t xml:space="preserve"> </w:t>
      </w:r>
      <w:r>
        <w:rPr>
          <w:rFonts w:ascii="Arial;sans-serif" w:hAnsi="Arial;sans-serif"/>
          <w:b w:val="false"/>
          <w:color w:val="000000"/>
          <w:sz w:val="20"/>
        </w:rPr>
        <w:t xml:space="preserve">The minutes of any meeting of the Board of Directors shall be signed by the Chair or the Secretary.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Copies or extracts thereof shall be certified by the Secretary appointed by the Board of Directors.</w:t>
      </w:r>
    </w:p>
    <w:p>
      <w:pPr>
        <w:pStyle w:val="TextBody"/>
        <w:bidi w:val="0"/>
        <w:spacing w:lineRule="auto" w:line="343" w:before="0" w:after="120"/>
        <w:jc w:val="both"/>
        <w:rPr/>
      </w:pPr>
      <w:r>
        <w:rPr>
          <w:rFonts w:ascii="Arial;sans-serif" w:hAnsi="Arial;sans-serif"/>
          <w:b/>
          <w:color w:val="000000"/>
          <w:sz w:val="20"/>
        </w:rPr>
        <w:t>Art. 14. General Powers of the Board of Directors.</w:t>
      </w:r>
      <w:r>
        <w:rPr>
          <w:color w:val="000000"/>
        </w:rPr>
        <w:t xml:space="preserve"> </w:t>
      </w:r>
      <w:r>
        <w:rPr>
          <w:rFonts w:ascii="Arial;sans-serif" w:hAnsi="Arial;sans-serif"/>
          <w:b w:val="false"/>
          <w:color w:val="000000"/>
          <w:sz w:val="20"/>
        </w:rPr>
        <w:t xml:space="preserve">The Board of Directors is vested with the broadest powers to act on behalf of the Company and to perform or authorize all acts of an admninistrative or disposal nature that are necessary or useful for accomplishing the Company's object. All powers not expressly reserved by the Law or by these Articles to the general meeting of shareholders fall within the competence of the Board of Directors.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Board of Directors may freely decide to reimburse any share premium account or any available reserves or funds available on the capital contribution account (compte 115 "Apport en capitaux propres non rémunéré par des titres") of the Company to its shareholders, in accordance with the provisions of the Law.</w:t>
      </w:r>
    </w:p>
    <w:p>
      <w:pPr>
        <w:pStyle w:val="TextBody"/>
        <w:bidi w:val="0"/>
        <w:spacing w:lineRule="auto" w:line="343" w:before="0" w:after="120"/>
        <w:jc w:val="both"/>
        <w:rPr/>
      </w:pPr>
      <w:r>
        <w:rPr>
          <w:rFonts w:ascii="Arial;sans-serif" w:hAnsi="Arial;sans-serif"/>
          <w:b/>
          <w:color w:val="000000"/>
          <w:sz w:val="20"/>
        </w:rPr>
        <w:t xml:space="preserve">Art. 15. Confidentiality. </w:t>
      </w:r>
      <w:r>
        <w:rPr>
          <w:rFonts w:ascii="Arial;sans-serif" w:hAnsi="Arial;sans-serif"/>
          <w:b w:val="false"/>
          <w:color w:val="000000"/>
          <w:sz w:val="20"/>
        </w:rPr>
        <w:t>Even after the end of their term of office, the Director(s) shall not disclose information about the Company which could be detrimental to the Company's interests, except when disclosure is required by law, in accordance with and subject to the provisions of Article 444-6 of the Law.</w:t>
      </w:r>
    </w:p>
    <w:p>
      <w:pPr>
        <w:pStyle w:val="TextBody"/>
        <w:bidi w:val="0"/>
        <w:spacing w:lineRule="auto" w:line="343" w:before="0" w:after="120"/>
        <w:jc w:val="both"/>
        <w:rPr/>
      </w:pPr>
      <w:r>
        <w:rPr>
          <w:rFonts w:ascii="Arial;sans-serif" w:hAnsi="Arial;sans-serif"/>
          <w:b/>
          <w:color w:val="000000"/>
          <w:sz w:val="20"/>
        </w:rPr>
        <w:t>Art. 16. Committees, Delegation of Powers.</w:t>
      </w:r>
      <w:r>
        <w:rPr>
          <w:color w:val="000000"/>
        </w:rPr>
        <w:t xml:space="preserve"> </w:t>
      </w:r>
      <w:r>
        <w:rPr>
          <w:rFonts w:ascii="Arial;sans-serif" w:hAnsi="Arial;sans-serif"/>
          <w:b w:val="false"/>
          <w:color w:val="000000"/>
          <w:sz w:val="20"/>
        </w:rPr>
        <w:t>The Board of Directors may appoint committees, including but not limited to an Executive Committee, an Audit Committee, a Nomination and Governance Committee, a Compliance Committee and a Compensation Committee (each a "</w:t>
      </w:r>
      <w:r>
        <w:rPr>
          <w:rFonts w:ascii="Arial;sans-serif" w:hAnsi="Arial;sans-serif"/>
          <w:b/>
          <w:color w:val="000000"/>
          <w:sz w:val="20"/>
        </w:rPr>
        <w:t>Committee</w:t>
      </w:r>
      <w:r>
        <w:rPr>
          <w:rFonts w:ascii="Arial;sans-serif" w:hAnsi="Arial;sans-serif"/>
          <w:b w:val="false"/>
          <w:color w:val="000000"/>
          <w:sz w:val="20"/>
        </w:rPr>
        <w:t>" and collectively, the "</w:t>
      </w:r>
      <w:r>
        <w:rPr>
          <w:rFonts w:ascii="Arial;sans-serif" w:hAnsi="Arial;sans-serif"/>
          <w:b/>
          <w:color w:val="000000"/>
          <w:sz w:val="20"/>
        </w:rPr>
        <w:t>Committees</w:t>
      </w:r>
      <w:r>
        <w:rPr>
          <w:rFonts w:ascii="Arial;sans-serif" w:hAnsi="Arial;sans-serif"/>
          <w:b w:val="false"/>
          <w:color w:val="000000"/>
          <w:sz w:val="20"/>
        </w:rPr>
        <w:t xml:space="preserve">"). The Board of Directors will determine each such committee’s composition and purpose in accordance with applicable law, rules and regulations.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 </w:t>
      </w:r>
    </w:p>
    <w:p>
      <w:pPr>
        <w:pStyle w:val="TextBody"/>
        <w:bidi w:val="0"/>
        <w:spacing w:lineRule="auto" w:line="343" w:before="0" w:after="120"/>
        <w:jc w:val="both"/>
        <w:rPr/>
      </w:pPr>
      <w:r>
        <w:rPr>
          <w:rFonts w:ascii="Arial;sans-serif" w:hAnsi="Arial;sans-serif"/>
          <w:b w:val="false"/>
          <w:color w:val="000000"/>
          <w:sz w:val="20"/>
        </w:rPr>
        <w:t xml:space="preserve">The Board of Directors may also delegate its powers to conduct daily management to a management committee or a managing executive officer (directeur </w:t>
      </w:r>
      <w:r>
        <w:rPr>
          <w:rFonts w:ascii="Arial;sans-serif" w:hAnsi="Arial;sans-serif"/>
          <w:b w:val="false"/>
          <w:color w:val="222222"/>
          <w:sz w:val="20"/>
          <w:shd w:fill="FFFFFF" w:val="clear"/>
        </w:rPr>
        <w:t>général</w:t>
      </w:r>
      <w:r>
        <w:rPr>
          <w:rFonts w:ascii="Arial;sans-serif" w:hAnsi="Arial;sans-serif"/>
          <w:b w:val="false"/>
          <w:color w:val="000000"/>
          <w:sz w:val="20"/>
        </w:rPr>
        <w:t xml:space="preserve">)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the management director, if any, shall comply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310"/>
                <wp:effectExtent l="0" t="0" r="0" b="0"/>
                <wp:wrapNone/>
                <wp:docPr id="63" name="Frame6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conflicts of interest procedure provided for by Article 441-12 of the Law as well as with the confidentiality obligations provided for by Article 444-6 of the Law.</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Board of Directors may also confer certain special powers and duties to any member(s) of the Board of Directors or any other person(s), who need not be a Director or shareholder of the Company, acting alone or jointly, under such terms as the Board shall determine.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If the Board of Directors delegates its powers to conduct daily management as permitted by these Articles, then the Board of Directors must report each year to the annual general meeting on the salary, fees and any advantages granted to the delegate(s).</w:t>
      </w:r>
    </w:p>
    <w:p>
      <w:pPr>
        <w:pStyle w:val="TextBody"/>
        <w:bidi w:val="0"/>
        <w:spacing w:lineRule="auto" w:line="343" w:before="0" w:after="120"/>
        <w:jc w:val="both"/>
        <w:rPr/>
      </w:pPr>
      <w:r>
        <w:rPr>
          <w:rFonts w:ascii="Arial;sans-serif" w:hAnsi="Arial;sans-serif"/>
          <w:b/>
          <w:color w:val="000000"/>
          <w:sz w:val="20"/>
        </w:rPr>
        <w:t>Art. 17. Representation of the Company.</w:t>
      </w:r>
      <w:r>
        <w:rPr>
          <w:color w:val="000000"/>
        </w:rPr>
        <w:t xml:space="preserve"> </w:t>
      </w:r>
      <w:r>
        <w:rPr>
          <w:rFonts w:ascii="Arial;sans-serif" w:hAnsi="Arial;sans-serif"/>
          <w:b w:val="false"/>
          <w:color w:val="000000"/>
          <w:sz w:val="20"/>
        </w:rPr>
        <w:t>The Company will be bound towards third parties by:</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 xml:space="preserve">The joint signature of any two Directors; </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individual signature of the member(s) of a management committee, if such committee has been formed by the Board of Directors; and</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signature of a management director, if one has been appointed by the Board of Directors;</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individual signature of any other person to whom the Board has delegated the daily management of the Company in accordance with this Article, and then only within the scope of the daily management;</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individual signature of any person(s) to whom signing authority has been delegated by the Board of Directors.</w:t>
      </w:r>
    </w:p>
    <w:p>
      <w:pPr>
        <w:pStyle w:val="TextBody"/>
        <w:bidi w:val="0"/>
        <w:spacing w:lineRule="auto" w:line="343" w:before="0" w:after="120"/>
        <w:jc w:val="both"/>
        <w:rPr/>
      </w:pPr>
      <w:r>
        <w:rPr>
          <w:rFonts w:ascii="Arial;sans-serif" w:hAnsi="Arial;sans-serif"/>
          <w:b/>
          <w:color w:val="000000"/>
          <w:sz w:val="20"/>
        </w:rPr>
        <w:t>Art. 18. Conflict of Interests.</w:t>
      </w:r>
      <w:r>
        <w:rPr>
          <w:color w:val="000000"/>
        </w:rPr>
        <w:t xml:space="preserve"> </w:t>
      </w:r>
      <w:r>
        <w:rPr>
          <w:rFonts w:ascii="Arial;sans-serif" w:hAnsi="Arial;sans-serif"/>
          <w:b w:val="false"/>
          <w:color w:val="000000"/>
          <w:sz w:val="20"/>
        </w:rPr>
        <w:t xml:space="preserve">No contract or other transaction between the Company and any other 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310"/>
                <wp:effectExtent l="0" t="0" r="0" b="0"/>
                <wp:wrapNone/>
                <wp:docPr id="64" name="Frame6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 be indemnified, except in relation to matters as to which he or she shall be finally adjudged in such action, suit or proceeding to be liable for gross negligence or wilful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pStyle w:val="TextBody"/>
        <w:bidi w:val="0"/>
        <w:spacing w:lineRule="auto" w:line="343" w:before="0" w:after="120"/>
        <w:jc w:val="both"/>
        <w:rPr/>
      </w:pPr>
      <w:r>
        <w:rPr>
          <w:rFonts w:ascii="Arial;sans-serif" w:hAnsi="Arial;sans-serif"/>
          <w:b/>
          <w:color w:val="000000"/>
          <w:sz w:val="20"/>
        </w:rPr>
        <w:t>Art. 19. Auditors.</w:t>
      </w:r>
      <w:r>
        <w:rPr>
          <w:color w:val="000000"/>
        </w:rPr>
        <w:t xml:space="preserve"> </w:t>
      </w:r>
      <w:r>
        <w:rPr>
          <w:rFonts w:ascii="Arial;sans-serif" w:hAnsi="Arial;sans-serif"/>
          <w:b w:val="false"/>
          <w:color w:val="000000"/>
          <w:sz w:val="20"/>
          <w:shd w:fill="FFFFFF" w:val="clear"/>
        </w:rPr>
        <w:t xml:space="preserve">The Company’s operations will be overseen by one or more supervisory auditors (commissaire(s) aux comptes) and, to the extent required by applicable law, rules and regulations, </w:t>
      </w:r>
      <w:r>
        <w:rPr>
          <w:rFonts w:ascii="Arial;sans-serif" w:hAnsi="Arial;sans-serif"/>
          <w:b w:val="false"/>
          <w:color w:val="000000"/>
          <w:sz w:val="20"/>
        </w:rPr>
        <w:t>by one or more independent statutory auditors (réviseur(s) d'entreprises).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 </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IV. Meetings of Shareholders</w:t>
      </w:r>
    </w:p>
    <w:p>
      <w:pPr>
        <w:pStyle w:val="TextBody"/>
        <w:bidi w:val="0"/>
        <w:spacing w:lineRule="auto" w:line="343" w:before="0" w:after="120"/>
        <w:jc w:val="both"/>
        <w:rPr/>
      </w:pPr>
      <w:r>
        <w:rPr>
          <w:rFonts w:ascii="Arial;sans-serif" w:hAnsi="Arial;sans-serif"/>
          <w:b/>
          <w:color w:val="000000"/>
          <w:sz w:val="20"/>
        </w:rPr>
        <w:t>Art. 20. Annual General Meeting.</w:t>
      </w:r>
      <w:r>
        <w:rPr>
          <w:color w:val="000000"/>
        </w:rPr>
        <w:t xml:space="preserve"> </w:t>
      </w:r>
      <w:r>
        <w:rPr>
          <w:rFonts w:ascii="Arial;sans-serif" w:hAnsi="Arial;sans-serif"/>
          <w:b w:val="false"/>
          <w:color w:val="000000"/>
          <w:sz w:val="20"/>
        </w:rPr>
        <w:t>The annual general meeting will be held in accordance with provisions of Article 450-8 of the Law at the registered office of the Company or at such other place as may be specified in the convening notice and at such time as specified in the convening notice of the meeting.</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If such day is a public holiday, the meeting will be held on the next following business day. Such meetings shall be validly held if at least 33 1/3% of the issued share capital of the Company is present or represented.</w:t>
      </w:r>
    </w:p>
    <w:p>
      <w:pPr>
        <w:pStyle w:val="TextBody"/>
        <w:bidi w:val="0"/>
        <w:spacing w:before="0" w:after="120"/>
        <w:jc w:val="both"/>
        <w:rPr/>
      </w:pPr>
      <w:r>
        <w:rPr/>
      </w:r>
    </w:p>
    <w:p>
      <w:pPr>
        <w:pStyle w:val="TextBody"/>
        <w:bidi w:val="0"/>
        <w:spacing w:lineRule="auto" w:line="343" w:before="0" w:after="120"/>
        <w:jc w:val="both"/>
        <w:rPr/>
      </w:pPr>
      <w:r>
        <w:rPr>
          <w:rFonts w:ascii="Arial;sans-serif" w:hAnsi="Arial;sans-serif"/>
          <w:b/>
          <w:color w:val="000000"/>
          <w:sz w:val="20"/>
        </w:rPr>
        <w:t>Art. 21. Other General Meetings of Shareholders.</w:t>
      </w:r>
      <w:r>
        <w:rPr>
          <w:color w:val="000000"/>
        </w:rPr>
        <w:t xml:space="preserve"> </w:t>
      </w:r>
      <w:r>
        <w:rPr>
          <w:rFonts w:ascii="Arial;sans-serif" w:hAnsi="Arial;sans-serif"/>
          <w:b w:val="false"/>
          <w:color w:val="000000"/>
          <w:sz w:val="20"/>
        </w:rPr>
        <w:t>The Board of Directors may convene other 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pStyle w:val="TextBody"/>
        <w:bidi w:val="0"/>
        <w:spacing w:lineRule="auto" w:line="343" w:before="0" w:after="120"/>
        <w:jc w:val="both"/>
        <w:rPr/>
      </w:pPr>
      <w:r>
        <w:rPr>
          <w:rFonts w:ascii="Arial;sans-serif" w:hAnsi="Arial;sans-serif"/>
          <w:b/>
          <w:color w:val="000000"/>
          <w:sz w:val="20"/>
        </w:rPr>
        <w:t>Art. 22. Powers of the Meeting of Shareholders.</w:t>
      </w:r>
      <w:r>
        <w:rPr>
          <w:color w:val="000000"/>
        </w:rPr>
        <w:t xml:space="preserve"> </w:t>
      </w:r>
      <w:r>
        <w:rPr>
          <w:rFonts w:ascii="Arial;sans-serif" w:hAnsi="Arial;sans-serif"/>
          <w:b w:val="false"/>
          <w:color w:val="000000"/>
          <w:sz w:val="20"/>
        </w:rPr>
        <w:t xml:space="preserve">Any regularly constituted general meeting of shareholders of the Company represents the entire body of shareholders.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Subject to all the other powers reserved to the Board of Directors or by the Law or the Articles, the general meeting of shareholders has the broadest powers to adopt, carry out or ratify any act relating to the operations of the Company.</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shareholders shall neither participate in nor interfere with the management of the Company.</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In accordance with the provisions of Article 450-1 (8), paragraph 1 of the Law, the Board of Directors shall be authorized to suspend the voting rights of the shareholders who fail to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310"/>
                <wp:effectExtent l="0" t="0" r="0" b="0"/>
                <wp:wrapNone/>
                <wp:docPr id="65" name="Frame6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comply with their obligations under these Articles or the provisions of any agreement which may be entered into among the shareholders from time to time.</w:t>
      </w:r>
    </w:p>
    <w:p>
      <w:pPr>
        <w:pStyle w:val="TextBody"/>
        <w:bidi w:val="0"/>
        <w:spacing w:lineRule="auto" w:line="343" w:before="0" w:after="120"/>
        <w:jc w:val="both"/>
        <w:rPr/>
      </w:pPr>
      <w:r>
        <w:rPr>
          <w:rFonts w:ascii="Arial;sans-serif" w:hAnsi="Arial;sans-serif"/>
          <w:b/>
          <w:color w:val="000000"/>
          <w:sz w:val="20"/>
        </w:rPr>
        <w:t>Art. 23. Procedure, Vote.</w:t>
      </w:r>
      <w:r>
        <w:rPr>
          <w:color w:val="000000"/>
        </w:rPr>
        <w:t xml:space="preserve"> </w:t>
      </w:r>
      <w:r>
        <w:rPr>
          <w:rFonts w:ascii="Arial;sans-serif" w:hAnsi="Arial;sans-serif"/>
          <w:b w:val="false"/>
          <w:color w:val="000000"/>
          <w:sz w:val="20"/>
        </w:rPr>
        <w:t xml:space="preserve">The general meeting of shareholders will meet upon call by the Board of Directors or the auditor(s) made in compliance with Luxembourg law and the present Articles. </w:t>
      </w:r>
    </w:p>
    <w:p>
      <w:pPr>
        <w:pStyle w:val="TextBody"/>
        <w:bidi w:val="0"/>
        <w:spacing w:lineRule="auto" w:line="343" w:before="0" w:after="120"/>
        <w:jc w:val="both"/>
        <w:rPr/>
      </w:pPr>
      <w:r>
        <w:rPr>
          <w:rFonts w:ascii="Arial;sans-serif" w:hAnsi="Arial;sans-serif"/>
          <w:b w:val="false"/>
          <w:color w:val="000000"/>
          <w:sz w:val="20"/>
        </w:rPr>
        <w:t>The record date for general meetings shall be set by the Board of Directors before the date of the general meeting (the "</w:t>
      </w:r>
      <w:r>
        <w:rPr>
          <w:rFonts w:ascii="Arial;sans-serif" w:hAnsi="Arial;sans-serif"/>
          <w:b/>
          <w:color w:val="000000"/>
          <w:sz w:val="20"/>
        </w:rPr>
        <w:t>Record Date</w:t>
      </w:r>
      <w:r>
        <w:rPr>
          <w:rFonts w:ascii="Arial;sans-serif" w:hAnsi="Arial;sans-serif"/>
          <w:b w:val="false"/>
          <w:color w:val="000000"/>
          <w:sz w:val="20"/>
        </w:rPr>
        <w:t xml:space="preserv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documents required to be submitted to the shareholders in connection with the general meeting shall be posted on the Company's corporate website or available for inspection at the Company’s registered offices, as may be required by applicable law.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convening notice sent to the shareholders in accordance with the Law will specify the time and place of the meeting, as well as the agenda and the nature of the business to be transacted.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Board of Directors may determine all other conditions that must be fulfilled in order to take part in a general meeting of shareholders. The Chair or another person appointed by the Board shall chair the general meeting of shareholders.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Resolutions to amend these Articles or change the Company's nationality and resolutions whose adoption is subject, pursuant to these Articles or the Law, to the quorum and majority required to amend the Articles must be approved by at least two thirds (2/3) of the votes cast in accordance with the provisions of Article 450-3 of the Law at a meeting at which at least half (½) the issued and outstanding shares are present or represented. If this quorum is not met at the first meeting, a second meeting, with the same agenda, may be called, in accordance with the provisions of the Act, for which a quorum of 33 1/3% shall be required.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All other decisions must be approved by the general meeting of shareholders by a simple majority of the votes cast, and a quorum of 33 1/3% shall be required.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Board of Directors may also determine that shareholders may vote from a remote location by correspondence, by completing a voting form provided by the Company which includes the following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310"/>
                <wp:effectExtent l="0" t="0" r="0" b="0"/>
                <wp:wrapNone/>
                <wp:docPr id="66" name="Frame6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name, address and any other pertinent information concerning the shareholder.</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number of votes the shareholder wishes to cast, the direction of his or her votes, or his or her abstention.</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agenda of the meeting including the draft of resolutions.</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option to vote by proxy for any new resolution or any modification of the resolutions properly submitted to the general meeting between the date the shareholder submits his or her form through the meeting date.</w:t>
      </w:r>
    </w:p>
    <w:p>
      <w:pPr>
        <w:pStyle w:val="TextBody"/>
        <w:bidi w:val="0"/>
        <w:spacing w:lineRule="auto" w:line="343" w:before="0" w:after="120"/>
        <w:jc w:val="both"/>
        <w:rPr/>
      </w:pPr>
      <w:r>
        <w:rPr>
          <w:rFonts w:ascii="Arial;sans-serif" w:hAnsi="Arial;sans-serif"/>
          <w:b w:val="false"/>
          <w:color w:val="000000"/>
          <w:sz w:val="20"/>
        </w:rPr>
        <w:t>-</w:t>
      </w:r>
      <w:r>
        <w:rPr>
          <w:rFonts w:ascii="Arial;sans-serif" w:hAnsi="Arial;sans-serif"/>
          <w:b w:val="false"/>
          <w:color w:val="000000"/>
          <w:sz w:val="20"/>
        </w:rPr>
        <w:t>The signature of the shareholder.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Any shareholder who participates in a general meeting of the Company by the forgoing means shall be deemed to be present, shall be counted when determining a quorum and shall be entitled to vote on all agenda items of the general meeting.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The commitments of the shareholders may be increased only with the unanimous consent of the shareholders.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If all the shareholders are present or represented at a general meeting of shareholders and if they state that they have been informed of the agenda of the meeting, the meeting may be held without prior notice.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One vote is attached to each Share.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Copies or extracts of the minutes of the resolutions passed by the general meeting of shareholders shall be certified by the Chair or by the Secretary.</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V. Financial Year, Distribution of Profits</w:t>
      </w:r>
    </w:p>
    <w:p>
      <w:pPr>
        <w:pStyle w:val="TextBody"/>
        <w:bidi w:val="0"/>
        <w:spacing w:lineRule="auto" w:line="343" w:before="0" w:after="120"/>
        <w:jc w:val="both"/>
        <w:rPr/>
      </w:pPr>
      <w:r>
        <w:rPr>
          <w:rFonts w:ascii="Arial;sans-serif" w:hAnsi="Arial;sans-serif"/>
          <w:b/>
          <w:color w:val="000000"/>
          <w:sz w:val="20"/>
        </w:rPr>
        <w:t>Art. 24. Financial Year.</w:t>
      </w:r>
      <w:r>
        <w:rPr>
          <w:color w:val="000000"/>
        </w:rPr>
        <w:t xml:space="preserve"> </w:t>
      </w:r>
      <w:r>
        <w:rPr>
          <w:rFonts w:ascii="Arial;sans-serif" w:hAnsi="Arial;sans-serif"/>
          <w:b w:val="false"/>
          <w:color w:val="000000"/>
          <w:sz w:val="20"/>
        </w:rPr>
        <w:t>The Company's financial year begins on the first day of the month of January and ends on the last day of the month of December every year.</w:t>
      </w:r>
    </w:p>
    <w:p>
      <w:pPr>
        <w:pStyle w:val="TextBody"/>
        <w:bidi w:val="0"/>
        <w:spacing w:lineRule="auto" w:line="343" w:before="0" w:after="120"/>
        <w:jc w:val="both"/>
        <w:rPr/>
      </w:pPr>
      <w:r>
        <w:rPr>
          <w:rFonts w:ascii="Arial;sans-serif" w:hAnsi="Arial;sans-serif"/>
          <w:b/>
          <w:color w:val="000000"/>
          <w:sz w:val="20"/>
        </w:rPr>
        <w:t>Art. 25. Adoption of Financial Statements.</w:t>
      </w:r>
      <w:r>
        <w:rPr>
          <w:color w:val="000000"/>
        </w:rPr>
        <w:t xml:space="preserve"> </w:t>
      </w:r>
      <w:r>
        <w:rPr>
          <w:rFonts w:ascii="Arial;sans-serif" w:hAnsi="Arial;sans-serif"/>
          <w:b w:val="false"/>
          <w:color w:val="000000"/>
          <w:sz w:val="20"/>
        </w:rPr>
        <w:t xml:space="preserve">At the end of each financial year, the accounts are closed and the Board of Directors draws up an inventory of assets and liabilities, the balance sheet and the profit and loss account, in accordance with the Law.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310"/>
                <wp:effectExtent l="0" t="0" r="0" b="0"/>
                <wp:wrapNone/>
                <wp:docPr id="67" name="Frame6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The balance sheet and the profit and loss account are submitted to the general meeting of shareholders for approval.</w:t>
      </w:r>
    </w:p>
    <w:p>
      <w:pPr>
        <w:pStyle w:val="TextBody"/>
        <w:bidi w:val="0"/>
        <w:spacing w:lineRule="auto" w:line="343" w:before="0" w:after="120"/>
        <w:jc w:val="both"/>
        <w:rPr/>
      </w:pPr>
      <w:r>
        <w:rPr>
          <w:rFonts w:ascii="Arial;sans-serif" w:hAnsi="Arial;sans-serif"/>
          <w:b/>
          <w:color w:val="000000"/>
          <w:sz w:val="20"/>
        </w:rPr>
        <w:t>Art. 26. Appropriation of Profits.</w:t>
      </w:r>
      <w:r>
        <w:rPr>
          <w:color w:val="000000"/>
        </w:rPr>
        <w:t xml:space="preserve"> </w:t>
      </w:r>
      <w:r>
        <w:rPr>
          <w:rFonts w:ascii="Arial;sans-serif" w:hAnsi="Arial;sans-serif"/>
          <w:b w:val="false"/>
          <w:color w:val="000000"/>
          <w:sz w:val="20"/>
        </w:rPr>
        <w:t xml:space="preserve">From the annual net profits of the Company, five percent (5%) shall be allocated to the reserve required by the Law. That allocation will cease to be required as soon and as long as such reserve amounts to ten percent (10%) of the issued share capital of the Company.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VI. Dissolution, Liquidation of the Company</w:t>
      </w:r>
    </w:p>
    <w:p>
      <w:pPr>
        <w:pStyle w:val="TextBody"/>
        <w:bidi w:val="0"/>
        <w:spacing w:lineRule="auto" w:line="343" w:before="0" w:after="120"/>
        <w:jc w:val="both"/>
        <w:rPr/>
      </w:pPr>
      <w:r>
        <w:rPr>
          <w:rFonts w:ascii="Arial;sans-serif" w:hAnsi="Arial;sans-serif"/>
          <w:b/>
          <w:color w:val="000000"/>
          <w:sz w:val="20"/>
        </w:rPr>
        <w:t>Art. 27. Dissolution, Liquidation.</w:t>
      </w:r>
      <w:r>
        <w:rPr>
          <w:color w:val="000000"/>
        </w:rPr>
        <w:t xml:space="preserve"> </w:t>
      </w:r>
      <w:r>
        <w:rPr>
          <w:rFonts w:ascii="Arial;sans-serif" w:hAnsi="Arial;sans-serif"/>
          <w:b w:val="false"/>
          <w:color w:val="000000"/>
          <w:sz w:val="20"/>
        </w:rPr>
        <w:t xml:space="preserve">Upon the affirmative proposal of the Board of Directors, the Company may be dissolved by a decision of the general meeting of shareholders voting with the same quorum and majority as for the amendment of these Articles, unless otherwise provided by the Law.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Should the Company be dissolved, the liquidation will be carried out by one or more liquidators (who may be physical persons or legal entities) appointed by the general meeting of shareholders, which will determine their powers and their compensation.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After payment of all the debts of and charges against the Company and of the expenses of liquidation, the net assets shall be distributed equally to the shareholders pro rata to the number of the Shares held by them.</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pStyle w:val="TextBody"/>
        <w:bidi w:val="0"/>
        <w:spacing w:lineRule="auto" w:line="343" w:before="0" w:after="120"/>
        <w:jc w:val="left"/>
        <w:rPr>
          <w:rFonts w:ascii="Arial;sans-serif" w:hAnsi="Arial;sans-serif"/>
          <w:b/>
          <w:color w:val="000000"/>
          <w:sz w:val="20"/>
        </w:rPr>
      </w:pPr>
      <w:r>
        <w:rPr>
          <w:rFonts w:ascii="Arial;sans-serif" w:hAnsi="Arial;sans-serif"/>
          <w:b/>
          <w:color w:val="000000"/>
          <w:sz w:val="20"/>
        </w:rPr>
        <w:t>Chapter VII. Applicable Law</w:t>
      </w:r>
    </w:p>
    <w:p>
      <w:pPr>
        <w:pStyle w:val="TextBody"/>
        <w:bidi w:val="0"/>
        <w:spacing w:lineRule="auto" w:line="343" w:before="0" w:after="120"/>
        <w:jc w:val="both"/>
        <w:rPr/>
      </w:pPr>
      <w:r>
        <w:rPr>
          <w:rFonts w:ascii="Arial;sans-serif" w:hAnsi="Arial;sans-serif"/>
          <w:b/>
          <w:color w:val="000000"/>
          <w:sz w:val="20"/>
        </w:rPr>
        <w:t>Art. 28. Applicable Law.</w:t>
      </w:r>
      <w:r>
        <w:rPr>
          <w:color w:val="000000"/>
        </w:rPr>
        <w:t xml:space="preserve"> </w:t>
      </w:r>
      <w:r>
        <w:rPr>
          <w:rFonts w:ascii="Arial;sans-serif" w:hAnsi="Arial;sans-serif"/>
          <w:b w:val="false"/>
          <w:color w:val="000000"/>
          <w:sz w:val="20"/>
        </w:rPr>
        <w:t>All matters not governed by these Articles shall be determined in accordance with applicable Luxembourg Law.</w:t>
      </w:r>
    </w:p>
    <w:p>
      <w:pPr>
        <w:pStyle w:val="TextBody"/>
        <w:bidi w:val="0"/>
        <w:spacing w:before="0" w:after="120"/>
        <w:jc w:val="both"/>
        <w:rPr/>
      </w:pPr>
      <w:r>
        <w:rPr/>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 xml:space="preserve">SUIT LA TRADUCTION FRANCAISE DU TEXTE QUI PRECEDE : </w:t>
      </w:r>
    </w:p>
    <w:p>
      <w:pPr>
        <w:pStyle w:val="TextBody"/>
        <w:bidi w:val="0"/>
        <w:spacing w:before="0" w:after="120"/>
        <w:jc w:val="both"/>
        <w:rPr/>
      </w:pPr>
      <w:r>
        <w:rPr/>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 xml:space="preserve">Chapitre I er . Forme, Dénomination Sociale, Siège, Objet, Durée </w:t>
      </w:r>
    </w:p>
    <w:p>
      <w:pPr>
        <w:pStyle w:val="TextBody"/>
        <w:bidi w:val="0"/>
        <w:spacing w:lineRule="auto" w:line="343" w:before="0" w:after="120"/>
        <w:jc w:val="both"/>
        <w:rPr/>
      </w:pPr>
      <w:r>
        <w:rPr>
          <w:rFonts w:ascii="Arial;sans-serif" w:hAnsi="Arial;sans-serif"/>
          <w:b/>
          <w:color w:val="000000"/>
          <w:sz w:val="20"/>
        </w:rPr>
        <w:t>Art. 1. Forme, Dénomination Sociale.</w:t>
      </w:r>
      <w:r>
        <w:rPr>
          <w:color w:val="000000"/>
        </w:rPr>
        <w:t xml:space="preserve"> </w:t>
      </w:r>
      <w:r>
        <w:rPr>
          <w:rFonts w:ascii="Arial;sans-serif" w:hAnsi="Arial;sans-serif"/>
          <w:b w:val="false"/>
          <w:color w:val="000000"/>
          <w:sz w:val="20"/>
        </w:rPr>
        <w:t xml:space="preserve">Il est formé par le(s) souscripteur(s) et toutes les personnes qui pourraient devenir détenteurs des actions de la société émises ci-après, une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310"/>
                <wp:effectExtent l="0" t="0" r="0" b="0"/>
                <wp:wrapNone/>
                <wp:docPr id="68" name="Frame6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343" w:before="0" w:after="120"/>
        <w:jc w:val="both"/>
        <w:rPr/>
      </w:pPr>
      <w:r>
        <w:rPr>
          <w:rFonts w:ascii="Arial;sans-serif" w:hAnsi="Arial;sans-serif"/>
          <w:b w:val="false"/>
          <w:color w:val="000000"/>
          <w:sz w:val="20"/>
        </w:rPr>
        <w:t>société sous la forme d'une société anonyme (la "</w:t>
      </w:r>
      <w:r>
        <w:rPr>
          <w:rFonts w:ascii="Arial;sans-serif" w:hAnsi="Arial;sans-serif"/>
          <w:b/>
          <w:color w:val="000000"/>
          <w:sz w:val="20"/>
        </w:rPr>
        <w:t>Société</w:t>
      </w:r>
      <w:r>
        <w:rPr>
          <w:rFonts w:ascii="Arial;sans-serif" w:hAnsi="Arial;sans-serif"/>
          <w:b w:val="false"/>
          <w:color w:val="000000"/>
          <w:sz w:val="20"/>
        </w:rPr>
        <w:t>") régie par les lois du Grand-Duché de Luxembourg, notamment par la loi du 10 août 1915 concernant les sociétés commerciales, telle que modifiée (la "</w:t>
      </w:r>
      <w:r>
        <w:rPr>
          <w:rFonts w:ascii="Arial;sans-serif" w:hAnsi="Arial;sans-serif"/>
          <w:b/>
          <w:color w:val="000000"/>
          <w:sz w:val="20"/>
        </w:rPr>
        <w:t>Loi</w:t>
      </w:r>
      <w:r>
        <w:rPr>
          <w:rFonts w:ascii="Arial;sans-serif" w:hAnsi="Arial;sans-serif"/>
          <w:b w:val="false"/>
          <w:color w:val="000000"/>
          <w:sz w:val="20"/>
        </w:rPr>
        <w:t>"), par l'article 1832 du Code Civil luxembourgeois, tel que modifié (le "</w:t>
      </w:r>
      <w:r>
        <w:rPr>
          <w:rFonts w:ascii="Arial;sans-serif" w:hAnsi="Arial;sans-serif"/>
          <w:b/>
          <w:color w:val="000000"/>
          <w:sz w:val="20"/>
        </w:rPr>
        <w:t>Code Civil</w:t>
      </w:r>
      <w:r>
        <w:rPr>
          <w:rFonts w:ascii="Arial;sans-serif" w:hAnsi="Arial;sans-serif"/>
          <w:b w:val="false"/>
          <w:color w:val="000000"/>
          <w:sz w:val="20"/>
        </w:rPr>
        <w:t>"), ainsi que par les présents statuts (les "</w:t>
      </w:r>
      <w:r>
        <w:rPr>
          <w:rFonts w:ascii="Arial;sans-serif" w:hAnsi="Arial;sans-serif"/>
          <w:b/>
          <w:color w:val="000000"/>
          <w:sz w:val="20"/>
        </w:rPr>
        <w:t>Statuts</w:t>
      </w:r>
      <w:r>
        <w:rPr>
          <w:rFonts w:ascii="Arial;sans-serif" w:hAnsi="Arial;sans-serif"/>
          <w:b w:val="false"/>
          <w:color w:val="000000"/>
          <w:sz w:val="20"/>
        </w:rPr>
        <w:t xml:space="preserve">"). </w:t>
      </w:r>
    </w:p>
    <w:p>
      <w:pPr>
        <w:pStyle w:val="TextBody"/>
        <w:bidi w:val="0"/>
        <w:spacing w:lineRule="auto" w:line="343" w:before="0" w:after="120"/>
        <w:jc w:val="both"/>
        <w:rPr/>
      </w:pPr>
      <w:r>
        <w:rPr>
          <w:rFonts w:ascii="Arial;sans-serif" w:hAnsi="Arial;sans-serif"/>
          <w:b w:val="false"/>
          <w:color w:val="000000"/>
          <w:sz w:val="20"/>
        </w:rPr>
        <w:t>La Société existe sous la dénomination "</w:t>
      </w:r>
      <w:r>
        <w:rPr>
          <w:rFonts w:ascii="Arial;sans-serif" w:hAnsi="Arial;sans-serif"/>
          <w:b/>
          <w:color w:val="000000"/>
          <w:sz w:val="20"/>
        </w:rPr>
        <w:t>Altisource Portfolio Solutions S.A.</w:t>
      </w:r>
      <w:r>
        <w:rPr>
          <w:rFonts w:ascii="Arial;sans-serif" w:hAnsi="Arial;sans-serif"/>
          <w:b w:val="false"/>
          <w:color w:val="000000"/>
          <w:sz w:val="20"/>
        </w:rPr>
        <w:t>"</w:t>
      </w:r>
    </w:p>
    <w:p>
      <w:pPr>
        <w:pStyle w:val="TextBody"/>
        <w:bidi w:val="0"/>
        <w:spacing w:lineRule="auto" w:line="343" w:before="0" w:after="120"/>
        <w:jc w:val="both"/>
        <w:rPr/>
      </w:pPr>
      <w:r>
        <w:rPr>
          <w:rFonts w:ascii="Arial;sans-serif" w:hAnsi="Arial;sans-serif"/>
          <w:b/>
          <w:color w:val="000000"/>
          <w:sz w:val="20"/>
        </w:rPr>
        <w:t>Art. 2. Siège Social.</w:t>
      </w:r>
      <w:r>
        <w:rPr>
          <w:color w:val="000000"/>
        </w:rPr>
        <w:t xml:space="preserve"> </w:t>
      </w:r>
      <w:r>
        <w:rPr>
          <w:rFonts w:ascii="Arial;sans-serif" w:hAnsi="Arial;sans-serif"/>
          <w:b w:val="false"/>
          <w:color w:val="000000"/>
          <w:sz w:val="20"/>
        </w:rPr>
        <w:t>Le siège social est établi à la ville de Luxembourg. Le Conseil d'Administration (tel que défini à l'article 11), est autorisé à changer l'adresse du siège social de la Société au sein du Grand-Duché de Luxembourg et à modifier ces Statuts en conséquence.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Des succursales ou autres bureaux peuvent être établis soit au Grand-Duché de Luxembourg, soit à 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pStyle w:val="TextBody"/>
        <w:bidi w:val="0"/>
        <w:spacing w:lineRule="auto" w:line="343" w:before="0" w:after="120"/>
        <w:jc w:val="both"/>
        <w:rPr/>
      </w:pPr>
      <w:r>
        <w:rPr>
          <w:rFonts w:ascii="Arial;sans-serif" w:hAnsi="Arial;sans-serif"/>
          <w:b/>
          <w:color w:val="000000"/>
          <w:sz w:val="20"/>
        </w:rPr>
        <w:t>Art. 3. Objet.</w:t>
      </w:r>
      <w:r>
        <w:rPr>
          <w:color w:val="000000"/>
        </w:rPr>
        <w:t xml:space="preserve"> </w:t>
      </w:r>
      <w:r>
        <w:rPr>
          <w:rFonts w:ascii="Arial;sans-serif" w:hAnsi="Arial;sans-serif"/>
          <w:b w:val="false"/>
          <w:color w:val="000000"/>
          <w:sz w:val="20"/>
        </w:rPr>
        <w:t xml:space="preserve">La Société a pour objet la prise de participations directes ou indirectes, la gestion continue et la vente de 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La Société peut aussi utiliser ses fonds pour investir dans l'immobilier, les droits de propriété intellectuelle ou dans tout autre actif mobilier ou immobilier de toute sorte ou toute forme. De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310"/>
                <wp:effectExtent l="0" t="0" r="0" b="0"/>
                <wp:wrapNone/>
                <wp:docPr id="69" name="Frame6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manière générale, la Société peut effectuer toute opération commerciale, industrielle ou financière qu'elle jugera utile dans l'accomplissement et le développement de son objet.</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De plus, la Société peut accorder occasionnellement une assistance sous quelque forme que ce soit (y compris, mais sans s'y limiter à l'octroi d'avances, des prêts, des crédits, des garanties ou de sûretés) à 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pStyle w:val="TextBody"/>
        <w:bidi w:val="0"/>
        <w:spacing w:lineRule="auto" w:line="343" w:before="0" w:after="120"/>
        <w:jc w:val="both"/>
        <w:rPr/>
      </w:pPr>
      <w:r>
        <w:rPr>
          <w:rFonts w:ascii="Arial;sans-serif" w:hAnsi="Arial;sans-serif"/>
          <w:b/>
          <w:color w:val="000000"/>
          <w:sz w:val="20"/>
        </w:rPr>
        <w:t>Art. 4. Durée.</w:t>
      </w:r>
      <w:r>
        <w:rPr>
          <w:color w:val="000000"/>
        </w:rPr>
        <w:t xml:space="preserve"> </w:t>
      </w:r>
      <w:r>
        <w:rPr>
          <w:rFonts w:ascii="Arial;sans-serif" w:hAnsi="Arial;sans-serif"/>
          <w:b w:val="false"/>
          <w:color w:val="000000"/>
          <w:sz w:val="20"/>
        </w:rPr>
        <w:t xml:space="preserve">La Société est constituée pour une durée illimitée. </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II. Capital Social, Actions</w:t>
      </w:r>
    </w:p>
    <w:p>
      <w:pPr>
        <w:pStyle w:val="TextBody"/>
        <w:bidi w:val="0"/>
        <w:spacing w:lineRule="auto" w:line="343" w:before="0" w:after="120"/>
        <w:jc w:val="both"/>
        <w:rPr/>
      </w:pPr>
      <w:r>
        <w:rPr>
          <w:rFonts w:ascii="Arial;sans-serif" w:hAnsi="Arial;sans-serif"/>
          <w:b/>
          <w:color w:val="000000"/>
          <w:sz w:val="20"/>
        </w:rPr>
        <w:t>Art. 5. Capital Social.</w:t>
      </w:r>
      <w:r>
        <w:rPr>
          <w:color w:val="000000"/>
        </w:rPr>
        <w:t xml:space="preserve"> </w:t>
      </w:r>
      <w:r>
        <w:rPr>
          <w:rFonts w:ascii="Arial;sans-serif" w:hAnsi="Arial;sans-serif"/>
          <w:b w:val="false"/>
          <w:color w:val="000000"/>
          <w:sz w:val="20"/>
        </w:rPr>
        <w:t>Le capital social de la Société est fixé à deux cent vingt-et-un mille deux cent trente-sept dollars américains et vingt-neuf centimes (221.237,29 USD) représenté par vingt-deux millions cent vingt-trois mille sept cent vingt-neuf (22.123.729) actions ordinaires de la Société sans désignation de valeur nominale. Au sens des présents Statuts, on entend par « </w:t>
      </w:r>
      <w:r>
        <w:rPr>
          <w:rFonts w:ascii="Arial;sans-serif" w:hAnsi="Arial;sans-serif"/>
          <w:b/>
          <w:color w:val="000000"/>
          <w:sz w:val="20"/>
        </w:rPr>
        <w:t>Actions</w:t>
      </w:r>
      <w:r>
        <w:rPr>
          <w:color w:val="000000"/>
        </w:rPr>
        <w:t> </w:t>
      </w:r>
      <w:r>
        <w:rPr>
          <w:rFonts w:ascii="Arial;sans-serif" w:hAnsi="Arial;sans-serif"/>
          <w:b w:val="false"/>
          <w:color w:val="000000"/>
          <w:sz w:val="20"/>
        </w:rPr>
        <w:t>» les actions ordinaires de la société sans désignation de valeur nominale.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Outre le capital social, des comptes de primes d’émission sur lesquels toute prime payée sur une Action en plus de sa valeur nominale peut être transférée et des comptes d’apport en capital (compte 115, « Apport en capitaux propres non rémunéré par des titres ») peuvent être établis. Le Conseil d’administration est autorisé à affecter tout ou partie des comptes de primes d’émission et des comptes d’apport en capital versés sur les actions émises par la Société à l’un ou l’autre des postes suivants, ou aux deux, selon ce qu’il jugera approprié :</w:t>
      </w:r>
    </w:p>
    <w:p>
      <w:pPr>
        <w:pStyle w:val="TextBody"/>
        <w:bidi w:val="0"/>
        <w:spacing w:lineRule="auto" w:line="343" w:before="0" w:after="120"/>
        <w:ind w:left="0" w:right="0" w:firstLine="567"/>
        <w:jc w:val="both"/>
        <w:rPr/>
      </w:pPr>
      <w:r>
        <w:rPr>
          <w:rFonts w:ascii="Arial;sans-serif" w:hAnsi="Arial;sans-serif"/>
          <w:b w:val="false"/>
          <w:color w:val="000000"/>
          <w:sz w:val="20"/>
        </w:rPr>
        <w:t>-</w:t>
      </w:r>
      <w:r>
        <w:rPr>
          <w:rFonts w:ascii="Arial;sans-serif" w:hAnsi="Arial;sans-serif"/>
          <w:b w:val="false"/>
          <w:color w:val="000000"/>
          <w:sz w:val="20"/>
        </w:rPr>
        <w:t>une réserve distribuable à utiliser pour des distributions de toute nature à effectuer par la Société ;</w:t>
      </w:r>
    </w:p>
    <w:p>
      <w:pPr>
        <w:pStyle w:val="TextBody"/>
        <w:bidi w:val="0"/>
        <w:spacing w:lineRule="auto" w:line="343" w:before="0" w:after="120"/>
        <w:ind w:left="0" w:right="0" w:firstLine="567"/>
        <w:jc w:val="both"/>
        <w:rPr/>
      </w:pPr>
      <w:r>
        <w:rPr>
          <w:rFonts w:ascii="Arial;sans-serif" w:hAnsi="Arial;sans-serif"/>
          <w:b w:val="false"/>
          <w:color w:val="000000"/>
          <w:sz w:val="20"/>
        </w:rPr>
        <w:t>-</w:t>
      </w:r>
      <w:r>
        <w:rPr>
          <w:rFonts w:ascii="Arial;sans-serif" w:hAnsi="Arial;sans-serif"/>
          <w:b w:val="false"/>
          <w:color w:val="000000"/>
          <w:sz w:val="20"/>
        </w:rPr>
        <w:t>une réserve spéciale telle que prévue par les articles 430-18, 430-22 et 461-2 de la loi.</w:t>
      </w:r>
      <w:r>
        <w:rPr>
          <w:color w:val="000000"/>
        </w:rPr>
        <w:t> </w:t>
      </w:r>
    </w:p>
    <w:p>
      <w:pPr>
        <w:pStyle w:val="TextBody"/>
        <w:bidi w:val="0"/>
        <w:spacing w:lineRule="auto" w:line="343" w:before="0" w:after="120"/>
        <w:jc w:val="both"/>
        <w:rPr/>
      </w:pPr>
      <w:r>
        <w:rPr>
          <w:rFonts w:ascii="Arial;sans-serif" w:hAnsi="Arial;sans-serif"/>
          <w:b/>
          <w:color w:val="000000"/>
          <w:sz w:val="20"/>
        </w:rPr>
        <w:t>Art. 6. Capital Social Autorisé.</w:t>
      </w:r>
      <w:r>
        <w:rPr>
          <w:color w:val="000000"/>
        </w:rPr>
        <w:t xml:space="preserve"> </w:t>
      </w:r>
      <w:r>
        <w:rPr>
          <w:rFonts w:ascii="Arial;sans-serif" w:hAnsi="Arial;sans-serif"/>
          <w:b w:val="false"/>
          <w:color w:val="000000"/>
          <w:sz w:val="20"/>
        </w:rPr>
        <w:t xml:space="preserve">Le capital social autorisé est fixé à un million huit cent huit mille deux cent quatre-vingt-deux dollars américains et quarante-trois centimes (1.808.282,43 USD) divisé en cent quatre-vingt millions huit cent vingt-huit mille deux cent quarante-trois (180.828.243) actions ordinaires de la Société sans valeur nominale. Le Conseil d'administration est autorisé, pendant une période se terminant cinq (5) ans après la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310"/>
                <wp:effectExtent l="0" t="0" r="0" b="0"/>
                <wp:wrapNone/>
                <wp:docPr id="70" name="Frame7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date de publication du procès-verbal de l'assemblée générale extraordinaire du 18 février 2025 dans la gazette électronique RESA (Recueil Electronique des Sociétés et Associations) à : </w:t>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réaliser toute augmentation du capital social émis dans les limites du capital social autorisé, en une ou plusieurs fois, par l'émission de nouvelles Actions, l'octroi d'options, de bons de souscriptions ou d'autres instruments similaires pouvant être exercés en Actions, de droits de souscription d'Actions contre paiement en espèces ou en nature ; par la conversion de créances ; par l'augmentation de la valeur nominale des Actions existantes ; ou de toute autre manière décidée par le Conseil d'administration jusqu'à un montant d’un million huit cent huit mille deux cent quatre-vingt-deux</w:t>
      </w:r>
      <w:r>
        <w:rPr>
          <w:color w:val="000000"/>
        </w:rPr>
        <w:t xml:space="preserve"> </w:t>
      </w:r>
      <w:r>
        <w:rPr>
          <w:rFonts w:ascii="Arial;sans-serif" w:hAnsi="Arial;sans-serif"/>
          <w:b w:val="false"/>
          <w:color w:val="000000"/>
          <w:sz w:val="20"/>
        </w:rPr>
        <w:t>dollars américains et quarante-trois centimes (1.808.282,43</w:t>
      </w:r>
      <w:r>
        <w:rPr>
          <w:color w:val="000000"/>
        </w:rPr>
        <w:t xml:space="preserve"> </w:t>
      </w:r>
      <w:r>
        <w:rPr>
          <w:rFonts w:ascii="Arial;sans-serif" w:hAnsi="Arial;sans-serif"/>
          <w:b w:val="false"/>
          <w:color w:val="000000"/>
          <w:sz w:val="20"/>
        </w:rPr>
        <w:t>USD).</w:t>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émettre des bons de souscription, des options ou d'autres instruments similaires donnant droit à des actions, des droits de souscription d'actions et fixer les conditions de ces instruments.</w:t>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déterminer les termes et conditions de toute augmentation du capital social émis, y compris, mais sans s'y limiter, le lieu et la date de l'émission ou des émissions successives, le prix d'émission, le montant des nouvelles Actions à émettre, si les nouvelles Actions doivent être émises et souscrites, avec ou sans prime d'émission et les modalités de souscription et de libération des Actions nouvelles (en espèces ou en nature ou par incorporation de réserves disponibles ou de fonds disponibles sur le compte 115 « Apport en capitaux propres non rémunéré par des titres », le compte de primes d'émission ou les bénéfices non distribués). Si la contrepartie payable à la Société pour des Actions nouvellement émises dépasse la valeur nominale de ces Actions, l'excédent doit être traité comme une prime d'émission relative aux Actions dans les livres comptables de la Société.</w:t>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limiter ou supprimer le droit de souscription préférentiel réservé aux actionnaires existants en cas d'émission d'actions contre paiement en espèces, en émettant des actions pour un montant ne dépassant pas le capital social autorisé et en annulant ou en limitant le droit préférentiel des actionnaires existants de souscrire ces Actions dans le cadre du programme d'options d'achat d'Actions pour les salariés de la société.</w:t>
      </w:r>
    </w:p>
    <w:p>
      <w:pPr>
        <w:pStyle w:val="TextBody"/>
        <w:bidi w:val="0"/>
        <w:spacing w:before="0" w:after="0"/>
        <w:jc w:val="both"/>
        <w:rPr/>
      </w:pPr>
      <w:r>
        <w:rPr/>
      </w:r>
    </w:p>
    <w:p>
      <w:pPr>
        <w:pStyle w:val="TextBody"/>
        <w:bidi w:val="0"/>
        <w:spacing w:lineRule="auto" w:line="343" w:before="0" w:after="0"/>
        <w:jc w:val="both"/>
        <w:rPr/>
      </w:pPr>
      <w:r>
        <w:rPr>
          <w:rFonts w:ascii="Arial;sans-serif" w:hAnsi="Arial;sans-serif"/>
          <w:b w:val="false"/>
          <w:color w:val="000000"/>
          <w:sz w:val="20"/>
        </w:rPr>
        <w:t>-</w:t>
      </w:r>
      <w:r>
        <w:rPr>
          <w:rFonts w:ascii="Arial;sans-serif" w:hAnsi="Arial;sans-serif"/>
          <w:b w:val="false"/>
          <w:color w:val="000000"/>
          <w:sz w:val="20"/>
        </w:rPr>
        <w:t>prendre toutes les mesures nécessaires pour modifier les articles 5 et 6 des Statuts afin d'enregistrer la modification du capital social émis à la suite d'une augmentation en vertu du présent article. Le Conseil d'administration est habilité à prendre ou à autoriser les mesures nécessaires à l'exécution et à la publication de cette modification conformément à la loi. En outre, le Conseil d'administration peut déléguer à tout Administrateur (tel que défini à l'article 11) ou dirigeant de la Société dûment autorisé, à un comité désigné par celle-ci ou à toute autre personne dûment autorisée, les fonctions d'acceptation des souscriptions et de réception des paiements pour les Actions ou de faire tout ce qui est nécessaire pour modifier les articles 5 et 6 des présents Statuts afin d'enregistrer la modification du capital social à la suite d'une augmentation en vertu du présent article.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Après chaque augmentation du capital social émis conformément à ce qui précède, les présents Statuts seront modifiés pour refléter cette augmentation sans qu'il soit nécessaire d'obtenir une nouvelle approbation des actionnaires de la Société.</w:t>
      </w:r>
    </w:p>
    <w:p>
      <w:pPr>
        <w:pStyle w:val="TextBody"/>
        <w:bidi w:val="0"/>
        <w:spacing w:lineRule="auto" w:line="343" w:before="0" w:after="120"/>
        <w:jc w:val="both"/>
        <w:rPr/>
      </w:pPr>
      <w:r>
        <w:rPr>
          <w:rFonts w:ascii="Arial;sans-serif" w:hAnsi="Arial;sans-serif"/>
          <w:b/>
          <w:color w:val="000000"/>
          <w:sz w:val="20"/>
        </w:rPr>
        <w:t>Art. 7. Actions.</w:t>
      </w:r>
      <w:r>
        <w:rPr>
          <w:color w:val="000000"/>
        </w:rPr>
        <w:t xml:space="preserve"> </w:t>
      </w:r>
      <w:r>
        <w:rPr>
          <w:rFonts w:ascii="Arial;sans-serif" w:hAnsi="Arial;sans-serif"/>
          <w:b w:val="false"/>
          <w:color w:val="000000"/>
          <w:sz w:val="20"/>
        </w:rPr>
        <w:t xml:space="preserve">Chaque Action sera et restera sous forme nominale. Les actionnaires n'auront pas le droit de demander la conversion des actions en Actions au porteur.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310"/>
                <wp:effectExtent l="0" t="0" r="0" b="0"/>
                <wp:wrapNone/>
                <wp:docPr id="71" name="Frame7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Chaque actionnaire notifiera à la Société tout changement d'adresse par voie de lettre recommandée. La Société pourra se prévaloir de la dernière adresse ainsi communiquée.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La propriété des Actions résultera des inscriptions contenues dans ledit registre.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Toute personne qui est tenue de déclarer la propriété des Actions sur l'Annexe 13D ou 13G conformément à la Règle 13d-1 ou les changements dans cette propriété conformément à la Règle 13d-2, chacune telle qu'elle a été promulguée par la Securities and Exchange Commission des États-Unis en vertu du Securities Exchange Act de 1934, tel que modifié, doit notifier au Conseil d'Administration de la Société immédiatement après une acquisition ou une disposition à des fins déclarables et, en aucun cas plus tard que la date de dépôt de cette annexe 13D ou 13G, la proportion d'Actions détenue par la personne concernée suite à l'acquisition ou la disposition.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Tout transfert d'Actions devra être inscrit au registre des actions conformément à la loi applicable. Le Conseil d'Administration de la Société peut déléguer ses pouvoirs en ce qui concerne l'inscription de ces transferts dans le registre des actions.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pStyle w:val="TextBody"/>
        <w:bidi w:val="0"/>
        <w:spacing w:lineRule="auto" w:line="343" w:before="0" w:after="120"/>
        <w:jc w:val="both"/>
        <w:rPr/>
      </w:pPr>
      <w:r>
        <w:rPr>
          <w:rFonts w:ascii="Arial;sans-serif" w:hAnsi="Arial;sans-serif"/>
          <w:b w:val="false"/>
          <w:color w:val="000000"/>
          <w:sz w:val="20"/>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Arial;sans-serif" w:hAnsi="Arial;sans-serif"/>
          <w:b/>
          <w:color w:val="000000"/>
          <w:sz w:val="20"/>
        </w:rPr>
        <w:t>Dépositaires</w:t>
      </w:r>
      <w:r>
        <w:rPr>
          <w:rFonts w:ascii="Arial;sans-serif" w:hAnsi="Arial;sans-serif"/>
          <w:b w:val="false"/>
          <w:color w:val="000000"/>
          <w:sz w:val="20"/>
        </w:rPr>
        <w:t>" et individuellement un "</w:t>
      </w:r>
      <w:r>
        <w:rPr>
          <w:rFonts w:ascii="Arial;sans-serif" w:hAnsi="Arial;sans-serif"/>
          <w:b/>
          <w:color w:val="000000"/>
          <w:sz w:val="20"/>
        </w:rPr>
        <w:t>Dépositaire</w:t>
      </w:r>
      <w:r>
        <w:rPr>
          <w:rFonts w:ascii="Arial;sans-serif" w:hAnsi="Arial;sans-serif"/>
          <w:b w:val="false"/>
          <w:color w:val="000000"/>
          <w:sz w:val="20"/>
        </w:rPr>
        <w:t>") ou d'un sous-dépositaire désigné par un ou plusieurs Dépositaires(les "</w:t>
      </w:r>
      <w:r>
        <w:rPr>
          <w:rFonts w:ascii="Arial;sans-serif" w:hAnsi="Arial;sans-serif"/>
          <w:b/>
          <w:color w:val="000000"/>
          <w:sz w:val="20"/>
        </w:rPr>
        <w:t>Détenteurs Indirects</w:t>
      </w:r>
      <w:r>
        <w:rPr>
          <w:rFonts w:ascii="Arial;sans-serif" w:hAnsi="Arial;sans-serif"/>
          <w:b w:val="false"/>
          <w:color w:val="000000"/>
          <w:sz w:val="20"/>
        </w:rPr>
        <w:t xml:space="preserve">"),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pStyle w:val="TextBody"/>
        <w:bidi w:val="0"/>
        <w:spacing w:lineRule="auto" w:line="343" w:before="0" w:after="120"/>
        <w:jc w:val="both"/>
        <w:rPr/>
      </w:pPr>
      <w:r>
        <w:rPr>
          <w:rFonts w:ascii="Arial;sans-serif" w:hAnsi="Arial;sans-serif"/>
          <w:b/>
          <w:color w:val="000000"/>
          <w:sz w:val="20"/>
        </w:rPr>
        <w:t>Art. 8. Paiement des Actions.</w:t>
      </w:r>
      <w:r>
        <w:rPr>
          <w:color w:val="000000"/>
        </w:rPr>
        <w:t xml:space="preserve"> </w:t>
      </w:r>
      <w:r>
        <w:rPr>
          <w:rFonts w:ascii="Arial;sans-serif" w:hAnsi="Arial;sans-serif"/>
          <w:b w:val="false"/>
          <w:color w:val="000000"/>
          <w:sz w:val="20"/>
        </w:rPr>
        <w:t xml:space="preserve">Les paiements sur les Actions non entièrement libérés à la date de la souscription devront être effectués au moment et selon les conditions qui seront fixées de périodiquement par le Conseil d’Administration, conformément à la Loi. Toute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310"/>
                <wp:effectExtent l="0" t="0" r="0" b="0"/>
                <wp:wrapNone/>
                <wp:docPr id="72" name="Frame7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somme appelée sur les Actions sera prélevée également sur toutes les Actions non encore libérées. </w:t>
      </w:r>
    </w:p>
    <w:p>
      <w:pPr>
        <w:pStyle w:val="TextBody"/>
        <w:bidi w:val="0"/>
        <w:spacing w:lineRule="auto" w:line="343" w:before="0" w:after="120"/>
        <w:jc w:val="both"/>
        <w:rPr/>
      </w:pPr>
      <w:r>
        <w:rPr>
          <w:rFonts w:ascii="Arial;sans-serif" w:hAnsi="Arial;sans-serif"/>
          <w:b/>
          <w:color w:val="000000"/>
          <w:sz w:val="20"/>
        </w:rPr>
        <w:t>Art. 9. Augmentation et Réduction du Capital Social.</w:t>
      </w:r>
      <w:r>
        <w:rPr>
          <w:color w:val="000000"/>
        </w:rPr>
        <w:t xml:space="preserve"> </w:t>
      </w:r>
      <w:r>
        <w:rPr>
          <w:rFonts w:ascii="Arial;sans-serif" w:hAnsi="Arial;sans-serif"/>
          <w:b w:val="false"/>
          <w:color w:val="000000"/>
          <w:sz w:val="20"/>
        </w:rPr>
        <w:t>Le capital social émis et le capital social autorisé de la Société 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droit de souscription préférentiel n'est pas applicable lorsque le capital social est augmenté par apports en nature.</w:t>
      </w:r>
    </w:p>
    <w:p>
      <w:pPr>
        <w:pStyle w:val="TextBody"/>
        <w:bidi w:val="0"/>
        <w:spacing w:lineRule="auto" w:line="343" w:before="0" w:after="120"/>
        <w:jc w:val="both"/>
        <w:rPr/>
      </w:pPr>
      <w:r>
        <w:rPr>
          <w:rFonts w:ascii="Arial;sans-serif" w:hAnsi="Arial;sans-serif"/>
          <w:b/>
          <w:color w:val="000000"/>
          <w:sz w:val="20"/>
        </w:rPr>
        <w:t xml:space="preserve">Art. 10. Acquisition ou Rachat d'Actions Propres. </w:t>
      </w:r>
      <w:r>
        <w:rPr>
          <w:rFonts w:ascii="Arial;sans-serif" w:hAnsi="Arial;sans-serif"/>
          <w:b w:val="false"/>
          <w:color w:val="000000"/>
          <w:sz w:val="20"/>
        </w:rPr>
        <w:t>La Société peut acquérir ou racheter ses propres Actions conformément à la Loi Elle peut détenir les Actions ainsi acquises ou rachetées. Dans le présent article 10, les "Actions propres" correspondent aux Actions acquises ou rachetées et détenues par la Société.</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 </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III. Administrateurs, Conseil d’Administration, Commissaires aux comptes</w:t>
      </w:r>
    </w:p>
    <w:p>
      <w:pPr>
        <w:pStyle w:val="TextBody"/>
        <w:bidi w:val="0"/>
        <w:spacing w:lineRule="auto" w:line="343" w:before="0" w:after="120"/>
        <w:jc w:val="both"/>
        <w:rPr/>
      </w:pPr>
      <w:r>
        <w:rPr>
          <w:rFonts w:ascii="Arial;sans-serif" w:hAnsi="Arial;sans-serif"/>
          <w:b/>
          <w:color w:val="000000"/>
          <w:sz w:val="20"/>
        </w:rPr>
        <w:t>Art. 11. Conseil d'Administration.</w:t>
      </w:r>
      <w:r>
        <w:rPr>
          <w:color w:val="000000"/>
        </w:rPr>
        <w:t xml:space="preserve"> </w:t>
      </w:r>
      <w:r>
        <w:rPr>
          <w:rFonts w:ascii="Arial;sans-serif" w:hAnsi="Arial;sans-serif"/>
          <w:b w:val="false"/>
          <w:color w:val="000000"/>
          <w:sz w:val="20"/>
        </w:rPr>
        <w:t>La Société est dirigée par un conseil d'administration (le "</w:t>
      </w:r>
      <w:r>
        <w:rPr>
          <w:rFonts w:ascii="Arial;sans-serif" w:hAnsi="Arial;sans-serif"/>
          <w:b/>
          <w:color w:val="000000"/>
          <w:sz w:val="20"/>
        </w:rPr>
        <w:t>Conseil d'Administration</w:t>
      </w:r>
      <w:r>
        <w:rPr>
          <w:rFonts w:ascii="Arial;sans-serif" w:hAnsi="Arial;sans-serif"/>
          <w:b w:val="false"/>
          <w:color w:val="000000"/>
          <w:sz w:val="20"/>
        </w:rPr>
        <w:t>") composé d'au moins trois (3) membres et au maximum de sept (7) membres (chacun d'entre eux désigné comme un "</w:t>
      </w:r>
      <w:r>
        <w:rPr>
          <w:rFonts w:ascii="Arial;sans-serif" w:hAnsi="Arial;sans-serif"/>
          <w:b/>
          <w:color w:val="000000"/>
          <w:sz w:val="20"/>
        </w:rPr>
        <w:t>Administrateur</w:t>
      </w:r>
      <w:r>
        <w:rPr>
          <w:rFonts w:ascii="Arial;sans-serif" w:hAnsi="Arial;sans-serif"/>
          <w:b w:val="false"/>
          <w:color w:val="000000"/>
          <w:sz w:val="20"/>
        </w:rPr>
        <w:t xml:space="preserve">") qui ne devront pas être des actionnaires.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310"/>
                <wp:effectExtent l="0" t="0" r="0" b="0"/>
                <wp:wrapNone/>
                <wp:docPr id="73" name="Frame7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 pourra/pourront se réunir et élire un administrateur pour remplir ce poste vacant à titre provisoire jusqu'à la prochaine assemblée générale des actionnaires.</w:t>
      </w:r>
    </w:p>
    <w:p>
      <w:pPr>
        <w:pStyle w:val="TextBody"/>
        <w:bidi w:val="0"/>
        <w:spacing w:lineRule="auto" w:line="343" w:before="0" w:after="120"/>
        <w:jc w:val="both"/>
        <w:rPr/>
      </w:pPr>
      <w:r>
        <w:rPr>
          <w:rFonts w:ascii="Arial;sans-serif" w:hAnsi="Arial;sans-serif"/>
          <w:b/>
          <w:color w:val="000000"/>
          <w:sz w:val="20"/>
        </w:rPr>
        <w:t>Art. 12. Réunions du Conseil d'Administration.</w:t>
      </w:r>
      <w:r>
        <w:rPr>
          <w:color w:val="000000"/>
        </w:rPr>
        <w:t xml:space="preserve"> </w:t>
      </w:r>
      <w:r>
        <w:rPr>
          <w:rFonts w:ascii="Arial;sans-serif" w:hAnsi="Arial;sans-serif"/>
          <w:b w:val="false"/>
          <w:color w:val="000000"/>
          <w:sz w:val="20"/>
        </w:rPr>
        <w:t>Le Conseil d'Administration choisira parmi ses membres un président (le "</w:t>
      </w:r>
      <w:r>
        <w:rPr>
          <w:rFonts w:ascii="Arial;sans-serif" w:hAnsi="Arial;sans-serif"/>
          <w:b/>
          <w:color w:val="000000"/>
          <w:sz w:val="20"/>
        </w:rPr>
        <w:t>Président</w:t>
      </w:r>
      <w:r>
        <w:rPr>
          <w:rFonts w:ascii="Arial;sans-serif" w:hAnsi="Arial;sans-serif"/>
          <w:b w:val="false"/>
          <w:color w:val="000000"/>
          <w:sz w:val="20"/>
        </w:rPr>
        <w:t>"). Il pourra également choisir un secrétaire qui n'a pas besoin d'être Administrateur et qui sera responsable des procès-verbaux des réunions du Conseil d'Administration et des assemblées générales des actionnaires (le "</w:t>
      </w:r>
      <w:r>
        <w:rPr>
          <w:rFonts w:ascii="Arial;sans-serif" w:hAnsi="Arial;sans-serif"/>
          <w:b/>
          <w:color w:val="000000"/>
          <w:sz w:val="20"/>
        </w:rPr>
        <w:t>Secrétaire</w:t>
      </w:r>
      <w:r>
        <w:rPr>
          <w:rFonts w:ascii="Arial;sans-serif" w:hAnsi="Arial;sans-serif"/>
          <w:b w:val="false"/>
          <w:color w:val="000000"/>
          <w:sz w:val="20"/>
        </w:rPr>
        <w:t>"). Si le Secrétaire n'est pas un Administrateur, une telle personne devra observer les dispositions relatives à la confidentialité telles qu'énoncées à l'article 15 des présents Statuts sous la responsabilité du Conseil d'Administration.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se réunira sur convocation du Président. Une réunion du Conseil d'Administration devra être convoquée si deux Administrateurs le requièrent.</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Président présidera toutes les réunions du Conseil d'Administration, sauf qu'en son absence, le Conseil d'Administration pourra désigner un autre Administrateur pour présider la réunion.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réunions du Conseil d'administration se tiendront à l'endroit indiqué dans la convocation à la réunion.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Tout Administrateur pourra se faire représenter aux réunions du Conseil d'Administration en désignant par écrit un autre Administrateur comme son mandataire.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décisions sont prises à la majorité des votes des Administrateurs présents ou représentés à la réunion. En cas d'égalité des voix, le Président, ou, le cas échéant, le président pro tempore, aura voix prépondérante.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310"/>
                <wp:effectExtent l="0" t="0" r="0" b="0"/>
                <wp:wrapNone/>
                <wp:docPr id="74" name="Frame7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Une décision écrite, signée par tous les Administrateurs, est correcte et valable comme si elle avait été adoptée lors d'une réunion du Conseil d'Administration dûment convoquée et tenue. Une telle décision peut être consignée dans un document unique, signée par tous les Administrateurs, ou dans documents identiques séparés, chacun d’eux signé par un Administrateur.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Administrateurs assument, en vertu de leur mandat, aucune responsabilité personnelle pour un engagement valablement pris par eux au nom de la Société.</w:t>
      </w:r>
    </w:p>
    <w:p>
      <w:pPr>
        <w:pStyle w:val="TextBody"/>
        <w:bidi w:val="0"/>
        <w:spacing w:lineRule="auto" w:line="343" w:before="0" w:after="120"/>
        <w:jc w:val="both"/>
        <w:rPr/>
      </w:pPr>
      <w:r>
        <w:rPr>
          <w:rFonts w:ascii="Arial;sans-serif" w:hAnsi="Arial;sans-serif"/>
          <w:b/>
          <w:color w:val="000000"/>
          <w:sz w:val="20"/>
        </w:rPr>
        <w:t>Art. 13. Procès-verbaux du Conseil d'Administration.</w:t>
      </w:r>
      <w:r>
        <w:rPr>
          <w:color w:val="000000"/>
        </w:rPr>
        <w:t xml:space="preserve"> </w:t>
      </w:r>
      <w:r>
        <w:rPr>
          <w:rFonts w:ascii="Arial;sans-serif" w:hAnsi="Arial;sans-serif"/>
          <w:b w:val="false"/>
          <w:color w:val="000000"/>
          <w:sz w:val="20"/>
        </w:rPr>
        <w:t xml:space="preserve">Les procès-verbaux de la réunion du Conseil d'Administration doivent être signés par le Président ou le Secrétaire.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copies ou les extraits de ceux-ci doivent être certifiées par le Secrétaire du Conseil d'Administration.</w:t>
      </w:r>
    </w:p>
    <w:p>
      <w:pPr>
        <w:pStyle w:val="TextBody"/>
        <w:bidi w:val="0"/>
        <w:spacing w:lineRule="auto" w:line="343" w:before="0" w:after="120"/>
        <w:jc w:val="both"/>
        <w:rPr/>
      </w:pPr>
      <w:r>
        <w:rPr>
          <w:rFonts w:ascii="Arial;sans-serif" w:hAnsi="Arial;sans-serif"/>
          <w:b/>
          <w:color w:val="000000"/>
          <w:sz w:val="20"/>
        </w:rPr>
        <w:t>Art. 14. Pouvoirs Généraux des Administrateurs.</w:t>
      </w:r>
      <w:r>
        <w:rPr>
          <w:color w:val="000000"/>
        </w:rPr>
        <w:t xml:space="preserve"> </w:t>
      </w:r>
      <w:r>
        <w:rPr>
          <w:rFonts w:ascii="Arial;sans-serif" w:hAnsi="Arial;sans-serif"/>
          <w:b w:val="false"/>
          <w:color w:val="000000"/>
          <w:sz w:val="20"/>
        </w:rPr>
        <w:t xml:space="preserve">Le Conseil d'Administration est investi des pouvoirs les plus étendus 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pStyle w:val="TextBody"/>
        <w:bidi w:val="0"/>
        <w:spacing w:lineRule="auto" w:line="343" w:before="0" w:after="120"/>
        <w:jc w:val="both"/>
        <w:rPr/>
      </w:pPr>
      <w:r>
        <w:rPr>
          <w:rFonts w:ascii="Arial;sans-serif" w:hAnsi="Arial;sans-serif"/>
          <w:b/>
          <w:color w:val="000000"/>
          <w:sz w:val="20"/>
        </w:rPr>
        <w:t xml:space="preserve">Art. 15. Confidentialité. </w:t>
      </w:r>
      <w:r>
        <w:rPr>
          <w:rFonts w:ascii="Arial;sans-serif" w:hAnsi="Arial;sans-serif"/>
          <w:b w:val="false"/>
          <w:color w:val="000000"/>
          <w:sz w:val="20"/>
        </w:rPr>
        <w:t xml:space="preserve">Après le terme de leur mandat, le(s) Administrateur(s) resteront tenus de ne pas révéler les informations relatives à la Société qui pourraient contrevenir aux intérêts de cette dernière, sauf si la révélation de ces informations est requise par la loi ou l'intérêt public, conformément à et sous réserve des dispositions de l'Article 444-6 de la Loi. </w:t>
      </w:r>
    </w:p>
    <w:p>
      <w:pPr>
        <w:pStyle w:val="TextBody"/>
        <w:bidi w:val="0"/>
        <w:spacing w:lineRule="auto" w:line="343" w:before="0" w:after="120"/>
        <w:jc w:val="both"/>
        <w:rPr/>
      </w:pPr>
      <w:r>
        <w:rPr>
          <w:rFonts w:ascii="Arial;sans-serif" w:hAnsi="Arial;sans-serif"/>
          <w:b/>
          <w:color w:val="000000"/>
          <w:sz w:val="20"/>
        </w:rPr>
        <w:t xml:space="preserve">Art.16. Comités, Délégation de Pouvoir. </w:t>
      </w:r>
      <w:r>
        <w:rPr>
          <w:rFonts w:ascii="Arial;sans-serif" w:hAnsi="Arial;sans-serif"/>
          <w:b w:val="false"/>
          <w:color w:val="000000"/>
          <w:sz w:val="20"/>
        </w:rPr>
        <w:t>Le Conseil d'Administration peut nommer des comités, incluant sans s'y limiter, un Comité Exécutif, un Comité d'Audit, un Comité de Nomination et de Gouvernance et un Comité de Compensation (un "</w:t>
      </w:r>
      <w:r>
        <w:rPr>
          <w:rFonts w:ascii="Arial;sans-serif" w:hAnsi="Arial;sans-serif"/>
          <w:b/>
          <w:color w:val="000000"/>
          <w:sz w:val="20"/>
        </w:rPr>
        <w:t>Comité</w:t>
      </w:r>
      <w:r>
        <w:rPr>
          <w:rFonts w:ascii="Arial;sans-serif" w:hAnsi="Arial;sans-serif"/>
          <w:b w:val="false"/>
          <w:color w:val="000000"/>
          <w:sz w:val="20"/>
        </w:rPr>
        <w:t>" et collectivement des "</w:t>
      </w:r>
      <w:r>
        <w:rPr>
          <w:rFonts w:ascii="Arial;sans-serif" w:hAnsi="Arial;sans-serif"/>
          <w:b/>
          <w:color w:val="000000"/>
          <w:sz w:val="20"/>
        </w:rPr>
        <w:t>Comités</w:t>
      </w:r>
      <w:r>
        <w:rPr>
          <w:rFonts w:ascii="Arial;sans-serif" w:hAnsi="Arial;sans-serif"/>
          <w:b w:val="false"/>
          <w:color w:val="000000"/>
          <w:sz w:val="20"/>
        </w:rPr>
        <w:t>"). Le Conseil d'Administration déterminera la composition et l'objet de chacun de ces Comités.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 y compris sous la forme d'un Comité Exécutif, selon les termes et les pouvoirs que le Conseil d'Administration déterminera.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Le Conseil d'Administration pourra également déléguer ses pouvoirs de direction à un comité de direction ou à un directeur général, conformément aux et sous réserves des dispositions de l'Article 441-11 de la Loi. Le Conseil d'Administration sera autorisé à déterminer les conditions de leur nomination, révocation, rémunérations (le cas échéant), durée de mandat et procédure décisionnelle. Le Conseil d'Administration supervisera le comité de direction et le directeur général, le cas échéant. Les membres du comité de direction et le directeur général, le cas échéant, devront se conformer à la procédure de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310"/>
                <wp:effectExtent l="0" t="0" r="0" b="0"/>
                <wp:wrapNone/>
                <wp:docPr id="75" name="Frame7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conflits d'intérêts prévue à l'Article 441-12 de la Loi, ainsi qu'aux obligations de confidentialité prévues à l'Article 444-6 de la Loi.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pStyle w:val="TextBody"/>
        <w:bidi w:val="0"/>
        <w:spacing w:lineRule="auto" w:line="343" w:before="0" w:after="120"/>
        <w:jc w:val="both"/>
        <w:rPr/>
      </w:pPr>
      <w:r>
        <w:rPr>
          <w:rFonts w:ascii="Arial;sans-serif" w:hAnsi="Arial;sans-serif"/>
          <w:b/>
          <w:color w:val="000000"/>
          <w:sz w:val="20"/>
        </w:rPr>
        <w:t xml:space="preserve">Art. 17. Représentation de la Société. </w:t>
      </w:r>
      <w:r>
        <w:rPr>
          <w:rFonts w:ascii="Arial;sans-serif" w:hAnsi="Arial;sans-serif"/>
          <w:b w:val="false"/>
          <w:color w:val="000000"/>
          <w:sz w:val="20"/>
        </w:rPr>
        <w:t>La Société sera engagée à l'égard des tiers par:</w:t>
      </w:r>
    </w:p>
    <w:p>
      <w:pPr>
        <w:pStyle w:val="TextBody"/>
        <w:bidi w:val="0"/>
        <w:spacing w:lineRule="auto" w:line="343" w:before="0" w:after="120"/>
        <w:ind w:left="0" w:right="0" w:hanging="371"/>
        <w:jc w:val="both"/>
        <w:rPr>
          <w:rFonts w:ascii="Arial;sans-serif" w:hAnsi="Arial;sans-serif"/>
          <w:b w:val="false"/>
          <w:color w:val="000000"/>
          <w:sz w:val="20"/>
        </w:rPr>
      </w:pPr>
      <w:r>
        <w:rPr>
          <w:rFonts w:ascii="Arial;sans-serif" w:hAnsi="Arial;sans-serif"/>
          <w:b w:val="false"/>
          <w:color w:val="000000"/>
          <w:sz w:val="20"/>
        </w:rPr>
        <w:t>-La signature conjointe de deux administrateurs;</w:t>
      </w:r>
    </w:p>
    <w:p>
      <w:pPr>
        <w:pStyle w:val="TextBody"/>
        <w:bidi w:val="0"/>
        <w:spacing w:lineRule="auto" w:line="343" w:before="0" w:after="120"/>
        <w:ind w:left="0" w:right="0" w:hanging="371"/>
        <w:jc w:val="both"/>
        <w:rPr>
          <w:rFonts w:ascii="Arial;sans-serif" w:hAnsi="Arial;sans-serif"/>
          <w:b w:val="false"/>
          <w:color w:val="000000"/>
          <w:sz w:val="20"/>
        </w:rPr>
      </w:pPr>
      <w:r>
        <w:rPr>
          <w:rFonts w:ascii="Arial;sans-serif" w:hAnsi="Arial;sans-serif"/>
          <w:b w:val="false"/>
          <w:color w:val="000000"/>
          <w:sz w:val="20"/>
        </w:rPr>
        <w:t>-La signature individuelle du/des membre(s) d'un comité de direction, si un tel comité a été constitué par le Conseil d'Administration; et</w:t>
      </w:r>
    </w:p>
    <w:p>
      <w:pPr>
        <w:pStyle w:val="TextBody"/>
        <w:bidi w:val="0"/>
        <w:spacing w:lineRule="auto" w:line="343" w:before="0" w:after="120"/>
        <w:ind w:left="0" w:right="0" w:hanging="371"/>
        <w:jc w:val="both"/>
        <w:rPr>
          <w:rFonts w:ascii="Arial;sans-serif" w:hAnsi="Arial;sans-serif"/>
          <w:b w:val="false"/>
          <w:color w:val="000000"/>
          <w:sz w:val="20"/>
        </w:rPr>
      </w:pPr>
      <w:r>
        <w:rPr>
          <w:rFonts w:ascii="Arial;sans-serif" w:hAnsi="Arial;sans-serif"/>
          <w:b w:val="false"/>
          <w:color w:val="000000"/>
          <w:sz w:val="20"/>
        </w:rPr>
        <w:t>-La signature du directeur général, si un directeur général a été nommé par le Conseil d'Administration;</w:t>
      </w:r>
    </w:p>
    <w:p>
      <w:pPr>
        <w:pStyle w:val="TextBody"/>
        <w:bidi w:val="0"/>
        <w:spacing w:lineRule="auto" w:line="343" w:before="0" w:after="120"/>
        <w:ind w:left="0" w:right="0" w:hanging="371"/>
        <w:jc w:val="both"/>
        <w:rPr>
          <w:rFonts w:ascii="Arial;sans-serif" w:hAnsi="Arial;sans-serif"/>
          <w:b w:val="false"/>
          <w:color w:val="000000"/>
          <w:sz w:val="20"/>
        </w:rPr>
      </w:pPr>
      <w:r>
        <w:rPr>
          <w:rFonts w:ascii="Arial;sans-serif" w:hAnsi="Arial;sans-serif"/>
          <w:b w:val="false"/>
          <w:color w:val="000000"/>
          <w:sz w:val="20"/>
        </w:rPr>
        <w:t xml:space="preserve">-La signature individuelle de toute autre personne à qui le Conseil d'Administration a délégué la gestion journalière de la Société conformément au présent article, et seulement dans le cadre de la gestion journalière; </w:t>
      </w:r>
    </w:p>
    <w:p>
      <w:pPr>
        <w:pStyle w:val="TextBody"/>
        <w:bidi w:val="0"/>
        <w:spacing w:lineRule="auto" w:line="343" w:before="0" w:after="120"/>
        <w:ind w:left="0" w:right="0" w:hanging="371"/>
        <w:jc w:val="both"/>
        <w:rPr>
          <w:rFonts w:ascii="Arial;sans-serif" w:hAnsi="Arial;sans-serif"/>
          <w:b w:val="false"/>
          <w:color w:val="000000"/>
          <w:sz w:val="20"/>
        </w:rPr>
      </w:pPr>
      <w:r>
        <w:rPr>
          <w:rFonts w:ascii="Arial;sans-serif" w:hAnsi="Arial;sans-serif"/>
          <w:b w:val="false"/>
          <w:color w:val="000000"/>
          <w:sz w:val="20"/>
        </w:rPr>
        <w:t>-La signature individuelle de toute personne à laquelle l'autorité de signature a été déléguée par le Conseil d'Administration.</w:t>
      </w:r>
    </w:p>
    <w:p>
      <w:pPr>
        <w:pStyle w:val="TextBody"/>
        <w:bidi w:val="0"/>
        <w:spacing w:lineRule="auto" w:line="343" w:before="0" w:after="120"/>
        <w:jc w:val="both"/>
        <w:rPr/>
      </w:pPr>
      <w:r>
        <w:rPr>
          <w:rFonts w:ascii="Arial;sans-serif" w:hAnsi="Arial;sans-serif"/>
          <w:b/>
          <w:color w:val="000000"/>
          <w:sz w:val="20"/>
        </w:rPr>
        <w:t>Art. 18. Conflit d'Intérêts.</w:t>
      </w:r>
      <w:r>
        <w:rPr>
          <w:color w:val="000000"/>
        </w:rPr>
        <w:t xml:space="preserve"> </w:t>
      </w:r>
      <w:r>
        <w:rPr>
          <w:rFonts w:ascii="Arial;sans-serif" w:hAnsi="Arial;sans-serif"/>
          <w:b w:val="false"/>
          <w:color w:val="000000"/>
          <w:sz w:val="20"/>
        </w:rPr>
        <w:t xml:space="preserve">Aucun contrat ou autre transaction entre la Société et toute autre société ou entreprise ne 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La Société doit indemniser (ou, le cas échéant, avancer à) tout Administrateur et ses héritiers, exécuteurs et administrateurs testamentaires, de ses dépenses raisonnables en relation avec toute action, procès ou procédure à laquelle il/elle a pu être partie en raison de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310"/>
                <wp:effectExtent l="0" t="0" r="0" b="0"/>
                <wp:wrapNone/>
                <wp:docPr id="76" name="Frame7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sa fonction passée ou actuelle de Administrateur, ou, à la demande de la Société, de toute autre société dans laquelle la Société est Actionnaire ou créancière et par laquelle il/elle n'est pas autorisé à 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pStyle w:val="TextBody"/>
        <w:bidi w:val="0"/>
        <w:spacing w:lineRule="auto" w:line="343" w:before="0" w:after="120"/>
        <w:jc w:val="both"/>
        <w:rPr/>
      </w:pPr>
      <w:r>
        <w:rPr>
          <w:rFonts w:ascii="Arial;sans-serif" w:hAnsi="Arial;sans-serif"/>
          <w:b/>
          <w:color w:val="000000"/>
          <w:sz w:val="20"/>
        </w:rPr>
        <w:t>Art. 19. Commissaires aux Comptes.</w:t>
      </w:r>
      <w:r>
        <w:rPr>
          <w:color w:val="000000"/>
        </w:rPr>
        <w:t xml:space="preserve"> </w:t>
      </w:r>
      <w:r>
        <w:rPr>
          <w:rFonts w:ascii="Arial;sans-serif" w:hAnsi="Arial;sans-serif"/>
          <w:b w:val="false"/>
          <w:color w:val="000000"/>
          <w:sz w:val="20"/>
        </w:rPr>
        <w:t xml:space="preserve">Les comptes annuels de la Société seront audités par un ou plusieurs commissaires aux comptes, et, dans la mesure requise par la Loi, les règles et les règlements applicables, par un ou plusieurs réviseur(s) d'entreprises.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IV. Assemblée Générale des Actionnaires</w:t>
      </w:r>
    </w:p>
    <w:p>
      <w:pPr>
        <w:pStyle w:val="TextBody"/>
        <w:bidi w:val="0"/>
        <w:spacing w:lineRule="auto" w:line="343" w:before="0" w:after="120"/>
        <w:jc w:val="both"/>
        <w:rPr/>
      </w:pPr>
      <w:r>
        <w:rPr>
          <w:rFonts w:ascii="Arial;sans-serif" w:hAnsi="Arial;sans-serif"/>
          <w:b/>
          <w:color w:val="000000"/>
          <w:sz w:val="20"/>
        </w:rPr>
        <w:t>Art. 20. Assemblée Générale des Actionnaires.</w:t>
      </w:r>
      <w:r>
        <w:rPr>
          <w:color w:val="000000"/>
        </w:rPr>
        <w:t xml:space="preserve"> </w:t>
      </w:r>
      <w:r>
        <w:rPr>
          <w:rFonts w:ascii="Arial;sans-serif" w:hAnsi="Arial;sans-serif"/>
          <w:b w:val="false"/>
          <w:color w:val="000000"/>
          <w:sz w:val="20"/>
        </w:rPr>
        <w:t xml:space="preserve">L'assemblée générale annuelle sera tenue conformément aux dispositions de l'article 450-8 de la Loi au siège social de la Société ou à un autre endroit tel qu'indiqué dans la convocation et à l'heure indiquée dans la convocation de l'assemblée.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Si ce jour est un jour férié au Luxembourg, l'assemblée se tiendra le premier jour ouvrable suivant. Ces réunions seront valablement tenues si au moins 33 1/3 % du capital social émis de la Société est présent ou représenté.</w:t>
      </w:r>
    </w:p>
    <w:p>
      <w:pPr>
        <w:pStyle w:val="TextBody"/>
        <w:bidi w:val="0"/>
        <w:spacing w:lineRule="auto" w:line="343" w:before="0" w:after="120"/>
        <w:jc w:val="both"/>
        <w:rPr/>
      </w:pPr>
      <w:r>
        <w:rPr>
          <w:rFonts w:ascii="Arial;sans-serif" w:hAnsi="Arial;sans-serif"/>
          <w:b/>
          <w:color w:val="000000"/>
          <w:sz w:val="20"/>
        </w:rPr>
        <w:t>Art. 21. Autres Assemblées Générales des Actionnaires.</w:t>
      </w:r>
      <w:r>
        <w:rPr>
          <w:color w:val="000000"/>
        </w:rPr>
        <w:t xml:space="preserve"> </w:t>
      </w:r>
      <w:r>
        <w:rPr>
          <w:rFonts w:ascii="Arial;sans-serif" w:hAnsi="Arial;sans-serif"/>
          <w:b w:val="false"/>
          <w:color w:val="000000"/>
          <w:sz w:val="20"/>
        </w:rPr>
        <w:t>Le Conseil d'Administration peut convoquer d'autres 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pStyle w:val="TextBody"/>
        <w:bidi w:val="0"/>
        <w:spacing w:lineRule="auto" w:line="343" w:before="0" w:after="120"/>
        <w:jc w:val="both"/>
        <w:rPr/>
      </w:pPr>
      <w:r>
        <w:rPr>
          <w:rFonts w:ascii="Arial;sans-serif" w:hAnsi="Arial;sans-serif"/>
          <w:b/>
          <w:color w:val="000000"/>
          <w:sz w:val="20"/>
        </w:rPr>
        <w:t xml:space="preserve">Art. 22. Pouvoirs de l'Assemblée Générale. </w:t>
      </w:r>
      <w:r>
        <w:rPr>
          <w:rFonts w:ascii="Arial;sans-serif" w:hAnsi="Arial;sans-serif"/>
          <w:b w:val="false"/>
          <w:color w:val="000000"/>
          <w:sz w:val="20"/>
        </w:rPr>
        <w:t xml:space="preserve">Toute assemblée générale des actionnaires de la Société régulièrement constituée représente l'ensemble des actionnaires.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310"/>
                <wp:effectExtent l="0" t="0" r="0" b="0"/>
                <wp:wrapNone/>
                <wp:docPr id="77" name="Frame7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actionnaires ne doivent ni participer à ni interférer avec la direction de la Société.</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Conformément aux dispositions du paragraphe 1 de l'article 450-1 (8)de la Loi, le Conseil d'Administration est autorisé à suspendre les droits de vote des actionnaires qui ne respectent pas leurs obligations en vertu des présents Statuts ou des dispositions de tout accord qui peut être conclu de temps à autre entre les actionnaires.</w:t>
      </w:r>
    </w:p>
    <w:p>
      <w:pPr>
        <w:pStyle w:val="TextBody"/>
        <w:bidi w:val="0"/>
        <w:spacing w:lineRule="auto" w:line="343" w:before="0" w:after="120"/>
        <w:jc w:val="both"/>
        <w:rPr/>
      </w:pPr>
      <w:r>
        <w:rPr>
          <w:rFonts w:ascii="Arial;sans-serif" w:hAnsi="Arial;sans-serif"/>
          <w:b/>
          <w:color w:val="000000"/>
          <w:sz w:val="20"/>
        </w:rPr>
        <w:t xml:space="preserve">Art. 23. Procédure, Vote. </w:t>
      </w:r>
      <w:r>
        <w:rPr>
          <w:rFonts w:ascii="Arial;sans-serif" w:hAnsi="Arial;sans-serif"/>
          <w:b w:val="false"/>
          <w:color w:val="000000"/>
          <w:sz w:val="20"/>
        </w:rPr>
        <w:t xml:space="preserve">L'assemblée générale des actionnaires se réunit sur convocation du Conseil d'Administration, ou du commissaire aux comptes en conformité avec le droit luxembourgeois et les présents Statuts. </w:t>
      </w:r>
    </w:p>
    <w:p>
      <w:pPr>
        <w:pStyle w:val="TextBody"/>
        <w:bidi w:val="0"/>
        <w:spacing w:lineRule="auto" w:line="343" w:before="0" w:after="120"/>
        <w:jc w:val="both"/>
        <w:rPr/>
      </w:pPr>
      <w:r>
        <w:rPr>
          <w:rFonts w:ascii="Arial;sans-serif" w:hAnsi="Arial;sans-serif"/>
          <w:b w:val="false"/>
          <w:color w:val="000000"/>
          <w:sz w:val="20"/>
        </w:rPr>
        <w:t>La date d'enregistrement des assemblées générales est fixée par le Conseil d'Administration avant la date de l'assemblée générale (la "</w:t>
      </w:r>
      <w:r>
        <w:rPr>
          <w:rFonts w:ascii="Arial;sans-serif" w:hAnsi="Arial;sans-serif"/>
          <w:b/>
          <w:color w:val="000000"/>
          <w:sz w:val="20"/>
        </w:rPr>
        <w:t>Date d'Enregistrement</w:t>
      </w:r>
      <w:r>
        <w:rPr>
          <w:rFonts w:ascii="Arial;sans-serif" w:hAnsi="Arial;sans-serif"/>
          <w:b w:val="false"/>
          <w:color w:val="000000"/>
          <w:sz w:val="20"/>
        </w:rPr>
        <w:t xml:space="preserve">").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documents devant être soumis aux actionnaires dans le cadre de l'assemblée générale seront publiés sur le site web de la Société ou mis à disposition, à la demande d’un Actionnaire, pour consultation au siège social de la Société, conformément aux exigences de la législation en vigueur.</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La convocation envoyée aux actionnaires en conformité avec la Loi, spécifiera la date, l'heure, l'endroit ainsi que l'ordre du jour et la nature des questions devant être traitées lors de l'assemblée.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peut déterminer toutes autres conditions qui doivent être remplies pour participer à une assemblée générale des actionnaires. Le Président ou toute autre personne désignée par le Conseil d’Administration présidera l'assemblée générale des actionnaires.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résolutions visant à modifier les présents Statuts ou à changer la nationalité de la Société, ainsi que les résolutions dont l'adoption est soumise, en vertu des présents Statuts ou de la Loi, au quorum et à la majorité requis pour modifier les Statuts, doivent être approuvées par au moins les deux tiers (2/3) des voix exprimées, conformément aux dispositions de l'article 450-3 de la Loi, lors d'une assemblée à laquelle au moins la moitié (½) des actions émises et en circulation est présente ou représentée. Si ce quorum n'est pas atteint lors de la première assemblée, une seconde assemblée, avec le même ordre du jour, peut être convoquée conformément aux dispositions de la Loi, pour laquelle un quorum de 33 1/3 % sera requis.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310"/>
                <wp:effectExtent l="0" t="0" r="0" b="0"/>
                <wp:wrapNone/>
                <wp:docPr id="78" name="Frame7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Toutes les autres décisions doivent être approuvées par l'assemblée générale des actionnaires à la majorité simple des voix exprimées, et un quorum de 33 1/3 % sera requis.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peut également déterminer que les actionnaires peuvent voter à distance par correspondance en remplissant un formulaire de vote fourni par la Société qui comprend les informations suivantes:</w:t>
      </w:r>
    </w:p>
    <w:p>
      <w:pPr>
        <w:pStyle w:val="TextBody"/>
        <w:bidi w:val="0"/>
        <w:spacing w:lineRule="auto" w:line="343" w:before="0" w:after="120"/>
        <w:ind w:left="0" w:right="0" w:hanging="360"/>
        <w:jc w:val="both"/>
        <w:rPr>
          <w:rFonts w:ascii="Arial;sans-serif" w:hAnsi="Arial;sans-serif"/>
          <w:b w:val="false"/>
          <w:color w:val="000000"/>
          <w:sz w:val="20"/>
        </w:rPr>
      </w:pPr>
      <w:r>
        <w:rPr>
          <w:rFonts w:ascii="Arial;sans-serif" w:hAnsi="Arial;sans-serif"/>
          <w:b w:val="false"/>
          <w:color w:val="000000"/>
          <w:sz w:val="20"/>
        </w:rPr>
        <w:t>-Le nom, l'adresse et toute autre information pertinente concernant l'actionnaire.</w:t>
      </w:r>
    </w:p>
    <w:p>
      <w:pPr>
        <w:pStyle w:val="TextBody"/>
        <w:bidi w:val="0"/>
        <w:spacing w:lineRule="auto" w:line="343" w:before="0" w:after="120"/>
        <w:ind w:left="0" w:right="0" w:hanging="360"/>
        <w:jc w:val="both"/>
        <w:rPr>
          <w:rFonts w:ascii="Arial;sans-serif" w:hAnsi="Arial;sans-serif"/>
          <w:b w:val="false"/>
          <w:color w:val="000000"/>
          <w:sz w:val="20"/>
        </w:rPr>
      </w:pPr>
      <w:r>
        <w:rPr>
          <w:rFonts w:ascii="Arial;sans-serif" w:hAnsi="Arial;sans-serif"/>
          <w:b w:val="false"/>
          <w:color w:val="000000"/>
          <w:sz w:val="20"/>
        </w:rPr>
        <w:t>-Le nombre de votes que l'actionnaire souhaite émettre, le sens de ses votes ou son abstention.</w:t>
      </w:r>
    </w:p>
    <w:p>
      <w:pPr>
        <w:pStyle w:val="TextBody"/>
        <w:bidi w:val="0"/>
        <w:spacing w:lineRule="auto" w:line="343" w:before="0" w:after="120"/>
        <w:ind w:left="0" w:right="0" w:hanging="360"/>
        <w:jc w:val="both"/>
        <w:rPr>
          <w:rFonts w:ascii="Arial;sans-serif" w:hAnsi="Arial;sans-serif"/>
          <w:b w:val="false"/>
          <w:color w:val="000000"/>
          <w:sz w:val="20"/>
        </w:rPr>
      </w:pPr>
      <w:r>
        <w:rPr>
          <w:rFonts w:ascii="Arial;sans-serif" w:hAnsi="Arial;sans-serif"/>
          <w:b w:val="false"/>
          <w:color w:val="000000"/>
          <w:sz w:val="20"/>
        </w:rPr>
        <w:t>-L'ordre du jour de l'assemblée contenant le projet de résolutions.</w:t>
      </w:r>
    </w:p>
    <w:p>
      <w:pPr>
        <w:pStyle w:val="TextBody"/>
        <w:bidi w:val="0"/>
        <w:spacing w:lineRule="auto" w:line="343" w:before="0" w:after="120"/>
        <w:ind w:left="0" w:right="0" w:hanging="360"/>
        <w:jc w:val="both"/>
        <w:rPr>
          <w:rFonts w:ascii="Arial;sans-serif" w:hAnsi="Arial;sans-serif"/>
          <w:b w:val="false"/>
          <w:color w:val="000000"/>
          <w:sz w:val="20"/>
        </w:rPr>
      </w:pPr>
      <w:r>
        <w:rPr>
          <w:rFonts w:ascii="Arial;sans-serif" w:hAnsi="Arial;sans-serif"/>
          <w:b w:val="false"/>
          <w:color w:val="000000"/>
          <w:sz w:val="20"/>
        </w:rPr>
        <w:t>-L'option de voter par procuration pour toute nouvelle résolution ou toute modification des résolutions dûment soumises à l'assemblée générale entre la date à laquelle l'actionnaire soumet son formulaire et la date de l'assemblée.</w:t>
      </w:r>
    </w:p>
    <w:p>
      <w:pPr>
        <w:pStyle w:val="TextBody"/>
        <w:bidi w:val="0"/>
        <w:spacing w:lineRule="auto" w:line="343" w:before="0" w:after="120"/>
        <w:ind w:left="0" w:right="0" w:hanging="360"/>
        <w:jc w:val="both"/>
        <w:rPr>
          <w:rFonts w:ascii="Arial;sans-serif" w:hAnsi="Arial;sans-serif"/>
          <w:b w:val="false"/>
          <w:color w:val="000000"/>
          <w:sz w:val="20"/>
        </w:rPr>
      </w:pPr>
      <w:r>
        <w:rPr>
          <w:rFonts w:ascii="Arial;sans-serif" w:hAnsi="Arial;sans-serif"/>
          <w:b w:val="false"/>
          <w:color w:val="000000"/>
          <w:sz w:val="20"/>
        </w:rPr>
        <w:t>-La signature de l'actionnaire.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engagements des actionnaires ne peuvent être augmentés qu'avec le consentement unanime des actionnaires.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actionnaires représentant un minimum de dix pour cent (10%) du capital social de la société peuvent demander par écrit que des points supplémentaires soient ajoutés à l'ordre du jour de toute assemblée générale. Une telle requête doit être adressée au siège social de la Société par courrier recommandé au moins cinq (5) jours avant la date à laquelle l'assemblée générale doit être tenue.</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310"/>
                <wp:effectExtent l="0" t="0" r="0" b="0"/>
                <wp:wrapNone/>
                <wp:docPr id="79" name="Frame7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Si tous les actionnaires sont présents ou représentés à l'assemblée générale des actionnaires et déclarent avoir eu connaissance de l'ordre du jour de l'assemblée, l'assemblée pourra être tenue sans convocation préalable.</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Un vote est attaché à chaque action.</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Les copies ou les extraits des procès-verbaux de l'assemblée générale des actionnaires doivent être certifiées par le Président ou par le Secrétaire.</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V. Année Sociale, Répartition des Bénéfices</w:t>
      </w:r>
    </w:p>
    <w:p>
      <w:pPr>
        <w:pStyle w:val="TextBody"/>
        <w:bidi w:val="0"/>
        <w:spacing w:lineRule="auto" w:line="343" w:before="0" w:after="120"/>
        <w:jc w:val="both"/>
        <w:rPr/>
      </w:pPr>
      <w:r>
        <w:rPr>
          <w:rFonts w:ascii="Arial;sans-serif" w:hAnsi="Arial;sans-serif"/>
          <w:b/>
          <w:color w:val="000000"/>
          <w:sz w:val="20"/>
        </w:rPr>
        <w:t>Art. 24. Année Sociale.</w:t>
      </w:r>
      <w:r>
        <w:rPr>
          <w:color w:val="000000"/>
        </w:rPr>
        <w:t xml:space="preserve"> </w:t>
      </w:r>
      <w:r>
        <w:rPr>
          <w:rFonts w:ascii="Arial;sans-serif" w:hAnsi="Arial;sans-serif"/>
          <w:b w:val="false"/>
          <w:color w:val="000000"/>
          <w:sz w:val="20"/>
        </w:rPr>
        <w:t xml:space="preserve">L'année sociale de la Société commence le premier jour du mois de Janvier et finit le dernier jour du mois de Décembre de chaque année. </w:t>
      </w:r>
    </w:p>
    <w:p>
      <w:pPr>
        <w:pStyle w:val="TextBody"/>
        <w:bidi w:val="0"/>
        <w:spacing w:lineRule="auto" w:line="343" w:before="0" w:after="120"/>
        <w:jc w:val="both"/>
        <w:rPr/>
      </w:pPr>
      <w:r>
        <w:rPr>
          <w:rFonts w:ascii="Arial;sans-serif" w:hAnsi="Arial;sans-serif"/>
          <w:b/>
          <w:color w:val="000000"/>
          <w:sz w:val="20"/>
        </w:rPr>
        <w:t>Art. 25. Approbation des Comptes Annuels.</w:t>
      </w:r>
      <w:r>
        <w:rPr>
          <w:color w:val="000000"/>
        </w:rPr>
        <w:t xml:space="preserve"> </w:t>
      </w:r>
      <w:r>
        <w:rPr>
          <w:rFonts w:ascii="Arial;sans-serif" w:hAnsi="Arial;sans-serif"/>
          <w:b w:val="false"/>
          <w:color w:val="000000"/>
          <w:sz w:val="20"/>
        </w:rPr>
        <w:t>A la fin de chaque année sociale, les comptes sont clôturés et le Conseil d'Administration dresse un inventaire des actifs et des passifs, le bilan et le compte de résultat conformément à la Loi.</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 xml:space="preserve">Le bilan et le compte de résultat sont soumis à l'assemblée générale des actionnaires pour approbation. </w:t>
      </w:r>
    </w:p>
    <w:p>
      <w:pPr>
        <w:pStyle w:val="TextBody"/>
        <w:bidi w:val="0"/>
        <w:spacing w:lineRule="auto" w:line="343" w:before="0" w:after="120"/>
        <w:jc w:val="both"/>
        <w:rPr/>
      </w:pPr>
      <w:r>
        <w:rPr>
          <w:rFonts w:ascii="Arial;sans-serif" w:hAnsi="Arial;sans-serif"/>
          <w:b/>
          <w:color w:val="000000"/>
          <w:sz w:val="20"/>
        </w:rPr>
        <w:t>Art. 26.</w:t>
      </w:r>
      <w:r>
        <w:rPr>
          <w:color w:val="000000"/>
        </w:rPr>
        <w:t xml:space="preserve"> </w:t>
      </w:r>
      <w:r>
        <w:rPr>
          <w:rFonts w:ascii="Arial;sans-serif" w:hAnsi="Arial;sans-serif"/>
          <w:b w:val="false"/>
          <w:color w:val="000000"/>
          <w:sz w:val="20"/>
        </w:rPr>
        <w:t xml:space="preserve">Affectation des Bénéfices. Sur les bénéfices nets de la Société il sera prélevé cinq pour cent (5 %) pour la formation d'un fonds de réserve légale. Ce prélèvement cesse d'être obligatoire lorsque et aussi longtemps que la réserve légale atteindra dix pour cent (10%) du capital social émis de la Société.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Sur recommandation du Conseil d'Administration, l'assemblée générale des actionnaires décide de l'affectation du solde des bénéfices annuels nets. Elle peut décider de verser la totalité ou une part du solde à un compte de réserve ou de provision, de le reporter à nouveau sur l'année financière suivante ou de le distribuer à l'/aux actionnaire(s) comme dividendes.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VI. Dissolution, Liquidation</w:t>
      </w:r>
    </w:p>
    <w:p>
      <w:pPr>
        <w:pStyle w:val="TextBody"/>
        <w:bidi w:val="0"/>
        <w:spacing w:lineRule="auto" w:line="343" w:before="0" w:after="120"/>
        <w:jc w:val="both"/>
        <w:rPr/>
      </w:pPr>
      <w:r>
        <w:rPr>
          <w:rFonts w:ascii="Arial;sans-serif" w:hAnsi="Arial;sans-serif"/>
          <w:b/>
          <w:color w:val="000000"/>
          <w:sz w:val="20"/>
        </w:rPr>
        <w:t>Art. 27. Dissolution, Liquidation.</w:t>
      </w:r>
      <w:r>
        <w:rPr>
          <w:color w:val="000000"/>
        </w:rPr>
        <w:t xml:space="preserve"> </w:t>
      </w:r>
      <w:r>
        <w:rPr>
          <w:rFonts w:ascii="Arial;sans-serif" w:hAnsi="Arial;sans-serif"/>
          <w:b w:val="false"/>
          <w:color w:val="000000"/>
          <w:sz w:val="20"/>
        </w:rPr>
        <w:t xml:space="preserve">Sur approbation affirmative du Conseil d'Administration, la Société peut être dissoute par une décision de l'assemblée générale des actionnaires délibérant aux mêmes conditions de quorum et de majorité que celles exigées pour la modification des Statuts, sauf dispositions contraires de la Loi. </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En cas de dissolution de la Société, la liquidation s'effectuera par les soins d'un ou de plusieurs liquidateurs (personnes physiques ou morales), nommés par l'assemblée générale des actionnaires qui déterminera leurs pouvoirs et leurs rémunérations.</w: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Après paiement de toutes les dettes et charges de la Société, tous les taxes et frais de liquidation compris, l'actif net restant sera reparti équitablement entre tous les actionnaires au prorata du nombre d'Actions qu'ils détiennent.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310"/>
                <wp:effectExtent l="0" t="0" r="0" b="0"/>
                <wp:wrapNone/>
                <wp:docPr id="80" name="Frame8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343" w:before="0" w:after="120"/>
        <w:jc w:val="both"/>
        <w:rPr>
          <w:rFonts w:ascii="Arial;sans-serif" w:hAnsi="Arial;sans-serif"/>
          <w:b w:val="false"/>
          <w:color w:val="000000"/>
          <w:sz w:val="20"/>
        </w:rPr>
      </w:pPr>
      <w:r>
        <w:rPr>
          <w:rFonts w:ascii="Arial;sans-serif" w:hAnsi="Arial;sans-serif"/>
          <w:b w:val="false"/>
          <w:color w:val="000000"/>
          <w:sz w:val="20"/>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Chapitre VII. Loi applicable</w:t>
      </w:r>
    </w:p>
    <w:p>
      <w:pPr>
        <w:pStyle w:val="TextBody"/>
        <w:bidi w:val="0"/>
        <w:spacing w:lineRule="auto" w:line="343" w:before="0" w:after="120"/>
        <w:jc w:val="both"/>
        <w:rPr/>
      </w:pPr>
      <w:r>
        <w:rPr>
          <w:rFonts w:ascii="Arial;sans-serif" w:hAnsi="Arial;sans-serif"/>
          <w:b/>
          <w:color w:val="000000"/>
          <w:sz w:val="20"/>
        </w:rPr>
        <w:t xml:space="preserve">Art. 28. Loi applicable. </w:t>
      </w:r>
      <w:r>
        <w:rPr>
          <w:rFonts w:ascii="Arial;sans-serif" w:hAnsi="Arial;sans-serif"/>
          <w:b w:val="false"/>
          <w:color w:val="000000"/>
          <w:sz w:val="20"/>
        </w:rPr>
        <w:t>Toutes les matières qui ne sont pas régies par les présents Statuts seront réglées conformément au droit du Luxembourg.</w:t>
      </w:r>
    </w:p>
    <w:p>
      <w:pPr>
        <w:pStyle w:val="TextBody"/>
        <w:bidi w:val="0"/>
        <w:spacing w:before="0" w:after="120"/>
        <w:jc w:val="both"/>
        <w:rPr/>
      </w:pPr>
      <w:r>
        <w:rPr/>
      </w:r>
    </w:p>
    <w:p>
      <w:pPr>
        <w:pStyle w:val="TextBody"/>
        <w:bidi w:val="0"/>
        <w:spacing w:lineRule="auto" w:line="288" w:before="100" w:after="100"/>
        <w:jc w:val="both"/>
        <w:rPr/>
      </w:pPr>
      <w:r>
        <w:rPr>
          <w:rFonts w:ascii="Arial;sans-serif" w:hAnsi="Arial;sans-serif"/>
          <w:b w:val="false"/>
          <w:color w:val="000000"/>
          <w:sz w:val="20"/>
        </w:rPr>
        <w:t xml:space="preserve">In case of discrepancies between the English and the French text, </w:t>
      </w:r>
      <w:r>
        <w:rPr>
          <w:rFonts w:ascii="Arial;sans-serif" w:hAnsi="Arial;sans-serif"/>
          <w:b/>
          <w:color w:val="000000"/>
          <w:sz w:val="20"/>
        </w:rPr>
        <w:t>the English version</w:t>
      </w:r>
      <w:r>
        <w:rPr>
          <w:color w:val="000000"/>
        </w:rPr>
        <w:t xml:space="preserve"> </w:t>
      </w:r>
      <w:r>
        <w:rPr>
          <w:rFonts w:ascii="Arial;sans-serif" w:hAnsi="Arial;sans-serif"/>
          <w:b/>
          <w:color w:val="000000"/>
          <w:sz w:val="20"/>
        </w:rPr>
        <w:t xml:space="preserve">will prevail. </w:t>
      </w:r>
    </w:p>
    <w:p>
      <w:pPr>
        <w:pStyle w:val="TextBody"/>
        <w:bidi w:val="0"/>
        <w:spacing w:lineRule="auto" w:line="288" w:before="100" w:after="100"/>
        <w:jc w:val="both"/>
        <w:rPr/>
      </w:pPr>
      <w:r>
        <w:rPr>
          <w:color w:val="000000"/>
        </w:rPr>
        <w:t> </w:t>
      </w:r>
      <w:r>
        <w:rPr>
          <w:rFonts w:ascii="Arial;sans-serif" w:hAnsi="Arial;sans-serif"/>
          <w:b w:val="false"/>
          <w:color w:val="000000"/>
          <w:sz w:val="20"/>
        </w:rPr>
        <w:t xml:space="preserve">En cas de divergences entre le texte anglais et le texte français, </w:t>
      </w:r>
      <w:r>
        <w:rPr>
          <w:rFonts w:ascii="Arial;sans-serif" w:hAnsi="Arial;sans-serif"/>
          <w:b/>
          <w:color w:val="000000"/>
          <w:sz w:val="20"/>
        </w:rPr>
        <w:t>le texte anglais</w:t>
      </w:r>
      <w:r>
        <w:rPr>
          <w:color w:val="000000"/>
        </w:rPr>
        <w:t xml:space="preserve"> </w:t>
      </w:r>
      <w:r>
        <w:rPr>
          <w:rFonts w:ascii="Arial;sans-serif" w:hAnsi="Arial;sans-serif"/>
          <w:b/>
          <w:color w:val="000000"/>
          <w:sz w:val="20"/>
        </w:rPr>
        <w:t>prévaudra.</w:t>
      </w:r>
      <w:r>
        <w:rPr>
          <w:color w:val="000000"/>
        </w:rPr>
        <w:t xml:space="preserve"> </w:t>
      </w:r>
    </w:p>
    <w:p>
      <w:pPr>
        <w:pStyle w:val="TextBody"/>
        <w:bidi w:val="0"/>
        <w:spacing w:before="0" w:after="120"/>
        <w:jc w:val="both"/>
        <w:rPr/>
      </w:pPr>
      <w:r>
        <w:rPr/>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POUR STATUTS COORDONNES,</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Ettelbruck, le 16 juin 2026</w:t>
      </w:r>
    </w:p>
    <w:p>
      <w:pPr>
        <w:pStyle w:val="TextBody"/>
        <w:bidi w:val="0"/>
        <w:spacing w:lineRule="auto" w:line="343" w:before="0" w:after="120"/>
        <w:jc w:val="both"/>
        <w:rPr>
          <w:rFonts w:ascii="Arial;sans-serif" w:hAnsi="Arial;sans-serif"/>
          <w:b/>
          <w:color w:val="000000"/>
          <w:sz w:val="20"/>
        </w:rPr>
      </w:pPr>
      <w:r>
        <w:rPr>
          <w:rFonts w:ascii="Arial;sans-serif" w:hAnsi="Arial;sans-serif"/>
          <w:b/>
          <w:color w:val="000000"/>
          <w:sz w:val="20"/>
        </w:rPr>
        <w:t>Le notaire (s.): Marc ELVINGER</w:t>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819275" cy="866775"/>
            <wp:effectExtent l="0" t="0" r="0" b="0"/>
            <wp:docPr id="8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 descr=""/>
                    <pic:cNvPicPr>
                      <a:picLocks noChangeAspect="1" noChangeArrowheads="1"/>
                    </pic:cNvPicPr>
                  </pic:nvPicPr>
                  <pic:blipFill>
                    <a:blip r:embed="rId2"/>
                    <a:stretch>
                      <a:fillRect/>
                    </a:stretch>
                  </pic:blipFill>
                  <pic:spPr bwMode="auto">
                    <a:xfrm>
                      <a:off x="0" y="0"/>
                      <a:ext cx="1819275" cy="866775"/>
                    </a:xfrm>
                    <a:prstGeom prst="rect">
                      <a:avLst/>
                    </a:prstGeom>
                  </pic:spPr>
                </pic:pic>
              </a:graphicData>
            </a:graphic>
          </wp:inline>
        </w:drawing>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310"/>
                <wp:effectExtent l="0" t="0" r="0" b="0"/>
                <wp:wrapNone/>
                <wp:docPr id="82" name="Frame8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p>
    <w:p>
      <w:pPr>
        <w:pStyle w:val="TextBody"/>
        <w:bidi w:val="0"/>
        <w:spacing w:lineRule="auto" w:line="240" w:before="100" w:after="100"/>
        <w:jc w:val="right"/>
        <w:rPr>
          <w:rFonts w:ascii="sans-serif" w:hAnsi="sans-serif"/>
          <w:b/>
          <w:color w:val="000000"/>
          <w:sz w:val="24"/>
          <w:shd w:fill="FFFFFF" w:val="clear"/>
        </w:rPr>
      </w:pPr>
      <w:r>
        <w:rPr>
          <w:rFonts w:ascii="sans-serif" w:hAnsi="sans-serif"/>
          <w:b/>
          <w:color w:val="000000"/>
          <w:sz w:val="24"/>
          <w:shd w:fill="FFFFFF" w:val="clear"/>
        </w:rPr>
        <w:t>ALTISOURCE PORTFOLIO SOLUTIONS S.A.</w:t>
      </w:r>
    </w:p>
    <w:p>
      <w:pPr>
        <w:pStyle w:val="TextBody"/>
        <w:bidi w:val="0"/>
        <w:spacing w:lineRule="auto" w:line="288" w:before="0" w:after="0"/>
        <w:jc w:val="right"/>
        <w:rPr>
          <w:rFonts w:ascii="sans-serif" w:hAnsi="sans-serif"/>
          <w:b/>
          <w:color w:val="000000"/>
          <w:sz w:val="24"/>
          <w:shd w:fill="FFFFFF" w:val="clear"/>
        </w:rPr>
      </w:pPr>
      <w:r>
        <w:rPr>
          <w:rFonts w:ascii="sans-serif" w:hAnsi="sans-serif"/>
          <w:b/>
          <w:color w:val="000000"/>
          <w:sz w:val="24"/>
          <w:shd w:fill="FFFFFF" w:val="clear"/>
        </w:rPr>
        <w:t>AMENDED AND RESTATED 2009 EQUITY INCENTIVE PLAN</w:t>
      </w:r>
    </w:p>
    <w:p>
      <w:pPr>
        <w:pStyle w:val="TextBody"/>
        <w:bidi w:val="0"/>
        <w:spacing w:lineRule="auto" w:line="288" w:before="0" w:after="0"/>
        <w:ind w:left="0" w:right="0" w:firstLine="720"/>
        <w:jc w:val="right"/>
        <w:rPr>
          <w:rFonts w:ascii="sans-serif" w:hAnsi="sans-serif"/>
          <w:b w:val="false"/>
          <w:color w:val="000000"/>
          <w:sz w:val="24"/>
          <w:shd w:fill="FFFFFF" w:val="clear"/>
        </w:rPr>
      </w:pPr>
      <w:r>
        <w:rPr>
          <w:rFonts w:ascii="sans-serif" w:hAnsi="sans-serif"/>
          <w:b w:val="false"/>
          <w:color w:val="000000"/>
          <w:sz w:val="24"/>
          <w:shd w:fill="FFFFFF" w:val="clear"/>
        </w:rPr>
        <w:t>(as of May 20, 2026)</w:t>
      </w:r>
    </w:p>
    <w:p>
      <w:pPr>
        <w:pStyle w:val="TextBody"/>
        <w:bidi w:val="0"/>
        <w:spacing w:before="0" w:after="0"/>
        <w:ind w:left="0" w:right="0" w:hanging="1620"/>
        <w:jc w:val="both"/>
        <w:rPr/>
      </w:pPr>
      <w:r>
        <w:rPr/>
      </w:r>
    </w:p>
    <w:p>
      <w:pPr>
        <w:pStyle w:val="TextBody"/>
        <w:bidi w:val="0"/>
        <w:spacing w:lineRule="auto" w:line="288" w:before="0" w:after="0"/>
        <w:jc w:val="both"/>
        <w:rPr/>
      </w:pPr>
      <w:r>
        <w:rPr>
          <w:rFonts w:ascii="sans-serif" w:hAnsi="sans-serif"/>
          <w:b/>
          <w:color w:val="000000"/>
          <w:sz w:val="24"/>
        </w:rPr>
        <w:t>SECTION 1.     PURPOSE</w:t>
      </w:r>
      <w:r>
        <w:rPr>
          <w:color w:val="000000"/>
        </w:rPr>
        <w:t xml:space="preserve"> </w:t>
      </w:r>
    </w:p>
    <w:p>
      <w:pPr>
        <w:pStyle w:val="TextBody"/>
        <w:bidi w:val="0"/>
        <w:spacing w:before="0" w:after="0"/>
        <w:jc w:val="right"/>
        <w:rPr/>
      </w:pPr>
      <w:r>
        <w:rPr/>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1.01    The purpose of the 2009 Equity Incentive Plan (the “Plan”) is to assist Altisource Portfolio Solutions S.A. (the “Company”) in attracting, retaining and motivating directors and employees of outstanding ability and to align their interests with those of the shareholders of the Company.</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sans-serif" w:hAnsi="sans-serif"/>
          <w:b/>
          <w:color w:val="000000"/>
          <w:sz w:val="24"/>
        </w:rPr>
        <w:t>SECTION 2.    DEFINITIONS; CONSTRUCTION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2.01    </w:t>
      </w:r>
      <w:r>
        <w:rPr>
          <w:rFonts w:ascii="sans-serif" w:hAnsi="sans-serif"/>
          <w:b/>
          <w:color w:val="000000"/>
          <w:sz w:val="24"/>
        </w:rPr>
        <w:t xml:space="preserve">Definitions. </w:t>
      </w:r>
      <w:r>
        <w:rPr>
          <w:rFonts w:ascii="sans-serif" w:hAnsi="sans-serif"/>
          <w:b w:val="false"/>
          <w:color w:val="000000"/>
          <w:sz w:val="24"/>
        </w:rPr>
        <w:t>In addition to the terms defined elsewhere in the Plan, the following terms as used in the Plan shall have the following meanings when used with initial capital letters:</w:t>
      </w:r>
    </w:p>
    <w:p>
      <w:pPr>
        <w:pStyle w:val="TextBody"/>
        <w:bidi w:val="0"/>
        <w:spacing w:lineRule="auto" w:line="288" w:before="0" w:after="0"/>
        <w:ind w:left="0" w:right="0" w:hanging="900"/>
        <w:jc w:val="both"/>
        <w:rPr>
          <w:color w:val="000000"/>
        </w:rPr>
      </w:pPr>
      <w:r>
        <w:rPr>
          <w:color w:val="000000"/>
        </w:rPr>
        <w:t> </w:t>
      </w:r>
    </w:p>
    <w:p>
      <w:pPr>
        <w:pStyle w:val="TextBody"/>
        <w:bidi w:val="0"/>
        <w:spacing w:lineRule="auto" w:line="288" w:before="0" w:after="0"/>
        <w:ind w:left="0" w:right="0" w:hanging="900"/>
        <w:jc w:val="both"/>
        <w:rPr/>
      </w:pPr>
      <w:r>
        <w:rPr>
          <w:rFonts w:ascii="sans-serif" w:hAnsi="sans-serif"/>
          <w:b w:val="false"/>
          <w:color w:val="000000"/>
          <w:sz w:val="24"/>
        </w:rPr>
        <w:t>2.01.1    </w:t>
      </w:r>
      <w:r>
        <w:rPr>
          <w:color w:val="000000"/>
        </w:rPr>
        <w:t>“</w:t>
      </w:r>
      <w:r>
        <w:rPr>
          <w:rFonts w:ascii="sans-serif" w:hAnsi="sans-serif"/>
          <w:b w:val="false"/>
          <w:i/>
          <w:color w:val="000000"/>
          <w:sz w:val="24"/>
        </w:rPr>
        <w:t xml:space="preserve">Award” </w:t>
      </w:r>
      <w:r>
        <w:rPr>
          <w:rFonts w:ascii="sans-serif" w:hAnsi="sans-serif"/>
          <w:b w:val="false"/>
          <w:color w:val="000000"/>
          <w:sz w:val="24"/>
        </w:rPr>
        <w:t>means any Option, Restricted Stock, Restricted Stock Unit, Performance Award or Other Stock-Based Award, or any other right or interest relating to Shares granted under the Plan.</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2.01.2    </w:t>
      </w:r>
      <w:r>
        <w:rPr>
          <w:color w:val="000000"/>
        </w:rPr>
        <w:t>“</w:t>
      </w:r>
      <w:r>
        <w:rPr>
          <w:rFonts w:ascii="sans-serif" w:hAnsi="sans-serif"/>
          <w:b w:val="false"/>
          <w:i/>
          <w:color w:val="000000"/>
          <w:sz w:val="24"/>
        </w:rPr>
        <w:t xml:space="preserve">Award Agreement” </w:t>
      </w:r>
      <w:r>
        <w:rPr>
          <w:rFonts w:ascii="sans-serif" w:hAnsi="sans-serif"/>
          <w:b w:val="false"/>
          <w:color w:val="000000"/>
          <w:sz w:val="24"/>
        </w:rPr>
        <w:t>means any written agreement, contract or other instrument or document evidencing an Award.</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2.01.3    </w:t>
      </w:r>
      <w:r>
        <w:rPr>
          <w:color w:val="000000"/>
        </w:rPr>
        <w:t>“</w:t>
      </w:r>
      <w:r>
        <w:rPr>
          <w:rFonts w:ascii="sans-serif" w:hAnsi="sans-serif"/>
          <w:b w:val="false"/>
          <w:i/>
          <w:color w:val="000000"/>
          <w:sz w:val="24"/>
        </w:rPr>
        <w:t xml:space="preserve">Board” </w:t>
      </w:r>
      <w:r>
        <w:rPr>
          <w:rFonts w:ascii="sans-serif" w:hAnsi="sans-serif"/>
          <w:b w:val="false"/>
          <w:color w:val="000000"/>
          <w:sz w:val="24"/>
        </w:rPr>
        <w:t>means the Company’s Board of Directors.</w:t>
      </w:r>
    </w:p>
    <w:p>
      <w:pPr>
        <w:pStyle w:val="TextBody"/>
        <w:bidi w:val="0"/>
        <w:spacing w:before="0" w:after="0"/>
        <w:ind w:left="0" w:right="0" w:hanging="900"/>
        <w:jc w:val="both"/>
        <w:rPr/>
      </w:pPr>
      <w:r>
        <w:rPr/>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2.01.4    </w:t>
      </w:r>
      <w:r>
        <w:rPr>
          <w:color w:val="000000"/>
        </w:rPr>
        <w:t>“</w:t>
      </w:r>
      <w:r>
        <w:rPr>
          <w:rFonts w:ascii="sans-serif" w:hAnsi="sans-serif"/>
          <w:b w:val="false"/>
          <w:i/>
          <w:color w:val="000000"/>
          <w:sz w:val="24"/>
        </w:rPr>
        <w:t xml:space="preserve">Code” </w:t>
      </w:r>
      <w:r>
        <w:rPr>
          <w:rFonts w:ascii="sans-serif" w:hAnsi="sans-serif"/>
          <w:b w:val="false"/>
          <w:color w:val="000000"/>
          <w:sz w:val="24"/>
        </w:rPr>
        <w:t>means the Internal Revenue Code of 1986, as amended from time to time, together with rules, regulations and interpretations promulgated thereunder. References to particular sections of the Code shall include any successor provisions.</w:t>
      </w:r>
    </w:p>
    <w:p>
      <w:pPr>
        <w:pStyle w:val="TextBody"/>
        <w:bidi w:val="0"/>
        <w:spacing w:before="0" w:after="0"/>
        <w:ind w:left="0" w:right="0" w:hanging="900"/>
        <w:jc w:val="both"/>
        <w:rPr/>
      </w:pPr>
      <w:r>
        <w:rPr/>
      </w:r>
    </w:p>
    <w:p>
      <w:pPr>
        <w:pStyle w:val="TextBody"/>
        <w:bidi w:val="0"/>
        <w:spacing w:lineRule="auto" w:line="288"/>
        <w:ind w:left="0" w:right="0" w:hanging="900"/>
        <w:jc w:val="both"/>
        <w:rPr/>
      </w:pPr>
      <w:r>
        <w:rPr>
          <w:rFonts w:ascii="sans-serif" w:hAnsi="sans-serif"/>
          <w:b w:val="false"/>
          <w:color w:val="000000"/>
          <w:sz w:val="24"/>
        </w:rPr>
        <w:t>2.01.5    </w:t>
      </w:r>
      <w:r>
        <w:rPr>
          <w:color w:val="000000"/>
        </w:rPr>
        <w:t>“</w:t>
      </w:r>
      <w:r>
        <w:rPr>
          <w:rFonts w:ascii="sans-serif" w:hAnsi="sans-serif"/>
          <w:b w:val="false"/>
          <w:i/>
          <w:color w:val="000000"/>
          <w:sz w:val="24"/>
        </w:rPr>
        <w:t xml:space="preserve">Change of Control” </w:t>
      </w:r>
      <w:r>
        <w:rPr>
          <w:rFonts w:ascii="sans-serif" w:hAnsi="sans-serif"/>
          <w:b w:val="false"/>
          <w:color w:val="000000"/>
          <w:sz w:val="24"/>
        </w:rPr>
        <w:t xml:space="preserve">shall mean (i) the acquisition by any person or entity, or two or more persons and/or entities acting in concert, of beneficial ownership (within the meaning of Rule 13d-3 under the Securities Exchange Act of 1934, as amended) of outstanding shares of voting stock of the Company, if after giving effect to such acquisition such person(s) or entity(ies) own more than fifty percent (50%) of such outstanding voting stock, (ii) the sale in one or more transactions of substantially all of the Company’s assets to any person or entity, or two or more persons and/or entities acting in concert, (iii) the merger, consolidation or similar transaction resulting in a reduction of the interest in the Company’s stock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7505"/>
                <wp:effectExtent l="0" t="0" r="0" b="0"/>
                <wp:wrapNone/>
                <wp:docPr id="83" name="Frame8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pre-transaction stockholders to less than fifty percent (50%) of the post-transaction ownership, or (iv) a change in the composition of the Board during any twelve (12) month period such that a majority of the members of the Board are replaced by directors whose appointment or election is not endorsed by a majority of the members of the Board prior to the date of such appointment or election. Notwithstanding anything herein to the contrary, the definition of Change of Control set forth herein shall not be broader than the definition of “change in control event” under Section 409A of the Internal Revenue Code of 1986, as amended, and the guidance promulgated thereunder, and if a transaction or event does not otherwise fall within such definition of change in control event, it shall not be deemed a Change of Control for purposes of the Plan.</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2.01.6    </w:t>
      </w:r>
      <w:r>
        <w:rPr>
          <w:color w:val="000000"/>
        </w:rPr>
        <w:t>“</w:t>
      </w:r>
      <w:r>
        <w:rPr>
          <w:rFonts w:ascii="sans-serif" w:hAnsi="sans-serif"/>
          <w:b w:val="false"/>
          <w:i/>
          <w:color w:val="000000"/>
          <w:sz w:val="24"/>
        </w:rPr>
        <w:t xml:space="preserve">Committee” </w:t>
      </w:r>
      <w:r>
        <w:rPr>
          <w:rFonts w:ascii="sans-serif" w:hAnsi="sans-serif"/>
          <w:b w:val="false"/>
          <w:color w:val="000000"/>
          <w:sz w:val="24"/>
        </w:rPr>
        <w:t xml:space="preserve">means, the Compensation Committee or such other committee of the Board as may be designated by the Board to administer the Plan, as referred to in Section 3.01 hereof, consisting of at least two members of the Board; provided however, that any member of the Committee participating in the taking of any action under the Plan shall qualify as (i) a “non-employee director” as then defined under Rule 16b-3, and (ii) an “independent director” as such term is defined under the listing rules of the Nasdaq Stock Market.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2.01.7    </w:t>
      </w:r>
      <w:r>
        <w:rPr>
          <w:color w:val="000000"/>
        </w:rPr>
        <w:t>“</w:t>
      </w:r>
      <w:r>
        <w:rPr>
          <w:rFonts w:ascii="sans-serif" w:hAnsi="sans-serif"/>
          <w:b w:val="false"/>
          <w:i/>
          <w:color w:val="000000"/>
          <w:sz w:val="24"/>
        </w:rPr>
        <w:t xml:space="preserve">Common Stock” </w:t>
      </w:r>
      <w:r>
        <w:rPr>
          <w:rFonts w:ascii="sans-serif" w:hAnsi="sans-serif"/>
          <w:b w:val="false"/>
          <w:color w:val="000000"/>
          <w:sz w:val="24"/>
        </w:rPr>
        <w:t>means shares of the common stock</w:t>
      </w:r>
      <w:r>
        <w:rPr>
          <w:color w:val="000000"/>
        </w:rPr>
        <w:t xml:space="preserve"> </w:t>
      </w:r>
      <w:r>
        <w:rPr>
          <w:rFonts w:ascii="sans-serif" w:hAnsi="sans-serif"/>
          <w:b w:val="false"/>
          <w:color w:val="000000"/>
          <w:sz w:val="24"/>
        </w:rPr>
        <w:t>of the Company without designation of nominal value, and such other securities of the Company or other company or entity as may be substituted for Shares pursuant to Section 8.01 hereof.</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2.01.8    </w:t>
      </w:r>
      <w:r>
        <w:rPr>
          <w:color w:val="000000"/>
        </w:rPr>
        <w:t>“</w:t>
      </w:r>
      <w:r>
        <w:rPr>
          <w:rFonts w:ascii="sans-serif" w:hAnsi="sans-serif"/>
          <w:b w:val="false"/>
          <w:i/>
          <w:color w:val="000000"/>
          <w:sz w:val="24"/>
        </w:rPr>
        <w:t xml:space="preserve">Exchange Act” </w:t>
      </w:r>
      <w:r>
        <w:rPr>
          <w:rFonts w:ascii="sans-serif" w:hAnsi="sans-serif"/>
          <w:b w:val="false"/>
          <w:color w:val="000000"/>
          <w:sz w:val="24"/>
        </w:rPr>
        <w:t>means the Securities Exchange Act of 1934, as amended.</w:t>
      </w:r>
    </w:p>
    <w:p>
      <w:pPr>
        <w:pStyle w:val="TextBody"/>
        <w:bidi w:val="0"/>
        <w:spacing w:before="0" w:after="0"/>
        <w:ind w:left="0" w:right="0" w:hanging="900"/>
        <w:jc w:val="both"/>
        <w:rPr/>
      </w:pPr>
      <w:r>
        <w:rPr/>
      </w:r>
    </w:p>
    <w:p>
      <w:pPr>
        <w:pStyle w:val="TextBody"/>
        <w:bidi w:val="0"/>
        <w:spacing w:lineRule="auto" w:line="288"/>
        <w:ind w:left="0" w:right="0" w:hanging="900"/>
        <w:jc w:val="both"/>
        <w:rPr/>
      </w:pPr>
      <w:r>
        <w:rPr>
          <w:rFonts w:ascii="sans-serif" w:hAnsi="sans-serif"/>
          <w:b w:val="false"/>
          <w:color w:val="000000"/>
          <w:sz w:val="24"/>
        </w:rPr>
        <w:t>2.01.9    </w:t>
      </w:r>
      <w:r>
        <w:rPr>
          <w:color w:val="000000"/>
        </w:rPr>
        <w:t>“</w:t>
      </w:r>
      <w:r>
        <w:rPr>
          <w:rFonts w:ascii="sans-serif" w:hAnsi="sans-serif"/>
          <w:b w:val="false"/>
          <w:i/>
          <w:color w:val="000000"/>
          <w:sz w:val="24"/>
        </w:rPr>
        <w:t xml:space="preserve">Fair Market Value” </w:t>
      </w:r>
      <w:r>
        <w:rPr>
          <w:rFonts w:ascii="sans-serif" w:hAnsi="sans-serif"/>
          <w:b w:val="false"/>
          <w:color w:val="000000"/>
          <w:sz w:val="24"/>
        </w:rPr>
        <w:t>of shares of any stock, including but not limited to Common Stock, or units of any other securities (herein “shares”), shall be the mean between the highest and lowest sales prices per share for the date(s) as established by the Board as of which Fair Market Value is to be determined in the principal market in which such shares are traded, as quoted at www.nasdaq.com/symbol/ASPS</w:t>
      </w:r>
      <w:r>
        <w:rPr>
          <w:color w:val="000000"/>
        </w:rPr>
        <w:t xml:space="preserve"> </w:t>
      </w:r>
      <w:r>
        <w:rPr>
          <w:rFonts w:ascii="sans-serif" w:hAnsi="sans-serif"/>
          <w:b w:val="false"/>
          <w:color w:val="000000"/>
          <w:sz w:val="24"/>
        </w:rPr>
        <w:t xml:space="preserve">(or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7505"/>
                <wp:effectExtent l="0" t="0" r="0" b="0"/>
                <wp:wrapNone/>
                <wp:docPr id="84" name="Frame8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Market Value shall be determined without regard to any restriction other than a restriction which, by its terms, will never lapse.</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2.01.10    </w:t>
      </w:r>
      <w:r>
        <w:rPr>
          <w:color w:val="000000"/>
        </w:rPr>
        <w:t>“</w:t>
      </w:r>
      <w:r>
        <w:rPr>
          <w:rFonts w:ascii="sans-serif" w:hAnsi="sans-serif"/>
          <w:b w:val="false"/>
          <w:i/>
          <w:color w:val="000000"/>
          <w:sz w:val="24"/>
        </w:rPr>
        <w:t xml:space="preserve">Option” </w:t>
      </w:r>
      <w:r>
        <w:rPr>
          <w:rFonts w:ascii="sans-serif" w:hAnsi="sans-serif"/>
          <w:b w:val="false"/>
          <w:color w:val="000000"/>
          <w:sz w:val="24"/>
        </w:rPr>
        <w:t>means a right, granted under Section 6.02 hereof, to purchase Shares at a specified price during specified time periods.</w:t>
      </w:r>
    </w:p>
    <w:p>
      <w:pPr>
        <w:pStyle w:val="TextBody"/>
        <w:bidi w:val="0"/>
        <w:spacing w:before="0" w:after="0"/>
        <w:ind w:left="0" w:right="0" w:hanging="900"/>
        <w:jc w:val="both"/>
        <w:rPr/>
      </w:pPr>
      <w:r>
        <w:rPr/>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2.01.11    </w:t>
      </w:r>
      <w:r>
        <w:rPr>
          <w:color w:val="000000"/>
        </w:rPr>
        <w:t>“</w:t>
      </w:r>
      <w:r>
        <w:rPr>
          <w:rFonts w:ascii="sans-serif" w:hAnsi="sans-serif"/>
          <w:b w:val="false"/>
          <w:i/>
          <w:color w:val="000000"/>
          <w:sz w:val="24"/>
        </w:rPr>
        <w:t xml:space="preserve">Other Stock-Based Award” </w:t>
      </w:r>
      <w:r>
        <w:rPr>
          <w:rFonts w:ascii="sans-serif" w:hAnsi="sans-serif"/>
          <w:b w:val="false"/>
          <w:color w:val="000000"/>
          <w:sz w:val="24"/>
        </w:rPr>
        <w:t>means an Award, granted under Section 6.05 hereof, that is denominated or payable in, valued in whole or in part by reference to, or otherwise based on, or related to, Shares.</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2.01.12    </w:t>
      </w:r>
      <w:r>
        <w:rPr>
          <w:color w:val="000000"/>
        </w:rPr>
        <w:t>“</w:t>
      </w:r>
      <w:r>
        <w:rPr>
          <w:rFonts w:ascii="sans-serif" w:hAnsi="sans-serif"/>
          <w:b w:val="false"/>
          <w:i/>
          <w:color w:val="000000"/>
          <w:sz w:val="24"/>
        </w:rPr>
        <w:t xml:space="preserve">Participant” </w:t>
      </w:r>
      <w:r>
        <w:rPr>
          <w:rFonts w:ascii="sans-serif" w:hAnsi="sans-serif"/>
          <w:b w:val="false"/>
          <w:color w:val="000000"/>
          <w:sz w:val="24"/>
        </w:rPr>
        <w:t xml:space="preserve">means (a) an employee of the Company or any Subsidiary or affiliate, including, but not limited to, a Covered Employee (as </w:t>
      </w:r>
      <w:r>
        <w:rPr>
          <w:rFonts w:ascii="sans-serif" w:hAnsi="sans-serif"/>
          <w:b w:val="false"/>
          <w:i/>
          <w:color w:val="000000"/>
          <w:sz w:val="24"/>
        </w:rPr>
        <w:t>defined</w:t>
      </w:r>
      <w:r>
        <w:rPr>
          <w:color w:val="000000"/>
        </w:rPr>
        <w:t xml:space="preserve"> </w:t>
      </w:r>
      <w:r>
        <w:rPr>
          <w:rFonts w:ascii="sans-serif" w:hAnsi="sans-serif"/>
          <w:b w:val="false"/>
          <w:color w:val="000000"/>
          <w:sz w:val="24"/>
        </w:rPr>
        <w:t>in Section 162(m)(3) of the Code), or (b) a member of the Board, who, in the case of either clause (a) or (b), is granted an Award under the Plan.</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2.01.13    </w:t>
      </w:r>
      <w:r>
        <w:rPr>
          <w:color w:val="000000"/>
        </w:rPr>
        <w:t xml:space="preserve"> “</w:t>
      </w:r>
      <w:r>
        <w:rPr>
          <w:rFonts w:ascii="sans-serif" w:hAnsi="sans-serif"/>
          <w:b w:val="false"/>
          <w:i/>
          <w:color w:val="000000"/>
          <w:sz w:val="24"/>
        </w:rPr>
        <w:t xml:space="preserve">Performance Award,” </w:t>
      </w:r>
      <w:r>
        <w:rPr>
          <w:color w:val="000000"/>
        </w:rPr>
        <w:t>“</w:t>
      </w:r>
      <w:r>
        <w:rPr>
          <w:rFonts w:ascii="sans-serif" w:hAnsi="sans-serif"/>
          <w:b w:val="false"/>
          <w:i/>
          <w:color w:val="000000"/>
          <w:sz w:val="24"/>
        </w:rPr>
        <w:t>Performance Goal</w:t>
      </w:r>
      <w:r>
        <w:rPr>
          <w:color w:val="000000"/>
        </w:rPr>
        <w:t xml:space="preserve">” </w:t>
      </w:r>
      <w:r>
        <w:rPr>
          <w:rFonts w:ascii="sans-serif" w:hAnsi="sans-serif"/>
          <w:b w:val="false"/>
          <w:color w:val="000000"/>
          <w:sz w:val="24"/>
        </w:rPr>
        <w:t>and “</w:t>
      </w:r>
      <w:r>
        <w:rPr>
          <w:rFonts w:ascii="sans-serif" w:hAnsi="sans-serif"/>
          <w:b w:val="false"/>
          <w:i/>
          <w:color w:val="000000"/>
          <w:sz w:val="24"/>
        </w:rPr>
        <w:t>Performance Period</w:t>
      </w:r>
      <w:r>
        <w:rPr>
          <w:color w:val="000000"/>
        </w:rPr>
        <w:t xml:space="preserve">” </w:t>
      </w:r>
      <w:r>
        <w:rPr>
          <w:rFonts w:ascii="sans-serif" w:hAnsi="sans-serif"/>
          <w:b w:val="false"/>
          <w:color w:val="000000"/>
          <w:sz w:val="24"/>
        </w:rPr>
        <w:t>shall have the meanings provided in Section 6.04.</w:t>
      </w:r>
    </w:p>
    <w:p>
      <w:pPr>
        <w:pStyle w:val="TextBody"/>
        <w:bidi w:val="0"/>
        <w:spacing w:before="0" w:after="0"/>
        <w:ind w:left="0" w:right="0" w:hanging="900"/>
        <w:jc w:val="left"/>
        <w:rPr/>
      </w:pPr>
      <w:r>
        <w:rPr/>
      </w:r>
    </w:p>
    <w:p>
      <w:pPr>
        <w:pStyle w:val="TextBody"/>
        <w:bidi w:val="0"/>
        <w:spacing w:lineRule="auto" w:line="288" w:before="0" w:after="0"/>
        <w:ind w:left="0" w:right="0" w:hanging="900"/>
        <w:jc w:val="both"/>
        <w:rPr/>
      </w:pPr>
      <w:r>
        <w:rPr>
          <w:rFonts w:ascii="sans-serif" w:hAnsi="sans-serif"/>
          <w:b w:val="false"/>
          <w:color w:val="000000"/>
          <w:sz w:val="24"/>
        </w:rPr>
        <w:t>2.01.14    “</w:t>
      </w:r>
      <w:r>
        <w:rPr>
          <w:rFonts w:ascii="sans-serif" w:hAnsi="sans-serif"/>
          <w:b w:val="false"/>
          <w:i/>
          <w:color w:val="000000"/>
          <w:sz w:val="24"/>
        </w:rPr>
        <w:t>Person</w:t>
      </w:r>
      <w:r>
        <w:rPr>
          <w:color w:val="000000"/>
        </w:rPr>
        <w:t xml:space="preserve">” </w:t>
      </w:r>
      <w:r>
        <w:rPr>
          <w:rFonts w:ascii="sans-serif" w:hAnsi="sans-serif"/>
          <w:b w:val="false"/>
          <w:color w:val="000000"/>
          <w:sz w:val="24"/>
        </w:rPr>
        <w:t xml:space="preserve">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2.01.15    </w:t>
      </w:r>
      <w:r>
        <w:rPr>
          <w:color w:val="000000"/>
        </w:rPr>
        <w:t>“</w:t>
      </w:r>
      <w:r>
        <w:rPr>
          <w:rFonts w:ascii="sans-serif" w:hAnsi="sans-serif"/>
          <w:b w:val="false"/>
          <w:i/>
          <w:color w:val="000000"/>
          <w:sz w:val="24"/>
        </w:rPr>
        <w:t>Retirement”</w:t>
      </w:r>
      <w:r>
        <w:rPr>
          <w:color w:val="000000"/>
        </w:rPr>
        <w:t xml:space="preserve"> </w:t>
      </w:r>
      <w:r>
        <w:rPr>
          <w:rFonts w:ascii="sans-serif" w:hAnsi="sans-serif"/>
          <w:b w:val="false"/>
          <w:color w:val="000000"/>
          <w:sz w:val="24"/>
        </w:rPr>
        <w:t xml:space="preserve">means, unless otherwise specified in an Award Agreement, termination (other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fifty-five (55) and been an employee of the Company or any Subsidiary or affiliate for not less than three (3) years as of the date of termination of employment by reason of Retirement. </w:t>
      </w:r>
    </w:p>
    <w:p>
      <w:pPr>
        <w:pStyle w:val="TextBody"/>
        <w:bidi w:val="0"/>
        <w:spacing w:before="0" w:after="0"/>
        <w:ind w:left="0" w:right="0" w:hanging="900"/>
        <w:jc w:val="left"/>
        <w:rPr/>
      </w:pPr>
      <w:r>
        <w:rPr/>
      </w:r>
    </w:p>
    <w:p>
      <w:pPr>
        <w:pStyle w:val="TextBody"/>
        <w:bidi w:val="0"/>
        <w:spacing w:lineRule="auto" w:line="288" w:before="0" w:after="0"/>
        <w:ind w:left="0" w:right="0" w:hanging="900"/>
        <w:jc w:val="both"/>
        <w:rPr/>
      </w:pPr>
      <w:r>
        <w:rPr>
          <w:rFonts w:ascii="sans-serif" w:hAnsi="sans-serif"/>
          <w:b w:val="false"/>
          <w:color w:val="000000"/>
          <w:sz w:val="24"/>
        </w:rPr>
        <w:t>2.01.16    </w:t>
      </w:r>
      <w:r>
        <w:rPr>
          <w:color w:val="000000"/>
        </w:rPr>
        <w:t>“</w:t>
      </w:r>
      <w:r>
        <w:rPr>
          <w:rFonts w:ascii="sans-serif" w:hAnsi="sans-serif"/>
          <w:b w:val="false"/>
          <w:i/>
          <w:color w:val="000000"/>
          <w:sz w:val="24"/>
        </w:rPr>
        <w:t xml:space="preserve">Restricted Stock” </w:t>
      </w:r>
      <w:r>
        <w:rPr>
          <w:rFonts w:ascii="sans-serif" w:hAnsi="sans-serif"/>
          <w:b w:val="false"/>
          <w:color w:val="000000"/>
          <w:sz w:val="24"/>
        </w:rPr>
        <w:t xml:space="preserve">means Shares, granted under Section 6.03 hereof, that are subject to certain restrictions.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sans-serif" w:hAnsi="sans-serif"/>
          <w:b w:val="false"/>
          <w:color w:val="000000"/>
          <w:sz w:val="24"/>
        </w:rPr>
        <w:t>2.01.17 “</w:t>
      </w:r>
      <w:r>
        <w:rPr>
          <w:rFonts w:ascii="sans-serif" w:hAnsi="sans-serif"/>
          <w:b w:val="false"/>
          <w:i/>
          <w:color w:val="000000"/>
          <w:sz w:val="24"/>
        </w:rPr>
        <w:t>Restricted Stock Units</w:t>
      </w:r>
      <w:r>
        <w:rPr>
          <w:color w:val="000000"/>
        </w:rPr>
        <w:t xml:space="preserve">” </w:t>
      </w:r>
      <w:r>
        <w:rPr>
          <w:rFonts w:ascii="sans-serif" w:hAnsi="sans-serif"/>
          <w:b w:val="false"/>
          <w:color w:val="000000"/>
          <w:sz w:val="24"/>
        </w:rPr>
        <w:t>means units, granted under Section 6.03 hereof, representing the notional right to receive a specified number of Shares upon the satisfaction of certain conditions set forth therein.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7505"/>
                <wp:effectExtent l="0" t="0" r="0" b="0"/>
                <wp:wrapNone/>
                <wp:docPr id="85" name="Frame8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ind w:left="0" w:right="0" w:hanging="900"/>
        <w:jc w:val="both"/>
        <w:rPr/>
      </w:pPr>
      <w:r>
        <w:rPr>
          <w:rFonts w:ascii="sans-serif" w:hAnsi="sans-serif"/>
          <w:b w:val="false"/>
          <w:color w:val="000000"/>
          <w:sz w:val="24"/>
        </w:rPr>
        <w:t>2.01.18    </w:t>
      </w:r>
      <w:r>
        <w:rPr>
          <w:color w:val="000000"/>
        </w:rPr>
        <w:t>“</w:t>
      </w:r>
      <w:r>
        <w:rPr>
          <w:rFonts w:ascii="sans-serif" w:hAnsi="sans-serif"/>
          <w:b w:val="false"/>
          <w:i/>
          <w:color w:val="000000"/>
          <w:sz w:val="24"/>
        </w:rPr>
        <w:t xml:space="preserve">Rule 16b-3” </w:t>
      </w:r>
      <w:r>
        <w:rPr>
          <w:rFonts w:ascii="sans-serif" w:hAnsi="sans-serif"/>
          <w:b w:val="false"/>
          <w:color w:val="000000"/>
          <w:sz w:val="24"/>
        </w:rPr>
        <w:t>means Rule 16b-3 under the Exchange Act, as amended from time to time, or any successor to such Rule promulgated by the Securities and Exchange Commission under Section 16 of the Exchange Act.</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color w:val="000000"/>
        </w:rPr>
        <w:t> </w:t>
      </w:r>
      <w:r>
        <w:rPr>
          <w:rFonts w:ascii="sans-serif" w:hAnsi="sans-serif"/>
          <w:b w:val="false"/>
          <w:color w:val="000000"/>
          <w:sz w:val="24"/>
        </w:rPr>
        <w:t>2.01.19    </w:t>
      </w:r>
      <w:r>
        <w:rPr>
          <w:color w:val="000000"/>
        </w:rPr>
        <w:t>“</w:t>
      </w:r>
      <w:r>
        <w:rPr>
          <w:rFonts w:ascii="sans-serif" w:hAnsi="sans-serif"/>
          <w:b w:val="false"/>
          <w:i/>
          <w:color w:val="000000"/>
          <w:sz w:val="24"/>
        </w:rPr>
        <w:t xml:space="preserve">Shares” </w:t>
      </w:r>
      <w:r>
        <w:rPr>
          <w:rFonts w:ascii="sans-serif" w:hAnsi="sans-serif"/>
          <w:b w:val="false"/>
          <w:color w:val="000000"/>
          <w:sz w:val="24"/>
        </w:rPr>
        <w:t>means the common stock of the Company without designation of nominal value and such other securities of the Company as may be substituted for Shares pursuant to Section 8.01 hereof.</w:t>
      </w:r>
    </w:p>
    <w:p>
      <w:pPr>
        <w:pStyle w:val="TextBody"/>
        <w:bidi w:val="0"/>
        <w:spacing w:before="0" w:after="0"/>
        <w:jc w:val="both"/>
        <w:rPr/>
      </w:pPr>
      <w:r>
        <w:rPr/>
      </w:r>
    </w:p>
    <w:p>
      <w:pPr>
        <w:pStyle w:val="TextBody"/>
        <w:bidi w:val="0"/>
        <w:spacing w:lineRule="auto" w:line="288" w:before="0" w:after="0"/>
        <w:ind w:left="0" w:right="0" w:hanging="900"/>
        <w:jc w:val="both"/>
        <w:rPr/>
      </w:pPr>
      <w:r>
        <w:rPr>
          <w:color w:val="000000"/>
        </w:rPr>
        <w:t> </w:t>
      </w:r>
      <w:r>
        <w:rPr>
          <w:rFonts w:ascii="sans-serif" w:hAnsi="sans-serif"/>
          <w:b w:val="false"/>
          <w:color w:val="000000"/>
          <w:sz w:val="24"/>
        </w:rPr>
        <w:t>2.01.20    </w:t>
      </w:r>
      <w:r>
        <w:rPr>
          <w:color w:val="000000"/>
        </w:rPr>
        <w:t>“</w:t>
      </w:r>
      <w:r>
        <w:rPr>
          <w:rFonts w:ascii="sans-serif" w:hAnsi="sans-serif"/>
          <w:b w:val="false"/>
          <w:i/>
          <w:color w:val="000000"/>
          <w:sz w:val="24"/>
        </w:rPr>
        <w:t xml:space="preserve">Subsidiary” </w:t>
      </w:r>
      <w:r>
        <w:rPr>
          <w:rFonts w:ascii="sans-serif" w:hAnsi="sans-serif"/>
          <w:b w:val="false"/>
          <w:color w:val="000000"/>
          <w:sz w:val="24"/>
        </w:rPr>
        <w:t>means any company in an unbroken chain of companies beginning with the Company, if each of the companies other than the last company in the chain owns stock possessing at least 50% of the total combined voting power of all classes of stock in one of the other companies in the chain.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2.02    </w:t>
      </w:r>
      <w:r>
        <w:rPr>
          <w:rFonts w:ascii="sans-serif" w:hAnsi="sans-serif"/>
          <w:b/>
          <w:color w:val="000000"/>
          <w:sz w:val="24"/>
        </w:rPr>
        <w:t xml:space="preserve">Construction. </w:t>
      </w:r>
      <w:r>
        <w:rPr>
          <w:rFonts w:ascii="sans-serif" w:hAnsi="sans-serif"/>
          <w:b w:val="false"/>
          <w:color w:val="000000"/>
          <w:sz w:val="24"/>
        </w:rPr>
        <w:t>For purposes of the Plan, the following rules of construction shall apply:</w:t>
      </w:r>
    </w:p>
    <w:p>
      <w:pPr>
        <w:pStyle w:val="TextBody"/>
        <w:bidi w:val="0"/>
        <w:spacing w:before="0" w:after="0"/>
        <w:jc w:val="both"/>
        <w:rPr/>
      </w:pPr>
      <w:r>
        <w:rPr/>
      </w:r>
    </w:p>
    <w:p>
      <w:pPr>
        <w:pStyle w:val="TextBody"/>
        <w:bidi w:val="0"/>
        <w:spacing w:lineRule="auto" w:line="288" w:before="0" w:after="0"/>
        <w:ind w:left="0" w:right="0" w:hanging="900"/>
        <w:jc w:val="both"/>
        <w:rPr>
          <w:color w:val="000000"/>
        </w:rPr>
      </w:pPr>
      <w:r>
        <w:rPr>
          <w:color w:val="000000"/>
        </w:rPr>
        <w:t> </w:t>
      </w:r>
      <w:r>
        <w:rPr>
          <w:rFonts w:ascii="sans-serif" w:hAnsi="sans-serif"/>
          <w:b w:val="false"/>
          <w:color w:val="000000"/>
          <w:sz w:val="24"/>
        </w:rPr>
        <w:t>2.02.1    The word “or” is disjunctive but not necessarily exclusive.</w:t>
      </w:r>
    </w:p>
    <w:p>
      <w:pPr>
        <w:pStyle w:val="TextBody"/>
        <w:bidi w:val="0"/>
        <w:spacing w:before="0" w:after="0"/>
        <w:jc w:val="both"/>
        <w:rPr/>
      </w:pPr>
      <w:r>
        <w:rPr/>
      </w:r>
    </w:p>
    <w:p>
      <w:pPr>
        <w:pStyle w:val="TextBody"/>
        <w:bidi w:val="0"/>
        <w:spacing w:lineRule="auto" w:line="288" w:before="0" w:after="0"/>
        <w:ind w:left="0" w:right="0" w:hanging="900"/>
        <w:jc w:val="both"/>
        <w:rPr>
          <w:color w:val="000000"/>
        </w:rPr>
      </w:pPr>
      <w:r>
        <w:rPr>
          <w:color w:val="000000"/>
        </w:rPr>
        <w:t> </w:t>
      </w:r>
      <w:r>
        <w:rPr>
          <w:rFonts w:ascii="sans-serif" w:hAnsi="sans-serif"/>
          <w:b w:val="false"/>
          <w:color w:val="000000"/>
          <w:sz w:val="24"/>
        </w:rPr>
        <w:t>2.02.2    Words in the singular include the plural; words in the plural include the singular; words in the neuter gender include the masculine and feminine genders, and words in the masculine or feminine gender include the other and neuter genders.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4"/>
        </w:rPr>
        <w:t>SECTION 3.     ADMINISTRATION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3.01    The Committee shall administer the Plan.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w:t>
      </w:r>
    </w:p>
    <w:p>
      <w:pPr>
        <w:pStyle w:val="TextBody"/>
        <w:bidi w:val="0"/>
        <w:spacing w:before="0" w:after="0"/>
        <w:jc w:val="both"/>
        <w:rPr/>
      </w:pPr>
      <w:r>
        <w:rPr/>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(i)    to designate Participants;</w:t>
      </w:r>
    </w:p>
    <w:p>
      <w:pPr>
        <w:pStyle w:val="TextBody"/>
        <w:bidi w:val="0"/>
        <w:spacing w:lineRule="auto" w:line="288" w:before="0" w:after="0"/>
        <w:ind w:left="0" w:right="0" w:hanging="1260"/>
        <w:jc w:val="both"/>
        <w:rPr>
          <w:color w:val="000000"/>
        </w:rPr>
      </w:pPr>
      <w:r>
        <w:rPr>
          <w:color w:val="000000"/>
        </w:rPr>
        <w:t>        </w:t>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(ii)    to determine the type or types of Awards to be granted to each Participant;</w:t>
      </w:r>
    </w:p>
    <w:p>
      <w:pPr>
        <w:pStyle w:val="TextBody"/>
        <w:bidi w:val="0"/>
        <w:spacing w:lineRule="auto" w:line="288" w:before="0" w:after="0"/>
        <w:ind w:left="0" w:right="0" w:hanging="1260"/>
        <w:jc w:val="both"/>
        <w:rPr>
          <w:color w:val="000000"/>
        </w:rPr>
      </w:pPr>
      <w:r>
        <w:rPr>
          <w:color w:val="000000"/>
        </w:rPr>
        <w:t> </w:t>
      </w:r>
    </w:p>
    <w:p>
      <w:pPr>
        <w:pStyle w:val="TextBody"/>
        <w:bidi w:val="0"/>
        <w:spacing w:lineRule="auto" w:line="288"/>
        <w:ind w:left="0" w:right="0" w:hanging="1260"/>
        <w:jc w:val="both"/>
        <w:rPr>
          <w:color w:val="000000"/>
        </w:rPr>
      </w:pPr>
      <w:r>
        <w:rPr>
          <w:color w:val="000000"/>
        </w:rPr>
        <w:t>    </w:t>
      </w:r>
      <w:r>
        <w:rPr>
          <w:rFonts w:ascii="sans-serif" w:hAnsi="sans-serif"/>
          <w:b w:val="false"/>
          <w:color w:val="000000"/>
          <w:sz w:val="24"/>
        </w:rPr>
        <w:t xml:space="preserve">(iii)    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7505"/>
                <wp:effectExtent l="0" t="0" r="0" b="0"/>
                <wp:wrapNone/>
                <wp:docPr id="86" name="Frame8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case of a Change of Control based in each case on such considerations as the Committee shall determine), and all other matters to be determined in connection with an Award;</w:t>
      </w:r>
    </w:p>
    <w:p>
      <w:pPr>
        <w:pStyle w:val="TextBody"/>
        <w:bidi w:val="0"/>
        <w:spacing w:lineRule="auto" w:line="288" w:before="0" w:after="0"/>
        <w:ind w:left="0" w:right="0" w:hanging="1440"/>
        <w:jc w:val="both"/>
        <w:rPr>
          <w:color w:val="000000"/>
        </w:rPr>
      </w:pPr>
      <w:r>
        <w:rPr>
          <w:color w:val="000000"/>
        </w:rPr>
        <w:t>    </w:t>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(iv)    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(v)    to interpret and administer the Plan and any instrument or agreement relating to, or Award made under, the Plan;</w:t>
      </w:r>
    </w:p>
    <w:p>
      <w:pPr>
        <w:pStyle w:val="TextBody"/>
        <w:bidi w:val="0"/>
        <w:spacing w:before="0" w:after="0"/>
        <w:ind w:left="0" w:right="0" w:hanging="1260"/>
        <w:jc w:val="both"/>
        <w:rPr/>
      </w:pPr>
      <w:r>
        <w:rPr/>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(vi)    to prescribe the form of each Award Agreement, which need not be identical for each Participant;</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sans-serif" w:hAnsi="sans-serif"/>
          <w:b w:val="false"/>
          <w:color w:val="000000"/>
          <w:sz w:val="24"/>
        </w:rPr>
        <w:t>(vii)    to adopt, amend, suspend, waive and rescind such rules and regulations as the Committee may deem necessary or advisable to administer the Plan;</w:t>
      </w:r>
    </w:p>
    <w:p>
      <w:pPr>
        <w:pStyle w:val="TextBody"/>
        <w:bidi w:val="0"/>
        <w:spacing w:lineRule="auto" w:line="288" w:before="0" w:after="0"/>
        <w:ind w:left="0" w:right="0" w:hanging="1260"/>
        <w:jc w:val="both"/>
        <w:rPr>
          <w:color w:val="000000"/>
        </w:rPr>
      </w:pPr>
      <w:r>
        <w:rPr>
          <w:color w:val="000000"/>
        </w:rPr>
        <w:t> </w:t>
      </w:r>
    </w:p>
    <w:p>
      <w:pPr>
        <w:pStyle w:val="TextBody"/>
        <w:bidi w:val="0"/>
        <w:spacing w:lineRule="auto" w:line="288" w:before="0" w:after="0"/>
        <w:ind w:left="0" w:right="0" w:hanging="1080"/>
        <w:jc w:val="both"/>
        <w:rPr>
          <w:color w:val="000000"/>
        </w:rPr>
      </w:pPr>
      <w:r>
        <w:rPr>
          <w:color w:val="000000"/>
        </w:rPr>
        <w:t>    </w:t>
      </w:r>
      <w:r>
        <w:rPr>
          <w:rFonts w:ascii="sans-serif" w:hAnsi="sans-serif"/>
          <w:b w:val="false"/>
          <w:color w:val="000000"/>
          <w:sz w:val="24"/>
        </w:rPr>
        <w:t>(viii)    to correct any defect, supply any omission, or reconcile any inconsistency and to construe and interpret the Plan, the rules and regulations, any Award Agreement or other instrument entered into, or Award made under the Plan;</w:t>
      </w:r>
    </w:p>
    <w:p>
      <w:pPr>
        <w:pStyle w:val="TextBody"/>
        <w:bidi w:val="0"/>
        <w:spacing w:before="0" w:after="0"/>
        <w:ind w:left="0" w:right="0" w:hanging="1260"/>
        <w:jc w:val="both"/>
        <w:rPr/>
      </w:pPr>
      <w:r>
        <w:rPr/>
      </w:r>
    </w:p>
    <w:p>
      <w:pPr>
        <w:pStyle w:val="TextBody"/>
        <w:bidi w:val="0"/>
        <w:spacing w:lineRule="auto" w:line="288" w:before="0" w:after="0"/>
        <w:ind w:left="0" w:right="0" w:hanging="1080"/>
        <w:jc w:val="both"/>
        <w:rPr>
          <w:color w:val="000000"/>
        </w:rPr>
      </w:pPr>
      <w:r>
        <w:rPr>
          <w:color w:val="000000"/>
        </w:rPr>
        <w:t>     </w:t>
      </w:r>
      <w:r>
        <w:rPr>
          <w:rFonts w:ascii="sans-serif" w:hAnsi="sans-serif"/>
          <w:b w:val="false"/>
          <w:color w:val="000000"/>
          <w:sz w:val="24"/>
        </w:rPr>
        <w:t>(ix)    to make all other decisions and determinations as may be required under the terms of the Plan or as the Committee may deem necessary or advisable for the administration of the Plan; and</w:t>
      </w:r>
    </w:p>
    <w:p>
      <w:pPr>
        <w:pStyle w:val="TextBody"/>
        <w:bidi w:val="0"/>
        <w:spacing w:before="0" w:after="0"/>
        <w:ind w:left="0" w:right="0" w:hanging="1260"/>
        <w:jc w:val="both"/>
        <w:rPr/>
      </w:pPr>
      <w:r>
        <w:rPr/>
      </w:r>
    </w:p>
    <w:p>
      <w:pPr>
        <w:pStyle w:val="TextBody"/>
        <w:bidi w:val="0"/>
        <w:spacing w:lineRule="auto" w:line="288"/>
        <w:ind w:left="0" w:right="0" w:hanging="1260"/>
        <w:jc w:val="both"/>
        <w:rPr>
          <w:color w:val="000000"/>
        </w:rPr>
      </w:pPr>
      <w:r>
        <w:rPr>
          <w:color w:val="000000"/>
        </w:rPr>
        <w:t>     </w:t>
      </w:r>
      <w:r>
        <w:rPr>
          <w:rFonts w:ascii="sans-serif" w:hAnsi="sans-serif"/>
          <w:b w:val="false"/>
          <w:color w:val="000000"/>
          <w:sz w:val="24"/>
        </w:rPr>
        <w:t xml:space="preserve">(x)    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7505"/>
                <wp:effectExtent l="0" t="0" r="0" b="0"/>
                <wp:wrapNone/>
                <wp:docPr id="87" name="Frame8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public accountants, or any executive compensation consultant or other professional retained by the Company and/or Committee to assist in the administration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7505"/>
                <wp:effectExtent l="0" t="0" r="0" b="0"/>
                <wp:wrapNone/>
                <wp:docPr id="88" name="Frame8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pPr>
      <w:r>
        <w:rPr>
          <w:rFonts w:ascii="sans-serif" w:hAnsi="sans-serif"/>
          <w:b/>
          <w:color w:val="000000"/>
          <w:sz w:val="24"/>
        </w:rPr>
        <w:t>SECTION 4.     SHARES SUBJECT TO THE PLAN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 xml:space="preserve">4.01    The maximum net number of Shares which may be issued and in respect of which Awards may be granted under the Plan shall be limited to </w:t>
      </w:r>
      <w:r>
        <w:rPr>
          <w:rFonts w:ascii="sans-serif" w:hAnsi="sans-serif"/>
          <w:b/>
          <w:color w:val="000000"/>
          <w:sz w:val="24"/>
        </w:rPr>
        <w:t>2,883,333</w:t>
      </w:r>
      <w:r>
        <w:rPr>
          <w:color w:val="000000"/>
        </w:rPr>
        <w:t xml:space="preserve"> </w:t>
      </w:r>
      <w:r>
        <w:rPr>
          <w:rFonts w:ascii="sans-serif" w:hAnsi="sans-serif"/>
          <w:b w:val="false"/>
          <w:color w:val="000000"/>
          <w:sz w:val="24"/>
        </w:rPr>
        <w:t>Shares, subject to adjustment as provided in Section 8.01, which may be used for all forms of Awards. 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sans-serif" w:hAnsi="sans-serif"/>
          <w:b w:val="false"/>
          <w:color w:val="000000"/>
          <w:sz w:val="24"/>
        </w:rPr>
        <w:t>In addition to the foregoing and subject to adjustment as provided in Section 8.01, the aggregate number</w:t>
      </w:r>
      <w:r>
        <w:rPr>
          <w:color w:val="000000"/>
        </w:rPr>
        <w:t xml:space="preserve"> </w:t>
      </w:r>
      <w:r>
        <w:rPr>
          <w:rFonts w:ascii="sans-serif" w:hAnsi="sans-serif"/>
          <w:b w:val="false"/>
          <w:color w:val="000000"/>
          <w:sz w:val="24"/>
        </w:rPr>
        <w:t>of Shares available for issuance under the Plan shall automatically increase on January 1 of each year for a</w:t>
      </w:r>
      <w:r>
        <w:rPr>
          <w:color w:val="000000"/>
        </w:rPr>
        <w:t xml:space="preserve"> </w:t>
      </w:r>
      <w:r>
        <w:rPr>
          <w:rFonts w:ascii="sans-serif" w:hAnsi="sans-serif"/>
          <w:b w:val="false"/>
          <w:color w:val="000000"/>
          <w:sz w:val="24"/>
        </w:rPr>
        <w:t>period of four (4) years, beginning on January 1, 2027 in an amount equal to the lesser of: (i) 5% of the total</w:t>
      </w:r>
      <w:r>
        <w:rPr>
          <w:color w:val="000000"/>
        </w:rPr>
        <w:t xml:space="preserve"> </w:t>
      </w:r>
      <w:r>
        <w:rPr>
          <w:rFonts w:ascii="sans-serif" w:hAnsi="sans-serif"/>
          <w:b w:val="false"/>
          <w:color w:val="000000"/>
          <w:sz w:val="24"/>
        </w:rPr>
        <w:t>number of Shares outstanding on December 31 of the preceding year; (ii) 700,000 Shares; and (iii) such</w:t>
      </w:r>
      <w:r>
        <w:rPr>
          <w:color w:val="000000"/>
        </w:rPr>
        <w:t xml:space="preserve"> </w:t>
      </w:r>
      <w:r>
        <w:rPr>
          <w:rFonts w:ascii="sans-serif" w:hAnsi="sans-serif"/>
          <w:b w:val="false"/>
          <w:color w:val="000000"/>
          <w:sz w:val="24"/>
        </w:rPr>
        <w:t>lesser number of Shares as determined by the Board or the Committee prior to January 1 of the applicable</w:t>
      </w:r>
      <w:r>
        <w:rPr>
          <w:color w:val="000000"/>
        </w:rPr>
        <w:t xml:space="preserve"> </w:t>
      </w:r>
      <w:r>
        <w:rPr>
          <w:rFonts w:ascii="sans-serif" w:hAnsi="sans-serif"/>
          <w:b w:val="false"/>
          <w:color w:val="000000"/>
          <w:sz w:val="24"/>
        </w:rPr>
        <w:t>year. The Board or the Committee may, in its discretion, reduce or eliminate any such annual increase.</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w:t>
      </w:r>
    </w:p>
    <w:p>
      <w:pPr>
        <w:pStyle w:val="TextBody"/>
        <w:bidi w:val="0"/>
        <w:spacing w:before="0" w:after="0"/>
        <w:ind w:left="0" w:right="0" w:hanging="720"/>
        <w:jc w:val="both"/>
        <w:rPr/>
      </w:pPr>
      <w:r>
        <w:rPr/>
      </w:r>
    </w:p>
    <w:p>
      <w:pPr>
        <w:pStyle w:val="TextBody"/>
        <w:bidi w:val="0"/>
        <w:spacing w:lineRule="auto" w:line="288"/>
        <w:jc w:val="both"/>
        <w:rPr/>
      </w:pPr>
      <w:r>
        <w:rPr>
          <w:rFonts w:ascii="sans-serif" w:hAnsi="sans-serif"/>
          <w:b/>
          <w:color w:val="000000"/>
          <w:sz w:val="24"/>
        </w:rPr>
        <w:t>SECTION 5.     ELIGIBILITY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7505"/>
                <wp:effectExtent l="0" t="0" r="0" b="0"/>
                <wp:wrapNone/>
                <wp:docPr id="89" name="Frame8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5.01    Awards may be granted only to individuals who are employees of the Company or any Subsidiary or affiliate or to members of the Board.</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4"/>
        </w:rPr>
        <w:t>SECTION 6.     SPECIFIC TERMS OF AWARDS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6.01    </w:t>
      </w:r>
      <w:r>
        <w:rPr>
          <w:rFonts w:ascii="sans-serif" w:hAnsi="sans-serif"/>
          <w:b/>
          <w:color w:val="000000"/>
          <w:sz w:val="24"/>
        </w:rPr>
        <w:t xml:space="preserve">General. </w:t>
      </w:r>
      <w:r>
        <w:rPr>
          <w:rFonts w:ascii="sans-serif" w:hAnsi="sans-serif"/>
          <w:b w:val="false"/>
          <w:color w:val="000000"/>
          <w:sz w:val="24"/>
        </w:rPr>
        <w:t>Subject to the terms of the Plan and any applicable Award Agreement, Awards may be granted as set forth in this 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6.02    </w:t>
      </w:r>
      <w:r>
        <w:rPr>
          <w:rFonts w:ascii="sans-serif" w:hAnsi="sans-serif"/>
          <w:b/>
          <w:color w:val="000000"/>
          <w:sz w:val="24"/>
        </w:rPr>
        <w:t xml:space="preserve">Options. </w:t>
      </w:r>
      <w:r>
        <w:rPr>
          <w:rFonts w:ascii="sans-serif" w:hAnsi="sans-serif"/>
          <w:b w:val="false"/>
          <w:color w:val="000000"/>
          <w:sz w:val="24"/>
        </w:rPr>
        <w:t>The Committee is authorized to grant Options to Participants on the following terms and conditions: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rFonts w:ascii="sans-serif" w:hAnsi="sans-serif"/>
          <w:b w:val="false"/>
          <w:color w:val="000000"/>
          <w:sz w:val="24"/>
        </w:rPr>
        <w:t>(i)    </w:t>
      </w:r>
      <w:r>
        <w:rPr>
          <w:rFonts w:ascii="sans-serif" w:hAnsi="sans-serif"/>
          <w:b w:val="false"/>
          <w:i/>
          <w:color w:val="000000"/>
          <w:sz w:val="24"/>
        </w:rPr>
        <w:t xml:space="preserve">Exercise Price. </w:t>
      </w:r>
      <w:r>
        <w:rPr>
          <w:rFonts w:ascii="sans-serif" w:hAnsi="sans-serif"/>
          <w:b w:val="false"/>
          <w:color w:val="000000"/>
          <w:sz w:val="24"/>
        </w:rPr>
        <w:t>The criteria for determining the exercise price per Share of an Option shall be determined and such price shall be established by the Committee prior to each grant.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(ii)    </w:t>
      </w:r>
      <w:r>
        <w:rPr>
          <w:rFonts w:ascii="sans-serif" w:hAnsi="sans-serif"/>
          <w:b w:val="false"/>
          <w:i/>
          <w:color w:val="000000"/>
          <w:sz w:val="24"/>
        </w:rPr>
        <w:t xml:space="preserve">Option Term. </w:t>
      </w:r>
      <w:r>
        <w:rPr>
          <w:rFonts w:ascii="sans-serif" w:hAnsi="sans-serif"/>
          <w:b w:val="false"/>
          <w:color w:val="000000"/>
          <w:sz w:val="24"/>
        </w:rPr>
        <w:t>The term of each Option shall be determined by the Committee, except that no Option shall be exercisable after the expiration of ten years from the date of grant. The Option shall be evidenced by a form of Award Agreement, and subject to the terms thereof.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(iii)    </w:t>
      </w:r>
      <w:r>
        <w:rPr>
          <w:rFonts w:ascii="sans-serif" w:hAnsi="sans-serif"/>
          <w:b w:val="false"/>
          <w:i/>
          <w:color w:val="000000"/>
          <w:sz w:val="24"/>
        </w:rPr>
        <w:t xml:space="preserve">Times and Methods of Exercise. </w:t>
      </w:r>
      <w:r>
        <w:rPr>
          <w:rFonts w:ascii="sans-serif" w:hAnsi="sans-serif"/>
          <w:b w:val="false"/>
          <w:color w:val="000000"/>
          <w:sz w:val="24"/>
        </w:rPr>
        <w:t>The Committee shall determine the time or times at which an Option may be 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 defined by the Exchange Act) of the Company. Delivery of Shares in payment of the exercise price of an Option, if authorized by the Committee, may be accomplished through the effective transfer to the Company of Shares held by a broker or other agent.</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sans-serif" w:hAnsi="sans-serif"/>
          <w:b w:val="false"/>
          <w:color w:val="000000"/>
          <w:sz w:val="24"/>
        </w:rPr>
        <w:t xml:space="preserve">Unless otherwise determined by the Committee, the Company will also cooperate with any Person exercising an Option who participates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7505"/>
                <wp:effectExtent l="0" t="0" r="0" b="0"/>
                <wp:wrapNone/>
                <wp:docPr id="90" name="Frame8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(iv)    </w:t>
      </w:r>
      <w:r>
        <w:rPr>
          <w:rFonts w:ascii="sans-serif" w:hAnsi="sans-serif"/>
          <w:b w:val="false"/>
          <w:i/>
          <w:color w:val="000000"/>
          <w:sz w:val="24"/>
        </w:rPr>
        <w:t xml:space="preserve">Termination of Employment. </w:t>
      </w:r>
      <w:r>
        <w:rPr>
          <w:rFonts w:ascii="sans-serif" w:hAnsi="sans-serif"/>
          <w:b w:val="false"/>
          <w:color w:val="000000"/>
          <w:sz w:val="24"/>
        </w:rPr>
        <w:t>In the case of Participants, unless otherwise determined by the Committee and/or reflected in the Award Agreement or award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(A)    if a Participant shall die while employed or engaged by the Company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(B)    if the Participant must terminate employment or engagement due to disability, the Options may be exercised within three years after the date of termination, but not later than the expiration date of the Options.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(C)    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sans-serif" w:hAnsi="sans-serif"/>
          <w:b w:val="false"/>
          <w:color w:val="000000"/>
          <w:sz w:val="24"/>
        </w:rPr>
        <w:t xml:space="preserve">(D)    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7505"/>
                <wp:effectExtent l="0" t="0" r="0" b="0"/>
                <wp:wrapNone/>
                <wp:docPr id="91" name="Frame9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exercisable at the date of the Participant’s termination of employment or engagement, may be exercised within six months after the date of termination of employment or engagement, but not later than the expiration date of the Options.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(E)    except to the extent an Option remains exercisable under paragraphs (A) through (D) above, any Option granted to a Participant shall terminate six months after the date of termination of employment or engagement of the Participant with the Company or a Subsidiary or affiliate.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(v)    </w:t>
      </w:r>
      <w:r>
        <w:rPr>
          <w:rFonts w:ascii="sans-serif" w:hAnsi="sans-serif"/>
          <w:b w:val="false"/>
          <w:i/>
          <w:color w:val="000000"/>
          <w:sz w:val="24"/>
        </w:rPr>
        <w:t xml:space="preserve">Individual Option Limit. </w:t>
      </w:r>
      <w:r>
        <w:rPr>
          <w:rFonts w:ascii="sans-serif" w:hAnsi="sans-serif"/>
          <w:b w:val="false"/>
          <w:color w:val="000000"/>
          <w:sz w:val="24"/>
        </w:rPr>
        <w:t>The aggregate number of Shares for which Options may be granted under the Plan to any single Participant in any calendar year shall not exceed 83,333</w:t>
      </w:r>
      <w:r>
        <w:rPr>
          <w:rFonts w:ascii="sans-serif" w:hAnsi="sans-serif"/>
          <w:b w:val="false"/>
          <w:color w:val="000000"/>
          <w:sz w:val="16"/>
        </w:rPr>
        <w:t>1</w:t>
      </w:r>
      <w:r>
        <w:rPr>
          <w:color w:val="000000"/>
        </w:rPr>
        <w:t xml:space="preserve"> </w:t>
      </w:r>
      <w:r>
        <w:rPr>
          <w:rFonts w:ascii="sans-serif" w:hAnsi="sans-serif"/>
          <w:b w:val="false"/>
          <w:color w:val="000000"/>
          <w:sz w:val="24"/>
        </w:rPr>
        <w:t xml:space="preserve">Shares. The limitation in the preceding sentence shall be interpreted and applied in a manner consistent with Section 162(m) of the Code.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6.03    </w:t>
      </w:r>
      <w:r>
        <w:rPr>
          <w:rFonts w:ascii="sans-serif" w:hAnsi="sans-serif"/>
          <w:b/>
          <w:color w:val="000000"/>
          <w:sz w:val="24"/>
        </w:rPr>
        <w:t xml:space="preserve">Restricted Stock or Restricted Stock Units. </w:t>
      </w:r>
      <w:r>
        <w:rPr>
          <w:rFonts w:ascii="sans-serif" w:hAnsi="sans-serif"/>
          <w:b w:val="false"/>
          <w:color w:val="000000"/>
          <w:sz w:val="24"/>
        </w:rPr>
        <w:t>The Committee is authorized to grant Restricted Stock or Restricted Stock Units to Participants on the following terms and conditions: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    </w:t>
      </w:r>
      <w:r>
        <w:rPr>
          <w:rFonts w:ascii="sans-serif" w:hAnsi="sans-serif"/>
          <w:b w:val="false"/>
          <w:i/>
          <w:color w:val="000000"/>
          <w:sz w:val="24"/>
        </w:rPr>
        <w:t xml:space="preserve">Issuance and Restrictions. </w:t>
      </w:r>
      <w:r>
        <w:rPr>
          <w:rFonts w:ascii="sans-serif" w:hAnsi="sans-serif"/>
          <w:b w:val="false"/>
          <w:color w:val="000000"/>
          <w:sz w:val="24"/>
        </w:rPr>
        <w:t>Restricted Stock or Restricted Stock Units shall be subject to such restrictions on transferability and other restrictions as the Committee may impose (including, without limitation, limitations on the right to vote Restricted Stock or the right to receive dividends or dividend equivalents thereon), which restrictions may lapse separately or in combination at 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w:t>
      </w:r>
      <w:r>
        <w:rPr>
          <w:color w:val="000000"/>
        </w:rPr>
        <w:t xml:space="preserve"> </w:t>
      </w:r>
      <w:r>
        <w:rPr>
          <w:rFonts w:ascii="sans-serif" w:hAnsi="sans-serif"/>
          <w:b w:val="false"/>
          <w:color w:val="000000"/>
          <w:sz w:val="24"/>
        </w:rPr>
        <w:t>provided that up to five percent (5%) of the Shares available under the Plan may be granted without regard to such minimum vesting requirements.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(ii)    </w:t>
      </w:r>
      <w:r>
        <w:rPr>
          <w:rFonts w:ascii="sans-serif" w:hAnsi="sans-serif"/>
          <w:b w:val="false"/>
          <w:i/>
          <w:color w:val="000000"/>
          <w:sz w:val="24"/>
        </w:rPr>
        <w:t xml:space="preserve">Forfeiture. </w:t>
      </w:r>
      <w:r>
        <w:rPr>
          <w:rFonts w:ascii="sans-serif" w:hAnsi="sans-serif"/>
          <w:b w:val="false"/>
          <w:color w:val="000000"/>
          <w:sz w:val="24"/>
        </w:rPr>
        <w:t xml:space="preserve">Except as otherwise determined by the Committee at the time of grant or thereafter, upon termination of employment, engagement or other service (as determined under criteria established by the Committee) during the applicable restriction period, Restricted Stock or Restricted Stock Units that are at that time subject to restrictions shall be forfeited and reacquired by the </w:t>
      </w:r>
    </w:p>
    <w:p>
      <w:pPr>
        <w:pStyle w:val="TextBody"/>
        <w:bidi w:val="0"/>
        <w:spacing w:lineRule="auto" w:line="288"/>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Adjusted for the Company’s 1-for-8 share consolidation effective May 28, 2025</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7505"/>
                <wp:effectExtent l="0" t="0" r="0" b="0"/>
                <wp:wrapNone/>
                <wp:docPr id="92" name="Frame9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(iii)    </w:t>
      </w:r>
      <w:r>
        <w:rPr>
          <w:rFonts w:ascii="sans-serif" w:hAnsi="sans-serif"/>
          <w:b w:val="false"/>
          <w:i/>
          <w:color w:val="000000"/>
          <w:sz w:val="24"/>
        </w:rPr>
        <w:t xml:space="preserve">Certificates for Shares. </w:t>
      </w:r>
      <w:r>
        <w:rPr>
          <w:rFonts w:ascii="sans-serif" w:hAnsi="sans-serif"/>
          <w:b w:val="false"/>
          <w:color w:val="000000"/>
          <w:sz w:val="24"/>
        </w:rPr>
        <w:t>Restricted Stock or Restricted Stock Units granted under the Plan may be evidenced in such 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6.04    </w:t>
      </w:r>
      <w:r>
        <w:rPr>
          <w:rFonts w:ascii="sans-serif" w:hAnsi="sans-serif"/>
          <w:b/>
          <w:color w:val="000000"/>
          <w:sz w:val="24"/>
        </w:rPr>
        <w:t xml:space="preserve">Performance Awards. </w:t>
      </w:r>
      <w:r>
        <w:rPr>
          <w:rFonts w:ascii="sans-serif" w:hAnsi="sans-serif"/>
          <w:b w:val="false"/>
          <w:color w:val="000000"/>
          <w:sz w:val="24"/>
        </w:rPr>
        <w:t>The Committee is authorized to grant Performance Awards to Participants on the following terms and conditions: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    </w:t>
      </w:r>
      <w:r>
        <w:rPr>
          <w:rFonts w:ascii="sans-serif" w:hAnsi="sans-serif"/>
          <w:b w:val="false"/>
          <w:i/>
          <w:color w:val="000000"/>
          <w:sz w:val="24"/>
        </w:rPr>
        <w:t xml:space="preserve">Right to Payment. </w:t>
      </w:r>
      <w:r>
        <w:rPr>
          <w:rFonts w:ascii="sans-serif" w:hAnsi="sans-serif"/>
          <w:b w:val="false"/>
          <w:color w:val="000000"/>
          <w:sz w:val="24"/>
        </w:rPr>
        <w:t>A Performance Award shall represent a right to receive Shares based on the achievement, or the level of achievement, during a specified Performance Period of one or more Performance Goals established by the Committee at the time of the Award.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ind w:left="0" w:right="0" w:hanging="720"/>
        <w:jc w:val="both"/>
        <w:rPr/>
      </w:pPr>
      <w:r>
        <w:rPr>
          <w:rFonts w:ascii="sans-serif" w:hAnsi="sans-serif"/>
          <w:b w:val="false"/>
          <w:color w:val="000000"/>
          <w:sz w:val="24"/>
        </w:rPr>
        <w:t>(ii)    </w:t>
      </w:r>
      <w:r>
        <w:rPr>
          <w:rFonts w:ascii="sans-serif" w:hAnsi="sans-serif"/>
          <w:b w:val="false"/>
          <w:i/>
          <w:color w:val="000000"/>
          <w:sz w:val="24"/>
        </w:rPr>
        <w:t xml:space="preserve">Terms of Performance Awards. </w:t>
      </w:r>
      <w:r>
        <w:rPr>
          <w:rFonts w:ascii="sans-serif" w:hAnsi="sans-serif"/>
          <w:b w:val="false"/>
          <w:color w:val="000000"/>
          <w:sz w:val="24"/>
        </w:rPr>
        <w:t xml:space="preserve">At or prior to the time a Performance Award is granted, the Committee shall cause to be set forth in the Award Agreement or otherwise in writing (1) the Performance Goals 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7505"/>
                <wp:effectExtent l="0" t="0" r="0" b="0"/>
                <wp:wrapNone/>
                <wp:docPr id="93" name="Frame9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by applicable law.</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(iii)    </w:t>
      </w:r>
      <w:r>
        <w:rPr>
          <w:rFonts w:ascii="sans-serif" w:hAnsi="sans-serif"/>
          <w:b w:val="false"/>
          <w:i/>
          <w:color w:val="000000"/>
          <w:sz w:val="24"/>
        </w:rPr>
        <w:t xml:space="preserve">Performance Goals. </w:t>
      </w:r>
      <w:r>
        <w:rPr>
          <w:color w:val="000000"/>
        </w:rPr>
        <w:t>“</w:t>
      </w:r>
      <w:r>
        <w:rPr>
          <w:rFonts w:ascii="sans-serif" w:hAnsi="sans-serif"/>
          <w:b w:val="false"/>
          <w:color w:val="000000"/>
          <w:sz w:val="24"/>
        </w:rPr>
        <w:t>Performance Goals” shall mean one or more pre-established, objective measures of performance during a specified “Performance Period,” selected by the Committee in its discretion.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 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(iv)    </w:t>
      </w:r>
      <w:r>
        <w:rPr>
          <w:rFonts w:ascii="sans-serif" w:hAnsi="sans-serif"/>
          <w:b w:val="false"/>
          <w:i/>
          <w:color w:val="000000"/>
          <w:sz w:val="24"/>
        </w:rPr>
        <w:t xml:space="preserve">Committee Certification. </w:t>
      </w:r>
      <w:r>
        <w:rPr>
          <w:rFonts w:ascii="sans-serif" w:hAnsi="sans-serif"/>
          <w:b w:val="false"/>
          <w:color w:val="000000"/>
          <w:sz w:val="24"/>
        </w:rPr>
        <w:t>Following completion of the applicable Performance Period, and prior to any payment of a 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7505"/>
                <wp:effectExtent l="0" t="0" r="0" b="0"/>
                <wp:wrapNone/>
                <wp:docPr id="94" name="Frame9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(v)    </w:t>
      </w:r>
      <w:r>
        <w:rPr>
          <w:rFonts w:ascii="sans-serif" w:hAnsi="sans-serif"/>
          <w:b w:val="false"/>
          <w:i/>
          <w:color w:val="000000"/>
          <w:sz w:val="24"/>
        </w:rPr>
        <w:t xml:space="preserve">Maximum Individual Performance Award Payments. </w:t>
      </w:r>
      <w:r>
        <w:rPr>
          <w:rFonts w:ascii="sans-serif" w:hAnsi="sans-serif"/>
          <w:b w:val="false"/>
          <w:color w:val="000000"/>
          <w:sz w:val="24"/>
        </w:rPr>
        <w:t>In any one calendar year, the maximum amount which may be earned by any single Participant under Performance Awards granted under the Plan shall be limited to 83,333 Shares. In the case of multi-year Performance Periods, the amount which is earned in any one calendar year is the amount paid for the Performance Period divided by the number of calendar years in the period. For purposes of applying this limitation, Shares shall be counted in the calendar year in which they are earned based on achievement of the applicable Performance Goals.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(vi)    </w:t>
      </w:r>
      <w:r>
        <w:rPr>
          <w:rFonts w:ascii="sans-serif" w:hAnsi="sans-serif"/>
          <w:b w:val="false"/>
          <w:i/>
          <w:color w:val="000000"/>
          <w:sz w:val="24"/>
        </w:rPr>
        <w:t xml:space="preserve">Termination of Employment. </w:t>
      </w:r>
      <w:r>
        <w:rPr>
          <w:rFonts w:ascii="sans-serif" w:hAnsi="sans-serif"/>
          <w:b w:val="false"/>
          <w:color w:val="000000"/>
          <w:sz w:val="24"/>
          <w:shd w:fill="FFFFFF" w:val="clear"/>
        </w:rPr>
        <w:t xml:space="preserve">Except as may be set forth in the Participant’s Award Agreement or as otherwise determined by the Committee, vesting shall cease on </w:t>
      </w:r>
      <w:r>
        <w:rPr>
          <w:rFonts w:ascii="sans-serif" w:hAnsi="sans-serif"/>
          <w:b w:val="false"/>
          <w:color w:val="000000"/>
          <w:sz w:val="24"/>
        </w:rPr>
        <w:t>the date of the Participant’s termination of employment or engagement.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6.05    </w:t>
      </w:r>
      <w:r>
        <w:rPr>
          <w:rFonts w:ascii="sans-serif" w:hAnsi="sans-serif"/>
          <w:b/>
          <w:color w:val="000000"/>
          <w:sz w:val="24"/>
        </w:rPr>
        <w:t xml:space="preserve">Other Stock-Based Awards. </w:t>
      </w:r>
      <w:r>
        <w:rPr>
          <w:rFonts w:ascii="sans-serif" w:hAnsi="sans-serif"/>
          <w:b w:val="false"/>
          <w:color w:val="000000"/>
          <w:sz w:val="24"/>
        </w:rPr>
        <w:t>The Committee is authorized, subject to limitations under applicable law, to grant to 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sans-serif" w:hAnsi="sans-serif"/>
          <w:b w:val="false"/>
          <w:color w:val="000000"/>
          <w:sz w:val="24"/>
        </w:rPr>
        <w:t xml:space="preserve">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7505"/>
                <wp:effectExtent l="0" t="0" r="0" b="0"/>
                <wp:wrapNone/>
                <wp:docPr id="95" name="Frame9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less than the Fair Market Value of such Shares or other securities on the date of grant of such purchase right.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 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color w:val="000000"/>
          <w:sz w:val="24"/>
        </w:rPr>
        <w:t>SECTION 7.     GENERAL TERMS OF AWARDS</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7.01    </w:t>
      </w:r>
      <w:r>
        <w:rPr>
          <w:rFonts w:ascii="sans-serif" w:hAnsi="sans-serif"/>
          <w:b/>
          <w:color w:val="000000"/>
          <w:sz w:val="24"/>
        </w:rPr>
        <w:t xml:space="preserve">Stand-Alone, Tandem and Substitute Awards. </w:t>
      </w:r>
      <w:r>
        <w:rPr>
          <w:rFonts w:ascii="sans-serif" w:hAnsi="sans-serif"/>
          <w:b w:val="false"/>
          <w:color w:val="000000"/>
          <w:sz w:val="24"/>
        </w:rPr>
        <w:t>Awards granted under the Plan may, in the discretion of the Committee, be 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Awards granted in addition to or in tandem with other Awards or awards may be granted either at the same time as or at a different time from the grant of such other Awards or awards.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7.02    </w:t>
      </w:r>
      <w:r>
        <w:rPr>
          <w:rFonts w:ascii="sans-serif" w:hAnsi="sans-serif"/>
          <w:b/>
          <w:color w:val="000000"/>
          <w:sz w:val="24"/>
        </w:rPr>
        <w:t xml:space="preserve">Certain Restrictions Under Rule 16b-3. </w:t>
      </w:r>
      <w:r>
        <w:rPr>
          <w:rFonts w:ascii="sans-serif" w:hAnsi="sans-serif"/>
          <w:b w:val="false"/>
          <w:color w:val="000000"/>
          <w:sz w:val="24"/>
        </w:rPr>
        <w:t>Upon the effectiveness of any amendment to Rule 16b-3, this Plan and any 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sans-serif" w:hAnsi="sans-serif"/>
          <w:b w:val="false"/>
          <w:color w:val="000000"/>
          <w:sz w:val="24"/>
        </w:rPr>
        <w:t>7.03    </w:t>
      </w:r>
      <w:r>
        <w:rPr>
          <w:rFonts w:ascii="sans-serif" w:hAnsi="sans-serif"/>
          <w:b/>
          <w:color w:val="000000"/>
          <w:sz w:val="24"/>
        </w:rPr>
        <w:t xml:space="preserve">Decisions Required to be Made by the Committee. </w:t>
      </w:r>
      <w:r>
        <w:rPr>
          <w:rFonts w:ascii="sans-serif" w:hAnsi="sans-serif"/>
          <w:b w:val="false"/>
          <w:color w:val="000000"/>
          <w:sz w:val="24"/>
        </w:rPr>
        <w:t xml:space="preserve">Other provisions of the Plan and any Award Agreement notwithstanding, if any decision regarding an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7505"/>
                <wp:effectExtent l="0" t="0" r="0" b="0"/>
                <wp:wrapNone/>
                <wp:docPr id="96" name="Frame9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Award or the exercise of any right by a Participant, at any time such Participant is subject to Section 16 of the Exchange Act, is required to be made or approved by the Committee or the Board in order that a transaction by such Participant will be exempt under Rule 16b-3, then the Committee or the Board shall retain full and exclusive power and authority to make such decision or to approve or disapprove any such decision by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7.04    </w:t>
      </w:r>
      <w:r>
        <w:rPr>
          <w:rFonts w:ascii="sans-serif" w:hAnsi="sans-serif"/>
          <w:b/>
          <w:color w:val="000000"/>
          <w:sz w:val="24"/>
        </w:rPr>
        <w:t xml:space="preserve">Term of Awards. </w:t>
      </w:r>
      <w:r>
        <w:rPr>
          <w:rFonts w:ascii="sans-serif" w:hAnsi="sans-serif"/>
          <w:b w:val="false"/>
          <w:color w:val="000000"/>
          <w:sz w:val="24"/>
        </w:rPr>
        <w:t>The term of each Award shall be for such period as may be determined by the Committee; provided, however, that in no event shall the term of any Option exceed a period of ten years from the date of its grant.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7.05    </w:t>
      </w:r>
      <w:r>
        <w:rPr>
          <w:rFonts w:ascii="sans-serif" w:hAnsi="sans-serif"/>
          <w:b/>
          <w:color w:val="000000"/>
          <w:sz w:val="24"/>
        </w:rPr>
        <w:t xml:space="preserve">Form of Payment of Awards. </w:t>
      </w:r>
      <w:r>
        <w:rPr>
          <w:rFonts w:ascii="sans-serif" w:hAnsi="sans-serif"/>
          <w:b w:val="false"/>
          <w:color w:val="000000"/>
          <w:sz w:val="24"/>
        </w:rPr>
        <w:t>Subject to the terms of the Plan and any applicable Award Agreement, payments or 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7.06    </w:t>
      </w:r>
      <w:r>
        <w:rPr>
          <w:rFonts w:ascii="sans-serif" w:hAnsi="sans-serif"/>
          <w:b/>
          <w:color w:val="000000"/>
          <w:sz w:val="24"/>
        </w:rPr>
        <w:t>Limits on Transfer of Awards; Beneficiaries.</w:t>
      </w:r>
      <w:r>
        <w:rPr>
          <w:color w:val="000000"/>
        </w:rPr>
        <w:t xml:space="preserve"> </w:t>
      </w:r>
      <w:r>
        <w:rPr>
          <w:rFonts w:ascii="sans-serif" w:hAnsi="sans-serif"/>
          <w:b w:val="false"/>
          <w:color w:val="000000"/>
          <w:sz w:val="24"/>
        </w:rPr>
        <w:t>No right or interest of a Participant in any Award shall be pledged, 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sans-serif" w:hAnsi="sans-serif"/>
          <w:b w:val="false"/>
          <w:color w:val="000000"/>
          <w:sz w:val="24"/>
        </w:rPr>
        <w:t>7.07    </w:t>
      </w:r>
      <w:r>
        <w:rPr>
          <w:rFonts w:ascii="sans-serif" w:hAnsi="sans-serif"/>
          <w:b/>
          <w:color w:val="000000"/>
          <w:sz w:val="24"/>
        </w:rPr>
        <w:t xml:space="preserve">Registration and Listing Compliance. </w:t>
      </w:r>
      <w:r>
        <w:rPr>
          <w:rFonts w:ascii="sans-serif" w:hAnsi="sans-serif"/>
          <w:b w:val="false"/>
          <w:color w:val="000000"/>
          <w:sz w:val="24"/>
        </w:rPr>
        <w:t xml:space="preserve">No Award shall be paid and no Shares or other securities shall be distributed with 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7505"/>
                <wp:effectExtent l="0" t="0" r="0" b="0"/>
                <wp:wrapNone/>
                <wp:docPr id="97" name="Frame9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7.08    </w:t>
      </w:r>
      <w:r>
        <w:rPr>
          <w:rFonts w:ascii="sans-serif" w:hAnsi="sans-serif"/>
          <w:b/>
          <w:color w:val="000000"/>
          <w:sz w:val="24"/>
        </w:rPr>
        <w:t xml:space="preserve">Stock Certificates. </w:t>
      </w:r>
      <w:r>
        <w:rPr>
          <w:rFonts w:ascii="sans-serif" w:hAnsi="sans-serif"/>
          <w:b w:val="false"/>
          <w:color w:val="000000"/>
          <w:sz w:val="24"/>
        </w:rPr>
        <w:t>Awards representing Shares under the Plan may be recorded in book entry form until the lapse of 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require any Participant to enter into an agreement providing that certificates representing Shares issuable or issued pursuant to an Award shall remain in the physical custody of the Company or such other Person as the Committee may designate.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color w:val="000000"/>
          <w:sz w:val="24"/>
        </w:rPr>
        <w:t>SECTION 8. ADJUSTMENT PROVISIONS</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8.01    If a dividend, dividend equivalent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sans-serif" w:hAnsi="sans-serif"/>
          <w:b w:val="false"/>
          <w:color w:val="000000"/>
          <w:sz w:val="24"/>
        </w:rPr>
        <w:t>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7505"/>
                <wp:effectExtent l="0" t="0" r="0" b="0"/>
                <wp:wrapNone/>
                <wp:docPr id="98" name="Frame9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 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In case of any adjustment or substitution as provided for in this 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sans-serif" w:hAnsi="sans-serif"/>
          <w:b w:val="false"/>
          <w:color w:val="000000"/>
          <w:sz w:val="24"/>
        </w:rPr>
        <w:t xml:space="preserve">If the outstanding shares of the Common Stock shall be changed in value by reason of any spin-off, split-off, split-up, dividend in partial liquidation, dividend in property other than cash, or extraordinary distribution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7505"/>
                <wp:effectExtent l="0" t="0" r="0" b="0"/>
                <wp:wrapNone/>
                <wp:docPr id="99" name="Frame9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shareholders of the Common Stock, then (a) the Committee shall make any adjustments to any then 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sans-serif" w:hAnsi="sans-serif"/>
          <w:b w:val="false"/>
          <w:color w:val="000000"/>
          <w:sz w:val="24"/>
        </w:rPr>
        <w:t>In the event of any other change in or conversion of the Common Stock, the Committee may in its discretion adjust the outstanding Awards and other amounts provided in the Plan in order to prevent the dilution or enlargement of rights of Participants.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color w:val="000000"/>
          <w:sz w:val="24"/>
        </w:rPr>
        <w:t>SECTION 9. AMENDMENTS TO AND TERMINATION OF THE PLAN</w:t>
      </w:r>
      <w:r>
        <w:rPr>
          <w:color w:val="000000"/>
        </w:rPr>
        <w:t xml:space="preserve"> </w:t>
      </w:r>
    </w:p>
    <w:p>
      <w:pPr>
        <w:pStyle w:val="TextBody"/>
        <w:bidi w:val="0"/>
        <w:spacing w:before="0" w:after="0"/>
        <w:ind w:left="0" w:right="0" w:hanging="720"/>
        <w:jc w:val="both"/>
        <w:rPr/>
      </w:pPr>
      <w:r>
        <w:rPr/>
      </w:r>
    </w:p>
    <w:p>
      <w:pPr>
        <w:pStyle w:val="TextBody"/>
        <w:bidi w:val="0"/>
        <w:spacing w:lineRule="auto" w:line="288"/>
        <w:ind w:left="0" w:right="0" w:hanging="720"/>
        <w:jc w:val="both"/>
        <w:rPr>
          <w:rFonts w:ascii="sans-serif" w:hAnsi="sans-serif"/>
          <w:b w:val="false"/>
          <w:color w:val="000000"/>
          <w:sz w:val="24"/>
        </w:rPr>
      </w:pPr>
      <w:r>
        <w:rPr>
          <w:rFonts w:ascii="sans-serif" w:hAnsi="sans-serif"/>
          <w:b w:val="false"/>
          <w:color w:val="000000"/>
          <w:sz w:val="24"/>
        </w:rPr>
        <w:t xml:space="preserve">9.01    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7505"/>
                <wp:effectExtent l="0" t="0" r="0" b="0"/>
                <wp:wrapNone/>
                <wp:docPr id="100" name="Frame9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 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rFonts w:ascii="sans-serif" w:hAnsi="sans-serif"/>
          <w:b/>
          <w:color w:val="000000"/>
          <w:sz w:val="24"/>
        </w:rPr>
        <w:t>SECTION 10. GENERAL PROVISIONS</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10.01    </w:t>
      </w:r>
      <w:r>
        <w:rPr>
          <w:rFonts w:ascii="sans-serif" w:hAnsi="sans-serif"/>
          <w:b/>
          <w:color w:val="000000"/>
          <w:sz w:val="24"/>
        </w:rPr>
        <w:t xml:space="preserve">No Right to Awards; No Shareholder Rights. </w:t>
      </w:r>
      <w:r>
        <w:rPr>
          <w:rFonts w:ascii="sans-serif" w:hAnsi="sans-serif"/>
          <w:b w:val="false"/>
          <w:color w:val="000000"/>
          <w:sz w:val="24"/>
        </w:rPr>
        <w:t>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10.02    </w:t>
      </w:r>
      <w:r>
        <w:rPr>
          <w:rFonts w:ascii="sans-serif" w:hAnsi="sans-serif"/>
          <w:b/>
          <w:color w:val="000000"/>
          <w:sz w:val="24"/>
        </w:rPr>
        <w:t xml:space="preserve">Withholding. </w:t>
      </w:r>
      <w:r>
        <w:rPr>
          <w:rFonts w:ascii="sans-serif" w:hAnsi="sans-serif"/>
          <w:b w:val="false"/>
          <w:color w:val="000000"/>
          <w:sz w:val="24"/>
        </w:rPr>
        <w:t>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 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10.03    </w:t>
      </w:r>
      <w:r>
        <w:rPr>
          <w:rFonts w:ascii="sans-serif" w:hAnsi="sans-serif"/>
          <w:b/>
          <w:color w:val="000000"/>
          <w:sz w:val="24"/>
        </w:rPr>
        <w:t xml:space="preserve">No Right to Employment or Continuation of Service. </w:t>
      </w:r>
      <w:r>
        <w:rPr>
          <w:rFonts w:ascii="sans-serif" w:hAnsi="sans-serif"/>
          <w:b w:val="false"/>
          <w:color w:val="000000"/>
          <w:sz w:val="24"/>
        </w:rPr>
        <w:t>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7505"/>
                <wp:effectExtent l="0" t="0" r="0" b="0"/>
                <wp:wrapNone/>
                <wp:docPr id="101" name="Frame10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ind w:left="0" w:right="0" w:hanging="720"/>
        <w:jc w:val="both"/>
        <w:rPr/>
      </w:pPr>
      <w:r>
        <w:rPr>
          <w:rFonts w:ascii="sans-serif" w:hAnsi="sans-serif"/>
          <w:b w:val="false"/>
          <w:color w:val="000000"/>
          <w:sz w:val="24"/>
        </w:rPr>
        <w:t>10.04    </w:t>
      </w:r>
      <w:r>
        <w:rPr>
          <w:rFonts w:ascii="sans-serif" w:hAnsi="sans-serif"/>
          <w:b/>
          <w:color w:val="000000"/>
          <w:sz w:val="24"/>
        </w:rPr>
        <w:t xml:space="preserve">Unfunded Status of Awards; Creation of Trusts. </w:t>
      </w:r>
      <w:r>
        <w:rPr>
          <w:rFonts w:ascii="sans-serif" w:hAnsi="sans-serif"/>
          <w:b w:val="false"/>
          <w:color w:val="000000"/>
          <w:sz w:val="24"/>
        </w:rPr>
        <w:t>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sans-serif" w:hAnsi="sans-serif"/>
          <w:b w:val="false"/>
          <w:color w:val="000000"/>
          <w:sz w:val="24"/>
        </w:rPr>
        <w:t>10.05    </w:t>
      </w:r>
      <w:r>
        <w:rPr>
          <w:rFonts w:ascii="sans-serif" w:hAnsi="sans-serif"/>
          <w:b/>
          <w:color w:val="000000"/>
          <w:sz w:val="24"/>
        </w:rPr>
        <w:t xml:space="preserve">No Limit on Other Compensatory Arrangements. </w:t>
      </w:r>
      <w:r>
        <w:rPr>
          <w:rFonts w:ascii="sans-serif" w:hAnsi="sans-serif"/>
          <w:b w:val="false"/>
          <w:color w:val="000000"/>
          <w:sz w:val="24"/>
        </w:rPr>
        <w:t>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10.06    </w:t>
      </w:r>
      <w:r>
        <w:rPr>
          <w:rFonts w:ascii="sans-serif" w:hAnsi="sans-serif"/>
          <w:b/>
          <w:color w:val="000000"/>
          <w:sz w:val="24"/>
        </w:rPr>
        <w:t xml:space="preserve">No Fractional Shares. </w:t>
      </w:r>
      <w:r>
        <w:rPr>
          <w:rFonts w:ascii="sans-serif" w:hAnsi="sans-serif"/>
          <w:b w:val="false"/>
          <w:color w:val="000000"/>
          <w:sz w:val="24"/>
        </w:rPr>
        <w:t>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10.07    </w:t>
      </w:r>
      <w:r>
        <w:rPr>
          <w:rFonts w:ascii="sans-serif" w:hAnsi="sans-serif"/>
          <w:b/>
          <w:color w:val="000000"/>
          <w:sz w:val="24"/>
        </w:rPr>
        <w:t xml:space="preserve">Governing Law. </w:t>
      </w:r>
      <w:r>
        <w:rPr>
          <w:rFonts w:ascii="sans-serif" w:hAnsi="sans-serif"/>
          <w:b w:val="false"/>
          <w:color w:val="000000"/>
          <w:sz w:val="24"/>
        </w:rPr>
        <w:t>The validity, interpretation, construction and effect of the Plan and any rules and regulations relating to the Plan shall be governed by the laws of the Grand Duchy of Luxembourg (without regard to the conflicts of laws thereof).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val="false"/>
          <w:color w:val="000000"/>
          <w:sz w:val="24"/>
        </w:rPr>
        <w:t>10.08    </w:t>
      </w:r>
      <w:r>
        <w:rPr>
          <w:rFonts w:ascii="sans-serif" w:hAnsi="sans-serif"/>
          <w:b/>
          <w:color w:val="000000"/>
          <w:sz w:val="24"/>
        </w:rPr>
        <w:t xml:space="preserve">Severability. </w:t>
      </w:r>
      <w:r>
        <w:rPr>
          <w:rFonts w:ascii="sans-serif" w:hAnsi="sans-serif"/>
          <w:b w:val="false"/>
          <w:color w:val="000000"/>
          <w:sz w:val="24"/>
        </w:rPr>
        <w:t>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7505"/>
                <wp:effectExtent l="0" t="0" r="0" b="0"/>
                <wp:wrapNone/>
                <wp:docPr id="102" name="Frame10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r>
                              <w:br w:type="page"/>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0"/>
        <w:ind w:left="0" w:right="0" w:hanging="720"/>
        <w:jc w:val="both"/>
        <w:rPr/>
      </w:pPr>
      <w:r>
        <w:rPr>
          <w:rFonts w:ascii="sans-serif" w:hAnsi="sans-serif"/>
          <w:b w:val="false"/>
          <w:color w:val="000000"/>
          <w:sz w:val="24"/>
        </w:rPr>
        <w:t>10.09    </w:t>
      </w:r>
      <w:r>
        <w:rPr>
          <w:rFonts w:ascii="sans-serif" w:hAnsi="sans-serif"/>
          <w:b/>
          <w:color w:val="000000"/>
          <w:sz w:val="24"/>
        </w:rPr>
        <w:t>Clawback.</w:t>
      </w:r>
      <w:r>
        <w:rPr>
          <w:color w:val="000000"/>
        </w:rPr>
        <w:t xml:space="preserve"> </w:t>
      </w:r>
      <w:r>
        <w:rPr>
          <w:rFonts w:ascii="sans-serif" w:hAnsi="sans-serif"/>
          <w:b w:val="false"/>
          <w:color w:val="000000"/>
          <w:sz w:val="24"/>
        </w:rPr>
        <w:t>All Awards granted under the Plan (and any proceeds therefrom) shall be subject to the Compensation Clawback Policy of the Company and any other policies adopted to comply with applicable law, regulations and stock exchange listing standards.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sans-serif" w:hAnsi="sans-serif"/>
          <w:b/>
          <w:color w:val="000000"/>
          <w:sz w:val="24"/>
          <w:u w:val="single"/>
        </w:rPr>
        <w:t>SECTION 11. EFFECTIVE DATE AND TERM OF THE PLAN</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4"/>
        </w:rPr>
      </w:pPr>
      <w:r>
        <w:rPr>
          <w:rFonts w:ascii="sans-serif" w:hAnsi="sans-serif"/>
          <w:b w:val="false"/>
          <w:color w:val="000000"/>
          <w:sz w:val="24"/>
        </w:rPr>
        <w:t>11.01    The Plan, as amended and restated effective May 20, 2026, shall continue in effect, and Awards outstanding as of such date shall remain subject to the terms of the Plan as so amended and restated. The amendments adopted by the shareholders on May 20, 2026 shall be effective as of such 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7505"/>
                <wp:effectExtent l="0" t="0" r="0" b="0"/>
                <wp:wrapNone/>
                <wp:docPr id="103" name="Frame10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2009 Equity Incentive Plan (Amended and Restated)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May 20, 2026</w:t>
                      </w:r>
                    </w:p>
                  </w:txbxContent>
                </v:textbox>
                <w10:wrap type="none"/>
              </v:rect>
            </w:pict>
          </mc:Fallback>
        </mc:AlternateContent>
      </w:r>
    </w:p>
    <w:p>
      <w:pPr>
        <w:pStyle w:val="TextBody"/>
        <w:bidi w:val="0"/>
        <w:spacing w:lineRule="auto" w:line="288" w:before="0" w:after="180"/>
        <w:ind w:left="0" w:right="0" w:firstLine="3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 SECTION 302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William B. Shepro, hereby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June 30, 2026 of Altisource Portfolio Solutions S.A.;</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75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William B. Shepro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William B. Shepro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 SECTION 302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Michelle D. Esterman, hereby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June 30, 2026 of Altisource Portfolio Solutions S.A.;</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24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804"/>
        <w:gridCol w:w="804"/>
        <w:gridCol w:w="11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Michelle D. Esterman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D. Esterman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and </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UNDER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CODE, TITLE 18, CHAPTER 63,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ACCOMPANYING QUARTERLY REPORT ON FORM 10-Q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ALTISOURCE PORTFOLIO SOLUTIONS S.A. FOR THE QUARTER ENDED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Altisource Portfolio Solutions S.A. (the “Company”) for the quarterly period ended June 30, 2026,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7105" w:type="dxa"/>
        <w:jc w:val="left"/>
        <w:tblInd w:w="0" w:type="dxa"/>
        <w:tblLayout w:type="fixed"/>
        <w:tblCellMar>
          <w:top w:w="28" w:type="dxa"/>
          <w:left w:w="28" w:type="dxa"/>
          <w:bottom w:w="28" w:type="dxa"/>
          <w:right w:w="28" w:type="dxa"/>
        </w:tblCellMar>
      </w:tblPr>
      <w:tblGrid>
        <w:gridCol w:w="151"/>
        <w:gridCol w:w="134"/>
        <w:gridCol w:w="135"/>
        <w:gridCol w:w="1068"/>
        <w:gridCol w:w="1068"/>
        <w:gridCol w:w="1073"/>
        <w:gridCol w:w="109"/>
        <w:gridCol w:w="109"/>
        <w:gridCol w:w="109"/>
        <w:gridCol w:w="134"/>
        <w:gridCol w:w="134"/>
        <w:gridCol w:w="136"/>
        <w:gridCol w:w="804"/>
        <w:gridCol w:w="804"/>
        <w:gridCol w:w="113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William B. Shepro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Michelle D. Esterman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William B. Shepro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D. Esterman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and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51646</Words>
  <Characters>279435</Characters>
  <CharactersWithSpaces>329090</CharactersWithSpaces>
  <Paragraphs>4630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