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167640</wp:posOffset>
            </wp:positionV>
            <wp:extent cx="199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113665</wp:posOffset>
            </wp:positionV>
            <wp:extent cx="1997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color w:val="auto"/>
        </w:rPr>
        <w:t>(Mark One)</w:t>
      </w:r>
    </w:p>
    <w:p>
      <w:pPr>
        <w:ind w:left="1040" w:hanging="620"/>
        <w:spacing w:after="0" w:line="183" w:lineRule="auto"/>
        <w:tabs>
          <w:tab w:leader="none" w:pos="10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March 31, 2020</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420"/>
        <w:spacing w:after="0"/>
        <w:rPr>
          <w:sz w:val="24"/>
          <w:szCs w:val="24"/>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9" w:lineRule="exact"/>
        <w:rPr>
          <w:sz w:val="24"/>
          <w:szCs w:val="24"/>
          <w:color w:val="auto"/>
        </w:rPr>
      </w:pPr>
    </w:p>
    <w:p>
      <w:pPr>
        <w:ind w:left="4360"/>
        <w:spacing w:after="0"/>
        <w:rPr>
          <w:sz w:val="24"/>
          <w:szCs w:val="24"/>
          <w:color w:val="auto"/>
        </w:rPr>
      </w:pPr>
      <w:r>
        <w:rPr>
          <w:rFonts w:ascii="Times New Roman" w:cs="Times New Roman" w:eastAsia="Times New Roman" w:hAnsi="Times New Roman"/>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276860</wp:posOffset>
            </wp:positionH>
            <wp:positionV relativeFrom="paragraph">
              <wp:posOffset>-264160</wp:posOffset>
            </wp:positionV>
            <wp:extent cx="104775" cy="104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775" cy="10477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259715</wp:posOffset>
            </wp:positionV>
            <wp:extent cx="1997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167640</wp:posOffset>
            </wp:positionV>
            <wp:extent cx="1997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jc w:val="center"/>
              <w:ind w:left="1804"/>
              <w:spacing w:after="0"/>
              <w:rPr>
                <w:sz w:val="20"/>
                <w:szCs w:val="20"/>
                <w:color w:val="auto"/>
              </w:rPr>
            </w:pPr>
            <w:r>
              <w:rPr>
                <w:rFonts w:ascii="Times New Roman" w:cs="Times New Roman" w:eastAsia="Times New Roman" w:hAnsi="Times New Roman"/>
                <w:sz w:val="18"/>
                <w:szCs w:val="18"/>
                <w:b w:val="1"/>
                <w:bCs w:val="1"/>
                <w:color w:val="auto"/>
                <w:w w:val="99"/>
              </w:rPr>
              <w:t>Luxembourg</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80" w:type="dxa"/>
            <w:vAlign w:val="bottom"/>
          </w:tcPr>
          <w:p>
            <w:pPr>
              <w:jc w:val="right"/>
              <w:ind w:right="2324"/>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220"/>
        </w:trPr>
        <w:tc>
          <w:tcPr>
            <w:tcW w:w="726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980" w:type="dxa"/>
            <w:vAlign w:val="bottom"/>
          </w:tcPr>
          <w:p>
            <w:pPr>
              <w:jc w:val="center"/>
              <w:ind w:right="16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8"/>
        </w:trPr>
        <w:tc>
          <w:tcPr>
            <w:tcW w:w="3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40, avenue Monterey</w:t>
            </w:r>
          </w:p>
        </w:tc>
        <w:tc>
          <w:tcPr>
            <w:tcW w:w="3980" w:type="dxa"/>
            <w:vAlign w:val="bottom"/>
          </w:tcPr>
          <w:p>
            <w:pPr>
              <w:spacing w:after="0"/>
              <w:rPr>
                <w:sz w:val="22"/>
                <w:szCs w:val="22"/>
                <w:color w:val="auto"/>
              </w:rPr>
            </w:pPr>
          </w:p>
        </w:tc>
      </w:tr>
      <w:tr>
        <w:trPr>
          <w:trHeight w:val="216"/>
        </w:trPr>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L-2163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Grand Duchy of Luxembourg</w:t>
            </w:r>
          </w:p>
        </w:tc>
        <w:tc>
          <w:tcPr>
            <w:tcW w:w="3980" w:type="dxa"/>
            <w:vAlign w:val="bottom"/>
          </w:tcPr>
          <w:p>
            <w:pPr>
              <w:spacing w:after="0"/>
              <w:rPr>
                <w:sz w:val="18"/>
                <w:szCs w:val="18"/>
                <w:color w:val="auto"/>
              </w:rPr>
            </w:pPr>
          </w:p>
        </w:tc>
      </w:tr>
      <w:tr>
        <w:trPr>
          <w:trHeight w:val="188"/>
        </w:trPr>
        <w:tc>
          <w:tcPr>
            <w:tcW w:w="3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980" w:type="dxa"/>
            <w:vAlign w:val="bottom"/>
          </w:tcPr>
          <w:p>
            <w:pPr>
              <w:spacing w:after="0"/>
              <w:rPr>
                <w:sz w:val="16"/>
                <w:szCs w:val="16"/>
                <w:color w:val="auto"/>
              </w:rPr>
            </w:pPr>
          </w:p>
        </w:tc>
      </w:tr>
      <w:tr>
        <w:trPr>
          <w:trHeight w:val="298"/>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Times New Roman" w:cs="Times New Roman" w:eastAsia="Times New Roman" w:hAnsi="Times New Roman"/>
                <w:sz w:val="18"/>
                <w:szCs w:val="18"/>
                <w:b w:val="1"/>
                <w:bCs w:val="1"/>
                <w:color w:val="auto"/>
                <w:w w:val="99"/>
              </w:rPr>
              <w:t>(352) 24 69 79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8"/>
        </w:trPr>
        <w:tc>
          <w:tcPr>
            <w:tcW w:w="3720" w:type="dxa"/>
            <w:vAlign w:val="bottom"/>
          </w:tcPr>
          <w:p>
            <w:pPr>
              <w:spacing w:after="0"/>
              <w:rPr>
                <w:sz w:val="16"/>
                <w:szCs w:val="16"/>
                <w:color w:val="auto"/>
              </w:rPr>
            </w:pPr>
          </w:p>
        </w:tc>
        <w:tc>
          <w:tcPr>
            <w:tcW w:w="3540" w:type="dxa"/>
            <w:vAlign w:val="bottom"/>
            <w:gridSpan w:val="5"/>
          </w:tcPr>
          <w:p>
            <w:pPr>
              <w:jc w:val="center"/>
              <w:ind w:lef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80" w:type="dxa"/>
            <w:vAlign w:val="bottom"/>
          </w:tcPr>
          <w:p>
            <w:pPr>
              <w:spacing w:after="0"/>
              <w:rPr>
                <w:sz w:val="16"/>
                <w:szCs w:val="16"/>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396"/>
        </w:trPr>
        <w:tc>
          <w:tcPr>
            <w:tcW w:w="37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32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5"/>
        </w:trPr>
        <w:tc>
          <w:tcPr>
            <w:tcW w:w="372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color w:val="auto"/>
              </w:rPr>
              <w:t>ASPS</w:t>
            </w:r>
          </w:p>
        </w:tc>
        <w:tc>
          <w:tcPr>
            <w:tcW w:w="3980" w:type="dxa"/>
            <w:vAlign w:val="bottom"/>
          </w:tcPr>
          <w:p>
            <w:pPr>
              <w:jc w:val="center"/>
              <w:ind w:right="324"/>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ind w:right="22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5832475</wp:posOffset>
            </wp:positionH>
            <wp:positionV relativeFrom="paragraph">
              <wp:posOffset>-106045</wp:posOffset>
            </wp:positionV>
            <wp:extent cx="69850" cy="69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4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4957445</wp:posOffset>
            </wp:positionH>
            <wp:positionV relativeFrom="paragraph">
              <wp:posOffset>-105410</wp:posOffset>
            </wp:positionV>
            <wp:extent cx="69850" cy="69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920" w:type="dxa"/>
            <w:vAlign w:val="bottom"/>
          </w:tcPr>
          <w:p>
            <w:pPr>
              <w:ind w:left="318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202"/>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92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70"/>
        </w:trPr>
        <w:tc>
          <w:tcPr>
            <w:tcW w:w="4680" w:type="dxa"/>
            <w:vAlign w:val="bottom"/>
          </w:tcPr>
          <w:p>
            <w:pPr>
              <w:spacing w:after="0"/>
              <w:rPr>
                <w:sz w:val="23"/>
                <w:szCs w:val="23"/>
                <w:color w:val="auto"/>
              </w:rPr>
            </w:pPr>
          </w:p>
        </w:tc>
        <w:tc>
          <w:tcPr>
            <w:tcW w:w="4920" w:type="dxa"/>
            <w:vAlign w:val="bottom"/>
          </w:tcPr>
          <w:p>
            <w:pPr>
              <w:ind w:left="3180"/>
              <w:spacing w:after="0"/>
              <w:rPr>
                <w:sz w:val="20"/>
                <w:szCs w:val="20"/>
                <w:color w:val="auto"/>
              </w:rPr>
            </w:pPr>
            <w:r>
              <w:rPr>
                <w:rFonts w:ascii="Times New Roman" w:cs="Times New Roman" w:eastAsia="Times New Roman" w:hAnsi="Times New Roman"/>
                <w:sz w:val="14"/>
                <w:szCs w:val="14"/>
                <w:color w:val="auto"/>
              </w:rPr>
              <w:t>Emerging growth company</w:t>
            </w:r>
          </w:p>
        </w:tc>
      </w:tr>
    </w:tbl>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4" w:lineRule="exact"/>
        <w:rPr>
          <w:sz w:val="24"/>
          <w:szCs w:val="24"/>
          <w:color w:val="auto"/>
        </w:rPr>
      </w:pP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4340860</wp:posOffset>
            </wp:positionH>
            <wp:positionV relativeFrom="paragraph">
              <wp:posOffset>-64770</wp:posOffset>
            </wp:positionV>
            <wp:extent cx="69850" cy="69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50" cy="6985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24 , 2020 , there were 15,570,432 outstanding shares of the registrant’s common stock (excluding 9,842,316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151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0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0120" w:type="dxa"/>
            <w:vAlign w:val="bottom"/>
            <w:gridSpan w:val="2"/>
          </w:tcPr>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 Financial Information</w:t>
              </w:r>
            </w:hyperlink>
          </w:p>
        </w:tc>
        <w:tc>
          <w:tcPr>
            <w:tcW w:w="1120" w:type="dxa"/>
            <w:vAlign w:val="bottom"/>
          </w:tcPr>
          <w:p>
            <w:pPr>
              <w:spacing w:after="0"/>
              <w:rPr>
                <w:sz w:val="19"/>
                <w:szCs w:val="19"/>
                <w:color w:val="auto"/>
              </w:rPr>
            </w:pPr>
          </w:p>
        </w:tc>
      </w:tr>
      <w:tr>
        <w:trPr>
          <w:trHeight w:val="405"/>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Interim Condensed Consolidated Financial Statements (Unaudited)</w:t>
              </w:r>
            </w:hyperlink>
          </w:p>
        </w:tc>
        <w:tc>
          <w:tcPr>
            <w:tcW w:w="1120" w:type="dxa"/>
            <w:vAlign w:val="bottom"/>
          </w:tcPr>
          <w:p>
            <w:pPr>
              <w:spacing w:after="0"/>
              <w:rPr>
                <w:sz w:val="24"/>
                <w:szCs w:val="24"/>
                <w:color w:val="auto"/>
              </w:rPr>
            </w:pPr>
          </w:p>
        </w:tc>
      </w:tr>
      <w:tr>
        <w:trPr>
          <w:trHeight w:val="270"/>
        </w:trPr>
        <w:tc>
          <w:tcPr>
            <w:tcW w:w="900" w:type="dxa"/>
            <w:vAlign w:val="bottom"/>
          </w:tcPr>
          <w:p>
            <w:pPr>
              <w:spacing w:after="0"/>
              <w:rPr>
                <w:sz w:val="23"/>
                <w:szCs w:val="23"/>
                <w:color w:val="auto"/>
              </w:rPr>
            </w:pPr>
          </w:p>
        </w:tc>
        <w:tc>
          <w:tcPr>
            <w:tcW w:w="9220" w:type="dxa"/>
            <w:vAlign w:val="bottom"/>
          </w:tcPr>
          <w:p>
            <w:pPr>
              <w:ind w:left="4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3">
              <w:r>
                <w:rPr>
                  <w:rFonts w:ascii="Times New Roman" w:cs="Times New Roman" w:eastAsia="Times New Roman" w:hAnsi="Times New Roman"/>
                  <w:sz w:val="18"/>
                  <w:szCs w:val="18"/>
                  <w:u w:val="single" w:color="auto"/>
                  <w:color w:val="0000EE"/>
                  <w:w w:val="88"/>
                </w:rPr>
                <w:t>3</w:t>
              </w:r>
            </w:hyperlink>
          </w:p>
        </w:tc>
      </w:tr>
      <w:tr>
        <w:trPr>
          <w:trHeight w:val="270"/>
        </w:trPr>
        <w:tc>
          <w:tcPr>
            <w:tcW w:w="900" w:type="dxa"/>
            <w:vAlign w:val="bottom"/>
          </w:tcPr>
          <w:p>
            <w:pPr>
              <w:spacing w:after="0"/>
              <w:rPr>
                <w:sz w:val="23"/>
                <w:szCs w:val="23"/>
                <w:color w:val="auto"/>
              </w:rPr>
            </w:pPr>
          </w:p>
        </w:tc>
        <w:tc>
          <w:tcPr>
            <w:tcW w:w="9220" w:type="dxa"/>
            <w:vAlign w:val="bottom"/>
          </w:tcPr>
          <w:p>
            <w:pPr>
              <w:ind w:left="4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Operations and Comprehensive Loss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4">
              <w:r>
                <w:rPr>
                  <w:rFonts w:ascii="Times New Roman" w:cs="Times New Roman" w:eastAsia="Times New Roman" w:hAnsi="Times New Roman"/>
                  <w:sz w:val="18"/>
                  <w:szCs w:val="18"/>
                  <w:u w:val="single" w:color="auto"/>
                  <w:color w:val="0000EE"/>
                  <w:w w:val="88"/>
                </w:rPr>
                <w:t>4</w:t>
              </w:r>
            </w:hyperlink>
          </w:p>
        </w:tc>
      </w:tr>
      <w:tr>
        <w:trPr>
          <w:trHeight w:val="270"/>
        </w:trPr>
        <w:tc>
          <w:tcPr>
            <w:tcW w:w="900" w:type="dxa"/>
            <w:vAlign w:val="bottom"/>
          </w:tcPr>
          <w:p>
            <w:pPr>
              <w:spacing w:after="0"/>
              <w:rPr>
                <w:sz w:val="23"/>
                <w:szCs w:val="23"/>
                <w:color w:val="auto"/>
              </w:rPr>
            </w:pPr>
          </w:p>
        </w:tc>
        <w:tc>
          <w:tcPr>
            <w:tcW w:w="9220" w:type="dxa"/>
            <w:vAlign w:val="bottom"/>
          </w:tcPr>
          <w:p>
            <w:pPr>
              <w:ind w:left="4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Equity</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5">
              <w:r>
                <w:rPr>
                  <w:rFonts w:ascii="Times New Roman" w:cs="Times New Roman" w:eastAsia="Times New Roman" w:hAnsi="Times New Roman"/>
                  <w:sz w:val="18"/>
                  <w:szCs w:val="18"/>
                  <w:u w:val="single" w:color="auto"/>
                  <w:color w:val="0000EE"/>
                  <w:w w:val="88"/>
                </w:rPr>
                <w:t>5</w:t>
              </w:r>
            </w:hyperlink>
          </w:p>
        </w:tc>
      </w:tr>
      <w:tr>
        <w:trPr>
          <w:trHeight w:val="270"/>
        </w:trPr>
        <w:tc>
          <w:tcPr>
            <w:tcW w:w="900" w:type="dxa"/>
            <w:vAlign w:val="bottom"/>
          </w:tcPr>
          <w:p>
            <w:pPr>
              <w:spacing w:after="0"/>
              <w:rPr>
                <w:sz w:val="23"/>
                <w:szCs w:val="23"/>
                <w:color w:val="auto"/>
              </w:rPr>
            </w:pPr>
          </w:p>
        </w:tc>
        <w:tc>
          <w:tcPr>
            <w:tcW w:w="9220" w:type="dxa"/>
            <w:vAlign w:val="bottom"/>
          </w:tcPr>
          <w:p>
            <w:pPr>
              <w:ind w:left="40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Cash Flows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6">
              <w:r>
                <w:rPr>
                  <w:rFonts w:ascii="Times New Roman" w:cs="Times New Roman" w:eastAsia="Times New Roman" w:hAnsi="Times New Roman"/>
                  <w:sz w:val="18"/>
                  <w:szCs w:val="18"/>
                  <w:u w:val="single" w:color="auto"/>
                  <w:color w:val="0000EE"/>
                  <w:w w:val="88"/>
                </w:rPr>
                <w:t>6</w:t>
              </w:r>
            </w:hyperlink>
          </w:p>
        </w:tc>
      </w:tr>
      <w:tr>
        <w:trPr>
          <w:trHeight w:val="270"/>
        </w:trPr>
        <w:tc>
          <w:tcPr>
            <w:tcW w:w="900" w:type="dxa"/>
            <w:vAlign w:val="bottom"/>
          </w:tcPr>
          <w:p>
            <w:pPr>
              <w:spacing w:after="0"/>
              <w:rPr>
                <w:sz w:val="23"/>
                <w:szCs w:val="23"/>
                <w:color w:val="auto"/>
              </w:rPr>
            </w:pPr>
          </w:p>
        </w:tc>
        <w:tc>
          <w:tcPr>
            <w:tcW w:w="9220" w:type="dxa"/>
            <w:vAlign w:val="bottom"/>
          </w:tcPr>
          <w:p>
            <w:pPr>
              <w:ind w:left="4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Consolidated Financial Statements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7">
              <w:r>
                <w:rPr>
                  <w:rFonts w:ascii="Times New Roman" w:cs="Times New Roman" w:eastAsia="Times New Roman" w:hAnsi="Times New Roman"/>
                  <w:sz w:val="18"/>
                  <w:szCs w:val="18"/>
                  <w:u w:val="single" w:color="auto"/>
                  <w:color w:val="0000EE"/>
                  <w:w w:val="88"/>
                </w:rPr>
                <w:t>7</w:t>
              </w:r>
            </w:hyperlink>
          </w:p>
        </w:tc>
      </w:tr>
      <w:tr>
        <w:trPr>
          <w:trHeight w:val="392"/>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2</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25">
              <w:r>
                <w:rPr>
                  <w:rFonts w:ascii="Times New Roman" w:cs="Times New Roman" w:eastAsia="Times New Roman" w:hAnsi="Times New Roman"/>
                  <w:sz w:val="18"/>
                  <w:szCs w:val="18"/>
                  <w:u w:val="single" w:color="auto"/>
                  <w:color w:val="0000EE"/>
                  <w:w w:val="99"/>
                </w:rPr>
                <w:t>25</w:t>
              </w:r>
            </w:hyperlink>
          </w:p>
        </w:tc>
      </w:tr>
      <w:tr>
        <w:trPr>
          <w:trHeight w:val="392"/>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Item 3</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Quantitative and Qualitative Disclosures about Market Risk</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8">
              <w:r>
                <w:rPr>
                  <w:rFonts w:ascii="Times New Roman" w:cs="Times New Roman" w:eastAsia="Times New Roman" w:hAnsi="Times New Roman"/>
                  <w:sz w:val="18"/>
                  <w:szCs w:val="18"/>
                  <w:u w:val="single" w:color="auto"/>
                  <w:color w:val="0000EE"/>
                  <w:w w:val="99"/>
                </w:rPr>
                <w:t>38</w:t>
              </w:r>
            </w:hyperlink>
          </w:p>
        </w:tc>
      </w:tr>
      <w:tr>
        <w:trPr>
          <w:trHeight w:val="392"/>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Item 4</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Controls and Procedures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8">
              <w:r>
                <w:rPr>
                  <w:rFonts w:ascii="Times New Roman" w:cs="Times New Roman" w:eastAsia="Times New Roman" w:hAnsi="Times New Roman"/>
                  <w:sz w:val="18"/>
                  <w:szCs w:val="18"/>
                  <w:u w:val="single" w:color="auto"/>
                  <w:color w:val="0000EE"/>
                  <w:w w:val="99"/>
                </w:rPr>
                <w:t>38</w:t>
              </w:r>
            </w:hyperlink>
          </w:p>
        </w:tc>
      </w:tr>
      <w:tr>
        <w:trPr>
          <w:trHeight w:val="567"/>
        </w:trPr>
        <w:tc>
          <w:tcPr>
            <w:tcW w:w="10120" w:type="dxa"/>
            <w:vAlign w:val="bottom"/>
            <w:gridSpan w:val="2"/>
          </w:tcPr>
          <w:p>
            <w:pPr>
              <w:ind w:left="4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PART II — Other Information</w:t>
              </w:r>
            </w:hyperlink>
          </w:p>
        </w:tc>
        <w:tc>
          <w:tcPr>
            <w:tcW w:w="1120" w:type="dxa"/>
            <w:vAlign w:val="bottom"/>
          </w:tcPr>
          <w:p>
            <w:pPr>
              <w:spacing w:after="0"/>
              <w:rPr>
                <w:sz w:val="24"/>
                <w:szCs w:val="24"/>
                <w:color w:val="auto"/>
              </w:rPr>
            </w:pPr>
          </w:p>
        </w:tc>
      </w:tr>
      <w:tr>
        <w:trPr>
          <w:trHeight w:val="392"/>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Item 1</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Legal Proceedings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9">
              <w:r>
                <w:rPr>
                  <w:rFonts w:ascii="Times New Roman" w:cs="Times New Roman" w:eastAsia="Times New Roman" w:hAnsi="Times New Roman"/>
                  <w:sz w:val="18"/>
                  <w:szCs w:val="18"/>
                  <w:u w:val="single" w:color="auto"/>
                  <w:color w:val="0000EE"/>
                  <w:w w:val="99"/>
                </w:rPr>
                <w:t>39</w:t>
              </w:r>
            </w:hyperlink>
          </w:p>
        </w:tc>
      </w:tr>
      <w:tr>
        <w:trPr>
          <w:trHeight w:val="391"/>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Item 1A</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Risk Factors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39">
              <w:r>
                <w:rPr>
                  <w:rFonts w:ascii="Times New Roman" w:cs="Times New Roman" w:eastAsia="Times New Roman" w:hAnsi="Times New Roman"/>
                  <w:sz w:val="18"/>
                  <w:szCs w:val="18"/>
                  <w:u w:val="single" w:color="auto"/>
                  <w:color w:val="0000EE"/>
                  <w:w w:val="99"/>
                </w:rPr>
                <w:t>39</w:t>
              </w:r>
            </w:hyperlink>
          </w:p>
        </w:tc>
      </w:tr>
      <w:tr>
        <w:trPr>
          <w:trHeight w:val="392"/>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Item 2</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1">
              <w:r>
                <w:rPr>
                  <w:rFonts w:ascii="Times New Roman" w:cs="Times New Roman" w:eastAsia="Times New Roman" w:hAnsi="Times New Roman"/>
                  <w:sz w:val="18"/>
                  <w:szCs w:val="18"/>
                  <w:u w:val="single" w:color="auto"/>
                  <w:color w:val="0000EE"/>
                  <w:w w:val="99"/>
                </w:rPr>
                <w:t>41</w:t>
              </w:r>
            </w:hyperlink>
          </w:p>
        </w:tc>
      </w:tr>
      <w:tr>
        <w:trPr>
          <w:trHeight w:val="391"/>
        </w:trPr>
        <w:tc>
          <w:tcPr>
            <w:tcW w:w="900" w:type="dxa"/>
            <w:vAlign w:val="bottom"/>
          </w:tcPr>
          <w:p>
            <w:pPr>
              <w:ind w:left="16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Item 6</w:t>
              </w:r>
            </w:hyperlink>
          </w:p>
        </w:tc>
        <w:tc>
          <w:tcPr>
            <w:tcW w:w="9220" w:type="dxa"/>
            <w:vAlign w:val="bottom"/>
          </w:tcPr>
          <w:p>
            <w:pPr>
              <w:ind w:left="16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Exhibits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2">
              <w:r>
                <w:rPr>
                  <w:rFonts w:ascii="Times New Roman" w:cs="Times New Roman" w:eastAsia="Times New Roman" w:hAnsi="Times New Roman"/>
                  <w:sz w:val="18"/>
                  <w:szCs w:val="18"/>
                  <w:u w:val="single" w:color="auto"/>
                  <w:color w:val="0000EE"/>
                  <w:w w:val="99"/>
                </w:rPr>
                <w:t>42</w:t>
              </w:r>
            </w:hyperlink>
          </w:p>
        </w:tc>
      </w:tr>
      <w:tr>
        <w:trPr>
          <w:trHeight w:val="567"/>
        </w:trPr>
        <w:tc>
          <w:tcPr>
            <w:tcW w:w="10120" w:type="dxa"/>
            <w:vAlign w:val="bottom"/>
            <w:gridSpan w:val="2"/>
          </w:tcPr>
          <w:p>
            <w:pPr>
              <w:ind w:left="4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SIGNATURES</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w:anchor="page43">
              <w:r>
                <w:rPr>
                  <w:rFonts w:ascii="Times New Roman" w:cs="Times New Roman" w:eastAsia="Times New Roman" w:hAnsi="Times New Roman"/>
                  <w:sz w:val="18"/>
                  <w:szCs w:val="18"/>
                  <w:u w:val="single" w:color="auto"/>
                  <w:color w:val="0000EE"/>
                  <w:w w:val="99"/>
                </w:rPr>
                <w:t>43</w:t>
              </w:r>
            </w:hyperlink>
          </w:p>
        </w:tc>
      </w:tr>
      <w:tr>
        <w:trPr>
          <w:trHeight w:val="675"/>
        </w:trPr>
        <w:tc>
          <w:tcPr>
            <w:tcW w:w="900" w:type="dxa"/>
            <w:vAlign w:val="bottom"/>
          </w:tcPr>
          <w:p>
            <w:pPr>
              <w:spacing w:after="0"/>
              <w:rPr>
                <w:sz w:val="24"/>
                <w:szCs w:val="24"/>
                <w:color w:val="auto"/>
              </w:rPr>
            </w:pPr>
          </w:p>
        </w:tc>
        <w:tc>
          <w:tcPr>
            <w:tcW w:w="922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spacing w:after="0"/>
              <w:rPr>
                <w:sz w:val="24"/>
                <w:szCs w:val="24"/>
                <w:color w:val="auto"/>
              </w:rPr>
            </w:pPr>
          </w:p>
        </w:tc>
      </w:tr>
      <w:tr>
        <w:trPr>
          <w:trHeight w:val="101"/>
        </w:trPr>
        <w:tc>
          <w:tcPr>
            <w:tcW w:w="900" w:type="dxa"/>
            <w:vAlign w:val="bottom"/>
            <w:tcBorders>
              <w:bottom w:val="single" w:sz="8" w:color="9A9A9A"/>
            </w:tcBorders>
          </w:tcPr>
          <w:p>
            <w:pPr>
              <w:spacing w:after="0"/>
              <w:rPr>
                <w:sz w:val="8"/>
                <w:szCs w:val="8"/>
                <w:color w:val="auto"/>
              </w:rPr>
            </w:pPr>
          </w:p>
        </w:tc>
        <w:tc>
          <w:tcPr>
            <w:tcW w:w="9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8"/>
        </w:trPr>
        <w:tc>
          <w:tcPr>
            <w:tcW w:w="8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8220" w:type="dxa"/>
            <w:vAlign w:val="bottom"/>
            <w:tcBorders>
              <w:bottom w:val="single" w:sz="8" w:color="CCEEFF"/>
            </w:tcBorders>
            <w:shd w:val="clear" w:color="auto" w:fill="CCEEFF"/>
          </w:tcPr>
          <w:p>
            <w:pPr>
              <w:jc w:val="center"/>
              <w:ind w:left="2951"/>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82,741</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equity securities (Note 4)</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42,618</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43,615</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15,214</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184,188</w:t>
            </w:r>
          </w:p>
        </w:tc>
      </w:tr>
      <w:tr>
        <w:trPr>
          <w:trHeight w:val="216"/>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Premises and equipment, net (Note 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24,526</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under operating leases (Note 9)</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29,074</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73,849</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61,046</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1,626</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10,810</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303"/>
        </w:trPr>
        <w:tc>
          <w:tcPr>
            <w:tcW w:w="8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368,595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385,119</w:t>
            </w:r>
          </w:p>
        </w:tc>
      </w:tr>
      <w:tr>
        <w:trPr>
          <w:trHeight w:val="257"/>
        </w:trPr>
        <w:tc>
          <w:tcPr>
            <w:tcW w:w="8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3"/>
        </w:trPr>
        <w:tc>
          <w:tcPr>
            <w:tcW w:w="8220" w:type="dxa"/>
            <w:vAlign w:val="bottom"/>
          </w:tcPr>
          <w:p>
            <w:pPr>
              <w:jc w:val="center"/>
              <w:ind w:left="2931"/>
              <w:spacing w:after="0"/>
              <w:rPr>
                <w:sz w:val="20"/>
                <w:szCs w:val="20"/>
                <w:color w:val="auto"/>
              </w:rPr>
            </w:pPr>
            <w:r>
              <w:rPr>
                <w:rFonts w:ascii="Times New Roman" w:cs="Times New Roman" w:eastAsia="Times New Roman" w:hAnsi="Times New Roman"/>
                <w:sz w:val="16"/>
                <w:szCs w:val="16"/>
                <w:color w:val="auto"/>
              </w:rPr>
              <w:t>LIABILITIES AND EQUITY</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67,671</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5,183</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 (Note 12)</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14,724</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84,722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87,578</w:t>
            </w:r>
          </w:p>
        </w:tc>
      </w:tr>
      <w:tr>
        <w:trPr>
          <w:trHeight w:val="216"/>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287,882</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 (Note 14)</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31,016</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contingencies and regulatory matters (Note 24)</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(deficit):</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($1.00 par value; 100,000 shares authorized, 25,413 issued and 15,559 outstanding as of March</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 2020; 15,454 outstanding as of December 31, 2019)</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25,413</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133,669</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252,466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272,026</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(9,854 shares as of March 31, 2020 and 9,959 shares as of December 31, 2019)</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(453,934)</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Altisource deficit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(22,826)</w:t>
            </w:r>
          </w:p>
        </w:tc>
      </w:tr>
      <w:tr>
        <w:trPr>
          <w:trHeight w:val="216"/>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1,469</w:t>
            </w:r>
          </w:p>
        </w:tc>
      </w:tr>
      <w:tr>
        <w:trPr>
          <w:trHeight w:val="236"/>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deficit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(21,357)</w:t>
            </w:r>
          </w:p>
        </w:tc>
      </w:tr>
      <w:tr>
        <w:trPr>
          <w:trHeight w:val="27"/>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8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64"/>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deficit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368,595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385,119</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9"/>
        </w:trPr>
        <w:tc>
          <w:tcPr>
            <w:tcW w:w="8480" w:type="dxa"/>
            <w:vAlign w:val="bottom"/>
            <w:gridSpan w:val="2"/>
          </w:tcPr>
          <w:p>
            <w:pPr>
              <w:jc w:val="center"/>
              <w:ind w:left="2691"/>
              <w:spacing w:after="0"/>
              <w:rPr>
                <w:sz w:val="20"/>
                <w:szCs w:val="20"/>
                <w:color w:val="auto"/>
              </w:rPr>
            </w:pPr>
            <w:r>
              <w:rPr>
                <w:rFonts w:ascii="Times New Roman" w:cs="Times New Roman" w:eastAsia="Times New Roman" w:hAnsi="Times New Roman"/>
                <w:sz w:val="18"/>
                <w:szCs w:val="18"/>
                <w:i w:val="1"/>
                <w:iCs w:val="1"/>
                <w:color w:val="auto"/>
                <w:w w:val="99"/>
              </w:rPr>
              <w:t xml:space="preserve">See accompanying notes to condensed consolidated financial statements </w:t>
            </w:r>
            <w:r>
              <w:rPr>
                <w:rFonts w:ascii="Times New Roman" w:cs="Times New Roman" w:eastAsia="Times New Roman" w:hAnsi="Times New Roman"/>
                <w:sz w:val="18"/>
                <w:szCs w:val="18"/>
                <w:color w:val="auto"/>
                <w:w w:val="99"/>
              </w:rPr>
              <w: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308"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258"/>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8"/>
        </w:trPr>
        <w:tc>
          <w:tcPr>
            <w:tcW w:w="8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121,444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169,935</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94,581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124,215</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45,720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41,926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(Note 23)</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4,420</w:t>
            </w:r>
          </w:p>
        </w:tc>
      </w:tr>
      <w:tr>
        <w:trPr>
          <w:trHeight w:val="263"/>
        </w:trPr>
        <w:tc>
          <w:tcPr>
            <w:tcW w:w="82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investment in equity securities (Note 4)</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2,238</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w:t>
            </w:r>
          </w:p>
        </w:tc>
      </w:tr>
      <w:tr>
        <w:trPr>
          <w:trHeight w:val="237"/>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 and non-controlling interests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1,222</w:t>
            </w:r>
          </w:p>
        </w:tc>
      </w:tr>
      <w:tr>
        <w:trPr>
          <w:trHeight w:val="263"/>
        </w:trPr>
        <w:tc>
          <w:tcPr>
            <w:tcW w:w="82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304"/>
        </w:trPr>
        <w:tc>
          <w:tcPr>
            <w:tcW w:w="8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r>
      <w:tr>
        <w:trPr>
          <w:trHeight w:val="257"/>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0"/>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57"/>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15,497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16,292</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0"/>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15,497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16,292</w:t>
            </w:r>
          </w:p>
        </w:tc>
      </w:tr>
      <w:tr>
        <w:trPr>
          <w:trHeight w:val="257"/>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64"/>
        </w:trPr>
        <w:tc>
          <w:tcPr>
            <w:tcW w:w="82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Altisource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See accompanying notes to condensed consolidated financial statements </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72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7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60" w:type="dxa"/>
            <w:vAlign w:val="bottom"/>
          </w:tcPr>
          <w:p>
            <w:pPr>
              <w:spacing w:after="0"/>
              <w:rPr>
                <w:sz w:val="16"/>
                <w:szCs w:val="16"/>
                <w:color w:val="auto"/>
              </w:rPr>
            </w:pPr>
          </w:p>
        </w:tc>
        <w:tc>
          <w:tcPr>
            <w:tcW w:w="17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at 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9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31, 2018</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25,413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122,667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590,655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296,668</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216"/>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 and issuance of restricted share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units and restricted shares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March 31, 2019</w:t>
            </w: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125,288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584,759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295,368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31, 2019</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25,413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(21,357)</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(11,545)</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2,894</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64"/>
        </w:trPr>
        <w:tc>
          <w:tcPr>
            <w:tcW w:w="406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March 31, 2020</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25,413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136,563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252,466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See accompanying notes to condensed consolidated financial statements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 thousands </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r>
      <w:tr>
        <w:trPr>
          <w:trHeight w:val="258"/>
        </w:trPr>
        <w:tc>
          <w:tcPr>
            <w:tcW w:w="8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8"/>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 under 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8,647</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(gain) on investment in 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w:t>
            </w: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investments in real estate</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r>
      <w:tr>
        <w:trPr>
          <w:trHeight w:val="243"/>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and non-current operating lease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r>
      <w:tr>
        <w:trPr>
          <w:trHeight w:val="237"/>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7"/>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tax withholding on issuance of restricted share units and restricted shares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7"/>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8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(8,622)</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86,583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64,046</w:t>
            </w:r>
          </w:p>
        </w:tc>
      </w:tr>
      <w:tr>
        <w:trPr>
          <w:trHeight w:val="223"/>
        </w:trPr>
        <w:tc>
          <w:tcPr>
            <w:tcW w:w="8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82,908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55,424</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8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5,634</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(received) paid,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2,410</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right-of-use assets with operating lease liabilities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of right-of-use assets from operating lease modifications or reassessments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payables for purchases of premises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808"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08"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Altisource consolidates Best Partners Mortgage Cooperative, Inc., which is managed by The Mortgage Partnership of America, L.L.C. (“MPA”), a wholly-owned subsidiary of Altisource. Best Partners Mortgage Cooperative, Inc. is a mortgage cooperative doing business as Lenders One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 -year periods at MPA’s option).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2020 , Lenders One had total assets of $2.0 million and total liabilities of $0.6 million . As of December 31, 2019 , Lenders One had total assets of $1.6 million and total liabilities of $0.3 million .</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2019, Altisource created Pointillist, Inc. (“Pointillist”) and contributed the Pointillist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customer journey analytics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no ongoing obligation to provide future funding to Pointillist. Pointillist is presented in the accompanying condensed consolidated financial statements on a consolidated basis and the portion of Pointillist owned by Pointillist management is reported as non-controlling interests.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2019 , as filed with the SEC on March 5, 2020 .</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No. 2017-04, </w:t>
      </w:r>
      <w:r>
        <w:rPr>
          <w:rFonts w:ascii="Times New Roman" w:cs="Times New Roman" w:eastAsia="Times New Roman" w:hAnsi="Times New Roman"/>
          <w:sz w:val="18"/>
          <w:szCs w:val="18"/>
          <w:i w:val="1"/>
          <w:iCs w:val="1"/>
          <w:color w:val="auto"/>
        </w:rPr>
        <w:t>Intangibles-Goodwill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(Topic 350): Simplifying the Test for Goodwill Impairment. </w:t>
      </w:r>
      <w:r>
        <w:rPr>
          <w:rFonts w:ascii="Times New Roman" w:cs="Times New Roman" w:eastAsia="Times New Roman" w:hAnsi="Times New Roman"/>
          <w:sz w:val="18"/>
          <w:szCs w:val="18"/>
          <w:color w:val="auto"/>
        </w:rPr>
        <w:t>This standard simplified the subsequent measurement of goodwill by eliminating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 2 from the goodwill impairment test. Prior guidance required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requires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The Company adopted this standard effective January 1, 2020 and is applied prospectively. Adoption of this new standard did not have any impact on the Company’s condensed consolidated financial statements.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 This standard modified certain disclosure requirements such as the valuation processes for Level 3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This standard also requires new disclosures such as the disclosure of certain assumptions used to develop significant unobservable inputs for Level 3 fair value measurements. The Company adopted this standard effective January 1, 2020. Adoption of this new standard did not have any impact on the Company’s condensed consolidated financial statements.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 and the project stage during which they are incurred and establishes additional disclosure requirements. The Company adopted this standard effective January 1, 2020 and is applied prospectively. Adoption of this new standard did not have any impact on the Company’s condensed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 This standard is part of the FASB’s initiative to reduce complexity in accounting standards by instituting several simplifying provisions and removing several exceptions pertaining to income tax accounting. This standard will be effective for annual periods beginning after December 15, 2020, including interim periods within that reporting period. Early adoption of this standard is permitted. The Company is currently evaluating the impact this guidance may have on its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 This standard applies only to contracts, hedging relationships, and other transactions that reference the London Interbank Offered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2020 , Ocwen was our largest customer, accounting for 61% of our total revenue. Ocwen purchases certain mortgage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2019, Altisource and Ocwen entered into agreements that, among other things, facilitated Ocwen’s transition from REALServicing and related technologies to another mortgage servicing software platform, establish a process for Ocwen to review and approve the assignment of one or more of our agreements to potential buyers of Altisource’s business lines, requiring Ocwen to use Altisource as service provider for certain service referrals totaling an amount equal to 100% of the applicable service referrals on certain portfolios plus an amount equal to not less than 90% of applicable service referrals from certain other portfolios (determined on a service by service basis), subject to certain additional restrictions and limitations, and affirm Altisource’s role as a strategic service provider to Ocwen through August 2025. In connection with these agreements, Altisource expressly preserved and did not waive any of its existing contractual rights relating to service referrals, other than with respect to Ocwen transitioning from the REALServicing and related technologies. If Altisource fails certain performance standards for specified periods of time, then Ocwen may terminate Altisource as a provider for the applicable service(s), subject to certain limitations and Altisource’s right to cure. Ocwen’s transition to another mortgage servicing platform was completed during 2019. For the three months ended March 31, 2020 and 2019 , service revenue from REALServicing and related technologies was $0.9 million and $8.2 million , respectively.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three months ended March 31, 2020 and 2019 , we recognized revenue from Ocwen of $74.2 million and $98.3 million , respectively. Revenue from Ocwen as a percentage of consolidated revenue was 61% and 58% for the three months ended March 31, 2020 and 2019 ,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Ocwen when a party other than Ocwen or the MSR owner selects Altisource as the service provider. For the three months ended March 31, 2020 and 2019 , we recognized revenue of $7.8 million and $11.1 million ,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2020 , accounts receivable from Ocwen totaled $21.4 million , $18.1 million of which was billed and $3.3 million of which was unbilled. As of December 31, 2019 , accounts receivable from Ocwen totaled $19.1 million , $15.7 million of which was billed and $3.4 million of which was unbilled.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NRZ</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Residential Investment Corp. (individually, together with one or more of its subsidiaries or one or more of its subsidiaries individually, “NRZ”) is a real estate investment trust that invests in and manages investments primarily related to residential real estate, including MSRs and excess MSRs.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NRZ is its largest client. As of December 31, 2019, NRZ owned MSRs or rights to MSRs relating to approximately 56% of loans serviced and subserviced by Ocwen (measured in unpaid principal balance (“UPB”)).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real estate owned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Brokerage Agreement can, at Altisource’s discretion, be terminated by Altisource if a services agreement is not signed by Altisource and NRZ. A services agreement has not been signed. The parties continue to operate under the Brokerage Agreement.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2020 and 2019 , we recognized revenue from NRZ of $2.7 million and $4.0 million , respectively, under the Brokerage Agreement. For the three months ended March 31, 2020 and 2019 , we recognized additional revenue of $12.0 million and $17.7 million , respectively, relating to the Subject MSRs when a party other than NRZ selects Altisource as the service provider.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SALE OF BUSINESSES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Services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 subject to a working capital adjustment (finalized during 2019) and transaction costs upon closing of the sale, and an additional $4.0 million payment on the one year anniversary of the sale closing. The parties also entered into a transition services agreement to provide for the management and orderly transition of certain services and technologies to TSI for periods ranging from 2 months to 13 months . These services include support for information technology systems and infrastructure, facilities management, finance, compliance and human resources functions and are charged to TSI on a fixed fee or hourly basis. As of April 1, 2020, all of the transition services other than certain information technology systems and infrastructure have been fully transitioned to TSI.</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Property Management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 payable in two installments. The first installment of $15.0 million was received on the closing date of August 8, 2018. The second installment of $3.0 million is required to be paid on the earlier of a RESI change of control or on August 8, 2023 (see Note 4 for a discussion of the February 17, 2020 RESI merger announcement and resulting potential change of control of RESI). The present value of the second installment is included in prepaid expenses and other current assets in the accompanying condensed consolidated balance sheets as of March 31, 2020 at a discounted value of $2.4 million and is included in other assets in the accompanying condensed consolidated balance sheets as of December 31, 2019 and has a discounted value of $2.4 million .</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 IN EQUITY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2016, we purchased 4.1 million shares of RESI common stock. This investment is reflected in the accompanying condensed consolidated balance sheets at fair value and changes in fair value are included in other income (expense), net in the accompanying condensed consolidated statements of operations and comprehensive loss. As of March 31, 2020 and December 31, 2019 , we held 3.5 million shares of RESI common stock. As of March 31, 2020 and December 31, 2019 , the fair value of our investment was $41.3 million and $42.6 million , respectively. During the three months ended March 31, 2020 and 2019 , we recognized an unrealized (loss) gain from the change in fair value of $(1.3) million and $2.2 million , respectively. During the three months ended March 31, 2020 and 2019 , we earned dividends of $0.5 million and $0.6 million , respectively, related to this investment.</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2020, RESI entered into a merger agreement to be acquired by affiliates of Amherst Single Family Residential Partners VI, LP (“Amherst”) for $12.50 in cash per share. Also on February 17, 2020, the Company entered into a Voting and Support Agreement with an affiliate of Amherst pursuant to which the Company agreed, among other things and subject to the terms and conditions of the Voting and Support Agreement, to vote its shares in favor of the merger. Concurrently with the execution of the Voting and Support Agreement, the Company entered into a side letter with RESI pursuant to which RESI agreed, among other things and subject to the terms and conditions of the side letter, to reimburse the Company for: (a) certain out-of-pocket legal fees and legal expenses should the Company or its officers, directors, employees or other representatives (collectively, the “Indemnified Parties”) incur such costs or expenses in connection with any stockholder’s claims or proceedings against RESI or derivatively on behalf of RESI, in which the Indemnified Parties or their representatives are named parties, with respect to any of the merger agreement, the Voting and Support Agreement, the merger or other transactions contemplated thereby; and (b) any amounts for which the Indemnified Parties are found liable or are required to pay pursuant to any settlement or other voluntary disposition with respect to any such proceeding.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9"/>
        </w:trPr>
        <w:tc>
          <w:tcPr>
            <w:tcW w:w="40" w:type="dxa"/>
            <w:vAlign w:val="bottom"/>
            <w:tcBorders>
              <w:top w:val="single" w:sz="8" w:color="auto"/>
            </w:tcBorders>
          </w:tcPr>
          <w:p>
            <w:pPr>
              <w:spacing w:after="0"/>
              <w:rPr>
                <w:sz w:val="23"/>
                <w:szCs w:val="23"/>
                <w:color w:val="auto"/>
              </w:rPr>
            </w:pPr>
          </w:p>
        </w:tc>
        <w:tc>
          <w:tcPr>
            <w:tcW w:w="8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Billed</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35,921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Unbilled</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48,087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8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43,576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43,615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agreements,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4,269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17,660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15,214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DISCONTINUATION OF LINES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Owners.com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2019, the Company announced its plans to wind down and close the Owners.com business, which was completed by December 31, 2019. Owners.com was a technology-enabled real estate brokerage and provider of related mortgage brokerage and title services. Owners.com was not material in relation to the Company’s results of operations or financial position. Wind down expenses were included in the Project Catalyst restructuring charges (see Note 23 ).</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Buy-Renovate-Lease-Sell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26, 2018, the Company announced its plans to sell its short-term investments in real estate (“BRS Inventory”) and discontinue the Company’s Buy-Renovate-Lease-Sell (“BRS”) business. Altisource’s BRS business focused on buying, renovating, leasing and selling single-family homes to real estate investors. The BRS business was not material in relation to the Company’s results of operations or financial position. The Company completed the sale of the BRS Inventory during the year ended December 31,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PREMISES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144,608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23,800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8,775</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 equipment and other</w:t>
            </w:r>
          </w:p>
        </w:tc>
        <w:tc>
          <w:tcPr>
            <w:tcW w:w="2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181,187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20,984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24,526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amounted to $4.1 million and $5.6 million for the three months ended March 31, 2020 and 2019 , respectively, and is included in cost of revenue for operating assets and in selling, general and administrative expenses for non-operating assets in the accompanying condensed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auto"/>
            </w:tcBorders>
            <w:vMerge w:val="continue"/>
          </w:tcPr>
          <w:p>
            <w:pPr>
              <w:spacing w:after="0"/>
              <w:rPr>
                <w:sz w:val="16"/>
                <w:szCs w:val="16"/>
                <w:color w:val="auto"/>
              </w:rPr>
            </w:pPr>
          </w:p>
        </w:tc>
        <w:tc>
          <w:tcPr>
            <w:tcW w:w="4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2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13,426</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Luxembourg</w:t>
            </w:r>
          </w:p>
        </w:tc>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10,295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4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3"/>
        </w:trPr>
        <w:tc>
          <w:tcPr>
            <w:tcW w:w="326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20,984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24,526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2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6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RIGHT-OF-USE ASSETS UNDER OPERATING LEASES, NET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under operating leases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39,729</w:t>
            </w:r>
          </w:p>
        </w:tc>
        <w:tc>
          <w:tcPr>
            <w:tcW w:w="0" w:type="dxa"/>
            <w:vAlign w:val="bottom"/>
          </w:tcPr>
          <w:p>
            <w:pPr>
              <w:spacing w:after="0"/>
              <w:rPr>
                <w:sz w:val="1"/>
                <w:szCs w:val="1"/>
                <w:color w:val="auto"/>
              </w:rPr>
            </w:pPr>
          </w:p>
        </w:tc>
      </w:tr>
      <w:tr>
        <w:trPr>
          <w:trHeight w:val="243"/>
        </w:trPr>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8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26,064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29,074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operating leases was $2.7 million and $3.7 million for the three months ended March 31, 2020 and 2019, respectively, and is included in cost of revenue for operating assets and in selling, general and administrative expenses for non-operating assets in the accompanying condensed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during the three months ended March 31, 2020 is as follows:</w:t>
      </w:r>
    </w:p>
    <w:p>
      <w:pPr>
        <w:spacing w:after="0" w:line="40" w:lineRule="exact"/>
        <w:rPr>
          <w:sz w:val="20"/>
          <w:szCs w:val="20"/>
          <w:color w:val="auto"/>
        </w:rPr>
      </w:pPr>
    </w:p>
    <w:p>
      <w:pPr>
        <w:ind w:left="40"/>
        <w:spacing w:after="0"/>
        <w:tabs>
          <w:tab w:leader="none" w:pos="10340" w:val="left"/>
        </w:tabs>
        <w:rPr>
          <w:sz w:val="20"/>
          <w:szCs w:val="20"/>
          <w:color w:val="auto"/>
        </w:rPr>
      </w:pPr>
      <w:r>
        <w:rPr>
          <w:rFonts w:ascii="Times New Roman" w:cs="Times New Roman" w:eastAsia="Times New Roman" w:hAnsi="Times New Roman"/>
          <w:sz w:val="16"/>
          <w:szCs w:val="16"/>
          <w:i w:val="1"/>
          <w:iCs w:val="1"/>
          <w:color w:val="auto"/>
        </w:rPr>
        <w:t>(in thousands)</w:t>
      </w:r>
      <w:r>
        <w:rPr>
          <w:sz w:val="20"/>
          <w:szCs w:val="20"/>
          <w:color w:val="auto"/>
        </w:rPr>
        <w:tab/>
      </w:r>
      <w:r>
        <w:rPr>
          <w:rFonts w:ascii="Times New Roman" w:cs="Times New Roman" w:eastAsia="Times New Roman" w:hAnsi="Times New Roman"/>
          <w:sz w:val="19"/>
          <w:szCs w:val="19"/>
          <w:b w:val="1"/>
          <w:bCs w:val="1"/>
          <w:color w:val="auto"/>
          <w:vertAlign w:val="subscript"/>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98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March 31, 2020 and December 31, 2019</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73,849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24"/>
                <w:szCs w:val="24"/>
                <w:color w:val="auto"/>
              </w:rPr>
            </w:pPr>
          </w:p>
        </w:tc>
        <w:tc>
          <w:tcPr>
            <w:tcW w:w="238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00" w:type="dxa"/>
            <w:vAlign w:val="bottom"/>
          </w:tcPr>
          <w:p>
            <w:pPr>
              <w:spacing w:after="0"/>
              <w:rPr>
                <w:sz w:val="24"/>
                <w:szCs w:val="24"/>
                <w:color w:val="auto"/>
              </w:rPr>
            </w:pPr>
          </w:p>
        </w:tc>
        <w:tc>
          <w:tcPr>
            <w:tcW w:w="23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00" w:type="dxa"/>
            <w:vAlign w:val="bottom"/>
          </w:tcPr>
          <w:p>
            <w:pPr>
              <w:spacing w:after="0"/>
              <w:rPr>
                <w:sz w:val="24"/>
                <w:szCs w:val="24"/>
                <w:color w:val="auto"/>
              </w:rPr>
            </w:pPr>
          </w:p>
        </w:tc>
        <w:tc>
          <w:tcPr>
            <w:tcW w:w="2260" w:type="dxa"/>
            <w:vAlign w:val="bottom"/>
            <w:gridSpan w:val="5"/>
            <w:vMerge w:val="restart"/>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7"/>
                <w:szCs w:val="7"/>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7"/>
                <w:szCs w:val="7"/>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7"/>
                <w:szCs w:val="7"/>
                <w:color w:val="auto"/>
              </w:rPr>
            </w:pPr>
          </w:p>
        </w:tc>
        <w:tc>
          <w:tcPr>
            <w:tcW w:w="11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7"/>
                <w:szCs w:val="7"/>
                <w:color w:val="auto"/>
              </w:rPr>
            </w:pPr>
          </w:p>
        </w:tc>
        <w:tc>
          <w:tcPr>
            <w:tcW w:w="10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00" w:type="dxa"/>
            <w:vAlign w:val="bottom"/>
          </w:tcPr>
          <w:p>
            <w:pPr>
              <w:spacing w:after="0"/>
              <w:rPr>
                <w:sz w:val="17"/>
                <w:szCs w:val="17"/>
                <w:color w:val="auto"/>
              </w:rPr>
            </w:pPr>
          </w:p>
        </w:tc>
        <w:tc>
          <w:tcPr>
            <w:tcW w:w="10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2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related intangible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assets</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214,973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214,973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38,930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agreement</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43"/>
        </w:trPr>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Non-compete agreements</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Intellectual property</w:t>
            </w:r>
          </w:p>
        </w:tc>
        <w:tc>
          <w:tcPr>
            <w:tcW w:w="120" w:type="dxa"/>
            <w:vAlign w:val="bottom"/>
          </w:tcPr>
          <w:p>
            <w:pPr>
              <w:spacing w:after="0"/>
              <w:rPr>
                <w:sz w:val="21"/>
                <w:szCs w:val="2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262,712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264,957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61,046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definite lived intangible assets was $4.2 million and $8.6 million for three months ended March 31, 2020 and 2019 , respectively</w:t>
      </w:r>
    </w:p>
    <w:p>
      <w:pPr>
        <w:spacing w:after="0" w:line="27" w:lineRule="exact"/>
        <w:rPr>
          <w:sz w:val="20"/>
          <w:szCs w:val="20"/>
          <w:color w:val="auto"/>
        </w:rPr>
      </w:pPr>
    </w:p>
    <w:p>
      <w:pPr>
        <w:ind w:firstLine="8"/>
        <w:spacing w:after="0" w:line="260" w:lineRule="auto"/>
        <w:tabs>
          <w:tab w:leader="none" w:pos="8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Expected annual definite lived intangible asset amortization expense for 2020 through 2024 is $13.9 million , $10.3 million , $5.1 million , $5.1 million and $5.1 million , respectively.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1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-7620</wp:posOffset>
            </wp:positionV>
            <wp:extent cx="9258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360"/>
            <w:col w:w="2620"/>
          </w:cols>
          <w:pgMar w:left="320" w:top="121" w:right="339" w:bottom="447"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deposits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63"/>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ACCOUNTS PAYABLE, ACCRUED EXPENSES AND OTHER CURRENT LIABILITIES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22,431</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 - general</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24,387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24,558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18,982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64,658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67,671</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447" w:gutter="0" w:footer="0" w:header="0"/>
          <w:type w:val="continuous"/>
        </w:sect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lease liabilities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Unfunded cash account balances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11,398</w:t>
            </w:r>
          </w:p>
        </w:tc>
      </w:tr>
      <w:tr>
        <w:trPr>
          <w:trHeight w:val="270"/>
        </w:trPr>
        <w:tc>
          <w:tcPr>
            <w:tcW w:w="4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r>
      <w:tr>
        <w:trPr>
          <w:trHeight w:val="270"/>
        </w:trPr>
        <w:tc>
          <w:tcPr>
            <w:tcW w:w="4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r>
      <w:tr>
        <w:trPr>
          <w:trHeight w:val="27"/>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14,582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14,724</w:t>
            </w:r>
          </w:p>
        </w:tc>
      </w:tr>
      <w:tr>
        <w:trPr>
          <w:trHeight w:val="27"/>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-548005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-196215</wp:posOffset>
            </wp:positionV>
            <wp:extent cx="713232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14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200" w:lineRule="exact"/>
        <w:rPr>
          <w:sz w:val="20"/>
          <w:szCs w:val="20"/>
          <w:color w:val="auto"/>
        </w:rPr>
      </w:pPr>
    </w:p>
    <w:p>
      <w:pPr>
        <w:sectPr>
          <w:pgSz w:w="11900" w:h="16838" w:orient="portrait"/>
          <w:cols w:equalWidth="0" w:num="2">
            <w:col w:w="7500" w:space="720"/>
            <w:col w:w="3020"/>
          </w:cols>
          <w:pgMar w:left="320" w:top="121" w:right="339" w:bottom="447"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293,826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293,826</w:t>
            </w:r>
          </w:p>
        </w:tc>
      </w:tr>
      <w:tr>
        <w:trPr>
          <w:trHeight w:val="24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r>
      <w:tr>
        <w:trPr>
          <w:trHeight w:val="27"/>
        </w:trPr>
        <w:tc>
          <w:tcPr>
            <w:tcW w:w="8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Unamortized discount, net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64"/>
        </w:trPr>
        <w:tc>
          <w:tcPr>
            <w:tcW w:w="82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64"/>
        </w:trPr>
        <w:tc>
          <w:tcPr>
            <w:tcW w:w="8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288,233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287,882</w:t>
            </w:r>
          </w:p>
        </w:tc>
      </w:tr>
      <w:tr>
        <w:trPr>
          <w:trHeight w:val="20"/>
        </w:trPr>
        <w:tc>
          <w:tcPr>
            <w:tcW w:w="8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mandatory repayments of the Term B Loans due until March 2023, when $1.3 million is due to be repaid. Thereafter, the Term B Loans must be repaid in consecutive quarterly principal installments of $3.1 million , with the balance due at maturity. All amounts outstanding under the Term B Loans will become due on the earlier of (i) April 3, 2024, and (ii) the date on which</w:t>
      </w:r>
    </w:p>
    <w:p>
      <w:pPr>
        <w:sectPr>
          <w:pgSz w:w="11900" w:h="16838" w:orient="portrait"/>
          <w:cols w:equalWidth="0" w:num="1">
            <w:col w:w="11240"/>
          </w:cols>
          <w:pgMar w:left="320" w:top="121" w:right="339" w:bottom="447"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47"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 as calculated in accordance with the provisions of the Credit Agreement (the percentage increases if our leverage ratio exceeds 3.50 to 1.00 ). Certain mandatory prepayments reduce future contractual amortization payments in direct order of maturity by an amount equal to the mandatory prepayment.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 subject to certain conditions set forth in the Credit Agreement, including a sublimit of $80.0 million with respect to incremental revolving credit commitments. The lenders have no obligation to provide any incremental indebtedness.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 Base Rate term loans bear interest at a rate per annum equal to the sum of (i) the greater of (x) the Base Rate and (y) 2.00% plus (ii) 3.00% . The interest rate as of March 31, 2020 was 5.45% .</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w:t>
      </w:r>
    </w:p>
    <w:p>
      <w:pPr>
        <w:ind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 Base Rate revolving loans bear interest at a rate per annum equal to the sum of (i) the Base Rate plus (ii) 3.00% . The unused commitment fee is 0.50% . There were no borrowings outstanding under the revolving credit facility as of March 31, 2020 .</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 : 1.00 as of the last day of such fiscal quarter, subject to a customary cure provision (the “Revolving Financial Covenant”).</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 (xi)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2020 , debt issuance costs were $2.9 million , net of $1.6 million of accumulated amortization. As of December 31, 2019 , debt issuance costs were $3.1 million , net of $1.4 million of accumulated amortization.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OTHER NON-CURRENT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19,707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 liabilities</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27,164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31,016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FAIR VALUE MEASUREMENTS AND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March 31, 2020 and December 31, 2019 . The following fair values are estimated using market information and what the Company believes to be appropriate valuation methodologies under GAAP: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shd w:val="clear" w:color="auto" w:fill="CCEEFF"/>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shd w:val="clear" w:color="auto" w:fill="CCEEFF"/>
              </w:rPr>
              <w:t>Investment in 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41,271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42,618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42,618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Short-term receivable (Note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receivable (Note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8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293,826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220,370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293,826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277,666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 equity securities is carried at fair value and consists of 3.5 million shares of RESI common stock as of March 31, 2020 and December 31, 2019 . The investment in equity securities is measured using Level 1 inputs as these securities have quoted prices in active markets.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rental property management business in August 2018, Altisource will receive $3.0 million on the earlier of a RESI change of control or on August 8, 2023 (see Note 3 for additional information). We measure long-term receivables without a stated interest rate based on the present value of the future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over 50% of its revenue from Ocwen (see Note 2 for additional information on Ocwen revenues and accounts receivable</w:t>
      </w:r>
    </w:p>
    <w:p>
      <w:pPr>
        <w:sectPr>
          <w:pgSz w:w="11900" w:h="16838" w:orient="portrait"/>
          <w:cols w:equalWidth="0" w:num="1">
            <w:col w:w="11240"/>
          </w:cols>
          <w:pgMar w:left="320" w:top="121" w:right="33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 The Company strives to mitigate its concentrations of credit risk with respect to accounts receivable by actively monitoring past due accounts and the economic status of larger customers, if known.</w:t>
      </w:r>
    </w:p>
    <w:p>
      <w:pPr>
        <w:spacing w:after="0" w:line="104" w:lineRule="exact"/>
        <w:rPr>
          <w:sz w:val="20"/>
          <w:szCs w:val="20"/>
          <w:color w:val="auto"/>
        </w:rPr>
      </w:pPr>
    </w:p>
    <w:p>
      <w:pPr>
        <w:ind w:right="4640"/>
        <w:spacing w:after="0" w:line="440" w:lineRule="auto"/>
        <w:rPr>
          <w:sz w:val="20"/>
          <w:szCs w:val="20"/>
          <w:color w:val="auto"/>
        </w:rPr>
      </w:pPr>
      <w:r>
        <w:rPr>
          <w:rFonts w:ascii="Times New Roman" w:cs="Times New Roman" w:eastAsia="Times New Roman" w:hAnsi="Times New Roman"/>
          <w:sz w:val="18"/>
          <w:szCs w:val="18"/>
          <w:b w:val="1"/>
          <w:bCs w:val="1"/>
          <w:color w:val="auto"/>
        </w:rPr>
        <w:t>NOTE 16 — SHAREHOLDERS’ EQUITY AND SHARE-BASED COMPENSATION Share Repurchase Program</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2020 , approximately 2.4 million shares of common stock remain available for repurchase under the program. There were no purchases of shares of common stock during the three months ended March 31, 2020 and 2019. Luxembourg law limits share repurchases to the balance of Altisource Portfolio Solutions S.A. (unconsolidated parent company) retained earnings, less the value of shares repurchased. As of March 31, 2020 , we can repurchase up to approximately $98 million of our common stock under Luxembourg law. Our Credit Agreement also limits the amount we can spend on share repurchases, which limit was approximately $452 million as of March 31, 2020 , and may prevent repurchases in certain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for certain employees, officers and directors. We recognized share-based compensation expense of $2.9 million and $2.6 million for the three months ended March 31, 2020 and 2019 , respectively. As of March 31, 2020 , estimated unrecognized compensation costs related to share-based awards amounted to $10.8 million , which we expect to recognize over a weighted average remaining requisite service period of approximately 1.68 years .</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388 thousand service-based options were outstanding as of March 31, 2020 .</w:t>
      </w:r>
    </w:p>
    <w:p>
      <w:pPr>
        <w:spacing w:after="0" w:line="10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Market-Based Options </w:t>
      </w:r>
      <w:r>
        <w:rPr>
          <w:rFonts w:ascii="Times New Roman" w:cs="Times New Roman" w:eastAsia="Times New Roman" w:hAnsi="Times New Roman"/>
          <w:sz w:val="18"/>
          <w:szCs w:val="18"/>
          <w:color w:val="auto"/>
        </w:rPr>
        <w:t>. These option grants generally have two components, each of which vests only upon the achievement of certain criteria.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496 thousand market-based options were outstanding as of March 31, 2020 .</w:t>
      </w:r>
    </w:p>
    <w:p>
      <w:pPr>
        <w:spacing w:after="0" w:line="13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one-fourth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There were 464 thousand performance-based options outstanding as of March 31, 2020 .</w:t>
      </w:r>
    </w:p>
    <w:p>
      <w:pPr>
        <w:spacing w:after="0" w:line="1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three months ended March 31, 2020 and 2019 . Outstanding stock options increased by 228 thousand in February 2019 in connection with the determination of the level of achievement for certain performance-based options granted in 2018.</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values of the service-based options and performance-based options are determined using the Black-Scholes option pricing model and the fair values of the market-based options were determined using a lattice (binomial) model.</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intrinsic value of stock options exercised and the grant date fair value of stock options that vested during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5"/>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40" w:type="dxa"/>
            <w:vAlign w:val="bottom"/>
          </w:tcPr>
          <w:p>
            <w:pPr>
              <w:spacing w:after="0"/>
              <w:rPr>
                <w:sz w:val="23"/>
                <w:szCs w:val="23"/>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8"/>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 date fair value of stock options that vested</w:t>
            </w: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2,182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5080" w:type="dxa"/>
            <w:vAlign w:val="bottom"/>
          </w:tcPr>
          <w:p>
            <w:pPr>
              <w:spacing w:after="0"/>
              <w:rPr>
                <w:sz w:val="12"/>
                <w:szCs w:val="12"/>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260" w:type="dxa"/>
            <w:vAlign w:val="bottom"/>
          </w:tcPr>
          <w:p>
            <w:pPr>
              <w:jc w:val="center"/>
              <w:ind w:right="119"/>
              <w:spacing w:after="0" w:line="147"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0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1,468,046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as of March 31, 2020</w:t>
            </w: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1,348,230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6"/>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as of March 31, 2020</w:t>
            </w: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909,530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composed of restricted shares and restricted share units. The restricted shares and restricted share units are composed of a combination of service-based awards and performance-based awards.</w:t>
      </w:r>
    </w:p>
    <w:p>
      <w:pPr>
        <w:spacing w:after="0" w:line="10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two to four year periods with (a) vesting in equal annual installments, or (b) vesting of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restricted shares and restricted share units at the end of the vesting period. A total of 476 thousand service-based awards were outstanding as of March 31, 2020 . Beginning in 2019, service-based restricted share units were awarded as a component of most employees’ annual incentive compensation rather than cash.</w:t>
      </w:r>
    </w:p>
    <w:p>
      <w:pPr>
        <w:spacing w:after="0" w:line="126"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one-third vests on each anniversary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or cliff-vest on the third anniversary of the grant date. The number of performance-based restricted shares and restricted share units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restricted share unit award for certain awards. If the performance criteria achieved is below certain thresholds, the award is canceled. A total of 275 thousand performance-based awards were outstanding as of March 31, 2020 .</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granted 296 thousand restricted share units (at a weighted average grant date fair value of $18.29 per share) during the three months ended March 31, 2020 .</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restricted share units: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9"/>
        </w:trPr>
        <w:tc>
          <w:tcPr>
            <w:tcW w:w="95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and restricted</w:t>
            </w:r>
          </w:p>
        </w:tc>
      </w:tr>
      <w:tr>
        <w:trPr>
          <w:trHeight w:val="195"/>
        </w:trPr>
        <w:tc>
          <w:tcPr>
            <w:tcW w:w="95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269"/>
        </w:trPr>
        <w:tc>
          <w:tcPr>
            <w:tcW w:w="95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636,146</w:t>
            </w:r>
          </w:p>
        </w:tc>
      </w:tr>
      <w:tr>
        <w:trPr>
          <w:trHeight w:val="243"/>
        </w:trPr>
        <w:tc>
          <w:tcPr>
            <w:tcW w:w="9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296,101</w:t>
            </w:r>
          </w:p>
        </w:tc>
      </w:tr>
      <w:tr>
        <w:trPr>
          <w:trHeight w:val="27"/>
        </w:trPr>
        <w:tc>
          <w:tcPr>
            <w:tcW w:w="95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(105,381)</w:t>
            </w:r>
          </w:p>
        </w:tc>
      </w:tr>
      <w:tr>
        <w:trPr>
          <w:trHeight w:val="243"/>
        </w:trPr>
        <w:tc>
          <w:tcPr>
            <w:tcW w:w="9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Forfeited/canceled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(76,099)</w:t>
            </w:r>
          </w:p>
        </w:tc>
      </w:tr>
      <w:tr>
        <w:trPr>
          <w:trHeight w:val="27"/>
        </w:trPr>
        <w:tc>
          <w:tcPr>
            <w:tcW w:w="95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95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63"/>
        </w:trPr>
        <w:tc>
          <w:tcPr>
            <w:tcW w:w="9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as of March 31, 2020</w:t>
            </w:r>
          </w:p>
        </w:tc>
        <w:tc>
          <w:tcPr>
            <w:tcW w:w="1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750,767</w:t>
            </w:r>
          </w:p>
        </w:tc>
      </w:tr>
      <w:tr>
        <w:trPr>
          <w:trHeight w:val="20"/>
        </w:trPr>
        <w:tc>
          <w:tcPr>
            <w:tcW w:w="9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REVENUE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 Our services are provided to customers located in the United States. The components of revenue were as follows for the three months ended March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Service revenue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Reimbursable expenses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Non-controlling interests</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revenues by major source is as follows:</w:t>
      </w:r>
    </w:p>
    <w:p>
      <w:pPr>
        <w:spacing w:after="0" w:line="200" w:lineRule="exact"/>
        <w:rPr>
          <w:sz w:val="20"/>
          <w:szCs w:val="20"/>
          <w:color w:val="auto"/>
        </w:rPr>
      </w:pPr>
    </w:p>
    <w:p>
      <w:pPr>
        <w:spacing w:after="0" w:line="3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38735</wp:posOffset>
            </wp:positionV>
            <wp:extent cx="3111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3140" w:type="dxa"/>
        <w:tblCellMar>
          <w:top w:w="0" w:type="dxa"/>
          <w:left w:w="0" w:type="dxa"/>
          <w:bottom w:w="0" w:type="dxa"/>
          <w:right w:w="0" w:type="dxa"/>
        </w:tblCellMar>
      </w:tblPr>
      <w:tr>
        <w:trPr>
          <w:trHeight w:val="234"/>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113,176</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164,999</w:t>
            </w:r>
          </w:p>
        </w:tc>
      </w:tr>
      <w:tr>
        <w:trPr>
          <w:trHeight w:val="270"/>
        </w:trPr>
        <w:tc>
          <w:tcPr>
            <w:tcW w:w="4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4,496</w:t>
            </w:r>
          </w:p>
        </w:tc>
      </w:tr>
      <w:tr>
        <w:trPr>
          <w:trHeight w:val="270"/>
        </w:trPr>
        <w:tc>
          <w:tcPr>
            <w:tcW w:w="4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07"/>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121,444</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169,935</w:t>
            </w:r>
          </w:p>
        </w:tc>
      </w:tr>
      <w:tr>
        <w:trPr>
          <w:trHeight w:val="27"/>
        </w:trPr>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-548005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-196850</wp:posOffset>
            </wp:positionV>
            <wp:extent cx="71323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 recognized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 related to</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560" w:type="dxa"/>
            <w:vAlign w:val="bottom"/>
            <w:gridSpan w:val="2"/>
            <w:vMerge w:val="continue"/>
          </w:tcPr>
          <w:p>
            <w:pPr>
              <w:spacing w:after="0"/>
              <w:rPr>
                <w:sz w:val="12"/>
                <w:szCs w:val="12"/>
                <w:color w:val="auto"/>
              </w:rPr>
            </w:pPr>
          </w:p>
        </w:tc>
        <w:tc>
          <w:tcPr>
            <w:tcW w:w="1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5"/>
        </w:trPr>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0" w:space="520"/>
            <w:col w:w="6160"/>
          </w:cols>
          <w:pgMar w:left="320" w:top="121" w:right="339" w:bottom="1440" w:gutter="0" w:footer="0" w:header="0"/>
          <w:type w:val="continuous"/>
        </w:sectPr>
      </w:pP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Three months ended March 31, 2020</w:t>
            </w:r>
          </w:p>
        </w:tc>
        <w:tc>
          <w:tcPr>
            <w:tcW w:w="16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108,008</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5,591</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7,845</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121,444</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2019</w:t>
            </w:r>
          </w:p>
        </w:tc>
        <w:tc>
          <w:tcPr>
            <w:tcW w:w="16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147,755</w:t>
            </w:r>
          </w:p>
        </w:tc>
        <w:tc>
          <w:tcPr>
            <w:tcW w:w="5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17,684</w:t>
            </w:r>
          </w:p>
        </w:tc>
        <w:tc>
          <w:tcPr>
            <w:tcW w:w="6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4,496</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169,935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5 ). Our contract liabilities consist of current deferred revenue as reported on the accompanying condensed consolidated balance sheets and non-current deferred revenue (see Note 14 ). Revenue recognized that was included in the contract liability at the beginning of the period was $2.5 million and $4.9 million for the three months ended March 31, 2020 and 2019 ,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 for the three months ended March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9"/>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41,368</w:t>
            </w: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62,581</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9,478</w:t>
            </w: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4,496</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4,198</w:t>
            </w: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real estate sold</w:t>
            </w: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2,094</w:t>
            </w: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94,581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124,215</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SELLING, 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 payroll and employee benefits associated with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three months ended March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8"/>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11,353</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Occupancy related costs</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7,474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63"/>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28,093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41,926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20 — OTHER INCOME (EXPENSE), NET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 for the three months ended March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9"/>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an income tax (provision) benefit of $(2.4) million and $1.2 million for the three months ended March 31, 2020 and 2019 , respectively. The increase in the income tax provision for the three months ended March 31, 2020 was driven by income tax on transfer pricing income from US and foreign operations other than our Luxembourg operating company and no tax benefit on the pretax loss from our Luxembourg operating company. In addition, the decrease in the India income tax rate resulted in a higher tax provision for the three months ended March 31, 2020 in connection with adjustments to deferred tax assets in India.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LOSS PER SHARE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 for the three months ended March 31:</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9"/>
        </w:trPr>
        <w:tc>
          <w:tcPr>
            <w:tcW w:w="8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6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3"/>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16,292</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4"/>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16,292</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7"/>
        </w:trPr>
        <w:tc>
          <w:tcPr>
            <w:tcW w:w="8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303"/>
        </w:trPr>
        <w:tc>
          <w:tcPr>
            <w:tcW w:w="8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51"/>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8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555"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55"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2020 and 2019 , 1.9 million and 1.4 million , respectively, stock options, restricted shares and restricted share units were excluded from the computation of loss per share, as a result of the following:</w:t>
      </w:r>
    </w:p>
    <w:p>
      <w:pPr>
        <w:spacing w:after="0" w:line="108" w:lineRule="exact"/>
        <w:rPr>
          <w:sz w:val="20"/>
          <w:szCs w:val="20"/>
          <w:color w:val="auto"/>
        </w:rPr>
      </w:pPr>
    </w:p>
    <w:p>
      <w:pPr>
        <w:ind w:left="500" w:hanging="330"/>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net loss attributable to Altisource for the three months ended March 31, 2020 and 2019 , 0.3 million stock options, restricted shares and restricted share units in each period were excluded from the computation of diluted loss per share, as their impacts were anti-dilutive</w:t>
      </w:r>
    </w:p>
    <w:p>
      <w:pPr>
        <w:ind w:left="500" w:hanging="330"/>
        <w:spacing w:after="0" w:line="250"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2020 and 2019 , 0.9 million and 0.3 million , respectively, stock options were anti-dilutive and have been excluded from the computation of diluted loss per share because their exercise price was greater than the average market price of our common stock</w:t>
      </w:r>
    </w:p>
    <w:p>
      <w:pPr>
        <w:jc w:val="both"/>
        <w:ind w:left="500" w:hanging="330"/>
        <w:spacing w:after="0" w:line="255"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2020 and 2019 , 0.8 million stock options, restricted shares and restricted share units, which begin to vest upon the achievement of certain market criteria related to our common stock price, performance criteria and an annualized rate of return to shareholders that have not yet been met in each period have been excluded from the computation of diluted loss per share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RESTRUCTURING CHARGES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2018, Altisource initiated Project Catalyst, a project intended to optimize its operations and reduce costs to better align its cost structure with its anticipated revenues and improve its operating margins. During the three months ended March 31, 2020 and 2019 , Altisource incurred $2.9 million and $4.4 million , respectively, of severance costs, professional services fees, facility consolidation costs, technology costs and business wind down costs related to the reorganization plan. We expect to incur additional severance costs, professional services fees, technology costs and facility consolidation costs in connection with this internal reorganization, automation and other technology related activities and will expense those costs as incurred. Based on our analysis, we currently anticipate the future costs relating to Project Catalyst to be in the range of approximately $8 million to $11 million .</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COMMITMENTS, CONTINGENCIES AND REGULATORY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Taxes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three months ended March 31, 2019 , the Company completed the analysis of its services for potential exposure to sales tax in various jurisdictions in the United States. The Company recognized a $2.1 million net loss for the three months ended March 31, 2019 in selling, general and administrative expenses in the accompanying condensed consolidated statements of operations and comprehensive loss ( no comparative amount for the three months ended March 31, 2020).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condensed consolidated financial statements, which would impact our financial condition and results of operations.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2 , during the three months ended March 31, 2020 , Ocwen was our largest customer, accounting for 61% of our total revenue. Additionally, 6% of our revenue for the three months ended March 31, 2020 was earned on the loan portfolios serviced by Ocwen, when a party other than Ocwen or the MSR owner selected Altisource as the service provider.</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NRZ is its largest client. As of December 31, 2019, NRZ owned MSRs or rights to MSRs relating to approximately 56%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NRZ changes significantly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 debt service and other cash needs. There can be no assurance that our plans will be successful or our operations will be profitable.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in July 2018, the FASB issued ASU No. 2018-10,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Topic 842, Leases </w:t>
      </w:r>
      <w:r>
        <w:rPr>
          <w:rFonts w:ascii="Times New Roman" w:cs="Times New Roman" w:eastAsia="Times New Roman" w:hAnsi="Times New Roman"/>
          <w:sz w:val="18"/>
          <w:szCs w:val="18"/>
          <w:color w:val="auto"/>
        </w:rPr>
        <w:t>and ASU No. 2018-11,</w:t>
      </w:r>
      <w:r>
        <w:rPr>
          <w:rFonts w:ascii="Times New Roman" w:cs="Times New Roman" w:eastAsia="Times New Roman" w:hAnsi="Times New Roman"/>
          <w:sz w:val="18"/>
          <w:szCs w:val="18"/>
          <w:i w:val="1"/>
          <w:iCs w:val="1"/>
          <w:color w:val="auto"/>
        </w:rPr>
        <w:t xml:space="preserve"> Leases (Topic 842): Targeted Improvements </w:t>
      </w:r>
      <w:r>
        <w:rPr>
          <w:rFonts w:ascii="Times New Roman" w:cs="Times New Roman" w:eastAsia="Times New Roman" w:hAnsi="Times New Roman"/>
          <w:sz w:val="18"/>
          <w:szCs w:val="18"/>
          <w:color w:val="auto"/>
        </w:rPr>
        <w:t>(collectively “Topic 842”). Topic 842 introduced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lessee model that brings substantially all leases on the balance sheet. The Company adopted Topic 842 effective January 1, 2019 using the modified retrospective transition approach. In addition, the Company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right-of-use assets in right-of-use assets under operating leases, $45.5 million of operating lease liabilities ( $16.7 million in other current liabilities and $28.8 million in other non-current liabilities) and reduced accrued rent and lease incentives of $3.4 million in accounts payable and accrued expenses and other non-current liabilities on the accompanying condensed consolidated balance sheets.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$0.3 million and $0.4 million for the three months ended March 31, 2020 and 2019 , respectively. The amortization period of right-of-use assets are generally limited by the expected lease term. Our leases generally have expected lease terms at adoption of one to six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0" w:type="dxa"/>
            <w:vAlign w:val="bottom"/>
          </w:tcPr>
          <w:p>
            <w:pPr>
              <w:spacing w:after="0"/>
              <w:rPr>
                <w:sz w:val="1"/>
                <w:szCs w:val="1"/>
                <w:color w:val="auto"/>
              </w:rPr>
            </w:pPr>
          </w:p>
        </w:tc>
      </w:tr>
      <w:tr>
        <w:trPr>
          <w:trHeight w:val="268"/>
        </w:trPr>
        <w:tc>
          <w:tcPr>
            <w:tcW w:w="54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40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Our lease activity during the period is as follows:</w:t>
            </w: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546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68"/>
        </w:trPr>
        <w:tc>
          <w:tcPr>
            <w:tcW w:w="54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140" w:type="dxa"/>
            <w:vAlign w:val="bottom"/>
            <w:gridSpan w:val="3"/>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3,566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operating activities for amounts included in the measurement</w:t>
            </w: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lease liabilities</w:t>
            </w:r>
          </w:p>
        </w:tc>
        <w:tc>
          <w:tcPr>
            <w:tcW w:w="3140" w:type="dxa"/>
            <w:vAlign w:val="bottom"/>
            <w:tcBorders>
              <w:bottom w:val="single" w:sz="8" w:color="CCEEFF"/>
            </w:tcBorders>
            <w:gridSpan w:val="3"/>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(less than one year) lease costs</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40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our lease liabilities as of March 31, 2020 are as follows:</w:t>
            </w: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46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5"/>
        </w:trPr>
        <w:tc>
          <w:tcPr>
            <w:tcW w:w="5460" w:type="dxa"/>
            <w:vAlign w:val="bottom"/>
            <w:tcBorders>
              <w:bottom w:val="single" w:sz="8" w:color="auto"/>
            </w:tcBorders>
            <w:vMerge w:val="continue"/>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68"/>
        </w:trPr>
        <w:tc>
          <w:tcPr>
            <w:tcW w:w="546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8,728</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8,691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5,623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31,089</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interest</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27,447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6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4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6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$51.8 million and $12.3 million as of March 31, 2020 and December 31, 2019 ,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 SUBSEQUENT EVENT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began experiencing the negative impacts of the COVID-19 pandemic late in the first quarter of 2020. While we cannot predict the duration or extent of the impact, the Company has undertaken several measures, in addition to cost reduction activities, some of which were planned prior to the pandemic, to reduce its 2020 cash expenses (collectively, “Cost Reduction Measures”). Based upon these Cost Reduction Measures, the Company anticipates further reducing its 2020 cash expenses, excluding outside fees and services that generally decline proportionately with a decline in service referrals. As part of these measures, Altisource’s Chairman and Chief Executive Officer agreed to forgo 40% of his base salary beginning April 1, 2020 through December 31, 2020, Altisource reduced the cash compensation to the members of the Board of Directors by 50% beginning April 1, 2020 through December 31, 2020, reduced the compensation of other named executive officers, all direct reports to the Chairman and Chief Executive Officer and many other employees in an amount between 5% and 25% of base salary, and has plans to furlough or eliminate the positions of 16% of the workforce.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2019 filed with the Securities and Exchange Commission (“SEC”) on March 5, 2020 .</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other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w:t>
      </w:r>
    </w:p>
    <w:p>
      <w:pPr>
        <w:spacing w:after="0" w:line="49" w:lineRule="exact"/>
        <w:rPr>
          <w:rFonts w:ascii="Times New Roman" w:cs="Times New Roman" w:eastAsia="Times New Roman" w:hAnsi="Times New Roman"/>
          <w:sz w:val="18"/>
          <w:szCs w:val="18"/>
          <w:color w:val="auto"/>
        </w:rPr>
      </w:pPr>
    </w:p>
    <w:p>
      <w:pPr>
        <w:ind w:left="660" w:hanging="328"/>
        <w:spacing w:after="0" w:line="27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improve margins and affect anticipated expense reductions as a result of Project Catalyst and otherwise in response to COVID-19;</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impacts of the COVID-19 pandemic and the timeliness and effectiveness of actions taken in response thereto;</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II, Item 1A of this Form 10-Q and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2019 including:</w:t>
      </w:r>
    </w:p>
    <w:p>
      <w:pPr>
        <w:spacing w:after="0" w:line="122" w:lineRule="exact"/>
        <w:rPr>
          <w:sz w:val="20"/>
          <w:szCs w:val="20"/>
          <w:color w:val="auto"/>
        </w:rPr>
      </w:pPr>
    </w:p>
    <w:p>
      <w:pPr>
        <w:ind w:left="660" w:hanging="328"/>
        <w:spacing w:after="0" w:line="27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Times New Roman" w:cs="Times New Roman" w:eastAsia="Times New Roman" w:hAnsi="Times New Roman"/>
          <w:sz w:val="18"/>
          <w:szCs w:val="18"/>
          <w:color w:val="auto"/>
        </w:rPr>
      </w:pPr>
    </w:p>
    <w:p>
      <w:pPr>
        <w:ind w:left="660" w:right="20" w:hanging="328"/>
        <w:spacing w:after="0" w:line="27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Times New Roman" w:cs="Times New Roman" w:eastAsia="Times New Roman" w:hAnsi="Times New Roman"/>
          <w:sz w:val="18"/>
          <w:szCs w:val="18"/>
          <w:color w:val="auto"/>
        </w:rPr>
      </w:pPr>
    </w:p>
    <w:p>
      <w:pPr>
        <w:ind w:left="660" w:hanging="328"/>
        <w:spacing w:after="0" w:line="27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delinquencies and charge-offs;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 and</w:t>
      </w:r>
    </w:p>
    <w:p>
      <w:pPr>
        <w:spacing w:after="0" w:line="4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loan servicers and originators with marketplaces, services and technologies that span the residential mortgage lifecycle. We provide real estate consumers with marketplaces and services that span the residential real estate lifecycle.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revenue generating activities are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Businesses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Field Services</w:t>
      </w:r>
    </w:p>
    <w:p>
      <w:pPr>
        <w:spacing w:after="0" w:line="63" w:lineRule="exact"/>
        <w:rPr>
          <w:sz w:val="20"/>
          <w:szCs w:val="20"/>
          <w:color w:val="auto"/>
        </w:rPr>
      </w:pPr>
    </w:p>
    <w:p>
      <w:pPr>
        <w:ind w:left="660" w:hanging="328"/>
        <w:spacing w:after="0" w:line="28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preservation and inspection services and marketplace transaction management, payment management and vendor management oversight software-as-a-service (“SaaS”) technologies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6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Hubzu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online real estate auction platform, real estate auction, real estate brokerage and asset management</w:t>
      </w:r>
    </w:p>
    <w:p>
      <w:pPr>
        <w:spacing w:after="0" w:line="2" w:lineRule="exact"/>
        <w:rPr>
          <w:rFonts w:ascii="Times New Roman" w:cs="Times New Roman" w:eastAsia="Times New Roman" w:hAnsi="Times New Roman"/>
          <w:sz w:val="18"/>
          <w:szCs w:val="18"/>
          <w:color w:val="auto"/>
        </w:rPr>
      </w:pPr>
    </w:p>
    <w:p>
      <w:pPr>
        <w:ind w:right="880" w:firstLine="332"/>
        <w:spacing w:after="0" w:line="235"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Equator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a SaaS-based technology to manage real estate owned (“REO”), short sales, foreclosure, bankruptcy and eviction processes </w:t>
      </w:r>
      <w:r>
        <w:rPr>
          <w:rFonts w:ascii="Times New Roman" w:cs="Times New Roman" w:eastAsia="Times New Roman" w:hAnsi="Times New Roman"/>
          <w:sz w:val="18"/>
          <w:szCs w:val="18"/>
          <w:u w:val="single" w:color="auto"/>
          <w:color w:val="auto"/>
        </w:rPr>
        <w:t>Mortgage and Real Estate Solutions</w:t>
      </w:r>
    </w:p>
    <w:p>
      <w:pPr>
        <w:spacing w:after="0" w:line="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 fulfillment, certification and certification insurance services and technologies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insurance (as an agent), settlement and valuation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and commercial construction inspection and risk mitigation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of the Best Partners Mortgage Cooperative, Inc., doing business as Lenders One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(“Lenders One”), mortgage banking cooperative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trustee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Businesses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Earlier Stage Business</w:t>
      </w:r>
    </w:p>
    <w:p>
      <w:pPr>
        <w:spacing w:after="0" w:line="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Pointillist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customer journey analytics platform</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p>
    <w:p>
      <w:pPr>
        <w:spacing w:after="0" w:line="4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 business including post-charge-off consumer debt, mortgage charge-off collection services and customer relationship management services (sold on July 1, 2019)</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Buy-Renovate-Lease-Sell (“BRS”) business (wound down in 2019)</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loan servicing technologies, document management platform and information technology (“IT”) infrastructure management services (wound down in 2019 following Ocwen’s transition to another servicing platform)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loan servicing technology</w:t>
      </w:r>
    </w:p>
    <w:p>
      <w:pPr>
        <w:spacing w:after="0" w:line="63" w:lineRule="exact"/>
        <w:rPr>
          <w:rFonts w:ascii="Times New Roman" w:cs="Times New Roman" w:eastAsia="Times New Roman" w:hAnsi="Times New Roman"/>
          <w:sz w:val="18"/>
          <w:szCs w:val="18"/>
          <w:color w:val="auto"/>
        </w:rPr>
      </w:pPr>
    </w:p>
    <w:p>
      <w:pPr>
        <w:ind w:left="660" w:hanging="328"/>
        <w:spacing w:after="0" w:line="21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Owners.com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technology-enabled real estate brokerage and provider of related mortgage brokerage and title services (discontinued in the fourth quarter of 2019)</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Lenders One. Lenders One is a mortgage cooperative managed, but not owned, by Altisource. The Lenders One members’ earnings are included in revenue and reduced from net income to arrive at net income attributable to Altisource.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services to a broad and diversified customer base. The real estate and mortgage marketplaces represent very large markets, and we believe our scale and suite of offerings provide us with competitive advantages that could support our growth.</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offerings that support residential loan servicers, we provide a suite of services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rise, or customers and prospects consolidate to larger, full-service providers or outsource services that have historically been performed in-house.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growing referrals from our existing customer base and attracting new customers to our offerings. We have a customer base that includes the Lenders One cooperative mortgage bankers and mid-size and larger bank and non-bank loan originators. We believe our suite of services, technologies and unique access to the members of the Lenders One mortgage cooperative position us to grow our relationships with our existing customer base by providing additional products, services and solutions to these customers. Further, we believe we are well positioned to gain market share from existing and new customers in the event origination volumes rise, or customers and prospects consolidate to larger, full-service providers or outsource services that have historically been performed in-house.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earlier stage business consists of Pointillist, Inc. (“Pointillist”). The Pointillist business was developed by Altisource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Pointillist is owned by Altisource and management of Pointillist. Management of Pointillist owns a non-controlling interest representing 12.1% of the outstanding equity of Pointillist. Additional equity shares of Pointillist are available for issuance to management and board members of Pointillist. Altisource has an option, but no ongoing obligation, to participate in future funding of Pointillist.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previously reported the results of Owners.com as an earlier stage business. In October 2019, the Company announced its plans to wind down and close the Owners.com business, which was completed by December 31,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is having an unprecedented impact on human life and the economy, including the real estate, mortgage and servicing industries in which we operate. Our first quarter 2020 financial performance in our default related services businesses was negatively impacted by COVID-19 related governmental restrictions and changing vendor and consumer behavior. This impact was partially offset by stronger performance from our origination related businesses that benefited from lower interest rates throughout most of the quarter. We anticipate the COVID-19 circumstances will continue to have a negative impact on our default related services businesses. We further anticipate that the duration and quantum of this impact will be influenced by economic, regulatory and other factors that influence mortgage delinquency and foreclosure rates, evictions and the market for sales of one to four family homes. As long as these factors persist, we anticipate continued negative impact on our default related services businesses.</w:t>
      </w:r>
    </w:p>
    <w:p>
      <w:pPr>
        <w:spacing w:after="0" w:line="13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 xml:space="preserve">M </w:t>
      </w:r>
      <w:r>
        <w:rPr>
          <w:rFonts w:ascii="Times New Roman" w:cs="Times New Roman" w:eastAsia="Times New Roman" w:hAnsi="Times New Roman"/>
          <w:sz w:val="17"/>
          <w:szCs w:val="17"/>
          <w:color w:val="auto"/>
        </w:rPr>
        <w:t>ost businesses as well as most of the population in the United States are currently operating under quarantines, social distancing restrictions,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restrictions on travel and commerce. Despite government assistance programs, there has been a significant negative impact on United States employment, with increasing unemployment rates. These factors, together with the general economic impact of the pandemic, have led to a disruption in the real estate, mortgage and servicing markets. While it is too early to estimate the duration of the pandemic and its impact to Altisource, we believe the short- to medium-term revenue impact to Altisource will largely be driven by two factors. First, with most of the population of the United States confined to their homes and with growing unemployment throughout the country, we expect that home buying activity will be significantly lower. We anticipate that this will largely negatively impact our Hubzu and settlement services businesses. Second, with foreclosure and eviction moratoriums, forbearance plans and other borrower relief actions, along with shelter-in-place and social distancing restrictions, we anticipate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foreclosure, eviction and REO referrals will be substantially lower. As long as these factors persist, we anticipate continued negative impact on our Equator, title, foreclosure trustee, valuation, field services and REO businesses.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governmental restrictions on movement and the provision of certain services, social distancing requirements, the closure of or reduced services provided by certain governmental offices, vendor refusals to provide certain services in certain jurisdictions and limitations on the availability of supplies have negatively impacted our Field Services business. Governmental restrictions and designations of essential services are subject to interpretation and have been evolving, negatively impacting the ability and willingness of our vendors in applicable jurisdictions to perform services and limiting services that we are able to provide to our customers, negatively impacting our Field Services businesses. Limited availability of supplies has also restricted the amount of services that we can provide, and in some cases, has increased the costs that we pay for these services. Some of our vendors have also refused to perform services that may involve contact with the public further limiting the services that we are capable of providing to customers. As long as these factors persist, we anticipate continued negative impact to our Field Services business.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same time, our originations businesses benefitted from the decline in mortgage interest rates and the growing refinance market. To the extent these factors continue, we anticipate stronger than planned growth in our origination related services. This potential growth could be limited, however, by the government’s and GSEs’ willingness, and purchase price, to acquire loans in forbearance, higher unemployment rates and economic deterioration.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Altisource is attempting to adapt to the evolving situation, including by:</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steps designed to maintain the health and safety of our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operations to mitigate the impact to its customers and business while complying with governmental orders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our cost structure and preserving liquidity to prepare for what could be a period of lower revenue than planned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March 2020, we began implementing our business continuity plans and enabling remote work capabilities across the organization. Altisource has transitioned the majority of its global workforce to work remotely. We have largely been able to maintain our productivity, despite this shift to remote work arrangements. We have implemented heightened hygiene protocols to help safeguard the health of the small number of employees who continue to perform critical functions from certain facilities that cannot be performed remotely.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adjusted our operations in response to the current environment. In addition to the cost reduction measures described below, we sought to retain and deploy otherwise underutilized employees to increase the capacity of our originations businesses. Our customer relationship management, sales and operations teams are in regular contact with our customers concerning changing circumstances and impacts on services and performance levels. We are seeking to work with our customers to adjust services and operations to address the COVID-19 business related challenges and opportunities.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preparing Altisource for what could be a period of lower revenue than planned from the near-term economic effects of COVID-19. Altisource had $79.1 million in cash and equivalents as of March 31, 2020. In addition, Altisource currently has access to a $15.0 million revolving line of credit. Our liquidity position has been further enhanced by our debt reduction efforts over the last several years. Our current outstanding debt on our senior secured term loan is $293.8 million. The anticipated sale of our 3.5 million Front Yard Residential Corporation (“RESI”) common shares pursuant to the announced RESI merger is expected to generate $43.2 million in cash. The RESI merger proceeds when received would be used to reduce the principal amount of our debt, resulting in no further mandatory amortization payments, other than from any excess cash flow payments if net debt to EBITDA (as defined in the Credit Agreement) exceeds certain levels, until the April 2024 maturity date.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continue to seek to address our cost structure. In addition to undertaking cost reduction activities planned prior to the COVID-19 pandemic, we are taking several additional measures to further reduce our 2020 cash expenses. These measures include employee furloughs and terminations, the elimination of certain discretionary spending and temporary employee and Board compensation reductions. As a result of these cost reduction activities, we anticipate reducing our 2020 cash expenses, in addition to outside fees and services that generally decline proportionately with a decline in service referrals, by an estimated $45 million to $50 million compared to the fourth quarter 2019 annual run rate. Based upon our revenue and working capital forecasts, and the successful implementation of our planned cash expense reductions, we anticipate that we can adequately support the cash needs of the business largely from the results of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attempting to position our businesses to be able to respond to what we believe will be strong medium- to longer-term demand for our default related services from anticipated growth in loan delinquencies. Increasing delinquencies have the potential to result in an increase in demand for our default related services businesses, including an increase in demand for inspection and preservation services, real estate auction and brokerage services, foreclosure trustee services, valuation services, and title and settlement services. We also anticipate that the current unprecedented level of foreclosure, eviction and other mortgage borrower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relief will likely subside and, if unemployment rates remain elevated, delinquency levels are likely to be higher than they were before the COVID-19 pandemic began. Given the countercyclical nature of several of our businesses, we believe Altisource has the potential to benefit from such an environment.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2020 , approximately 2.4 million shares of common stock remain available for repurchase under the program. There were no purchases of shares of common stock during the three months ended March 31, 2020 and 2019. Luxembourg law limits share repurchases to the balance of Altisource Portfolio Solutions S.A. (unconsolidated parent company) retained earnings, less the value of shares repurchased. As of March 31, 2020 , we can repurchase up to approximately $98 million of our common stock under Luxembourg law. Our Credit Agreement also limits the amount we can spend on share repurchases, which limit was approximately $452 million as of March 31, 2020 , and may prevent repurchases in certain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2020 , Ocwen was our largest customer, accounting for 61% of our total revenue. Additionally, 6% of our revenue for the three months ended March 31, 2020 was earned on the loan portfolios serviced by Ocwen, when a party other than Ocwen or the mortgage servicing rights (“MSRs”) owner selected Altisource as the service provider.</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Ocwen has disclosed that it is subject to a number of ongoing federal and state regulatory examinations, consent orders, inquiries, subpoenas, civil investigative demands, requests for information and other actions and is subject to 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Ocwen has disclosed that NRZ is its largest client. As of December 31, 2019, NRZ owned MSRs or rights to MSRs relating to approximately 56% of loans serviced and subserviced by Ocwen (measured in unpaid principal balance).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NRZ can terminate its sub-servicing agreement with Ocwen in exchange for the payment of a termination fee.</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Ocwen as a customer or there is a significant reduction in the volume of services they purchase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sells or transfers a significant portion of its GSE and Federal Housing Administration servicing rights or subservicing arrangements or remaining non-GSE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NRZ changes significantly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Ocwen loses state servicing licenses in states with a significant number of loans in Ocwen’s servicing portfolio</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hanging="328"/>
        <w:spacing w:after="0" w:line="28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Ocwen and Altisource changes significantly or there are significant changes to our pricing to Ocwen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in line with remaining revenue and that current liquidity and cash flows from operations would be sufficient to meet our working capital, capital expenditures, debt service and other cash needs. There can be no assurance that our plans will be successful or our operations will be profitable.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first quarter 2020 financial performance in its default related services businesses was negatively impacted by COVID-19 related governmental restrictions and changing vendor and consumer behavior. This impact was partially offset by stronger performance from the Company’s origination related businesses that benefited from lower interest rates for the three months ended March 31, 2020. Across the Company’s three core businesses, service revenue from customers other than Ocwen, NRZ and RESI for the three months ended March 31, 2020 grew by 36% compared to the three months ended March 31, 2019, despite the COVID-19 impacts the Company faced late in the first quarter of 2020. Compared to the three months ended March 31, 2019, the increase is primarily from the growth in our customer base and market share expansion. Service revenue from the Mortgage and Real Estate Solutions business grew by 15% compared to the three months ended March 31, 2019 from a strong first quarter 2020 originations market. In the Marketplace and Field Services businesses, revenue growth from customers other than Ocwen and NRZ was more than offset by lower revenue from Ocwen’s declining servicing portfolio and the March 2020 impact of COVID-19.</w:t>
      </w:r>
    </w:p>
    <w:p>
      <w:pPr>
        <w:spacing w:after="0" w:line="3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2020 and 2019 , we recognized an unrealized (loss) gain of $(1.3) million and $2.2 million , respectively, from the change in fair value on our investment in RESI in other income (expense), net in the condensed consolidated statements of operations and comprehensive loss from a change in the market value of RESI common shares.</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Altisource initiated Project Catalyst, a project intended to optimize its operations and reduce costs to better align its cost structure with its anticipated revenues and improve its operating margins. During the three months ended March 31, 2020 and 2019 , Altisource incurred $2.9 million and $4.4 million , respectively, of severance costs, professional services fees, facility consolidation costs, technology costs and business wind down costs related to the reorganization plan. Altisource expects to incur additional severance costs, professional services fees, technology costs and facility consolidation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$8 million to $11 million .</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2019, Altisource sold its Financial Services business, consisting of post-charge-off consumer debt and mortgage charge-off collection services and customer relationship management services (the “Financial Services Business”) to Transworld Systems Inc. (“TSI”) for $44.0 million consisting of an upfront payment of $40.0 million , subject to a working capital adjustment (finalized during 2019) and transaction costs upon closing of the sale, and an additional $4.0 million payment on the one year anniversary of the sale closing. The parties also entered into a transition services agreement to provide for the management and orderly transition of certain services and technologies to TSI for periods ranging from 2 months to 13 months . As of April 1, 2020, all of the transition services other than certain information technology systems and infrastructure have been fully transitioned to TSI. For the three months ended March 31, 2019 , service revenue from the Financial Services Business was $16.1 million ( no comparative amount for the three months ended March 31, 2020 ).</w:t>
      </w:r>
    </w:p>
    <w:p>
      <w:pPr>
        <w:spacing w:after="0" w:line="2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2019, Altisource and Ocwen entered into agreements that, among other things, facilitated Ocwen’s transition from REALServicing and related technologies to another mortgage servicing software platform. The transition was completed during 2019. For the three months ended March 31, 2020 and 2019 , service revenue from REALServicing and related technologies was $0.9 million and $8.2 million , respectively.</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2018, the Company announced its plans to sell its short-term investments in real estate and exit the Company’s BRS business. For the three months ended March 31, 2019 , service revenue from BRS was $2.5 million ( no comparative amount for the three months ended March 31, 2020 ).</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the Company announced its plans to wind down and close the Owners.com business, which was completed by December 31, 2019. For the three months ended March 31, 2019 , service revenue from Owners.com was $1.6 million ( no comparative amount for the three months ended March 31, 2020 ).</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three months ended March 31, 2019 , the Company completed the analysis of its services for potential exposure to sales tax in various jurisdictions in the United States. The Company recognized a $2.1 million loss for the three months ended March 31, 2019 (no comparative amount for the three months ended March 31, 2020) in selling, general and administrative expenses in the accompanying condensed consolidated statements of operations and comprehensive loss.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consolidated financial statements which would impact our financial condition and results of operations.</w:t>
      </w:r>
    </w:p>
    <w:p>
      <w:pPr>
        <w:spacing w:after="0" w:line="3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benefit of $(2.4) million and $1.2 million for the three months ended March 31, 2020 and 2019 , respectively. The increase in the income tax provision for the three months ended March 31, 2020 was driven by income tax on transfer pricing income from US and foreign operations other than our Luxembourg operating company and no tax benefit on the pretax loss from our Luxembourg operating company. In addition, the decrease in the India income tax rate resulted in a higher tax provision for the three months ended March 31, 2020 in connection with adjustments to deferred tax assets in India.</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 for the three months ended March 31:</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3"/>
                <w:szCs w:val="13"/>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8"/>
        </w:trPr>
        <w:tc>
          <w:tcPr>
            <w:tcW w:w="40" w:type="dxa"/>
            <w:vAlign w:val="bottom"/>
            <w:tcBorders>
              <w:top w:val="single" w:sz="8" w:color="auto"/>
            </w:tcBorders>
          </w:tcPr>
          <w:p>
            <w:pPr>
              <w:spacing w:after="0"/>
              <w:rPr>
                <w:sz w:val="23"/>
                <w:szCs w:val="23"/>
                <w:color w:val="auto"/>
              </w:rPr>
            </w:pPr>
          </w:p>
        </w:tc>
        <w:tc>
          <w:tcPr>
            <w:tcW w:w="6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113,176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164,999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4,496</w:t>
            </w:r>
          </w:p>
        </w:tc>
        <w:tc>
          <w:tcPr>
            <w:tcW w:w="1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121,444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169,935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94,581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124,215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26,863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45,720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28,093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41,926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4,420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(5,952)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investment in equity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374</w:t>
            </w:r>
          </w:p>
        </w:tc>
        <w:tc>
          <w:tcPr>
            <w:tcW w:w="1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(3,340)</w:t>
            </w:r>
          </w:p>
        </w:tc>
        <w:tc>
          <w:tcPr>
            <w:tcW w:w="1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and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(3,966)</w:t>
            </w:r>
          </w:p>
        </w:tc>
        <w:tc>
          <w:tcPr>
            <w:tcW w:w="1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(440)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Altisource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(11,650)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(3,184)</w:t>
            </w:r>
          </w:p>
        </w:tc>
        <w:tc>
          <w:tcPr>
            <w:tcW w:w="1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Gross profit/service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(0.20)</w:t>
            </w:r>
          </w:p>
        </w:tc>
        <w:tc>
          <w:tcPr>
            <w:tcW w:w="14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15,497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16,292</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15,497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16,292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 for the three months ended March 31: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3"/>
                <w:szCs w:val="13"/>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3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Field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Marketplace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36,967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and Real Estate Solutions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26,413</w:t>
            </w: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Earlier Stage Business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w:t>
            </w:r>
          </w:p>
        </w:tc>
        <w:tc>
          <w:tcPr>
            <w:tcW w:w="14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164,999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Field Services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Marketplace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 and Real Estate Solutions</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1,036</w:t>
            </w: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4,496</w:t>
            </w:r>
          </w:p>
        </w:tc>
        <w:tc>
          <w:tcPr>
            <w:tcW w:w="14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 and Real Estate Solutions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121,444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169,935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9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service revenue of $113.2 million for the three months ended March 31, 2020 , a 31% decrease compared to the three months ended March 31, 2019 primarily from the 2019 sale, discontinuation and exit from certain businesses (resulting in an 18% decline in service revenue). Service revenue was also lower from the reduction in the size of Ocwen’s portfolio, NRZ’s more aggressive sale of homes at the foreclosure auction (which reduces our real estate owned (“REO”) auction, brokerage, field services and title service revenue), and COVID-19 pandemic related governmental restrictions and changing vendor and consumer behavior on demand for our default related services businesses. These decreases were partially offset by a 36% increase in revenue from customers other than Ocwen, NRZ and RESI in our Field Services, Marketplace and Mortgage and Real Estate Solutions businesses from new customer on-boardings, market share expansion with existing customers, and higher origination related volumes driven by lower interest rates. Other service revenue declined for the three months ended March 31, 2020 from the July 1, 2019 sale of the Financial Services Business, lower REALServicing revenue from Ocwen’s migration to another servicing system, the discontinuation of the BRS business and the wind down of Owners.com compared to the three months ended March 31, 2019.</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reimbursable expense revenue of $7.8 million for the three months ended March 31, 2020 , a 74% increase compared to the three months ended March 31, 2019 . The increase in reimbursable expense revenue for the three months ended March 31, 2020 was primarily driven by an increase for Marketplace related to new early stage disposition services performed.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 for the three months ended March 31:</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3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8"/>
        </w:trPr>
        <w:tc>
          <w:tcPr>
            <w:tcW w:w="6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41,368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fees and services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62,581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telecommunications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9,478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Reimbursable expenses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4,496</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4,198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real estate sold</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94,581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124,215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cost of revenue of $94.6 million for the three months ended March 31, 2020 , a 24% decrease compared to the three months ended March 31, 2019 . The decrease was primarily driven by lower revenue in Field Services and Marketplace businesses, the July 1, 2019 sale of the Financial Services Business and the discontinuation of the BRS business. Compensation and benefits decreased at a greater percentage than the decline in service revenue due to lower headcount as a result of the Project Catalyst reorganization and the transfer of certain employees to selling, general and administrative (“SG&amp;A”) functions in connection with the Project Catalyst reorganization. In addition, depreciation and amortization was lower from the completion of the depreciation periods of certain premises and equipment and the reduction in capital expenditures. These decreases were partially offset by an increase in reimbursable expenses that was consistent with the increase in reimbursable expense revenue discussed in the revenue section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decreased to $26.9 million , representing 24% of service revenue, for the three months ended March 31, 2020 compared to $45.7 million , representing 28% of service revenue, for the three months ended March 31, 2019 . Gross profit as a percentage of service revenue for the three months ended March 31, 2020 decreased compared to the three months ended March 31, 2019, primarily due to revenue mix with lower revenue from higher margin Marketplace businesses and the impact of the July 1, 2019 sale of the Financial Services Business. These decreases were partially offset by our Project Catalyst cost reduction initiatives.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includes payroll for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 for the three months ended March 31:</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3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6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68"/>
        </w:trPr>
        <w:tc>
          <w:tcPr>
            <w:tcW w:w="6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11,353</w:t>
            </w:r>
          </w:p>
        </w:tc>
        <w:tc>
          <w:tcPr>
            <w:tcW w:w="1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related costs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8,647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2,932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3"/>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4,611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6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41,926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for the three months ended March 31, 2020 of $28.1 million decreased by 33% compared to the three months ended March 31, 2019 . The decrease was primarily driven by lower amortization of intangible assets, professional services and Other expenses. The decrease in amortization of intangible assets was driven by the completion of the amortization period of certain intangible assets during 2019, the July 1, 2019 sale of the Financial Services Business and lower revenue generated from the Homeward Residential, Inc. and Residential Capital, LLC portfolios (revenue-based amortization) consistent with the reduction in the size of Ocwen’s portfolio, discussed in the revenue section above. Professional services decreased from lower litigation and legal professional services costs in connection with fewer legal and regulatory matters. Other expenses decreased primarily due to a $2.1 million contingent loss accrual for sales tax exposure in the United States recognized during the three months ended March 31, 2019.</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2018, Altisource initiated Project Catalyst, a project intended to optimize our operations and reduce costs to better align its cost structure with its anticipated revenues and improve our operating margins. During the three months ended March 31, 2020 and 2019 , Altisource incurred $2.9 million and $4.4 million , respectively, of severance costs, professional services fees, facility consolidation costs, technology costs and business wind down costs related to the reorganization plan. Altisource expects to incur additional severance costs, professional services fees, technology costs and facility consolidation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$8 million to $11 million .</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from operations increased to a loss of $(4.2) million , representing (4)% of service revenue, for the three months ended March 31, 2020 , compared to a loss of $(0.6) million , representing less than (1)% of service revenue, for the three months ended March 31, 2019 . Loss from operations as a percentage of service revenue increased for the three months ended March 31, 2020 compared to the three months ended March 31, 2019 , primarily as a result of lower gross profit margins, partially offset by lower SG&amp;A expenses and restructuring costs, as discussed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net principally includes interest expense, unrealized (loss) gain on our investment in RESI common shares and other non-operating gains and losses.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(expense), net was $(5.0) million for the three months ended March 31, 2020 compared to $(3.3) million for the three months ended March 31, 2019 . The increase in other expense for the three months ended March 31, 2020 was primarily driven by a $(1.3) million unrealized loss on our investment in RESI common shares for the three months ended March 31, 2020 compared to a $2.2 million unrealized gain for the three months ended March 31, 2019, largely offset by lower interest expense during the three months ended March 31, 2020. Interest expense decreased primarily due to lower average outstanding balances of the senior secured term loan as a result of repayments during 2019 and lower interest rates. For the three months ended March 31, 2020, the interest rate of the senior secured term loan was 5.94% compared to 6.39% for the three months ended March 31, 2019.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an income tax (provision) benefit of $(2.4) million and $1.2 million for the three months ended March 31, 2020 and 2019 , respectively. The increase in the income tax provision for the three months ended March 31, 2020 was driven by income tax on transfer pricing income from US and foreign operations other than our Luxembourg operating company and no tax benefit on the pretax loss from our Luxembourg operating company in 2020. In addition, the decrease in the India income tax rate resulted in a higher tax provision for the three months ended March 31, 2020 in connection with adjustments to deferred tax assets in India.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 of liquidity is cash flow from operations and cash on hand.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we anticipate that we may use cash from time to time to repurchase shares of our common stock. In addition, we consider and evaluate business acquisitions, dispositions, closures or other similar actions from time to time that are aligned with our strategy.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Altisource entered into the Credit Agreement pursuant to which Altisource borrowed $412.0 million in the form of Term B Loans and obtained a $15.0 million revolving credit facility. The Term B Loans mature in April 2024 and the revolving credit facility matures in April 2023. As of March 31, 2020 , $293.8 million of the Term B Loans were outstanding. There were no borrowings outstanding under the revolving credit facility as of March 31, 2020 .</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mandatory repayments of the Term B Loans due until March 2023, when $1.3 million is due to be repaid. Thereafter, the Term B Loans must be repaid in consecutive quarterly principal installments of $3.1 million , with the balance due at maturity. All amounts outstanding under the Term B Loans will become due on the earlier of (i) April 3, 2024, and (ii) the date on which</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 as calculated in accordance with the provisions of the Credit Agreement (the percentage increases if our leverage ratio exceeds 3.50 to 1.00 ). Certain mandatory prepayments reduce future contractual amortization payments by an amount equal to the mandatory prepayment.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on the Term B Loans as of March 31, 2020 was 5.45% .</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may incur incremental indebtedness under the Credit Agreement from one or more incremental lenders, which may include existing lenders, in an aggregate incremental principal amount not to exceed $125.0 million , subject to certain conditions set forth in the Credit Agreement, including a sublimit of $80.0 million with respect to incremental revolving credit commitments. The lenders have no obligation to provide any incremental indebtedness.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three months ended March 31 :</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268"/>
        </w:trPr>
        <w:tc>
          <w:tcPr>
            <w:tcW w:w="6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loss adjusted for non-cash items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17,046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(23,701)</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Net cash used in financing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decrease in cash, cash equivalents an d restricted cash</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cash equivalents and restricted cash at the beginn ing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64,046</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35</w:t>
            </w:r>
          </w:p>
        </w:tc>
      </w:tr>
      <w:tr>
        <w:trPr>
          <w:trHeight w:val="263"/>
        </w:trPr>
        <w:tc>
          <w:tcPr>
            <w:tcW w:w="6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Cash, cash equivalents and restricted cash at the end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82,908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55,424</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income. For the three months ended March 31, 2020 , cash flows used in operating activities were $(1.6) million , or approximately $(0.01) for every dollar of service revenue, compared to cash flows used in operating activities of $(6.7) million , or approximately $(0.04) for every dollar of service revenue, for the three months ended March 31, 2019 . During the three months ended March 31, 2020 , the decrease in cash used in operating activities was driven by lower cash used for changes in operating assets and liabilities of $17.5 million , partially offset by a $12.5 million unfavorable change in net loss, adjusted for non-cash items. The decrease in cash used for changes in operating assets and liabilities was driven by $6.9 million of payments of sales tax accruals during the three months ended March 31, 2019 (no comparative amount during the three months ended March 31, 2020) and lower cash payments for annual incentive compensation bonuses for the three months ended March 31, 2020 by $7.3 million. The change in net loss, adjusted for non-cash items, was primarily driven by lower gross profit during the three months ended March 31, 2020 from lower service revenue, partially offset by decreases in expenses as a result of the Project Catalyst cost reduction initiatives.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investing activities for the three months ended March 31, 2020 and 2019 consisted of additions to premises and equipment. Cash flows used in investing activities were $(0.5) million and $(0.8) million for the three months ended March 31,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2020 and 2019 , respectively, for additions to premises and equipment primarily related to investments in the development of certain software applications, IT infrastructure and facility improvements. The decrease in additions to premises and equipment for the three months ended March 31, 2020 compared to the three months ended March 31, 2019 primarily related to the completion of several software development projects and lower facility improvements, partially offset by increased IT infrastructure additions.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Cash flows from financing activities for the three months ended March 31, 2020 and 2019 primarily included distributions to non-controlling interests and payments of tax withholdings on issuance of restricted share units and restricted shares. Cash flows used in financing activities were $(1.5) million and $(1.2) million for the three months ended March 31, 2020 and 2019 , respectively. During the three months ended March 31, 2020 and 2019, we distributed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$(0.3) million and $(0.6) million to non-controlling interests, respectively. In addition, during the three months ended March 31, 2020 and 2019, we made payments of $(1.2) million and $(0.6) million ,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Requirements after March 31, 2020</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long-term debt interest expense under the Credit Agreement (see Liquidity section above) and lease payments. During the next 12 months, we expect to pay $16.0 million of interest expense (assuming no further principal repayments and the March 31, 2020 interest rate) under the Credit Agreement and make lease payments of $11.2 million .</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balances, our anticipated cash flows from operations and availability under our revolving credit facility will be sufficient to meet our liquidity needs, including to fund required interest payments and additions to premises and equipment, for the next 12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2020 , there were no significant changes to our contractual obligations from those identified in our Form 10-K for the fiscal year ended December 31, 2019 and this Form 10-Q, other than those that occur in the normal course of business. See Note 24 to the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2019 filed with the SEC on March 5, 2020 . There have been no material changes to our critical accounting policies during the three months ended March 31, 2020 .</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2020 , the interest rate charged on the Term B Loan was 5.45% . The interest rate is calculated based on the Adjusted Eurodollar Rate (as defined in the senior secured term loan agreement) with a minimum floor of 1.00% plus 4.00% .</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principal amount outstanding and the Adjusted Eurodollar Rate as of March 31, 2020 , a one percentage point increase in the Eurodollar rate would increase our annual interest expense by approximately $2.9 million . There would be a $1.3 million decrease in our annual interest expense if there was a one percentage point decrease in the Eurodollar Rate, as a result of the 1.00% minimum floor.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three months ended March 31, 2020 , a one percentage point increase or decrease in value of the Indian rupee in relation to the United States dollar would increase or decrease our annual expenses by approximately $0.5 million .</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2020 ,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2020 .</w:t>
      </w:r>
    </w:p>
    <w:p>
      <w:pPr>
        <w:spacing w:after="0" w:line="124"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March 31, 2020 ,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Part I, Item 1A, of our Form 10-K for the year ended December 31, 2019 filed with the SEC on March 5, 2020 , except as follows: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face certain risks related to the COVID-19 pandemic and the measures taken to prevent its spread, which could adversely impact Altisource’s business, financial condition and results of operations.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outbreaks of a number of diseases, including Avian Bird Flu, H1N1, and various other "super bugs," have increased the risk of a pandemic. In December 2019, a novel strain of coronavirus (COVID-19) was reported to have surfaced in Wuhan, China. COVID-19 has since spread to over 100 countries, including the United States. On March 11, 2020, the World Health Organization declared COVID-19 a pandemic, and on March 13, 2020 the United States declared a national emergency with respect to COVID-19.</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potential impact and duration of COVID-19 or another pandemic could have repercussions across regional and global economies and financial markets. The outbreak of COVID-19 in many countries continues to adversely impact global economic activity and has contributed to significant volatility and negative pressure in financial markets. The global impact of the outbreak has been rapidly evolving and, as cases of the virus have continued to be identified in additional countries, many countries, including the United States, have reacted by instituting quarantines and restrictions on travel and commerce. Many states and cities where we have business activities have reacted by instituting quarantines, restrictions on travel, "shelter in place" rules, and restrictions on types of business that may continue to operate. In addition, certain governmental authorities, regulators and GSEs and certain investors have instituted rules preventing actions related to loan delinquencies and foreclosure and certain of our clients (and their clients) have taken such actions voluntarily. The duration of such restrictions is currently unknown. As a result, our business and results of operations may be adversely impacted in a number of ways, including by the additional risks below.</w:t>
      </w:r>
    </w:p>
    <w:p>
      <w:pPr>
        <w:spacing w:after="0" w:line="1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Demand for our services and our vendors’ ability to provide services in a timely and cost effective fashion, has been, and may continue to be, negatively impacted by the COVID-19 pandemic and response, which could result in a reduction in our revenue and/or an increase in our costs, and thus have a material adverse effect on our financial condition and results of operations.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 of the COVID-19 pandemic on the United States economy and housing market, together with foreclosure moratoriums and other actions described above has resulted, and could continue to result, in a decline in the demand for our products and services, including reduced demand for real estate auction services, real estate brokerage services, valuations, title insurance and settlement services, foreclosure related services and construction inspection services.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Volatile or uncertain economic conditions, such as those caused by the COVID-19 pandemic, or its consequences, have and may continue to affect our customers and the markets we serve, causing customers to reduce, defer or eliminate spending on our products and services. Such conditions could also lead to the insolvency of certain customers, negatively impacting the demand for our products and services and making amounts owed to us difficult or impossible to collect in whole or in part.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impact on the United States economy and the housing market has and may continue to increase the number of auction cycles required to sell real estate, lengthen sale and closing timelines for real estate transactions, decrease sale prices which has the potential to decrease buyer’s premiums and brokerage commissions we earn on real estate transactions, and increase the percentage of real estate transactions that fail to close.</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Governmental restrictions on movement and the provision of certain services deemed to be non-essential, actions by authorities prohibiting the performance of certain services, social distancing requirements, the closure of or reduced services provided by certain governmental offices, vendor refusals to provide certain services in certain jurisdictions and limitations on the availability of certain supplies have and may continue to negatively impact Altisource’s ability to provide certain products and services, and increase the cost to Altisource of providing certain products and services. For example, certain of our field services offerings are precluded by government orders limiting the performance of non-essential services or are difficult to fulfill due to our field vendors’ reluctance to perform services, especially services that are not clearly specified by authorities as essential or those that present the potential for human contact. If vendors and suppliers are negatively impacted by the COVID-19 pandemic or otherwise unable to perform, we may need to seek alternate vendors or supplies, which may disrupt our operations, negatively impact our ability to provide products and services, and may be more expensive. If needed, we may not be able to obtain or contract with alternate vendors or suppliers. If we are not able to obtain or contract with alternate vendors or suppliers our operations would be negatively impacted.</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government or voluntarily imposed travel restrictions and limitations on in-person meetings could negatively impact our sales efforts, our ability to engage and onboard new customers, our ability to recruit new employees, and create other operational challenges.</w:t>
      </w:r>
    </w:p>
    <w:p>
      <w:pPr>
        <w:spacing w:after="0" w:line="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respond to the impacts of COVID-19 on our business, including to reduce our costs in light of a reduction in demand for our services, may be restricted by government actions and our business structure.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certain limitations on our ability to mitigate the adverse financial impact described above, including the fixed costs of our operations. In addition, governmental restrictions with regard to terminating employment, reducing compensation or closing facilities during the COVID-19 pandemic could interfere with our cost reduction initiatives, including interfering with the closure of inefficient facilities, the dismissal or furlough of employees and resources, the reduction of compensation and other cost reduction measures, including any of the foregoing that were planned prior to declaration of COVID-19 as a pandemic and the imposition of such restrictions, negatively impacting Altisource’s ability to reduce its cost structure.</w:t>
      </w:r>
    </w:p>
    <w:p>
      <w:pPr>
        <w:spacing w:after="0" w:line="1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compliance with work from home, business closure, shelter in place and other similar regulations may impose additional costs on Altisource, and could create additional risks for our business from a productivity and liability standpoint, including by increasing our risk for cybersecurity breaches or failures.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Altisource has transitioned a significant portion of its workforce to work remotely voluntarily to protect the health and safety of our workforce and customers and, in certain instances, in response to government actions. Altisource may incur significant costs associated with such transition, as well as from implementing hygiene protocols for employees continuing to work at certain Altisource facilities. Further, our business continuity plans in the face of remote working and other adjustments required to our business may not be sufficient to address a global pandemic of COVID-19's scale and magnitude, or may not be implemented on a timely or error free basis, resulting in negative operational impacts and errors.</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Employing a remote work environment could result in decreased employee productivity, including due to a lower level of employee oversight, distraction caused by the pandemic and its impact on daily life, employee health conditions or illnesses, employees acting as caregivers, disruption due to home schooling and child care obligations, use of slower residential Internet connections, the instability, inadequacy or unavailability of Altisource’s network, and/or unstable electrical services or unreliable Internet access. We also may face increased data privacy and security risks resulting from the use of non-Altisource networks to access information and to provide products and services. Additional risks to Altisource systems and Altisource, client, vendor and/or borrower data are presented by increased phishing activities targeting employees, vendors and counterparties in transactions, the possibility of attacks on Altisource systems or systems of employees working remotely as well as by decreased physical supervision. Remote work arrangements could also negatively impact certain controls, such as our financial reporting systems, internal control over financial reporting and disclosure controls and procedures. If we do face a reduction in productivity, data privacy or cybersecurity failures or breaches, or issues with our controls, we may incur additional costs to address such issues and our financial condition and results may be adversely impacted.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comply with all legal and contractual obligations applicable to us as a result of the response to COVID-19.</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governmental and our voluntary response to the COVID-19 pandemic could adversely impact Altisource’s ability to comply with various legal and contractual obligations, including service level agreements and performance standards in our revenue agreements, restoration obligations in our leases, and obligations to perform or use services in pre-approved locations, whether as a result of an inability to staff personnel for certain services in appropriate locations or as a result of compliance with various imposed regulations. Some of our agreements may not contain force majeure clauses or similar provisions that would sufficiently excuse any non-performance due to the pandemic. Accordingly, counterparties to these contracts may assert Altisource has breached these contracts and caused damages, potentially resulting in additional costs, penalties, fee reductions, termination rights, legal claims and liabilities.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Altisource could face legal claims from employees, contractors, vendors, borrowers or other individuals who claim to have been exposed to and contracted the COVID-19 virus as a result of our failure to comply with legal or hygiene requirements related to COVID-19 in the provision of our products or services.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face claims under contracts or claims from employees, contractors, vendors, borrowers or others our insurance coverage may not be applicable to, or sufficient to cover, all claims, costs, and damages we incur, which would result in our bearing these costs and which could have a material adverse effect on our financial condition and results of operations.</w:t>
      </w:r>
    </w:p>
    <w:p>
      <w:pPr>
        <w:spacing w:after="0" w:line="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significant volatility in the capital and financial markets resulting from the COVID-19 response and the impact of COVID-19 on our business and financial position may make it more difficult for us to secure financing as needed for the continued operation and growth of our business.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the COVID-19 pandemic, or its consequences, on the capital markets could adversely affect our ability to borrow money or our cost of borrowing. In addition, reduced revenue or cash flow could negatively impact our ability to access our revolving line of credit or our ability to continue to satisfy the covenants and terms of our senior secured term loan agreements. If we were to have a covenant default under our loan agreements, we would not be able borrow additional funds and our lenders could seek to enforce the remedies available to them under our loan agreements, which could have a material adverse effect on our financial condition. A reduction in our ability to borrow funds to support our operations could also reduce our ability to pursue our business strategy to diversify and grow our customer base.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March 31, 2020.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The maximum number of shares that may be purchased under the repurchase program is 2.4 million shares of the Company’s common stock. In addition to the share repurchase program, during the three months ended March 31, 2020, 68,418 common shares were withheld from employees to satisfy tax withholding obligations that arose from the vesting of restricted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0" w:type="dxa"/>
            <w:vAlign w:val="bottom"/>
          </w:tcPr>
          <w:p>
            <w:pPr>
              <w:spacing w:after="0"/>
              <w:rPr>
                <w:sz w:val="18"/>
                <w:szCs w:val="18"/>
                <w:color w:val="auto"/>
              </w:rPr>
            </w:pPr>
          </w:p>
        </w:tc>
      </w:tr>
      <w:tr>
        <w:trPr>
          <w:trHeight w:val="238"/>
        </w:trPr>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Borders>
              <w:bottom w:val="single" w:sz="8" w:color="auto"/>
            </w:tcBorders>
          </w:tcPr>
          <w:p>
            <w:pPr>
              <w:spacing w:after="0"/>
              <w:rPr>
                <w:sz w:val="2"/>
                <w:szCs w:val="2"/>
                <w:color w:val="auto"/>
              </w:rPr>
            </w:pPr>
          </w:p>
        </w:tc>
      </w:tr>
      <w:tr>
        <w:trPr>
          <w:trHeight w:val="358"/>
        </w:trPr>
        <w:tc>
          <w:tcPr>
            <w:tcW w:w="480" w:type="dxa"/>
            <w:vAlign w:val="bottom"/>
          </w:tcPr>
          <w:p>
            <w:pPr>
              <w:ind w:left="40"/>
              <w:spacing w:after="0"/>
              <w:rPr>
                <w:rFonts w:ascii="Times New Roman" w:cs="Times New Roman" w:eastAsia="Times New Roman" w:hAnsi="Times New Roman"/>
                <w:sz w:val="18"/>
                <w:szCs w:val="18"/>
                <w:color w:val="0000FF"/>
                <w:w w:val="93"/>
              </w:rPr>
            </w:pPr>
            <w:hyperlink w:anchor="page44">
              <w:r>
                <w:rPr>
                  <w:rFonts w:ascii="Times New Roman" w:cs="Times New Roman" w:eastAsia="Times New Roman" w:hAnsi="Times New Roman"/>
                  <w:sz w:val="18"/>
                  <w:szCs w:val="18"/>
                  <w:u w:val="single" w:color="auto"/>
                  <w:color w:val="0000FF"/>
                  <w:w w:val="93"/>
                </w:rPr>
                <w:t>31.1</w:t>
              </w:r>
              <w:r>
                <w:rPr>
                  <w:rFonts w:ascii="Times New Roman" w:cs="Times New Roman" w:eastAsia="Times New Roman" w:hAnsi="Times New Roman"/>
                  <w:sz w:val="18"/>
                  <w:szCs w:val="18"/>
                  <w:color w:val="0000FF"/>
                  <w:w w:val="93"/>
                </w:rPr>
                <w:t xml:space="preserve"> </w:t>
              </w:r>
            </w:hyperlink>
            <w:r>
              <w:rPr>
                <w:rFonts w:ascii="Times New Roman" w:cs="Times New Roman" w:eastAsia="Times New Roman" w:hAnsi="Times New Roman"/>
                <w:sz w:val="18"/>
                <w:szCs w:val="18"/>
                <w:color w:val="2C2C2C"/>
                <w:w w:val="93"/>
              </w:rPr>
              <w: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Pr>
          <w:p>
            <w:pPr>
              <w:ind w:left="4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Section 302 Certification of the Chief Executive Officer pursuant to Exchange Act Rule 13a-14(a)</w:t>
              </w:r>
            </w:hyperlink>
          </w:p>
        </w:tc>
      </w:tr>
      <w:tr>
        <w:trPr>
          <w:trHeight w:val="392"/>
        </w:trPr>
        <w:tc>
          <w:tcPr>
            <w:tcW w:w="480" w:type="dxa"/>
            <w:vAlign w:val="bottom"/>
          </w:tcPr>
          <w:p>
            <w:pPr>
              <w:ind w:left="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31.2</w:t>
              </w:r>
            </w:hyperlink>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2C2C2C"/>
                <w:w w:val="88"/>
              </w:rPr>
              <w:t>*</w:t>
            </w:r>
          </w:p>
        </w:tc>
        <w:tc>
          <w:tcPr>
            <w:tcW w:w="100" w:type="dxa"/>
            <w:vAlign w:val="bottom"/>
          </w:tcPr>
          <w:p>
            <w:pPr>
              <w:spacing w:after="0"/>
              <w:rPr>
                <w:sz w:val="24"/>
                <w:szCs w:val="24"/>
                <w:color w:val="auto"/>
              </w:rPr>
            </w:pPr>
          </w:p>
        </w:tc>
        <w:tc>
          <w:tcPr>
            <w:tcW w:w="10000" w:type="dxa"/>
            <w:vAlign w:val="bottom"/>
          </w:tcPr>
          <w:p>
            <w:pPr>
              <w:ind w:left="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Section 302 Certification of the Chief Financial Officer pursuant to Exchange Act Rule 13a-14(a)</w:t>
              </w:r>
            </w:hyperlink>
          </w:p>
        </w:tc>
      </w:tr>
      <w:tr>
        <w:trPr>
          <w:trHeight w:val="392"/>
        </w:trPr>
        <w:tc>
          <w:tcPr>
            <w:tcW w:w="480" w:type="dxa"/>
            <w:vAlign w:val="bottom"/>
          </w:tcPr>
          <w:p>
            <w:pPr>
              <w:ind w:left="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32.1</w:t>
              </w:r>
            </w:hyperlink>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2C2C2C"/>
                <w:w w:val="88"/>
              </w:rPr>
              <w:t>*</w:t>
            </w:r>
          </w:p>
        </w:tc>
        <w:tc>
          <w:tcPr>
            <w:tcW w:w="100" w:type="dxa"/>
            <w:vAlign w:val="bottom"/>
          </w:tcPr>
          <w:p>
            <w:pPr>
              <w:spacing w:after="0"/>
              <w:rPr>
                <w:sz w:val="24"/>
                <w:szCs w:val="24"/>
                <w:color w:val="auto"/>
              </w:rPr>
            </w:pPr>
          </w:p>
        </w:tc>
        <w:tc>
          <w:tcPr>
            <w:tcW w:w="10000" w:type="dxa"/>
            <w:vAlign w:val="bottom"/>
          </w:tcPr>
          <w:p>
            <w:pPr>
              <w:ind w:left="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Certification by the Chief Executive Officer and Chief Financial Officer pursuant to Section 906 of the Sarbanes-Oxley Act of 2002</w:t>
              </w:r>
            </w:hyperlink>
          </w:p>
        </w:tc>
      </w:tr>
      <w:tr>
        <w:trPr>
          <w:trHeight w:val="373"/>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r>
      <w:tr>
        <w:trPr>
          <w:trHeight w:val="216"/>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 ended March 31, 2020 is formatted in XBRL interactive data files: (i) Condensed Consolidated Balance Sheets as of March 31,</w:t>
            </w:r>
          </w:p>
        </w:tc>
      </w:tr>
      <w:tr>
        <w:trPr>
          <w:trHeight w:val="216"/>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 and December 31, 2019; (ii) Condensed Consolidated Statements of Operations and Comprehensive Loss for the three months</w:t>
            </w:r>
          </w:p>
        </w:tc>
      </w:tr>
      <w:tr>
        <w:trPr>
          <w:trHeight w:val="216"/>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ended March 31, 2020 and 2019; (iii) Condensed Consolidated Statements of Equity for the three months ended March 31, 2020 and</w:t>
            </w:r>
          </w:p>
        </w:tc>
      </w:tr>
      <w:tr>
        <w:trPr>
          <w:trHeight w:val="216"/>
        </w:trPr>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 (iv) Condensed Consolidated Statements of Cash Flows for the three months ended March 31, 2020 and 2019; and (v) Notes to</w:t>
            </w:r>
          </w:p>
        </w:tc>
      </w:tr>
      <w:tr>
        <w:trPr>
          <w:trHeight w:val="234"/>
        </w:trPr>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r>
    </w:tbl>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63" w:lineRule="exact"/>
        <w:rPr>
          <w:sz w:val="20"/>
          <w:szCs w:val="20"/>
          <w:color w:val="auto"/>
        </w:rPr>
      </w:pPr>
    </w:p>
    <w:p>
      <w:pPr>
        <w:ind w:left="1280" w:hanging="1245"/>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420" w:val="left"/>
          <w:tab w:leader="none" w:pos="6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30,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2020 of Altisource Portfolio Solutions S.A.;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60"/>
        <w:spacing w:after="0"/>
        <w:tabs>
          <w:tab w:leader="none" w:pos="6420" w:val="left"/>
          <w:tab w:leader="none" w:pos="6880" w:val="left"/>
        </w:tabs>
        <w:rPr>
          <w:sz w:val="20"/>
          <w:szCs w:val="20"/>
          <w:color w:val="auto"/>
        </w:rPr>
      </w:pPr>
      <w:r>
        <w:rPr>
          <w:rFonts w:ascii="Times New Roman" w:cs="Times New Roman" w:eastAsia="Times New Roman" w:hAnsi="Times New Roman"/>
          <w:sz w:val="18"/>
          <w:szCs w:val="18"/>
          <w:color w:val="auto"/>
        </w:rPr>
        <w:t>Date: April 30,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William B. Shepro</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54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2020 of Altisource Portfolio Solutions S.A.;</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60"/>
        <w:spacing w:after="0"/>
        <w:tabs>
          <w:tab w:leader="none" w:pos="6420" w:val="left"/>
          <w:tab w:leader="none" w:pos="6880" w:val="left"/>
        </w:tabs>
        <w:rPr>
          <w:sz w:val="20"/>
          <w:szCs w:val="20"/>
          <w:color w:val="auto"/>
        </w:rPr>
      </w:pPr>
      <w:r>
        <w:rPr>
          <w:rFonts w:ascii="Times New Roman" w:cs="Times New Roman" w:eastAsia="Times New Roman" w:hAnsi="Times New Roman"/>
          <w:sz w:val="18"/>
          <w:szCs w:val="18"/>
          <w:color w:val="auto"/>
        </w:rPr>
        <w:t>Date: April 30,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34290</wp:posOffset>
            </wp:positionV>
            <wp:extent cx="27774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54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340" w:right="2180"/>
        <w:spacing w:after="0" w:line="260"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2020</w:t>
      </w: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Altisource Portfolio Solutions S.A. (the “Company”) for the quarterly period ended March 31, 2020 ,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7"/>
        </w:trPr>
        <w:tc>
          <w:tcPr>
            <w:tcW w:w="5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98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70"/>
        </w:trPr>
        <w:tc>
          <w:tcPr>
            <w:tcW w:w="5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5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70"/>
        </w:trPr>
        <w:tc>
          <w:tcPr>
            <w:tcW w:w="5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70"/>
        </w:trPr>
        <w:tc>
          <w:tcPr>
            <w:tcW w:w="5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2020</w:t>
            </w:r>
          </w:p>
        </w:tc>
        <w:tc>
          <w:tcPr>
            <w:tcW w:w="98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2020</w:t>
            </w:r>
          </w:p>
        </w:tc>
      </w:tr>
    </w:tbl>
    <w:p>
      <w:pPr>
        <w:spacing w:after="0" w:line="1" w:lineRule="exact"/>
        <w:rPr>
          <w:sz w:val="20"/>
          <w:szCs w:val="20"/>
          <w:color w:val="auto"/>
        </w:rPr>
      </w:pP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2020-04-30T05:57:35Z</dcterms:created>
  <dcterms:modified xsi:type="dcterms:W3CDTF">2020-04-30T05:57:35Z</dcterms:modified>
</cp:coreProperties>
</file>