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June 30, 2017</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79"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3175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95" w:lineRule="exact"/>
        <w:rPr>
          <w:sz w:val="24"/>
          <w:szCs w:val="24"/>
          <w:color w:val="auto"/>
        </w:rPr>
      </w:pPr>
    </w:p>
    <w:p>
      <w:pPr>
        <w:sectPr>
          <w:pgSz w:w="11900" w:h="16838" w:orient="portrait"/>
          <w:cols w:equalWidth="0" w:num="2">
            <w:col w:w="7400" w:space="720"/>
            <w:col w:w="3300"/>
          </w:cols>
          <w:pgMar w:left="240" w:top="621" w:right="2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621" w:right="239" w:bottom="1440" w:gutter="0" w:footer="0" w:header="0"/>
          <w:type w:val="continuous"/>
        </w:sectPr>
      </w:pPr>
    </w:p>
    <w:p>
      <w:pPr>
        <w:spacing w:after="0" w:line="65"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203" w:lineRule="exact"/>
        <w:rPr>
          <w:sz w:val="24"/>
          <w:szCs w:val="24"/>
          <w:color w:val="auto"/>
        </w:rPr>
      </w:pPr>
    </w:p>
    <w:p>
      <w:pPr>
        <w:ind w:left="5500" w:hanging="431"/>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24 69 79 00</w:t>
      </w:r>
    </w:p>
    <w:p>
      <w:pPr>
        <w:spacing w:after="0" w:line="27"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w:t>
      </w:r>
    </w:p>
    <w:p>
      <w:pPr>
        <w:spacing w:after="0" w:line="211"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5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6"/>
          <w:szCs w:val="16"/>
          <w:b w:val="1"/>
          <w:bCs w:val="1"/>
          <w:color w:val="auto"/>
        </w:rPr>
        <w:t>o</w:t>
      </w:r>
    </w:p>
    <w:p>
      <w:pPr>
        <w:spacing w:after="0" w:line="156"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(as defined in Rule 12b-2 of the Exchange Act):</w:t>
      </w:r>
    </w:p>
    <w:p>
      <w:pPr>
        <w:sectPr>
          <w:pgSz w:w="11900" w:h="16838" w:orient="portrait"/>
          <w:cols w:equalWidth="0" w:num="1">
            <w:col w:w="11420"/>
          </w:cols>
          <w:pgMar w:left="240" w:top="621" w:right="239" w:bottom="1440" w:gutter="0" w:footer="0" w:header="0"/>
          <w:type w:val="continuous"/>
        </w:sectPr>
      </w:pPr>
    </w:p>
    <w:p>
      <w:pPr>
        <w:spacing w:after="0" w:line="89"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96" w:lineRule="exact"/>
        <w:rPr>
          <w:sz w:val="24"/>
          <w:szCs w:val="24"/>
          <w:color w:val="auto"/>
        </w:rPr>
      </w:pPr>
    </w:p>
    <w:p>
      <w:pPr>
        <w:sectPr>
          <w:pgSz w:w="11900" w:h="16838" w:orient="portrait"/>
          <w:cols w:equalWidth="0" w:num="2">
            <w:col w:w="7420" w:space="720"/>
            <w:col w:w="3280"/>
          </w:cols>
          <w:pgMar w:left="240" w:top="621" w:right="23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7420" w:space="720"/>
            <w:col w:w="3280"/>
          </w:cols>
          <w:pgMar w:left="240" w:top="621" w:right="239" w:bottom="1440" w:gutter="0" w:footer="0" w:header="0"/>
          <w:type w:val="continuous"/>
        </w:sectPr>
      </w:pPr>
    </w:p>
    <w:p>
      <w:pPr>
        <w:ind w:left="81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621" w:right="239" w:bottom="1440" w:gutter="0" w:footer="0" w:header="0"/>
          <w:type w:val="continuous"/>
        </w:sectPr>
      </w:pPr>
    </w:p>
    <w:p>
      <w:pPr>
        <w:spacing w:after="0" w:line="123"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by Section 13(a) of the Exchange Act. o</w:t>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color w:val="auto"/>
        </w:rPr>
        <w:t>As of August 4, 2017, there were 18,048,977 outstanding shares of the registrant’s shares of beneficial interest (excluding 7,363,771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222885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137160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3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50">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0">
              <w:r>
                <w:rPr>
                  <w:rFonts w:ascii="Arial" w:cs="Arial" w:eastAsia="Arial" w:hAnsi="Arial"/>
                  <w:sz w:val="17"/>
                  <w:szCs w:val="17"/>
                  <w:color w:val="0000EE"/>
                  <w:w w:val="73"/>
                </w:rPr>
                <w:t>47</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2">
              <w:r>
                <w:rPr>
                  <w:rFonts w:ascii="Arial" w:cs="Arial" w:eastAsia="Arial" w:hAnsi="Arial"/>
                  <w:sz w:val="17"/>
                  <w:szCs w:val="17"/>
                  <w:color w:val="0000EE"/>
                  <w:w w:val="73"/>
                </w:rPr>
                <w:t>49</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149,294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45,754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42,608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325,477</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86,283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w:t>
            </w:r>
          </w:p>
        </w:tc>
      </w:tr>
      <w:tr>
        <w:trPr>
          <w:trHeight w:val="264"/>
        </w:trPr>
        <w:tc>
          <w:tcPr>
            <w:tcW w:w="8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616,628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689,212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620"/>
              <w:spacing w:after="0"/>
              <w:rPr>
                <w:sz w:val="20"/>
                <w:szCs w:val="20"/>
                <w:color w:val="auto"/>
              </w:rPr>
            </w:pPr>
            <w:r>
              <w:rPr>
                <w:rFonts w:ascii="Arial" w:cs="Arial" w:eastAsia="Arial" w:hAnsi="Arial"/>
                <w:sz w:val="18"/>
                <w:szCs w:val="18"/>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83,135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litigation settlement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32,000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8,797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101,513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148,938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439,486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467,600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89"/>
              </w:rPr>
              <w:t>Common stock ($1.00 par value; 100,000 shares authorized, 25,413 issued and 18,034 outstanding as of June 30,</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2017; 25,413 shares authorized and issued and 18,774 outstanding as of December 31, 2016)</w:t>
            </w:r>
          </w:p>
        </w:tc>
        <w:tc>
          <w:tcPr>
            <w:tcW w:w="3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25,413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107,288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341,926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333,786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9"/>
              </w:rPr>
              <w:t>Treasury stock, at cost (7,379 shares as of June 30, 2017 and 6,639 shares as of December 31, 2016)</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(403,953)</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Altisource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60,789</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62,194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616,628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689,212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6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65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505,931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185,393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174,371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363,346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343,234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81,428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127,822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162,697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107,823</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54,874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(12,529)</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2,717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45,062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39,578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38,488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18,335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18,437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18,497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18,646</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19,822</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39,578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w w:val="94"/>
              </w:rPr>
              <w:t>Unrealized gain (loss) on securities, net of income tax (provision) benefit of $2,593,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$3,249, $(2,132), $2,960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32,406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12,123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21,322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31,316</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39,578</w:t>
            </w:r>
          </w:p>
        </w:tc>
        <w:tc>
          <w:tcPr>
            <w:tcW w:w="0" w:type="dxa"/>
            <w:vAlign w:val="bottom"/>
          </w:tcPr>
          <w:p>
            <w:pPr>
              <w:spacing w:after="0"/>
              <w:rPr>
                <w:sz w:val="1"/>
                <w:szCs w:val="1"/>
                <w:color w:val="auto"/>
              </w:rPr>
            </w:pPr>
          </w:p>
        </w:tc>
      </w:tr>
      <w:tr>
        <w:trPr>
          <w:trHeight w:val="229"/>
        </w:trPr>
        <w:tc>
          <w:tcPr>
            <w:tcW w:w="2520" w:type="dxa"/>
            <w:vAlign w:val="bottom"/>
          </w:tcPr>
          <w:p>
            <w:pPr>
              <w:ind w:left="200"/>
              <w:spacing w:after="0"/>
              <w:rPr>
                <w:sz w:val="20"/>
                <w:szCs w:val="20"/>
                <w:color w:val="auto"/>
              </w:rPr>
            </w:pPr>
            <w:r>
              <w:rPr>
                <w:rFonts w:ascii="Arial" w:cs="Arial" w:eastAsia="Arial" w:hAnsi="Arial"/>
                <w:sz w:val="18"/>
                <w:szCs w:val="18"/>
                <w:color w:val="auto"/>
                <w:w w:val="94"/>
              </w:rPr>
              <w:t>Other comprehensive loss, net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60"/>
              <w:spacing w:after="0"/>
              <w:rPr>
                <w:sz w:val="20"/>
                <w:szCs w:val="20"/>
                <w:color w:val="auto"/>
              </w:rPr>
            </w:pPr>
            <w:r>
              <w:rPr>
                <w:rFonts w:ascii="Arial" w:cs="Arial" w:eastAsia="Arial" w:hAnsi="Arial"/>
                <w:sz w:val="18"/>
                <w:szCs w:val="18"/>
                <w:color w:val="auto"/>
              </w:rPr>
              <w:t>of tax</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(19,746)</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June 30, 2016</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99,890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403,460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(454,488)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68,420</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107,288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333,786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(403,953)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shd w:val="clear" w:color="auto" w:fill="CCEEFF"/>
              </w:rPr>
              <w:t>Other comprehensive income,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net of 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Cumulative effect of an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accounting change (Note 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5"/>
              </w:rPr>
              <w:t>Treasury shares withheld for the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0"/>
              <w:spacing w:after="0"/>
              <w:rPr>
                <w:sz w:val="20"/>
                <w:szCs w:val="20"/>
                <w:color w:val="auto"/>
              </w:rPr>
            </w:pPr>
            <w:r>
              <w:rPr>
                <w:rFonts w:ascii="Arial" w:cs="Arial" w:eastAsia="Arial" w:hAnsi="Arial"/>
                <w:sz w:val="18"/>
                <w:szCs w:val="18"/>
                <w:color w:val="auto"/>
              </w:rPr>
              <w:t>payment of tax on restricted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share issuances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(18,573)</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341,926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66,723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tcPr>
          <w:p>
            <w:pPr>
              <w:spacing w:after="0"/>
              <w:rPr>
                <w:sz w:val="24"/>
                <w:szCs w:val="24"/>
                <w:color w:val="auto"/>
              </w:rPr>
            </w:pPr>
          </w:p>
        </w:tc>
        <w:tc>
          <w:tcPr>
            <w:tcW w:w="5900" w:type="dxa"/>
            <w:vAlign w:val="bottom"/>
            <w:gridSpan w:val="15"/>
          </w:tcPr>
          <w:p>
            <w:pPr>
              <w:jc w:val="center"/>
              <w:ind w:left="392"/>
              <w:spacing w:after="0"/>
              <w:rPr>
                <w:sz w:val="20"/>
                <w:szCs w:val="20"/>
                <w:color w:val="auto"/>
              </w:rPr>
            </w:pPr>
            <w:r>
              <w:rPr>
                <w:rFonts w:ascii="Arial" w:cs="Arial" w:eastAsia="Arial" w:hAnsi="Arial"/>
                <w:sz w:val="18"/>
                <w:szCs w:val="18"/>
                <w:i w:val="1"/>
                <w:iCs w:val="1"/>
                <w:color w:val="auto"/>
                <w:w w:val="89"/>
              </w:rPr>
              <w:t>See accompanying notes to condensed consolidated financial statements</w:t>
            </w:r>
            <w:r>
              <w:rPr>
                <w:rFonts w:ascii="Arial" w:cs="Arial" w:eastAsia="Arial" w:hAnsi="Arial"/>
                <w:sz w:val="18"/>
                <w:szCs w:val="18"/>
                <w:color w:val="auto"/>
                <w:w w:val="89"/>
              </w:rPr>
              <w: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1"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69,405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(60,670)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and repurchases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(47,751)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tax withholding on issuance of restricted shares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(67,576)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179,327</w:t>
            </w:r>
          </w:p>
        </w:tc>
      </w:tr>
      <w:tr>
        <w:trPr>
          <w:trHeight w:val="264"/>
        </w:trPr>
        <w:tc>
          <w:tcPr>
            <w:tcW w:w="8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114,205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120,486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5,618</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payables for purchases of premises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payables for purchases of treasury shares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12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25"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Altisource Portfolio Solutions S.A. was formed under the laws of Luxembourg and is publicly traded on the NASDAQ Global Select Market under the symbol “ASPS.”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Mortgage Market and Real Estate Market. In addition, we report Other Businesses, Corporate and Eliminations separately. Prior to the January 1, 2017 change in reportable segments, our reportable segments were Mortgage Services, Financial Services and Technology Services. Prior year comparable period segment disclosures have been restated to conform to the current year presentation. See Note 21 for a description of our business segments.</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Altisource consolidates a cooperative entity which is managed by The Mortgage Partnership of America, L.L.C. (“MPA”), a wholly-owned subsidiary of Altisource, Best Partners Mortgage Cooperative, Inc., a mortgage cooperative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MPA provides services to Lenders One under a management agreement that ends on December 31, 2025 (with renewals for three successive five-year periods at MPA’s option).</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2017, Lenders One had total assets of $3.5 million and total liabilities of $0.9 million. As of December 31, 2016, Lenders One had total assets of $3.8 million and total liabilities of $1.5 million.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2016, as filed with the SEC on February 16,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Financial Accounting Standards Board (“FASB”) Accounting Standards Update (“ASU”) No.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Employee Share-Based Payment Accounting</w:t>
      </w:r>
      <w:r>
        <w:rPr>
          <w:rFonts w:ascii="Arial" w:cs="Arial" w:eastAsia="Arial" w:hAnsi="Arial"/>
          <w:sz w:val="16"/>
          <w:szCs w:val="16"/>
          <w:color w:val="auto"/>
        </w:rPr>
        <w:t>, became effective on January 1, 2017. This standard simplifies several aspects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 transactions, including the income tax consequences, classification of awards as either equity or liabilities and classification on the statement of cash flows. The standard requires companies to recognize all award-related excess tax benefits and tax deficiencies in the income statement, classify any excess tax benefits as an operating activity in the statement of cash flows, limit tax withholding up to the maximum statutory tax rates in order to continue to apply equity accounting rules and classify cash paid by employers when directly withholding shares for tax withholding purposes as an investing activity in the statement of cash flows. The standard also provides companies with the option of estimating forfeitures or recognizing forfeitures as they occur. In connection with the adoption of this standard, the Company made an accounting policy election to account for forfeitures in compensation expense as they occur, rather than continuing to apply the Company’s previous policy of estimating forfeitures. This policy election resulted in a cumulative effect adjustment of $0.9 million to retained earnings and additional paid-in capital as of January 1, 2017 using the modified retrospective transition method. There were no other significant impacts of the adoption of this standard on the Company’s results of operations and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standard establishes a single comprehensive model for entities to use in accounting for revenue arising from contracts with customers and supersedes most current revenue recognition guidance. The core principle of this new standard is an entity should recognize revenue to depict the transfer of promised goods or services to customers in an amount that reflects the consideration to which the entity expects to be entitled in exchange for those goods or services.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of this guidance on its results of operations and financial position. Based on the Company’s analysis of all sources of revenue from customers for the six months ended June 30, 2017, the Company estimated that less than 4% of consolidated revenue, primarily related to software development professional services, would likely be deferred and recognized over future periods under the new standard. The Company will continue to analyze the impact of this guidance and refine the estimated impact on its results of operations and financial position.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will require equity investments (except those accounted for under the equity method of accounting or those that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15, 2017, including interim periods within that reporting period. Early adoption is not permitted. Based on the Company’s preliminary analysis of this guidance, upon adoption of ASU No. 2016-01 the Company will reflect changes in the fair value of its available for sale securities in income. These changes in fair value are currently reflected in other comprehensive income. The Company will continue to analyze the impact of this guidance and refine the estimated impact on its results of operations and financial position.</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of this guidance on its results of operations and financial position. Based on the Company’s preliminary analysis of its lease arrangements as of June 30, 2017 where the Company is a lessee, less than $30.0 million, primarily related to office leases, would be recorded as right-of-use assets and lease liabilities on the Company’s balance sheet under the new standard. The Company will continue to analyze the impact of this guidance and refine the estimated impact on its results of operations and financial position.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This standard clarifies guidance on principal versus agent considerations in connection with revenue recognition. When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is involved in providing goods or services to a customer, an entity is required to determine whether the nature of its promise is to provide the specified good or service itself (that is, the entity is a principal) or to arrange for that good or service to be provided by the other party (that is, the entity is an agent). An entity is a principal if it controls the specified good or service before that good or service is transferred to a customer. The guidance includes indicators to assist an entity in determining whether it controls a specified good or service before it is transferred to the customer.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described above.</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This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described above.</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2016, the FASB issued ASU No. 2016-12, </w:t>
      </w:r>
      <w:r>
        <w:rPr>
          <w:rFonts w:ascii="Arial" w:cs="Arial" w:eastAsia="Arial" w:hAnsi="Arial"/>
          <w:sz w:val="17"/>
          <w:szCs w:val="17"/>
          <w:i w:val="1"/>
          <w:iCs w:val="1"/>
          <w:color w:val="auto"/>
        </w:rPr>
        <w:t>Revenue from Contracts with Customers (Topic 606): Narrow-Scope Improvements and Practical</w:t>
      </w:r>
      <w:r>
        <w:rPr>
          <w:rFonts w:ascii="Arial" w:cs="Arial" w:eastAsia="Arial" w:hAnsi="Arial"/>
          <w:sz w:val="17"/>
          <w:szCs w:val="17"/>
          <w:color w:val="auto"/>
        </w:rPr>
        <w:t xml:space="preserve"> </w:t>
      </w:r>
      <w:r>
        <w:rPr>
          <w:rFonts w:ascii="Arial" w:cs="Arial" w:eastAsia="Arial" w:hAnsi="Arial"/>
          <w:sz w:val="17"/>
          <w:szCs w:val="17"/>
          <w:i w:val="1"/>
          <w:iCs w:val="1"/>
          <w:color w:val="auto"/>
        </w:rPr>
        <w:t>Expedients</w:t>
      </w:r>
      <w:r>
        <w:rPr>
          <w:rFonts w:ascii="Arial" w:cs="Arial" w:eastAsia="Arial" w:hAnsi="Arial"/>
          <w:sz w:val="17"/>
          <w:szCs w:val="17"/>
          <w:color w:val="auto"/>
        </w:rPr>
        <w:t>. This standard addresses collectability, sales taxes and other similar taxes collected from customers, non-cash consideration,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modifications at transition and completed contracts at transition.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 described above.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This standard addresses eight specific cash flow issues with the objective of reducing the existing diversity in practice.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statement of cash flows.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will require that companies recognize the income tax consequences of an intra-entity transfer of an asset (other than inventory) when the transfer occurs. Current guidance prohibits companies from recognizing current and deferred income taxes for an intra-entity asset transfer until the asset has been sold to an outside party.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results of operations and financial position.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This standard will require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statement of cash flows. As of June 30, 2017 and December 31, 2016, restricted cash was $4.4 million and $4.1 million, respectively.</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December 2016, the FASB issued ASU No. 2016-20, </w:t>
      </w:r>
      <w:r>
        <w:rPr>
          <w:rFonts w:ascii="Arial" w:cs="Arial" w:eastAsia="Arial" w:hAnsi="Arial"/>
          <w:sz w:val="16"/>
          <w:szCs w:val="16"/>
          <w:i w:val="1"/>
          <w:iCs w:val="1"/>
          <w:color w:val="auto"/>
        </w:rPr>
        <w:t>Technical Corrections and Improvements to Topic 606, Revenue from Contracts with Customers</w:t>
      </w:r>
      <w:r>
        <w:rPr>
          <w:rFonts w:ascii="Arial" w:cs="Arial" w:eastAsia="Arial" w:hAnsi="Arial"/>
          <w:sz w:val="16"/>
          <w:szCs w:val="16"/>
          <w:color w:val="auto"/>
        </w:rPr>
        <w:t xml:space="preserve">. The FASB issued 13 technical corrections and improvements to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including providing optional exemptions from the disclosure requirement for remaining performance obligations for specific situations in which an entity need not estimate variable consideration to recognize revenue. The amendments in this standard also expand the information that is required to be disclosed when an entity applies one of the optional exemptions. This standard will be effective for annual periods beginning after December 15, 2017, including interim</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described above.</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This standard will be effective for annual periods beginning after December 15, 2017, including interim periods within that reporting period. The Company is currently evaluating the impact this guidance may have on its consolidated financial statements.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Asset Derecognition Guidance and Accounting for Partial Sales of Nonfinancial Assets</w:t>
      </w:r>
      <w:r>
        <w:rPr>
          <w:rFonts w:ascii="Arial" w:cs="Arial" w:eastAsia="Arial" w:hAnsi="Arial"/>
          <w:sz w:val="17"/>
          <w:szCs w:val="17"/>
          <w:color w:val="auto"/>
        </w:rPr>
        <w:t>. This standard was issued to clarify the scope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Subtopic 610-20, </w:t>
      </w:r>
      <w:r>
        <w:rPr>
          <w:rFonts w:ascii="Arial" w:cs="Arial" w:eastAsia="Arial" w:hAnsi="Arial"/>
          <w:sz w:val="17"/>
          <w:szCs w:val="17"/>
          <w:i w:val="1"/>
          <w:iCs w:val="1"/>
          <w:color w:val="auto"/>
        </w:rPr>
        <w:t>Other Income-Gains and Losses from the Derecognition of Nonfinancial Assets</w:t>
      </w:r>
      <w:r>
        <w:rPr>
          <w:rFonts w:ascii="Arial" w:cs="Arial" w:eastAsia="Arial" w:hAnsi="Arial"/>
          <w:sz w:val="17"/>
          <w:szCs w:val="17"/>
          <w:color w:val="auto"/>
        </w:rPr>
        <w:t>, and to add guidance for partial sales of nonfinancial assets. Subtopic 610-20 provides guidance for recognizing gains and losses from the transfer of nonfinancial assets in contracts with noncustomers. This standard will be effective for annual periods beginning after December 15, 2017, including interim periods within that reporting period. Early adoption is permitted, although not prior to annual periods beginning after December 15, 2016. The Company currently does not expect the adoption of this guidance to have a material effect on its results of operations and financial position.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ASU No. 2017-09, C</w:t>
      </w:r>
      <w:r>
        <w:rPr>
          <w:rFonts w:ascii="Arial" w:cs="Arial" w:eastAsia="Arial" w:hAnsi="Arial"/>
          <w:sz w:val="18"/>
          <w:szCs w:val="18"/>
          <w:i w:val="1"/>
          <w:iCs w:val="1"/>
          <w:color w:val="auto"/>
        </w:rPr>
        <w:t>ompensation—Stock Compensation (Topic 718): Scope of Modification Accounting</w:t>
      </w:r>
      <w:r>
        <w:rPr>
          <w:rFonts w:ascii="Arial" w:cs="Arial" w:eastAsia="Arial" w:hAnsi="Arial"/>
          <w:sz w:val="18"/>
          <w:szCs w:val="18"/>
          <w:color w:val="auto"/>
        </w:rPr>
        <w:t>. This standard provides guidance about which changes to the terms or conditions of a share-based payment award require the application of modification accounting. This standard will require companies to continue to apply modification accounting, unless the fair value, vesting conditions and classification of an award all do not change as a result of the modification. This standard will be effective for annual periods beginning after December 15, 2017, including interim periods within that reporting period. Early adoption is permitted. The Company currently does not expect the adoption of this guidance to have a material effect on its results of operations and financial position.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Financial Corporation (“Ocwen”) is our largest customer. Ocwen purchases certain mortgage services and technology services from us under the terms of master services agreements and amendments thereto (collectively, the “Ocwen Service Agreements”) with terms extending through August 2025. Certain of the Ocwen Service Agreements, among other things, contain a “most favored nation” provision and also grant the parties the right to renegotiate pricing. Certain of the Ocwen Service Agreements also prohibit Ocwen from establishing fee-based businesses that would directly or indirectly compete with Altisource’s services with respect to the Homeward Residential, Inc. and Residential Capital, LLC servicing portfolios acquired by Ocwen in December 2012 and February 2013, respectively. In addition, Ocwen purchases certain origination services from Altisource under an agreement that continues until January 23, 2019, but which is subject to a 90 day termination right by Ocwen.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6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1"/>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800" w:type="dxa"/>
            <w:vAlign w:val="bottom"/>
          </w:tcPr>
          <w:p>
            <w:pPr>
              <w:spacing w:after="0"/>
              <w:rPr>
                <w:sz w:val="14"/>
                <w:szCs w:val="14"/>
                <w:color w:val="auto"/>
              </w:rPr>
            </w:pPr>
          </w:p>
        </w:tc>
      </w:tr>
      <w:tr>
        <w:trPr>
          <w:trHeight w:val="192"/>
        </w:trPr>
        <w:tc>
          <w:tcPr>
            <w:tcW w:w="59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760" w:type="dxa"/>
            <w:vAlign w:val="bottom"/>
            <w:gridSpan w:val="2"/>
          </w:tcPr>
          <w:p>
            <w:pPr>
              <w:ind w:left="6400"/>
              <w:spacing w:after="0"/>
              <w:rPr>
                <w:sz w:val="20"/>
                <w:szCs w:val="20"/>
                <w:color w:val="auto"/>
              </w:rPr>
            </w:pPr>
            <w:r>
              <w:rPr>
                <w:rFonts w:ascii="Arial" w:cs="Arial" w:eastAsia="Arial" w:hAnsi="Arial"/>
                <w:sz w:val="14"/>
                <w:szCs w:val="14"/>
                <w:b w:val="1"/>
                <w:bCs w:val="1"/>
                <w:color w:val="auto"/>
              </w:rPr>
              <w:t>2017</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ind w:right="434"/>
              <w:spacing w:after="0"/>
              <w:rPr>
                <w:sz w:val="20"/>
                <w:szCs w:val="20"/>
                <w:color w:val="auto"/>
              </w:rPr>
            </w:pPr>
            <w:r>
              <w:rPr>
                <w:rFonts w:ascii="Arial" w:cs="Arial" w:eastAsia="Arial" w:hAnsi="Arial"/>
                <w:sz w:val="14"/>
                <w:szCs w:val="14"/>
                <w:b w:val="1"/>
                <w:bCs w:val="1"/>
                <w:color w:val="auto"/>
                <w:w w:val="83"/>
              </w:rPr>
              <w:t>2016</w:t>
            </w:r>
          </w:p>
        </w:tc>
      </w:tr>
      <w:tr>
        <w:trPr>
          <w:trHeight w:val="270"/>
        </w:trPr>
        <w:tc>
          <w:tcPr>
            <w:tcW w:w="59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six months ended June 30, 2017 and 2016, we generated revenue from Ocwen of $285.6 million and $280.7 million, respectively ($144.2 million and $140.5 million for the second quarter of 2017 and 2016, respectively). Services provided to Ocwen during such periods and reported in the Mortgage Market segment included real estate asset management and sales, residential property valuation, trustee management services, property preservation and inspection services, insurance services, mortgage charge-off collections and software applications. Services provided to Ocwen and reported in the Real Estate Market segment included rental property management. Services provided to Ocwen and reported as Other Businesses, Corporate and Eliminations included information technology (“IT”) infrastructure management. As of June 30, 2017, accounts receivable from Ocwen totaled $23.8 million, $18.1 million of which was billed and $5.7 million of which was unbilled. As of December 31, 2016, accounts receivable from Ocwen totaled $26.2 million, $15.8 million of which was billed and $10.4 million of which was unbilled.</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by Ocwen when a party other than Ocwen selects Altisource as the service provider. For the six months ended June 30, 2017 and 2016, we recognized revenue of $82.9 million and $98.0 million, respectively ($41.2 million and $51.3 million for the second quarter of 2017 and 2016, respectively), related to the portfolios serviced by Ocwen when a party other than Ocwen selected Altisource as the service provider. These amounts are not included in deriving revenue from Ocwen as a percentage of revenue in the table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Acquisition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2016, we acquired certain assets and assumed certain liabilities of Granite Loan Management of Delaware, LLC (“Granite”) for $9.5 million in cash. Granite provides residential and commercial loan disbursement processing, risk mitigation and construction inspection services to lenders. The Granite acquisition is not material in relation to the Company’s results of operations or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62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Premises and equipment, net</w:t>
            </w:r>
          </w:p>
        </w:tc>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5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6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9,548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AVAILABLE FOR SALE SECURITIES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2016, we purchased 4.1 million shares of Altisource Residential Corporation (“Residential”) common stock for $48.2 million. This investment is classified as available for sale and reflected in the condensed consolidated balance sheets at fair value at the respective balance sheet dates ($53.6 million as of June 30, 2017 and $45.8 million as of December 31, 2016). Unrealized gains and losses 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 During the six months ended June 30, 2017 and 2016, we earned dividends of $1.2 million and $1.0 million, respectively ($0.6 million and $1.0 million for the second quarter of 2017 and 2016, respectively), related to this investment. In addition, during the six months ended June 30, 2016, we incurred expenses of $3.4 million (no comparative amount in 2017) related to this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58,392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39,853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98,245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72,977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87,821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consist primarily of certain real estate asset management and sales services for which we generally recognize revenue when the service is provided but collect upon closing of the sale, and default management services, for which we generally recognize revenues over the service delivery period but bill following completion of the service. We also include amounts in unbilled receivables that are earned during a month and billed in the following month.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4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Short-term investments in real estate</w:t>
            </w: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 insurance recovery</w:t>
            </w:r>
          </w:p>
        </w:tc>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00" w:type="dxa"/>
            <w:vAlign w:val="bottom"/>
          </w:tcPr>
          <w:p>
            <w:pPr>
              <w:ind w:left="40"/>
              <w:spacing w:after="0"/>
              <w:rPr>
                <w:sz w:val="20"/>
                <w:szCs w:val="20"/>
                <w:color w:val="auto"/>
              </w:rPr>
            </w:pPr>
            <w:r>
              <w:rPr>
                <w:rFonts w:ascii="Arial" w:cs="Arial" w:eastAsia="Arial" w:hAnsi="Arial"/>
                <w:sz w:val="18"/>
                <w:szCs w:val="18"/>
                <w:color w:val="auto"/>
              </w:rPr>
              <w:t>Total</w:t>
            </w:r>
          </w:p>
        </w:tc>
        <w:tc>
          <w:tcPr>
            <w:tcW w:w="4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49,419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940" w:type="dxa"/>
            <w:vAlign w:val="bottom"/>
            <w:vMerge w:val="restart"/>
          </w:tcPr>
          <w:p>
            <w:pPr>
              <w:jc w:val="right"/>
              <w:ind w:right="23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PREMISES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111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728"/>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320" w:type="dxa"/>
            <w:vAlign w:val="bottom"/>
          </w:tcPr>
          <w:p>
            <w:pPr>
              <w:jc w:val="right"/>
              <w:ind w:right="828"/>
              <w:spacing w:after="0"/>
              <w:rPr>
                <w:sz w:val="20"/>
                <w:szCs w:val="20"/>
                <w:color w:val="auto"/>
              </w:rPr>
            </w:pPr>
            <w:r>
              <w:rPr>
                <w:rFonts w:ascii="Arial" w:cs="Arial" w:eastAsia="Arial" w:hAnsi="Arial"/>
                <w:sz w:val="14"/>
                <w:szCs w:val="14"/>
                <w:b w:val="1"/>
                <w:bCs w:val="1"/>
                <w:color w:val="auto"/>
              </w:rPr>
              <w:t>2017</w:t>
            </w: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wp:posOffset>
            </wp:positionV>
            <wp:extent cx="926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320"/>
            <w:col w:w="280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172,535</w:t>
            </w: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164,877</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Office equipment and other</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13,279</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20,188</w:t>
            </w:r>
          </w:p>
        </w:tc>
      </w:tr>
      <w:tr>
        <w:trPr>
          <w:trHeight w:val="27"/>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w:t>
            </w: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13,997</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33,019</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33,808</w:t>
            </w:r>
          </w:p>
        </w:tc>
      </w:tr>
      <w:tr>
        <w:trPr>
          <w:trHeight w:val="27"/>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232,728</w:t>
            </w: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232,870</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(145,668) —</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(129,397)</w:t>
            </w:r>
          </w:p>
        </w:tc>
      </w:tr>
      <w:tr>
        <w:trPr>
          <w:trHeight w:val="27"/>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87,060</w:t>
            </w:r>
          </w:p>
        </w:tc>
        <w:tc>
          <w:tcPr>
            <w:tcW w:w="3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103,473</w:t>
            </w:r>
          </w:p>
        </w:tc>
      </w:tr>
      <w:tr>
        <w:trPr>
          <w:trHeight w:val="20"/>
        </w:trPr>
        <w:tc>
          <w:tcPr>
            <w:tcW w:w="8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expense amounted to $18.9 million and $18.3 million for the six months ended June 30, 2017 and 2016, respectively ($8.9 million and $9.1 million for the second quarter of 2017 and 2016, respectively), and is included in cost of revenue for operating assets and in selling, general and administrative expenses for non-operating assets in the accompanying condensed consolidated statements of operations and comprehensive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Other Businesses,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2"/>
                <w:szCs w:val="12"/>
                <w:color w:val="auto"/>
              </w:rPr>
            </w:pPr>
          </w:p>
        </w:tc>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1"/>
              </w:rPr>
              <w:t>Balance as of June 30, 2017 and December 31, 2016</w:t>
            </w: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73,259</w:t>
            </w: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10,056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80" w:type="dxa"/>
            <w:vAlign w:val="bottom"/>
            <w:gridSpan w:val="4"/>
          </w:tcPr>
          <w:p>
            <w:pPr>
              <w:spacing w:after="0"/>
              <w:rPr>
                <w:sz w:val="20"/>
                <w:szCs w:val="20"/>
                <w:color w:val="auto"/>
              </w:rPr>
            </w:pPr>
            <w:r>
              <w:rPr>
                <w:rFonts w:ascii="Arial" w:cs="Arial" w:eastAsia="Arial" w:hAnsi="Arial"/>
                <w:sz w:val="18"/>
                <w:szCs w:val="18"/>
                <w:color w:val="auto"/>
              </w:rPr>
              <w:t>Intangible assets, net consist of the following:</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24"/>
                <w:szCs w:val="24"/>
                <w:color w:val="auto"/>
              </w:rPr>
            </w:pPr>
          </w:p>
        </w:tc>
        <w:tc>
          <w:tcPr>
            <w:tcW w:w="238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24"/>
                <w:szCs w:val="24"/>
                <w:color w:val="auto"/>
              </w:rPr>
            </w:pPr>
          </w:p>
        </w:tc>
        <w:tc>
          <w:tcPr>
            <w:tcW w:w="2360" w:type="dxa"/>
            <w:vAlign w:val="bottom"/>
            <w:gridSpan w:val="11"/>
            <w:vMerge w:val="restart"/>
          </w:tcPr>
          <w:p>
            <w:pPr>
              <w:ind w:left="200"/>
              <w:spacing w:after="0"/>
              <w:rPr>
                <w:sz w:val="20"/>
                <w:szCs w:val="20"/>
                <w:color w:val="auto"/>
              </w:rPr>
            </w:pPr>
            <w:r>
              <w:rPr>
                <w:rFonts w:ascii="Arial" w:cs="Arial" w:eastAsia="Arial" w:hAnsi="Arial"/>
                <w:sz w:val="14"/>
                <w:szCs w:val="14"/>
                <w:b w:val="1"/>
                <w:bCs w:val="1"/>
                <w:color w:val="auto"/>
              </w:rPr>
              <w:t>Accumulated amortization</w:t>
            </w:r>
          </w:p>
        </w:tc>
        <w:tc>
          <w:tcPr>
            <w:tcW w:w="240" w:type="dxa"/>
            <w:vAlign w:val="bottom"/>
          </w:tcPr>
          <w:p>
            <w:pPr>
              <w:spacing w:after="0"/>
              <w:rPr>
                <w:sz w:val="24"/>
                <w:szCs w:val="24"/>
                <w:color w:val="auto"/>
              </w:rPr>
            </w:pPr>
          </w:p>
        </w:tc>
        <w:tc>
          <w:tcPr>
            <w:tcW w:w="2260" w:type="dxa"/>
            <w:vAlign w:val="bottom"/>
            <w:gridSpan w:val="7"/>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38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11"/>
            <w:vMerge w:val="continue"/>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8"/>
                <w:szCs w:val="8"/>
                <w:color w:val="auto"/>
              </w:rPr>
            </w:pPr>
          </w:p>
        </w:tc>
        <w:tc>
          <w:tcPr>
            <w:tcW w:w="112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8"/>
                <w:szCs w:val="8"/>
                <w:color w:val="auto"/>
              </w:rPr>
            </w:pPr>
          </w:p>
        </w:tc>
        <w:tc>
          <w:tcPr>
            <w:tcW w:w="11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8"/>
                <w:szCs w:val="8"/>
                <w:color w:val="auto"/>
              </w:rPr>
            </w:pP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8"/>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7,026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related intangible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(173,452)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(156,980)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104,376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(12,982)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22,896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333,787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(196,894)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(178,355)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136,893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155,432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$18.5 million and $25.0 million for the six months ended June 30, 2017 and 2016, respectively ($9.4 million and $12.8 million for the second quarter of 2017 and 2016, respectively). Expected annual definite lived intangible asset amortization for 2017 through 2021 is $33.8 million, $26.2 million, $21.8 million, $18.2 million and $13.3 million, respectively.</w:t>
      </w:r>
    </w:p>
    <w:p>
      <w:pPr>
        <w:sectPr>
          <w:pgSz w:w="11900" w:h="16838" w:orient="portrait"/>
          <w:cols w:equalWidth="0" w:num="1">
            <w:col w:w="11420"/>
          </w:cols>
          <w:pgMar w:left="240" w:top="125" w:right="239"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26,426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75,162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83,135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10,520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LONG-TERM DEBT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479,653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445,431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473,545</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439,486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467,600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are guarantors of the term loan (collectively, the “Guarantors”). We subsequently entered into three amendments to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w:t>
      </w:r>
    </w:p>
    <w:p>
      <w:pPr>
        <w:sectPr>
          <w:pgSz w:w="11900" w:h="16838" w:orient="portrait"/>
          <w:cols w:equalWidth="0" w:num="1">
            <w:col w:w="11420"/>
          </w:cols>
          <w:pgMar w:left="240" w:top="125" w:right="239"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senior secured term loan agreement; other capitalized terms, unless defined herein, are defined in the senior secured term loan agreement).</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w:t>
      </w:r>
    </w:p>
    <w:p>
      <w:pPr>
        <w:jc w:val="both"/>
        <w:ind w:firstLine="8"/>
        <w:spacing w:after="0" w:line="255"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agreement (the percentage increases if the leverage ratio exceeds 3.50 to 1.00). No mandatory prepayments were owed for the six months ended June 30, 2017.</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2017, we repurchased portions of our senior secured term loan with an aggregate par value of $26.0 million at a weighted average discount of 16.5%, recognizing a net gain of $3.9 million on the early extinguishment of debt. In the second quarter of 2016, we repurchased portions of our senior secured term loan with an aggregate par value of $51.0 million at a weighted average discount of 13.2%, recognizing a net gain of $5.5 million on the early extinguishment of debt. The net gains were included in other income (expense), net in the condensed consolidated statements of operations and comprehensive income.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June 30, 2017 was 4.72%.</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2017, debt issuance costs were $3.8 million, net of $6.4 million of accumulated amortization. As of December 31, 2016, debt issuance costs were $4.5 million, net of $5.8 million of accumulated amortization.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ind w:right="4080"/>
        <w:spacing w:after="0" w:line="470" w:lineRule="auto"/>
        <w:rPr>
          <w:sz w:val="20"/>
          <w:szCs w:val="20"/>
          <w:color w:val="auto"/>
        </w:rPr>
      </w:pPr>
      <w:r>
        <w:rPr>
          <w:rFonts w:ascii="Arial" w:cs="Arial" w:eastAsia="Arial" w:hAnsi="Arial"/>
          <w:sz w:val="18"/>
          <w:szCs w:val="18"/>
          <w:b w:val="1"/>
          <w:bCs w:val="1"/>
          <w:color w:val="auto"/>
        </w:rPr>
        <w:t xml:space="preserve">NOTE 12 — OTHER NON-CURRENT LIABILITIES </w:t>
      </w:r>
      <w:r>
        <w:rPr>
          <w:rFonts w:ascii="Arial" w:cs="Arial" w:eastAsia="Arial" w:hAnsi="Arial"/>
          <w:sz w:val="18"/>
          <w:szCs w:val="18"/>
          <w:color w:val="auto"/>
        </w:rPr>
        <w:t>Other non-current liabilities consist of the following:</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4,800</w:t>
            </w:r>
          </w:p>
        </w:tc>
      </w:tr>
      <w:tr>
        <w:trPr>
          <w:trHeight w:val="27"/>
        </w:trPr>
        <w:tc>
          <w:tcPr>
            <w:tcW w:w="8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8,906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10,480</w:t>
            </w: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and acquisition contingent consideration liabilities as of June 30, 2017 and December 31, 2016.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June 30, 2017</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2016</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114,205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114,205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Available for sale securities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Acquisition contingent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consideration</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450,648</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392,064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479,653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474,856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 due to the highly liquid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for sale securities are carried at fair value and consist of 4.1 million shares of Residential common stock. Available for sale securities are measured using Level 1 inputs as these securities have quoted prices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liabilities for contingent consideration are reflected at fair value and adjusted each reporting period with the change in fair value recognized in earnings. Liabilities for acquisition related contingent consideration were recorded in connection with acquisitions in prior years.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the largest portion of its revenues from Ocwen (see Note 2 for additional information on Ocwen revenues and accounts receivable balance). The Company mitigates its concentrations of credit risk with respect to accounts receivable by actively monitoring past due accounts and the economic status of customers, if known.</w:t>
      </w:r>
    </w:p>
    <w:p>
      <w:pPr>
        <w:sectPr>
          <w:pgSz w:w="11900" w:h="16838" w:orient="portrait"/>
          <w:cols w:equalWidth="0" w:num="1">
            <w:col w:w="11420"/>
          </w:cols>
          <w:pgMar w:left="240" w:top="125" w:right="239" w:bottom="1440" w:gutter="0" w:footer="0" w:header="0"/>
          <w:type w:val="continuous"/>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17, 2017, our shareholders approved the renewal of the share repurchase program originally approved by the shareholders on May 18, 2016, which replaced the previous share repurchase program. Under the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Under the existing and prior programs, we purchased 0.8 million shares of common stock at an average price of $22.15 per share during the six months ended June 30, 2017 and 0.8 million shares at an average price of $25.79 per share during the six months ended June 30, 2016 (0.4 million shares at an average price of $19.17 per share for the second quarter of 2017 and 0.3 million shares at an average price of $26.74 per share for the second quarter of 2016). As of June 30, 2017, approximately 4.2 million shares of common stock remain available for repurchase under the program. Our senior secured term loan limits the amount we can spend on share repurchases, which was approximately $347 million as of June 30, 2017, and may prevent repurchases in certain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issue share-based awards in the form of stock options and restricted shares for certain employees, officers and directors. We recorded share-based compensation expense of $1.9 million and $3.6 million for the six months ended June 30, 2017 and 2016, respectively ($1.2 million and $1.7 million for the second quarter of 2017 and 2016, respectively). As of June 30, 2017, estimated unrecognized compensation costs related to share-based awards amounted to $9.2 million, which we expect to recognize over a weighted average remaining requisite service period of approximately 2.15 years.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connection with the January 1, 2017 adoption of FASB ASU No. 2016-09, </w:t>
      </w:r>
      <w:r>
        <w:rPr>
          <w:rFonts w:ascii="Arial" w:cs="Arial" w:eastAsia="Arial" w:hAnsi="Arial"/>
          <w:sz w:val="17"/>
          <w:szCs w:val="17"/>
          <w:i w:val="1"/>
          <w:iCs w:val="1"/>
          <w:color w:val="auto"/>
        </w:rPr>
        <w:t>Compensation - 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(see Note 1), the Company made an accounting policy election to account for forfeitures in compensation expense as they</w:t>
      </w:r>
      <w:r>
        <w:rPr>
          <w:rFonts w:ascii="Arial" w:cs="Arial" w:eastAsia="Arial" w:hAnsi="Arial"/>
          <w:sz w:val="17"/>
          <w:szCs w:val="17"/>
          <w:i w:val="1"/>
          <w:iCs w:val="1"/>
          <w:color w:val="auto"/>
        </w:rPr>
        <w:t xml:space="preserve"> </w:t>
      </w:r>
      <w:r>
        <w:rPr>
          <w:rFonts w:ascii="Arial" w:cs="Arial" w:eastAsia="Arial" w:hAnsi="Arial"/>
          <w:sz w:val="17"/>
          <w:szCs w:val="17"/>
          <w:color w:val="auto"/>
        </w:rPr>
        <w:t>occur, rather than continuing to apply the Company’s previous policy of estimating forfeitures. Prior to this accounting change, share-based compensation expense for stock options and restricted shares was recorded net of estimated forfeiture rates ranging from 0% to 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cliff-vesting and expire on the earlier of ten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or following termination of service. A total of 792 thousand service-based awards were outstanding as of June 30, 2017.</w:t>
      </w:r>
    </w:p>
    <w:p>
      <w:pPr>
        <w:spacing w:after="0" w:line="9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generally have two components, each of which vests only upon the achievement of certain criteria.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945 thousand market-based awards were outstanding as of June 30, 2017.</w:t>
      </w:r>
    </w:p>
    <w:p>
      <w:pPr>
        <w:spacing w:after="0" w:line="14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begin to vest upon the achievement of certain specific financial measures. Generally, one-third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vest upon the achievement of the performance criteria and one-third vest on each anniversary of the grant date, or for certain other financial measures cliff-vest upon the achievement of the specific performance during the period from 2017 through 2021. The award of performance-based options is adjusted based on the level of achievement specified in the award agreements. If the performance criteria achieved is above threshold performance levels, participants have the opportunity to vest in 70% to 150% of the option grants, depending upon performance achieved. If the performance criteria achieved is below a certain threshold, the award is canceled. The options expire on the earlier of ten years after the date of grant or following termination of service. There were 126 thousand performance-based awards outstanding as of June 30, 2017.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129 thousand stock options (at a weighted average exercise price of $39.13 per share) and 94 thousand stock options (at a weighted average exercise price of $27.43 per share) during the six months ended June 30, 2017 and 2016,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60" w:type="dxa"/>
            <w:vAlign w:val="bottom"/>
            <w:gridSpan w:val="4"/>
          </w:tcPr>
          <w:p>
            <w:pPr>
              <w:ind w:left="1140"/>
              <w:spacing w:after="0"/>
              <w:rPr>
                <w:sz w:val="20"/>
                <w:szCs w:val="20"/>
                <w:color w:val="auto"/>
              </w:rPr>
            </w:pPr>
            <w:r>
              <w:rPr>
                <w:rFonts w:ascii="Arial" w:cs="Arial" w:eastAsia="Arial" w:hAnsi="Arial"/>
                <w:sz w:val="14"/>
                <w:szCs w:val="14"/>
                <w:b w:val="1"/>
                <w:bCs w:val="1"/>
                <w:color w:val="auto"/>
              </w:rPr>
              <w:t>Six months ended</w:t>
            </w:r>
          </w:p>
        </w:tc>
        <w:tc>
          <w:tcPr>
            <w:tcW w:w="3260" w:type="dxa"/>
            <w:vAlign w:val="bottom"/>
            <w:gridSpan w:val="3"/>
          </w:tcPr>
          <w:p>
            <w:pPr>
              <w:jc w:val="right"/>
              <w:ind w:right="99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1133"/>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1093"/>
              <w:spacing w:after="0"/>
              <w:rPr>
                <w:sz w:val="20"/>
                <w:szCs w:val="20"/>
                <w:color w:val="auto"/>
              </w:rPr>
            </w:pPr>
            <w:r>
              <w:rPr>
                <w:rFonts w:ascii="Arial" w:cs="Arial" w:eastAsia="Arial" w:hAnsi="Arial"/>
                <w:sz w:val="14"/>
                <w:szCs w:val="14"/>
                <w:b w:val="1"/>
                <w:bCs w:val="1"/>
                <w:color w:val="auto"/>
              </w:rPr>
              <w:t>June 30, 2016</w:t>
            </w:r>
          </w:p>
        </w:tc>
      </w:tr>
      <w:tr>
        <w:trPr>
          <w:trHeight w:val="264"/>
        </w:trPr>
        <w:tc>
          <w:tcPr>
            <w:tcW w:w="4700" w:type="dxa"/>
            <w:vAlign w:val="bottom"/>
          </w:tcPr>
          <w:p>
            <w:pPr>
              <w:spacing w:after="0"/>
              <w:rPr>
                <w:sz w:val="22"/>
                <w:szCs w:val="22"/>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Black-Scholes</w:t>
            </w:r>
          </w:p>
        </w:tc>
        <w:tc>
          <w:tcPr>
            <w:tcW w:w="1720" w:type="dxa"/>
            <w:vAlign w:val="bottom"/>
            <w:gridSpan w:val="2"/>
          </w:tcPr>
          <w:p>
            <w:pPr>
              <w:ind w:left="520"/>
              <w:spacing w:after="0"/>
              <w:rPr>
                <w:sz w:val="20"/>
                <w:szCs w:val="20"/>
                <w:color w:val="auto"/>
              </w:rPr>
            </w:pPr>
            <w:r>
              <w:rPr>
                <w:rFonts w:ascii="Arial" w:cs="Arial" w:eastAsia="Arial" w:hAnsi="Arial"/>
                <w:sz w:val="14"/>
                <w:szCs w:val="14"/>
                <w:b w:val="1"/>
                <w:bCs w:val="1"/>
                <w:color w:val="auto"/>
              </w:rPr>
              <w:t>Binomial</w:t>
            </w: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Black-Scholes</w:t>
            </w:r>
          </w:p>
        </w:tc>
        <w:tc>
          <w:tcPr>
            <w:tcW w:w="1580" w:type="dxa"/>
            <w:vAlign w:val="bottom"/>
          </w:tcPr>
          <w:p>
            <w:pPr>
              <w:jc w:val="right"/>
              <w:ind w:right="41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47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2.06 - 2.29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0.77 - 2.38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1.25 - 1.89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0.23 - 1.97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61.49 - 66.68</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59.75 - 62.14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59.76 - 62.14</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6.00 - 7.50</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3.53 - 3.85</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6.00 - 6.25</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4.54 - 4.88</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$23.91 - $24.80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$23.54 - $24.30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$11.15 - $17.09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$11.06 - $17.58</w:t>
            </w:r>
          </w:p>
        </w:tc>
      </w:tr>
      <w:tr>
        <w:trPr>
          <w:trHeight w:val="27"/>
        </w:trPr>
        <w:tc>
          <w:tcPr>
            <w:tcW w:w="4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60" w:type="dxa"/>
            <w:vAlign w:val="bottom"/>
          </w:tcPr>
          <w:p>
            <w:pPr>
              <w:spacing w:after="0"/>
              <w:rPr>
                <w:sz w:val="22"/>
                <w:szCs w:val="22"/>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 options granted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2,010</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1,996,509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128,630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(200,316)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1,862,591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9,075</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June 30,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1,286,618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through August 29, 2016, Equity Appreciation Rights (“EAR”). Effective August 29, 2016, the EAR plans were terminated.</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restricted shares are composed of a combination of service-based awards and performance-based awards. Service-based awards generally vest over one to four years with either annual cliff-vesting, vesting of all of the restricted shares at the end of the vesting period or vesting beginning after two years of service. A total of 221 thousand service-based awards were outstanding as of June 30, 2017. Performance-based awards generally begin to vest upon the achievement of certain specific financial measures. Generally, one-third of the awards vest upon the achievement of the performance criteria and one-third vest on each anniversary of the grant date. The award of performance-based restricted shares is adjusted based on the level of achievement specified in the award agreements. If the performance criteria achieved is above threshold performance levels, participants have the opportunity</w:t>
      </w:r>
    </w:p>
    <w:p>
      <w:pPr>
        <w:sectPr>
          <w:pgSz w:w="11900" w:h="16838" w:orient="portrait"/>
          <w:cols w:equalWidth="0" w:num="1">
            <w:col w:w="11420"/>
          </w:cols>
          <w:pgMar w:left="240" w:top="125"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vest in 80% to 150% of the restricted share award, depending on performance achieved. If the performance criteria achieved is below a certain threshold, the award is canceled. A total of 39 thousand performance-based awards were outstanding as of June 30, 2017. The Company granted 121 thousand restricted shares (at a weighted average price of $33.65 per share) during the six months ended June 30,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restricted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shares</w:t>
            </w: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231,730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120,842</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(56,511)</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260,389</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includes service revenue,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not owned by Altisource, and is included in revenue and reduced from net income to arrive at net income attributable to Altisource (see Note 1). The components of revenue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238,107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467,946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475,604</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11,891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21,920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29,237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w:t>
            </w: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250,685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255,799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491,168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505,931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and operations roles, fees paid to external providers related to the provision of services and the cost of sales of short-term investments in real estate, reimbursable expenses, technology and telecommunications costs as well as depreciation and amortization of operating assets. The components of cost of revenue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134,836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93,369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73,326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179,263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145,129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29,237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10,941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22,292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20,643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13,389</w:t>
            </w: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185,393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174,371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363,346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343,234</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occupancy costs, professional fees,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2300" w:type="dxa"/>
            <w:vAlign w:val="bottom"/>
            <w:gridSpan w:val="5"/>
          </w:tcPr>
          <w:p>
            <w:pPr>
              <w:jc w:val="center"/>
              <w:ind w:right="192"/>
              <w:spacing w:after="0"/>
              <w:rPr>
                <w:sz w:val="20"/>
                <w:szCs w:val="20"/>
                <w:color w:val="auto"/>
              </w:rPr>
            </w:pPr>
            <w:r>
              <w:rPr>
                <w:rFonts w:ascii="Arial" w:cs="Arial" w:eastAsia="Arial" w:hAnsi="Arial"/>
                <w:sz w:val="14"/>
                <w:szCs w:val="14"/>
                <w:b w:val="1"/>
                <w:bCs w:val="1"/>
                <w:color w:val="auto"/>
                <w:w w:val="91"/>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556"/>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55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Occupancy related costs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9,538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19,811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4,367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8,097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4,782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4,957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7,573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12,929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52,470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54,207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100,171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107,823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18 — OTHER INCOME (EXPENSE), NET</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Arial" w:cs="Arial" w:eastAsia="Arial" w:hAnsi="Arial"/>
                <w:sz w:val="18"/>
                <w:szCs w:val="18"/>
                <w:color w:val="auto"/>
              </w:rPr>
              <w:t>Other income (expense), net consists of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24"/>
                <w:szCs w:val="24"/>
                <w:color w:val="auto"/>
              </w:rPr>
            </w:pPr>
          </w:p>
        </w:tc>
        <w:tc>
          <w:tcPr>
            <w:tcW w:w="2300" w:type="dxa"/>
            <w:vAlign w:val="bottom"/>
            <w:gridSpan w:val="5"/>
          </w:tcPr>
          <w:p>
            <w:pPr>
              <w:jc w:val="center"/>
              <w:ind w:right="172"/>
              <w:spacing w:after="0"/>
              <w:rPr>
                <w:sz w:val="20"/>
                <w:szCs w:val="20"/>
                <w:color w:val="auto"/>
              </w:rPr>
            </w:pPr>
            <w:r>
              <w:rPr>
                <w:rFonts w:ascii="Arial" w:cs="Arial" w:eastAsia="Arial" w:hAnsi="Arial"/>
                <w:sz w:val="14"/>
                <w:szCs w:val="14"/>
                <w:b w:val="1"/>
                <w:bCs w:val="1"/>
                <w:color w:val="auto"/>
                <w:w w:val="89"/>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Expenses related to the purchase of available for sale securities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4,803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5,518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9,035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38,488</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18,646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1,176</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30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18,836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19,604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19,069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19,822</w:t>
            </w:r>
          </w:p>
        </w:tc>
      </w:tr>
      <w:tr>
        <w:trPr>
          <w:trHeight w:val="257"/>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9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69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2017 and 2016, 0.4 million options and 0.4 million options, respectively, that were anti-dilutive have been excluded from the computation of diluted EPS (0.4 million options and 0.4 million options for the second quarter of 2017 and 2016, respectively). These options were anti-dilutive and excluded from the computation of diluted EPS because their exercise price was greater than the average market price of our common stock. Also excluded from the computation of diluted EPS are 0.3 million options and restricted shares and 0.4 million options for the six months ended June 30, 2017 and 2016, respectively (0.3 million options and restricted shares and 0.4 million options for the second quarter of 2017 and 2016, respectively), which begin to vest upon the achievement of certain market criteria related to our common stock price, performance criteria and an annualized rate of return to shareholders that have not yet been met.</w:t>
      </w:r>
    </w:p>
    <w:p>
      <w:pPr>
        <w:spacing w:after="0" w:line="131" w:lineRule="exact"/>
        <w:rPr>
          <w:sz w:val="20"/>
          <w:szCs w:val="20"/>
          <w:color w:val="auto"/>
        </w:rPr>
      </w:pPr>
    </w:p>
    <w:p>
      <w:pPr>
        <w:ind w:right="4680"/>
        <w:spacing w:after="0" w:line="440" w:lineRule="auto"/>
        <w:rPr>
          <w:sz w:val="20"/>
          <w:szCs w:val="20"/>
          <w:color w:val="auto"/>
        </w:rPr>
      </w:pPr>
      <w:r>
        <w:rPr>
          <w:rFonts w:ascii="Arial" w:cs="Arial" w:eastAsia="Arial" w:hAnsi="Arial"/>
          <w:sz w:val="18"/>
          <w:szCs w:val="18"/>
          <w:b w:val="1"/>
          <w:bCs w:val="1"/>
          <w:color w:val="auto"/>
        </w:rPr>
        <w:t>NOTE 20 — COMMITMENTS, CONTINGENCIES AND REGULATORY MATTERS Litigation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On December 19, 2016, the Court granted Lead Plaintiffs leave to file the fourth amended complaint, and Lead Plaintiffs filed the fourth amended complaint on December 28, 2016. On January 6, 2017, Defendants filed a motion to strike certain matters from the fourth amended complaint and a motion to dismiss certain claims pled in the fourth amended complaint. Before the Court ruled on Defendants’ motions, the parties notified the Court on January 19, 2017 of their agreement to settle the action, subject to Court approval and other customary terms and conditions described in the settlement stipulation filed with the Court, including rights of the parties to terminate the settlement under certain conditions. On February 10, 2017, the Court entered an order preliminarily approving the settlement, certifying a settlement class, approving the form and content of notice of the settlement to class members, establishing procedures for shareholders to request exclusion from the class or object to the settlement, and setting a hearing for May 30, 2017 to determine whether the settlement should be approved and the case dismissed with prejudice. Following the May 30, 2017 hearing, the Court entered an Order and Final Judgment dated May 30, 2017, approving the settlement and dismissing the case with prejudice. Under the settlement, Altisource Portfolio Solutions S.A. paid a total of $32 million in cash, $4 million of which was funded by insurance proceeds, to a settlement fund to resolve all claims asserted and which could have been asserted on behalf of investors who purchased or otherwise acquired Altisource Portfolio Solutions S.A. stock between April 25, 2013 and December 21, 2014. The settlement provides that Altisource Portfolio Solutions S.A. and the officer and director defendants deny all claims of wrongdoing or liability.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relating to certain aspects of our business. We believe it is premature to predict the potential outcome or to estimate any potential financial impact in connection with these inquiries.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Altisource received a Notice and Opportunity to Respond and Advise (“NORA”) letter on November 10, 2016 from the Consumer Financial Protection Bureau (“CFPB”) indicating that the CFPB is considering a potential enforcement action against Altisource relating to an alleged violation of federal law that primarily concerns certain technology services provided to Ocwen. The NORA letter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is our largest customer and 58% of our revenue for the six months ended June 30, 2017 (58% of our revenue for the second quarter of 2017) was from Ocwen. Additionally, 17% of our revenue for the six months ended June 30, 2017 (16% of our revenue for the second quarter of 2017) was earned on the portfolios serviced by Ocwen, when a party other than Ocwen selected Altisource as the service provider.</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For example,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The complaints seek to obtain permanent injunctive relief, consumer redress, refunds, restitution, disgorgement, damages, civil penalties, costs and fees and other relief. In addition, a number of states publicly announced or otherwise undertook various administrative actions against Ocwen related to alleged violations of applicable laws and regulations related to servicing residential mortgages. Certain of the allegations in the complaints and certain of the state administrative actions assert that Ocwen’s use of certain Altisource services was a contributing factor to Ocwen’s purported violations. The state administrative actions announced or undertaken purportedly seek sanctions and various injunctive reliefs which may include restrictions on Ocwen obtaining additional mortgage servicing rights, continuing mortgage servicing or debt collection activities, originating or funding loans, initiating foreclosures or other limitations or restrictions on Ocwen’s business operations or licenses in certain of these states. All of the forgoing matters could result in adverse regulatory or other actions against Ocwen. While not all inclusive, other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2017, New Residential Investment Corp. (together with its subsidiaries, “NRZ”) owned the rights to approximately 78% of Ocwen’s non-government-sponsored enterprise (“non-GSE”) mortgage servicing rights (the “Subject MSRs”). Under agreements between NRZ and Ocwen (the “Existing Agreements”), NRZ has the right (not necessarily the obligation or ability) to transfer servicing away from Ocwen if Ocwen does not maintain certain minimum servicer ratings.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Ocwen has disclosed that, on July 23, 2017, it entered into a master agreement and a transfer agreement with NRZ to undertake certain actions to facilitate the transfer from Ocwen to NRZ of Ocwen’s remaining interests in the Subject MSRs. These actions include the parties cooperating to obtain any third party consents required to transfer the Subject MSRs to NRZ and, upon obtaining the required third party consents and the transfer of the applicable Subject MSRs to NRZ, NRZ will pay a lump sum restructuring fee to Ocwen in exchange for Ocwen forgoing payments under NRZ’s Existing Agreements with Ocwen. These lump sum restructuring fees may total up to approximately $400 million in the aggregate if all of the Subject MSRs are transferred to NRZ. In the event the required third party consents are not obtained by July 23, 2018 or an earlier date agreed to by Ocwen and NRZ, the applicable Subject MSRs may (i) become subject to a new agreement to be negotiated between Ocwen and NRZ, (ii) be acquired by Ocwen, or, if Ocwen does not desire or is otherwise unable to purchase, sold to one or more third parties, or (iii) remain subject to the Existing Agreements. Additionally, NRZ agreed to a standstill through January 23, 2019, subject to limited exceptions, on exercising certain of its rights under the Existing Agreements to replace Ocwen as servicer of certain Subject MSRs in the event of a termination event resulting from a servicer rating downgrade.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also disclosed that it entered into a five year subservicing agreement with NRZ pursuant to which Ocwen will subservice the mortgage loans related to the Subject MSRs that are transferred to NRZ. In addition, Ocwen disclosed that during the five year subservicing agreement term, NRZ may terminate the subservicing agreement for convenience, subject to Ocwen’s right to receive a termination fee and proper notice.</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may have significant adverse effects on Ocwen’s business and/or our continuing relationship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247"/>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non-GSE servicing rights or subservicing arrangements and Altisource fails to be retained as a service provider</w:t>
      </w: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247"/>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Ocwen has stated that it plans to transition from REALServicing to another mortgage servicing software platform. We anticipate that such a transition would be a multi-year project and Altisource would support Ocwen through such a transition. We do not anticipate that a servicing technology transition would impact the other services we provide to Ocwen. For the six months ended June 30, 2017 and 2016, service revenue from REALServicing was $13.4 million and $17.5 million, respectively ($6.3 million and $7.6 million for the second quarter of 2017 and 2016, respectively). We estimate that income before income tax from the REALServicing business currently operates at approximately break-even.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cannot predict the outcome of these matters or the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we believe the impact to Altisource could occur over an extended period of time.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to be transferred portfolio. Additionally, we have several strategic initiatives that focus on diversifying and growing our revenue and customer base. Our major strategic initiatives include growing our:</w:t>
      </w:r>
    </w:p>
    <w:p>
      <w:pPr>
        <w:spacing w:after="0" w:line="13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Servicer Solutions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Origination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Real Estate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Investor Solutions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a sales and marketing strategy to support these initiatives.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dedicated bank accounts for our collections business. These amounts are held in escrow and trust accounts for limited periods of time and are not included in the condensed consolidated balance sheets. Amounts held in escrow and trust accounts were $39.1 million and $64.1 million at June 30, 2017 and December 31, 2016,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 xml:space="preserve">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Prior to the January 1, 2017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reportable segments, our reportable segments were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The former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was separated into the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segments (as described below). Furthermore, certain of the software services business units that were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and the mortgage charge-off collections business that was formerly in the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Services </w:t>
      </w:r>
      <w:r>
        <w:rPr>
          <w:rFonts w:ascii="Arial" w:cs="Arial" w:eastAsia="Arial" w:hAnsi="Arial"/>
          <w:sz w:val="17"/>
          <w:szCs w:val="17"/>
          <w:color w:val="auto"/>
        </w:rPr>
        <w:t>segment are now included in the</w:t>
      </w:r>
      <w:r>
        <w:rPr>
          <w:rFonts w:ascii="Arial" w:cs="Arial" w:eastAsia="Arial" w:hAnsi="Arial"/>
          <w:sz w:val="17"/>
          <w:szCs w:val="17"/>
          <w:i w:val="1"/>
          <w:iCs w:val="1"/>
          <w:color w:val="auto"/>
        </w:rPr>
        <w:t xml:space="preserve"> Mortgage Market</w:t>
      </w:r>
      <w:r>
        <w:rPr>
          <w:rFonts w:ascii="Arial" w:cs="Arial" w:eastAsia="Arial" w:hAnsi="Arial"/>
          <w:sz w:val="17"/>
          <w:szCs w:val="17"/>
          <w:color w:val="auto"/>
        </w:rPr>
        <w: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includes the other business that were formerly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as well as IT infrastructure management services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Prior year comparable period segment disclosures have been restated to conform to the current year presentation.</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Mortgage Market</w:t>
      </w:r>
      <w:r>
        <w:rPr>
          <w:rFonts w:ascii="Arial" w:cs="Arial" w:eastAsia="Arial" w:hAnsi="Arial"/>
          <w:sz w:val="18"/>
          <w:szCs w:val="18"/>
          <w:color w:val="auto"/>
        </w:rPr>
        <w:t xml:space="preserve"> segment provides loan servicers and originators with marketplaces and services and a portfolio of software, data analytics and information technologies that span the mortgage lifecycle. The </w:t>
      </w:r>
      <w:r>
        <w:rPr>
          <w:rFonts w:ascii="Arial" w:cs="Arial" w:eastAsia="Arial" w:hAnsi="Arial"/>
          <w:sz w:val="18"/>
          <w:szCs w:val="18"/>
          <w:i w:val="1"/>
          <w:iCs w:val="1"/>
          <w:color w:val="auto"/>
        </w:rPr>
        <w:t>Real Estate Market</w:t>
      </w:r>
      <w:r>
        <w:rPr>
          <w:rFonts w:ascii="Arial" w:cs="Arial" w:eastAsia="Arial" w:hAnsi="Arial"/>
          <w:sz w:val="18"/>
          <w:szCs w:val="18"/>
          <w:color w:val="auto"/>
        </w:rPr>
        <w:t xml:space="preserve"> segment provides rental property investors and real estate consumers with marketplaces, products and services that span the real estate lifecycle. In addition, the </w:t>
      </w: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xml:space="preserve"> segment includes businesses that provide asset recovery management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8"/>
          <w:szCs w:val="18"/>
          <w:i w:val="1"/>
          <w:iCs w:val="1"/>
          <w:color w:val="auto"/>
        </w:rPr>
        <w:t>Other Businesses,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Corporate and Eliminations </w:t>
      </w:r>
      <w:r>
        <w:rPr>
          <w:rFonts w:ascii="Arial" w:cs="Arial" w:eastAsia="Arial" w:hAnsi="Arial"/>
          <w:sz w:val="18"/>
          <w:szCs w:val="18"/>
          <w:color w:val="auto"/>
        </w:rPr>
        <w:t>also includes interest expense and costs related to corporate support functions including executive, finance, law,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vendor management, facilities, risk management, and sales and marketing costs not allocated to the business units as well as eliminations between the reportable segments.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right"/>
              <w:ind w:right="27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250,685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185,393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65,292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52,470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36,166</w:t>
            </w:r>
          </w:p>
        </w:tc>
        <w:tc>
          <w:tcPr>
            <w:tcW w:w="120" w:type="dxa"/>
            <w:vAlign w:val="bottom"/>
          </w:tcPr>
          <w:p>
            <w:pPr>
              <w:spacing w:after="0"/>
              <w:rPr>
                <w:sz w:val="19"/>
                <w:szCs w:val="19"/>
                <w:color w:val="auto"/>
              </w:rPr>
            </w:pPr>
          </w:p>
        </w:tc>
        <w:tc>
          <w:tcPr>
            <w:tcW w:w="220" w:type="dxa"/>
            <w:vAlign w:val="bottom"/>
            <w:vMerge w:val="restart"/>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(16,741)</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94"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Three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23495</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Other Businesses,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-8255</wp:posOffset>
            </wp:positionV>
            <wp:extent cx="3481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30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211,300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19,695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255,799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135,723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174,371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54,207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27,221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44,510</w:t>
            </w:r>
          </w:p>
        </w:tc>
        <w:tc>
          <w:tcPr>
            <w:tcW w:w="12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(22,867)</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491,168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284,476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29,883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363,346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127,822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58,487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31,808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27,651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72,067</w:t>
            </w:r>
          </w:p>
        </w:tc>
        <w:tc>
          <w:tcPr>
            <w:tcW w:w="12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(36,491)</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21,906</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2016</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505,931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269,766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42,156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343,234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162,697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35,434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107,823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54,874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84,474</w:t>
            </w:r>
          </w:p>
        </w:tc>
        <w:tc>
          <w:tcPr>
            <w:tcW w:w="12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(45,019)</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45,062</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24"/>
                <w:szCs w:val="24"/>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June 30,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308,501</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43,370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264,757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616,628</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347,067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294,282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689,212</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71,418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India</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4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87,060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103,473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2016 filed with the Securities and Exchange Commission (“SEC”) on February 16,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2016 and include the following:</w:t>
      </w:r>
    </w:p>
    <w:p>
      <w:pPr>
        <w:spacing w:after="0" w:line="116"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as a result of difficulties faced by Ocwen Financial Corporation (“Ocwen”), we were to lose Ocwen as a customer or there is a significant reduction in the volume of services they purchase from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outsourcing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 xml:space="preserve">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Prior to the January 1, 2017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reportable segments, our reportable segments were </w:t>
      </w:r>
      <w:r>
        <w:rPr>
          <w:rFonts w:ascii="Arial" w:cs="Arial" w:eastAsia="Arial" w:hAnsi="Arial"/>
          <w:sz w:val="17"/>
          <w:szCs w:val="17"/>
          <w:i w:val="1"/>
          <w:iCs w:val="1"/>
          <w:color w:val="auto"/>
        </w:rPr>
        <w:t>Mortgage Services, 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Prior year comparable period segment disclosures have been restated to conform to the current year presentation.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marketplaces, services and technologies that span the mortgage lifecycle. Within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520" w:hanging="10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63" w:lineRule="exact"/>
        <w:rPr>
          <w:rFonts w:ascii="Arial" w:cs="Arial" w:eastAsia="Arial" w:hAnsi="Arial"/>
          <w:sz w:val="18"/>
          <w:szCs w:val="18"/>
          <w:color w:val="auto"/>
        </w:rPr>
      </w:pPr>
    </w:p>
    <w:p>
      <w:pPr>
        <w:ind w:left="520" w:hanging="10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63" w:lineRule="exact"/>
        <w:rPr>
          <w:rFonts w:ascii="Arial" w:cs="Arial" w:eastAsia="Arial" w:hAnsi="Arial"/>
          <w:sz w:val="18"/>
          <w:szCs w:val="18"/>
          <w:color w:val="auto"/>
        </w:rPr>
      </w:pPr>
    </w:p>
    <w:p>
      <w:pPr>
        <w:ind w:left="520" w:hanging="107"/>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356" w:lineRule="exact"/>
        <w:rPr>
          <w:rFonts w:ascii="Arial" w:cs="Arial" w:eastAsia="Arial" w:hAnsi="Arial"/>
          <w:sz w:val="16"/>
          <w:szCs w:val="16"/>
          <w:color w:val="auto"/>
        </w:rPr>
      </w:pPr>
    </w:p>
    <w:p>
      <w:pPr>
        <w:ind w:left="580" w:hanging="167"/>
        <w:spacing w:after="0" w:line="277" w:lineRule="auto"/>
        <w:tabs>
          <w:tab w:leader="none" w:pos="5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8" w:lineRule="exact"/>
        <w:rPr>
          <w:rFonts w:ascii="Arial" w:cs="Arial" w:eastAsia="Arial" w:hAnsi="Arial"/>
          <w:sz w:val="18"/>
          <w:szCs w:val="18"/>
          <w:color w:val="auto"/>
        </w:rPr>
      </w:pPr>
    </w:p>
    <w:p>
      <w:pPr>
        <w:ind w:left="520" w:hanging="10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63" w:lineRule="exact"/>
        <w:rPr>
          <w:rFonts w:ascii="Arial" w:cs="Arial" w:eastAsia="Arial" w:hAnsi="Arial"/>
          <w:sz w:val="18"/>
          <w:szCs w:val="18"/>
          <w:color w:val="auto"/>
        </w:rPr>
      </w:pPr>
    </w:p>
    <w:p>
      <w:pPr>
        <w:ind w:left="580" w:right="520" w:hanging="167"/>
        <w:spacing w:after="0" w:line="342" w:lineRule="auto"/>
        <w:tabs>
          <w:tab w:leader="none" w:pos="5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Non-legal processing and related services for and under the supervision of foreclosure, bankruptcy and eviction attorneys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06" w:hanging="106"/>
        <w:spacing w:after="0"/>
        <w:tabs>
          <w:tab w:leader="none" w:pos="1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63" w:lineRule="exact"/>
        <w:rPr>
          <w:rFonts w:ascii="Arial" w:cs="Arial" w:eastAsia="Arial" w:hAnsi="Arial"/>
          <w:sz w:val="18"/>
          <w:szCs w:val="18"/>
          <w:color w:val="auto"/>
        </w:rPr>
      </w:pPr>
    </w:p>
    <w:p>
      <w:pPr>
        <w:ind w:left="166" w:right="1020" w:hanging="166"/>
        <w:spacing w:after="0" w:line="277" w:lineRule="auto"/>
        <w:tabs>
          <w:tab w:leader="none" w:pos="1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platforms</w:t>
      </w:r>
    </w:p>
    <w:p>
      <w:pPr>
        <w:spacing w:after="0" w:line="62" w:lineRule="exact"/>
        <w:rPr>
          <w:rFonts w:ascii="Arial" w:cs="Arial" w:eastAsia="Arial" w:hAnsi="Arial"/>
          <w:sz w:val="18"/>
          <w:szCs w:val="18"/>
          <w:color w:val="auto"/>
        </w:rPr>
      </w:pPr>
    </w:p>
    <w:p>
      <w:pPr>
        <w:ind w:left="106" w:hanging="106"/>
        <w:spacing w:after="0"/>
        <w:tabs>
          <w:tab w:leader="none" w:pos="1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63" w:lineRule="exact"/>
        <w:rPr>
          <w:rFonts w:ascii="Arial" w:cs="Arial" w:eastAsia="Arial" w:hAnsi="Arial"/>
          <w:sz w:val="18"/>
          <w:szCs w:val="18"/>
          <w:color w:val="auto"/>
        </w:rPr>
      </w:pPr>
    </w:p>
    <w:p>
      <w:pPr>
        <w:ind w:left="166" w:right="540" w:hanging="166"/>
        <w:spacing w:after="0" w:line="277" w:lineRule="auto"/>
        <w:tabs>
          <w:tab w:leader="none" w:pos="1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8" w:lineRule="exact"/>
        <w:rPr>
          <w:rFonts w:ascii="Arial" w:cs="Arial" w:eastAsia="Arial" w:hAnsi="Arial"/>
          <w:sz w:val="18"/>
          <w:szCs w:val="18"/>
          <w:color w:val="auto"/>
        </w:rPr>
      </w:pPr>
    </w:p>
    <w:p>
      <w:pPr>
        <w:ind w:left="106" w:hanging="106"/>
        <w:spacing w:after="0"/>
        <w:tabs>
          <w:tab w:leader="none" w:pos="1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63" w:lineRule="exact"/>
        <w:rPr>
          <w:rFonts w:ascii="Arial" w:cs="Arial" w:eastAsia="Arial" w:hAnsi="Arial"/>
          <w:sz w:val="18"/>
          <w:szCs w:val="18"/>
          <w:color w:val="auto"/>
        </w:rPr>
      </w:pPr>
    </w:p>
    <w:p>
      <w:pPr>
        <w:ind w:left="166" w:right="1040" w:hanging="166"/>
        <w:spacing w:after="0" w:line="308" w:lineRule="auto"/>
        <w:tabs>
          <w:tab w:leader="none" w:pos="1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Residential and commercial loan disbursement processing, risk mitigation and construction inspection services</w:t>
      </w:r>
    </w:p>
    <w:p>
      <w:pPr>
        <w:spacing w:after="0" w:line="119" w:lineRule="exact"/>
        <w:rPr>
          <w:sz w:val="20"/>
          <w:szCs w:val="20"/>
          <w:color w:val="auto"/>
        </w:rPr>
      </w:pPr>
    </w:p>
    <w:p>
      <w:pPr>
        <w:sectPr>
          <w:pgSz w:w="11900" w:h="16838" w:orient="portrait"/>
          <w:cols w:equalWidth="0" w:num="2">
            <w:col w:w="5500" w:space="234"/>
            <w:col w:w="5686"/>
          </w:cols>
          <w:pgMar w:left="240" w:top="125" w:right="239" w:bottom="1440" w:gutter="0" w:footer="0" w:header="0"/>
          <w:type w:val="continuous"/>
        </w:sect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and buying residential mortgages.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356" w:lineRule="exact"/>
        <w:rPr>
          <w:rFonts w:ascii="Arial" w:cs="Arial" w:eastAsia="Arial" w:hAnsi="Arial"/>
          <w:sz w:val="16"/>
          <w:szCs w:val="16"/>
          <w:color w:val="auto"/>
        </w:rPr>
      </w:pPr>
    </w:p>
    <w:p>
      <w:pPr>
        <w:ind w:left="520" w:hanging="161"/>
        <w:spacing w:after="0" w:line="277" w:lineRule="auto"/>
        <w:tabs>
          <w:tab w:leader="none" w:pos="4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8"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Fulfillment services</w:t>
      </w:r>
    </w:p>
    <w:p>
      <w:pPr>
        <w:spacing w:after="0" w:line="63"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origination system and document management platform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Certified loan insurance and certification</w:t>
      </w:r>
    </w:p>
    <w:p>
      <w:pPr>
        <w:spacing w:after="0" w:line="63" w:lineRule="exact"/>
        <w:rPr>
          <w:rFonts w:ascii="Arial" w:cs="Arial" w:eastAsia="Arial" w:hAnsi="Arial"/>
          <w:sz w:val="18"/>
          <w:szCs w:val="18"/>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Vendor management platform</w:t>
      </w:r>
    </w:p>
    <w:p>
      <w:pPr>
        <w:spacing w:after="0" w:line="63" w:lineRule="exact"/>
        <w:rPr>
          <w:rFonts w:ascii="Arial" w:cs="Arial" w:eastAsia="Arial" w:hAnsi="Arial"/>
          <w:sz w:val="18"/>
          <w:szCs w:val="18"/>
          <w:color w:val="auto"/>
        </w:rPr>
      </w:pPr>
    </w:p>
    <w:p>
      <w:pPr>
        <w:ind w:left="153" w:right="720" w:hanging="153"/>
        <w:spacing w:after="0" w:line="342" w:lineRule="auto"/>
        <w:tabs>
          <w:tab w:leader="none" w:pos="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 banker cooperative,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w:t>
      </w:r>
    </w:p>
    <w:p>
      <w:pPr>
        <w:spacing w:after="0" w:line="133" w:lineRule="exact"/>
        <w:rPr>
          <w:rFonts w:ascii="Arial" w:cs="Arial" w:eastAsia="Arial" w:hAnsi="Arial"/>
          <w:sz w:val="16"/>
          <w:szCs w:val="16"/>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trading platform</w:t>
      </w:r>
    </w:p>
    <w:p>
      <w:pPr>
        <w:spacing w:after="0" w:line="198" w:lineRule="exact"/>
        <w:rPr>
          <w:sz w:val="20"/>
          <w:szCs w:val="20"/>
          <w:color w:val="auto"/>
        </w:rPr>
      </w:pPr>
    </w:p>
    <w:p>
      <w:pPr>
        <w:sectPr>
          <w:pgSz w:w="11900" w:h="16838" w:orient="portrait"/>
          <w:cols w:equalWidth="0" w:num="2">
            <w:col w:w="5440" w:space="267"/>
            <w:col w:w="5713"/>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Provides real estate consumers and rental property investors with marketplaces and services that span the real estate lifecycle.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 segment, we provide:</w:t>
      </w:r>
    </w:p>
    <w:p>
      <w:pPr>
        <w:spacing w:after="0" w:line="15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home.</w:t>
      </w:r>
    </w:p>
    <w:p>
      <w:pPr>
        <w:spacing w:after="0" w:line="116"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w:t>
      </w:r>
      <w:r>
        <w:rPr>
          <w:sz w:val="20"/>
          <w:szCs w:val="20"/>
          <w:color w:val="auto"/>
        </w:rPr>
        <w:tab/>
      </w:r>
      <w:r>
        <w:rPr>
          <w:rFonts w:ascii="Arial" w:cs="Arial" w:eastAsia="Arial" w:hAnsi="Arial"/>
          <w:sz w:val="16"/>
          <w:szCs w:val="16"/>
          <w:color w:val="auto"/>
        </w:rPr>
        <w:t>• Mortgage brokerage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Title insurance (agent and related services) and settlement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Real Estate Investor Solutions </w:t>
      </w:r>
      <w:r>
        <w:rPr>
          <w:rFonts w:ascii="Arial" w:cs="Arial" w:eastAsia="Arial" w:hAnsi="Arial"/>
          <w:sz w:val="16"/>
          <w:szCs w:val="16"/>
          <w:color w:val="auto"/>
        </w:rPr>
        <w:t>- the solutions, services and technologies used by buyers and sellers of single family investment homes.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Property preservation and inspection services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Buy-renovate-sell</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 Real estate brokerage and auction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Renovation services</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 Data 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Property management services</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jc w:val="center"/>
        <w:ind w:left="420"/>
        <w:spacing w:after="0"/>
        <w:rPr>
          <w:sz w:val="20"/>
          <w:szCs w:val="20"/>
          <w:color w:val="auto"/>
        </w:rPr>
      </w:pPr>
      <w:r>
        <w:rPr>
          <w:rFonts w:ascii="Arial" w:cs="Arial" w:eastAsia="Arial" w:hAnsi="Arial"/>
          <w:sz w:val="16"/>
          <w:szCs w:val="16"/>
          <w:color w:val="auto"/>
        </w:rPr>
        <w:t>• Title insurance (agent and related services) and settlement services</w:t>
      </w:r>
    </w:p>
    <w:p>
      <w:pPr>
        <w:spacing w:after="0" w:line="20" w:lineRule="exact"/>
        <w:rPr>
          <w:sz w:val="20"/>
          <w:szCs w:val="20"/>
          <w:color w:val="auto"/>
        </w:rPr>
      </w:pPr>
      <w:r>
        <w:rPr>
          <w:sz w:val="20"/>
          <w:szCs w:val="20"/>
          <w:color w:val="auto"/>
        </w:rPr>
        <w:br w:type="column"/>
      </w:r>
    </w:p>
    <w:p>
      <w:pPr>
        <w:ind w:right="600" w:hanging="161"/>
        <w:spacing w:after="0" w:line="277" w:lineRule="auto"/>
        <w:rPr>
          <w:sz w:val="20"/>
          <w:szCs w:val="20"/>
          <w:color w:val="auto"/>
        </w:rPr>
      </w:pPr>
      <w:r>
        <w:rPr>
          <w:rFonts w:ascii="Arial" w:cs="Arial" w:eastAsia="Arial" w:hAnsi="Arial"/>
          <w:sz w:val="18"/>
          <w:szCs w:val="18"/>
          <w:color w:val="auto"/>
        </w:rPr>
        <w:t>• Appraisal management services and broker and non-broker valuation services</w:t>
      </w:r>
    </w:p>
    <w:p>
      <w:pPr>
        <w:spacing w:after="0" w:line="143" w:lineRule="exact"/>
        <w:rPr>
          <w:sz w:val="20"/>
          <w:szCs w:val="20"/>
          <w:color w:val="auto"/>
        </w:rPr>
      </w:pPr>
    </w:p>
    <w:p>
      <w:pPr>
        <w:sectPr>
          <w:pgSz w:w="11900" w:h="16838" w:orient="portrait"/>
          <w:cols w:equalWidth="0" w:num="2">
            <w:col w:w="5320" w:space="580"/>
            <w:col w:w="5520"/>
          </w:cols>
          <w:pgMar w:left="240" w:top="125"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Our</w:t>
      </w:r>
      <w:r>
        <w:rPr>
          <w:rFonts w:ascii="Arial" w:cs="Arial" w:eastAsia="Arial" w:hAnsi="Arial"/>
          <w:sz w:val="18"/>
          <w:szCs w:val="18"/>
          <w:i w:val="1"/>
          <w:iCs w:val="1"/>
          <w:color w:val="auto"/>
        </w:rPr>
        <w:t xml:space="preserve"> Other Businesses, Corporate and Eliminations </w:t>
      </w:r>
      <w:r>
        <w:rPr>
          <w:rFonts w:ascii="Arial" w:cs="Arial" w:eastAsia="Arial" w:hAnsi="Arial"/>
          <w:sz w:val="18"/>
          <w:szCs w:val="18"/>
          <w:color w:val="auto"/>
        </w:rPr>
        <w:t>segment includes certain non-core businesses,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costs related to corporate support functions. The businesses in this segment include post-charge-off consumer debt collection services, customer relationship management services and information technology (“IT”) infrastructure management services. Interest expense relates to the Company’s senior secured term loan and corporate support functions include executive, finance, law, compliance, human resources, vendor management, facilities, risk management and sales and marketing costs not allocated to the business units. This segment also includes eliminations of transactions between the reportable segments.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not owned by Altisource and is included in revenue and reduced from net income to arrive at net income attributable to Altisource.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17, 2017, our shareholders approved the renewal of the share repurchase program originally approved by the shareholders on May 18, 2016, which replaced the previous share repurchase program. Under the program, we are authorized to purchase up to 4.6 million shares of our common stock, based on a limit of 25% of the outstanding shares of common stock on the date of approval at a minimum price of $1.00 per share and a maximum price of $500.00 per share, for a period of five years from the date of approval. Under the existing and prior programs, we purchased 0.8 million shares of common stock at an average price of $22.15 per share during the six months ended June 30, 2017 and 0.8 million shares at an average price of $25.79 per share during the six months ended June 30, 2016 (0.4 million shares at an average price of $19.17 per share for the second quarter of 2017 and 0.3 million shares at an average price of $26.74 per share for the second quarter of 2016). As of June 30, 2017, approximately 4.2 million shares of common stock remain available for repurchase under the program. Our senior secured term loan limits the amount we can spend on share repurchases, which was approximately $347 million as of June 30, 2017, and may prevent repurchases in certain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Initiatives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provides a suite of mortgage, real estate and consumer debt services. Altisource is focused on becoming one of the premier providers of mortgage and real estate marketplaces and related services to a broad and diversified customer base. Within the mortgage and real estate market segments, we facilitate transactions and provide products, solutions and services related to home sales, home purchases, home rentals, home maintenance, mortgage origination and mortgage servicing.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Strategically, we are focused on our four business initiatives discussed below and continuing to strengthen our compliance management system.</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 initiatives provides Altisource the potential to grow and diversify our customer and revenue base. We believe these initiatives address very large markets and directly leverage our core competencies and distinct competitive advantages. Our four strategic initiatives and a brief description of each follow.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Servicer Solutions: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this initiative, we provide a full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government-sponsored enterprise (“GSE”), several top ten bank servicers and non-bank servicers and asset managers. Even as loan delinquencies return to historical norms, we believe there is a very large addressable market for our offerings. We believe we are one of only 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few providers with a broad suite of servicer solutions, nationwide coverage and demonstrated scalability. Further, we believe we are well positioned to gain market share as existing customers and prospects consolidate to larger, full-service providers and outsource services that have historically been performed in-house.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Origination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initiative, we provide a full suite of services and technologies to meet the evolving and growing needs of loan originators and correspondents.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 loan origination system customers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Consumer Real Estate Solutions: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this initiative, we provide a technology enabled real estate brokerage and related services that handle key aspects of buying and selling a home. We are focused on developing this initiative by capitalizing on our core competencies in realty services and online real estate marketing and offering consumers right-sized commission structures, smart digital tools and personalized service from local real estate agents.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Real Estate Investor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initiative, we provide a full suite of services and technologies to support buyers and sellers of single family investment homes. We are focused on growing referrals from our existing customer base, expanding the service and proprietary technology offerings to our customer base, and attracting new customers to our offerings. We have a customer base that includes Altisource Residential Corporation (“Residential”) and other institutional and smaller single family rental investors. The single family rental market is large, geographically distributed and has fragmented ownership. We believe our nationwide acquisition, renovation, property management, leasing and disposition platform provides a strong value proposition for institutional and retail investors and positions us well for growth.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growth from our strategic initiatives will be successful or our operations will be profitable.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represented 58% of our revenue for the six months ended June 30, 2017 (58% of our revenue for the second quarter of 2017). Additionally, 17% of our revenue for the six months ended June 30, 2017 (16% of our revenue for the second quarter of 2017) was earned on the portfolios serviced by Ocwen, when a party other than Ocwen selected Altisource as the service provider.</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For example, on April 20, 2017, the Consumer Financial Protection Bureau (“CFPB”) and the State of Florida filed separate complaints in the United States District Court for the Southern District of Florida against Ocwen alleging violations of Federal consumer financial law and, in the case of Florida, Florida statutes. As another example,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The complaints seek to obtain permanent injunctive relief, consumer redress, refunds, restitution, disgorgement, damages, civil penalties, costs and fees and other relief. In addition, a number of states publicly announced or otherwise undertook various administrative actions against Ocwen related to alleged violations of applicable laws and regulations related to servicing residential mortgages. Certain of the allegations in the complaints and certain of the state administrative actions assert that Ocwen’s use of certain Altisource services was a contributing factor to Ocwen’s purported violations. The state administrative actions announced or undertaken purportedly seek sanctions and various injunctive reliefs which may include restrictions on Ocwen obtaining additional mortgage servicing rights, continuing mortgage servicing or debt collection activities, originating or funding loans, initiating foreclosures or other limitations or restrictions on Ocwen’s business operations or licenses in certain of these states. All of the forgoing matters could result in adverse regulatory or other actions against Ocwen. While not all inclusive, other regulatory actions to date have included subjecting Ocwen to independent oversight of its operations and placing certain restrictions on its ability to acquire servicing rights. Ocwen may become subject to future federal and state regulatory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investigations, inquiries, requests for information and legal proceedings, any of which could also result in adverse regulatory or other actions against Ocwen.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2017, New Residential Investment Corp. (together with its subsidiaries, “NRZ”) owned the rights to approximately 78% of Ocwen’s non-GSE mortgage servicing rights (the “Subject MSRs”). Under agreements between NRZ and Ocwen (the “Existing Agreements”), NRZ has the right (not necessarily the obligation or ability) to transfer servicing away from Ocwen if Ocwen does not maintain certain minimum servicer ratings.</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Ocwen has disclosed that, on July 23, 2017, it entered into a master agreement and a transfer agreement with NRZ to undertake certain actions to facilitate the transfer from Ocwen to NRZ of Ocwen’s remaining interests in the Subject MSRs. These actions include the parties cooperating to obtain any third party consents required to transfer the Subject MSRs to NRZ and, upon obtaining the required third party consents and the transfer of the applicable Subject MSRs to NRZ, NRZ will pay a lump sum restructuring fee to Ocwen in exchange for Ocwen forgoing payments under NRZ’s Existing Agreements with Ocwen. These lump sum restructuring fees may total up to approximately $400 million in the aggregate if all of the Subject MSRs are transferred to NRZ. In the event the required third party consents are not obtained by July 23, 2018 or an earlier date agreed to by Ocwen and NRZ, the applicable Subject MSRs may (i) become subject to a new agreement to be negotiated between Ocwen and NRZ, (ii) be acquired by Ocwen, or, if Ocwen does not desire or is otherwise unable to purchase, sold to one or more third parties, or (iii) remain subject to the Existing Agreements. Additionally, NRZ agreed to a standstill through January 23, 2019, subject to limited exceptions, on exercising certain of its rights under the Existing Agreements to replace Ocwen as servicer of certain Subject MSRs in the event of a termination event resulting from a servicer rating downgrade.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also disclosed that it entered into a five year subservicing agreement with NRZ pursuant to which Ocwen will subservice the mortgage loans related to the Subject MSRs that are transferred to NRZ. In addition, Ocwen disclosed that during the five year subservicing agreement term, NRZ may terminate the subservicing agreement for convenience, subject to Ocwen’s right to receive a termination fee and proper notice.</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may have significant adverse effects on Ocwen’s business and/or our continuing relationship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could be materially adversely affected, including from the possible impairment or write-off of goodwill, intangible assets, property and equipment, other assets and accounts receivable:</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non-GSE servicing rights or subservicing arrangements and Altisource fails to be retained as a service provider</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Ocwen has stated that it plans to transition from REALServicing to another mortgage servicing software platform. We anticipate that such a transition would be a multi-year project and Altisource would support Ocwen through such a transition. We do not anticipate that a servicing technology transition would impact the other services we provide to Ocwen. For the six months ended June 30, 2017 and 2016, service revenue from REALServicing was $13.4 million and $17.5 million, respectively ($6.3 million and $7.6 million for the second quarter of 2017 and 2016, respectively). We estimate that income before income tax from the REALServicing business currently operates at approximately break-even.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cannot predict the outcome of these matters or the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we believe the impact to Altisource could occur over an extended period of time.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to be transferred portfolio. Additionally, we have several strategic initiatives that focus on diversifying and growing our revenue and customer base. Our major strategic initiatives are described in the Strategy and Growth Initiatives section above. We have a sales and marketing strategy to support these initiatives.</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5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average number of loans serviced by Ocwen on REALServicing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1.3 million for the six months ended June 30, 2017 compared to 1.5 million for the six months ended June 30, 2016, a decrease of 13% (1.3 million for the second quarter of 2017 and 1.5 million for the second quarter of 2016, a decrease of 13%). The average number of delinquent non-GSE loans serviced by Ocwen on REALServicing was 184 thousand for the six months ended June 30, 2017 compared to 230 thousand for the six months ended June 30, 2016, a decrease of 20% (177 thousand for the second quarter of 2017 and 222 thousand for the second quarter of 2016, a decrease of 20%);</w:t>
      </w:r>
    </w:p>
    <w:p>
      <w:pPr>
        <w:spacing w:after="0" w:line="32"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second quarter of 2017, we repurchased portions of our senior secured term loan with an aggregate par value of $26.0 million at a weighted average discount of 16.5%, recognizing a net gain of $3.9 million on the early extinguishment of debt (same amounts for the six months ended June 30, 2017). In the second quarter of 2016, we repurchased portions of our senior secured term loan with an aggregate par value of $51.0 million at a weighted average discount of 13.2%, recognizing a net gain of $5.5 million on the early extinguishment of debt (same amounts for the six months ended June 30, 2016);</w:t>
      </w:r>
    </w:p>
    <w:p>
      <w:pPr>
        <w:spacing w:after="0" w:line="2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six months ended June 30, 2016, we purchased 4.1 million shares of Residential common stock for $48.2 million (no comparative amounts in 2017). During the six months ended June 30, 2017 and 2016, we earned dividends of $1.2 million and $1.0 million, respectively ($0.6 million and $1.0 million for the second quarter of 2017 and 2016, respectively) related to this investment. In addition, in the second quarter of 2016, we incurred expenses of $3.4 million related to this investment (no comparative amounts in 2017);</w:t>
      </w:r>
    </w:p>
    <w:p>
      <w:pPr>
        <w:spacing w:after="0" w:line="9"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July 29, 2016, we acquired certain assets and assumed certain liabilities of Granite Loan Management of Delaware, LLC (“Granite”) for $9.5 million; and</w:t>
      </w:r>
    </w:p>
    <w:p>
      <w:pPr>
        <w:spacing w:after="0" w:line="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 income tax rate increased to 22.9% for the six months ended June 30, 2017 from 12.2% for the six months ended June 30, 2016 (20.0% and 13.7% for the second quarter of 2017 and 2016, respectively). The effective tax rate increases were primarily due to changes in the expected mix of taxable income across the jurisdictions in which we operate.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3"/>
              </w:rPr>
              <w:t>Six months ended 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198,414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197,479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393,387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385,564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Market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47,574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Other Businesses, Corporate and Eliminations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15,346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19,672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31,023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42,466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238,107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241,324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467,946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475,604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13,783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21,920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29,237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250,685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255,799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491,168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505,931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185,393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174,371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363,346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343,234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65,292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81,428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127,822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162,697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52,470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54,207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100,171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107,823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12,822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27,221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27,651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54,874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(5,745)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(9,812)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23,977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21,906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45,062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(5,484)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39,578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19,994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15,580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38,488</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service revenue of $467.9 million for the six months ended June 30, 2017, a 2% decrease compared to the six months ended June 30, 2016 ($238.1 million for the second quarter of 2017, a 1% decrease compared to the second quarter of 2016). The decreases in service revenue for the six months ended June 30, 2017 and the second quarter of 2017 were primarily from the normal runoff of Ocwen’s portfolio in the Mortgage Market, Residential’s smaller portfolio of non-performing loans and REO in the Real Estate Market and lower service revenue in our customer relationship management and IT infrastructure services businesses in the Other Businesses, Corporate and Eliminations segment. Customer relationship management revenue declined because, during 2016, we severed relationships with certain clients that were not profitable to us and we experienced a reduction in volume from the transition of services from one customer to another. IT infrastructure services revenue declined from the</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transition of resources supporting Ocwen’s technology infrastructure to Ocwen. These decreases were largely offset by growth in referrals of certain higher fee property preservation services and growth in home sales revenue in the buy-renovate-sell business, which began operations in the second half of 2016. Reimbursable expenses revenue declined from a 2015 change in the pricing and billing model for preservation services on new Ocwen REO referrals that resulted in certain services that were historically reimbursable expenses revenue becoming service revenue. In addition, the six months ended June 30, 2017 reflects lower professional services revenues in our Servicer Solutions technologies businesses.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tend to be at their lowest level during the fall and winter months and at their highest level during the spring and summer months. In addition, the asset recovery management business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and the cost of sales of short-term investments in real estate,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83"/>
        </w:trPr>
        <w:tc>
          <w:tcPr>
            <w:tcW w:w="3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93,369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73,326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179,263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145,129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185,393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174,371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363,346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343,234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six months ended June 30, 2017 of $363.3 million increased 6% compared to the six months ended June 30, 2016 ($185.4 million for the second quarter of 2017, a 6% increase compared to the second quarter of 2016). The increases in cost of revenue were primarily driven by higher outside fees and services, partially offset by decreases in compensation and benefits costs and reimbursable expenses in the Mortgage Market and increased outside fees and services and compensation and benefits costs in the Real Estate Market. These increases were partially offset by lower compensation and benefits costs in the Other Businesses, Corporate and Eliminations segment.</w:t>
      </w:r>
    </w:p>
    <w:p>
      <w:pPr>
        <w:spacing w:after="0" w:line="13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the Mortgage Market, outside fees and services increased due to growth in referrals of certain higher cost property preservation services in the Servicer Solutions business, consistent with the growth in service revenue discussed in the revenue section above. Compensation and benefits costs decreased in the Servicer Solutions business from lower headcount levels driven by lower customer volumes in certain business units. Reimbursable expenses declined primarily as a result of the change in the pricing and billing model discussed in the revenue section above.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Real Estate Market, outside fees and services increased from the cost of the real estate sold in connection with our buy-renovate-sell program, partially offset by lower property preservation referrals driven by Residential’s smaller portfolio of non-performing loans and REO in the Real Estate Investor Solutions business. In addition, compensation and benefits costs increased in the Consumer Real Estate Solutions business to support growth of this initiative.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increases in cost of revenue in the Mortgage Market and Real Estate Market segments were partially offset by lower cost of revenue in the Other Businesses, Corporate and Eliminations segment, primarily due to a decrease in compensation and benefits costs associated with the transition of resources supporting Ocwen’s technology infrastructure to Ocwen and reduced headcount levels in our customer relationship management business from a decrease in client relationships, as discussed in the revenue section above.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decreased to $127.8 million, representing 27% of service revenue, for the six months ended June 30, 2017 compared to $162.7 million, representing 34% of service revenue, for the six months ended June 30, 2016 (decreased to $65.3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representing 27% of service revenue, for the second quarter of 2017 compared to $81.4 million, representing 34% of service revenue, for the second quarter of 2016). Gross profit as a percentage of service revenue decreased primarily due to revenue mix and investments in our growth initiatives. Revenue mix changed from growth in the lower margin property preservation and buy-renovate-sell businesses and declines in other higher margin businesses.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(“SG&amp;A”) include payroll for personnel employed in executive, finance, law, compliance, human resources, vendor management, facilities, risk management, sales and marketing roles. This category also includes occupancy related costs, amortization of intangible assets, professional services, marketing costs and depreciation and amortization of non-operating assets and other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83"/>
        </w:trPr>
        <w:tc>
          <w:tcPr>
            <w:tcW w:w="3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9,538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19,811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52,470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100,171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107,823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SG&amp;A for the six months ended June 30, 2017 of $100.2 million decreased 7% compared to the six months ended June 30, 2016 ($52.5 million for the second quarter of 2017, a 3% decrease compared to the second quarter of 2016). The decreases in SG&amp;A were primarily due to lower amortization of intangible assets, driven by an increase in total projected revenue to be generated by the Homeward Residential, Inc. (“Homeward”) and Residential Capital, LLC (“ResCap”) portfolios over the lives of these portfolios (revenue-based amortization), lower professional services related to legal costs in connection with litigation and regulatory matters and lower marketing costs, driven by initial non-recurring Owners.com market launch costs incurred during the six months ended June 30, 2016. The decreases in SG&amp;A were partially offset by unfavorable loss accrual adjustments of $2.7 million relating to facility closures and litigation related costs in other SG&amp;A in the second quarter of 2017. In addition, the decreases in SG&amp;A for the six months ended June 30, 2017 were partially offset by a $3.0 million favorable loss accrual adjustment in other SG&amp;A in the six months ended June 30,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decreased to $27.7 million, representing 6% of service revenue, for the six months ended June 30, 2017 compared to $54.9 million, representing 12% of service revenue, for the six months ended June 30, 2016 (decreased to $12.8 million, representing 5% of service revenue, for the second quarter of 2017 compared to $27.2 million, representing 11% of service revenue, for the second quarter of 2016). The decrease in operating income as a percentage of service revenue was the result of the decrease in gross profit margin, partially offset by lower SG&amp;A expenses, as discussed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Interest expense was $11.3 million for the six months ended June 30, 2017, a decrease of $1.3 million compared to the six months ended June 30, 2016($5.5 million for the second quarter of 2017, a decrease of $0.5 million compared to the second quarter of 2016), primarily from the 2017 and 2016 repurchases of portions of our senior secured term loan with an aggregate par value of $77.0 million. Other non-operating gains and losses primarily represent gains on the early extinguishment of debt and income and expenses related to our investment in Residential common stock.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we repurchased portions of our senior secured term loan with an aggregate par value of $26.0 million at a weighted average discount of 16.5%, recognizing a net gain of $3.9 million on the early extinguishment of debt. In the second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 of 2016, we repurchased portions of our senior secured term loan with an aggregate par value of $51.0 million at a weighted average discount of 13.2%, recognizing a net gain of $5.5 million on the early extinguishment of debt.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2016, we incurred expenses of $3.4 million and earned dividends of $1.0 million related to our investment in Residential common stock. During the six months ended June 30, 2017 and second quarter of 2017, we earned dividends of $1.2 million and $0.6 million, respectively, related to this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an income tax provision of $5.0 million for the six months ended June 30, 2017 compared to $5.5 million for the six months ended June 30, 2016 ($2.4 million and $3.3 million for the second quarter of 2017 and 2016, respectively). Our effective tax rate was 22.9% and 12.2% for the six months ended June 30, 2017 and June 30, 2016, respectively (20.0% and 13.7% for the second quarter of 2017 and 2016, respectively). Our effective tax rates differ from the Luxembourg statutory tax rate of 27.1% and 29.2% in 2017 and 2016, respectively, primarily due to the effect of certain deductions in Luxembourg and the mix of income and losses with varying tax rates in multiple taxing jurisdictions. The higher effective income tax rates for the six months ended June 30, 2017 and second quarter of 2017 were primarily the result of lower pretax income, which changed the mix of taxable income across the jurisdictions in which we operate.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 xml:space="preserve">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Prior to the January 1, 2017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reportable segments, our reportable segments were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The former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was separated into the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segments (see Overview - Our Business). Furthermore, certain of the software services business units that were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and the mortgage charge-off collections business that was formerly in the </w:t>
      </w:r>
      <w:r>
        <w:rPr>
          <w:rFonts w:ascii="Arial" w:cs="Arial" w:eastAsia="Arial" w:hAnsi="Arial"/>
          <w:sz w:val="17"/>
          <w:szCs w:val="17"/>
          <w:i w:val="1"/>
          <w:iCs w:val="1"/>
          <w:color w:val="auto"/>
        </w:rPr>
        <w:t xml:space="preserve">Financial Services </w:t>
      </w:r>
      <w:r>
        <w:rPr>
          <w:rFonts w:ascii="Arial" w:cs="Arial" w:eastAsia="Arial" w:hAnsi="Arial"/>
          <w:sz w:val="17"/>
          <w:szCs w:val="17"/>
          <w:color w:val="auto"/>
        </w:rPr>
        <w:t>segment are now included in the</w:t>
      </w:r>
      <w:r>
        <w:rPr>
          <w:rFonts w:ascii="Arial" w:cs="Arial" w:eastAsia="Arial" w:hAnsi="Arial"/>
          <w:sz w:val="17"/>
          <w:szCs w:val="17"/>
          <w:i w:val="1"/>
          <w:iCs w:val="1"/>
          <w:color w:val="auto"/>
        </w:rPr>
        <w:t xml:space="preserve"> Mortgage Market</w:t>
      </w:r>
      <w:r>
        <w:rPr>
          <w:rFonts w:ascii="Arial" w:cs="Arial" w:eastAsia="Arial" w:hAnsi="Arial"/>
          <w:sz w:val="17"/>
          <w:szCs w:val="17"/>
          <w:color w:val="auto"/>
        </w:rPr>
        <w: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includes the asset recovery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management services and customer relationship management services that were formerly in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as well as IT infrastructure management services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(see Overview - Our Business). Prior year comparable period segment disclosures have been restated to conform to the current year presentation.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 and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 2017</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198,414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2"/>
          </w:tcPr>
          <w:p>
            <w:pPr>
              <w:jc w:val="right"/>
              <w:ind w:right="128"/>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24,347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15,346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238,107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11,094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210,195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250,685</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144,326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26,844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14,223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185,393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65,869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65,292</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29,805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17,114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52,470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36,064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(15,977)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12,822</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 and</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1"/>
              <w:spacing w:after="0"/>
              <w:rPr>
                <w:sz w:val="20"/>
                <w:szCs w:val="20"/>
                <w:color w:val="auto"/>
              </w:rPr>
            </w:pPr>
            <w:r>
              <w:rPr>
                <w:rFonts w:ascii="Arial" w:cs="Arial" w:eastAsia="Arial" w:hAnsi="Arial"/>
                <w:sz w:val="18"/>
                <w:szCs w:val="18"/>
                <w:color w:val="auto"/>
              </w:rPr>
              <w:t>36,166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1"/>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(16,741)</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gridSpan w:val="2"/>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858"/>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 2016</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5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197,479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24,173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19,672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241,324</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13,783</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211,300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19,695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255,799</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135,723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16,854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21,794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174,371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75,577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31,141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5,620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17,446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54,207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27,221</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 and</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44,510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vMerge w:val="restart"/>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91"/>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(22,867)</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77"/>
        </w:trPr>
        <w:tc>
          <w:tcPr>
            <w:tcW w:w="5260" w:type="dxa"/>
            <w:vAlign w:val="bottom"/>
            <w:gridSpan w:val="3"/>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gridSpan w:val="2"/>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17"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393,387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43,536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31,023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467,946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1,302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414,918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31,057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491,168</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284,476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48,987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29,883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363,346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130,442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127,822</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58,487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31,808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71,955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27,651</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 and</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1"/>
              <w:spacing w:after="0"/>
              <w:rPr>
                <w:sz w:val="20"/>
                <w:szCs w:val="20"/>
                <w:color w:val="auto"/>
              </w:rPr>
            </w:pPr>
            <w:r>
              <w:rPr>
                <w:rFonts w:ascii="Arial" w:cs="Arial" w:eastAsia="Arial" w:hAnsi="Arial"/>
                <w:sz w:val="18"/>
                <w:szCs w:val="18"/>
                <w:color w:val="auto"/>
              </w:rPr>
              <w:t>72,067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vMerge w:val="restart"/>
          </w:tcPr>
          <w:p>
            <w:pPr>
              <w:jc w:val="right"/>
              <w:ind w:right="168"/>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1"/>
              <w:spacing w:after="0"/>
              <w:rPr>
                <w:sz w:val="20"/>
                <w:szCs w:val="20"/>
                <w:color w:val="auto"/>
              </w:rPr>
            </w:pPr>
            <w:r>
              <w:rPr>
                <w:rFonts w:ascii="Arial" w:cs="Arial" w:eastAsia="Arial" w:hAnsi="Arial"/>
                <w:sz w:val="18"/>
                <w:szCs w:val="18"/>
                <w:color w:val="auto"/>
              </w:rPr>
              <w:t>(13,670)</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(36,491)</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21,906</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gridSpan w:val="2"/>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858"/>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 2016</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5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385,564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47,574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42,466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475,604</w:t>
            </w: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28,047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29,237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414,701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42,517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505,931</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269,766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31,312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42,156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343,234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144,935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162,697</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60,595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35,434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107,823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84,340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54,874</w:t>
            </w: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(9,946)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 and</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84,474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1"/>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(45,019)</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45,062</w:t>
            </w:r>
          </w:p>
        </w:tc>
        <w:tc>
          <w:tcPr>
            <w:tcW w:w="0" w:type="dxa"/>
            <w:vAlign w:val="bottom"/>
          </w:tcPr>
          <w:p>
            <w:pPr>
              <w:spacing w:after="0"/>
              <w:rPr>
                <w:sz w:val="1"/>
                <w:szCs w:val="1"/>
                <w:color w:val="auto"/>
              </w:rPr>
            </w:pPr>
          </w:p>
        </w:tc>
      </w:tr>
      <w:tr>
        <w:trPr>
          <w:trHeight w:val="277"/>
        </w:trPr>
        <w:tc>
          <w:tcPr>
            <w:tcW w:w="5260" w:type="dxa"/>
            <w:vAlign w:val="bottom"/>
            <w:gridSpan w:val="3"/>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gridSpan w:val="2"/>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260" w:type="dxa"/>
            <w:vAlign w:val="bottom"/>
            <w:gridSpan w:val="3"/>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918"/>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831"/>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252"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185,756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185,086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369,189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362,932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198,414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197,479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393,387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385,564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210,195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211,300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414,918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414,701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recognized service revenue of $393.4 million for the six months ended June 30, 2017, a 2% increase compared to the six months ended June 30, 2016 ($198.4 million for the second quarter of 2017, a less than 1% increase compared to the second quarter of 2016). The increases in service revenue for the six months ended June 30, 2017 and the second quarter of 2017 were primarily due to growth in referrals of certain higher fee property preservation services in the Servicer Solutions business, a change in 2015 in the pricing and billing model for preservation services on new Ocwen REO referrals that resulted in certain services that were historically reimbursable expenses revenue becoming service revenue in the Servicer Solutions business, the acquisition of Granite in July 2016 and growth in non-Ocwen service revenues from new business and the expansion of existing business in the Servicer Solutions and Origination Solutions businesses. These increases were partially offset by a decrease in referrals in the other Servicer Solutions businesses, driven by the decline in the number of loans on REALServicing, largely as a result of the normal run-off of Ocwen’s loan portfolio. The decrease in reimbursable expenses revenue was primarily due to the change in 2015 in the pricing and billing model for preservation services on new Ocwen REO referrals described above. The increases for the six months ended June 30, 2017 were partially offset by lower professional services revenues in our Servicer Solutions technologies businesses.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78,710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65,499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154,080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129,231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7,709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144,326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135,723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284,476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269,766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for the six months ended June 30, 2017 of $284.5 million increased by 5% compared to the six months ended June 30, 2016 ($144.3 million for the second quarter of 2017, a 6% increase compared to the second quarter of 2016). The increases in cost of revenue were primarily driven by higher outside fees and services, partially offset by decreases in reimbursable expenses</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compensation and benefits costs. Outside fees and services increased due to growth in referrals of certain higher cost property preservation services in the Servicer Solutions business, consistent with the growth in service revenue discussed in the revenue section above. Reimbursable expenses declined primarily as a result of the change in billing discussed in the revenue section above. Compensation and benefits costs declined in the Servicer Solutions business from lower headcount levels driven by lower customer referrals in certain business units.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decreased to $130.4 million, representing 33% of service revenue, for the six months ended June 30, 2017 compared to $144.9 million, representing 38% of service revenue, for the six months ended June 30, 2016 (decreased to $65.9 million, representing 33% of service revenue for the second quarter of 2017, compared to $75.6 million, representing 38% of service revenue for the second quarter of 2016). Gross profit as a percentage of service revenue declined primarily due to revenue mix from growth in the lower margin property preservation services and declines in other higher margin businesses.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8,709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29,805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31,141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58,487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for the six months ended June 30, 2017 of $58.5 million decreased by 3% compared to the six months ended June 30, 2016 ($29.8 million for the second quarter of 2017, a 4% decrease compared to the second quarter of 2016). The decreases in SG&amp;A were primarily driven by lower amortization of intangible assets, driven by an increase in total projected revenue to be generated by the Homeward and ResCap portfolios over the lives of these portfolios (revenue-based amortization), and reduced professional services related to legal costs in connection with litigation and regulatory matters. The decreases in SG&amp;A for the six months ended June 30, 2017 were partially offset by a $3.0 million favorable loss accrual adjustment in other SG&amp;A in the six months ended June 30, 2016.</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$72.0 million, representing 18% of service revenue, for the six months ended June 30, 2017 compared to $84.3 million, representing 22% of service revenue, for the six months ended June 30, 2016 (decreased to $36.1 million, representing 18% of service revenue for the second quarter of 2017, compared to $44.4 million, representing 23% of service revenue for the second quarter of 2016). The decreases in operating income as a percentage of service revenue were primarily the result of lower gross profit margins from the change in the revenue mix, partially offset by lower SG&amp;A, as discussed above.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Consumer Real Estate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24,347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24,173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47,574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25,130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24,804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45,193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48,713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recognized service revenue of $43.5 million for the six months ended June 30, 2017, an 8% decrease compared to the six months ended June 30, 2016 ($24.3 million for the second quarter of 2017, a 1% increase compared to the second quarter of 2016). The decrease in service revenue for the six months ended June 30, 2017 was primarily due to lower property preservation referrals and brokerage commissions from REO sales in the Real Estate Investor Solutions business from lower inventories of REO homes for sale by Residential, partially offset by growth in home sales revenue in our buy-renovate-sell program in the Real Estate Investor Solutions business, which began operations in the second half of 2016, and growth in the Consumer Real Estate Solutions business from higher volumes. The increase in service revenue for the second quarter of 2017 was primarily due to growth in home sales revenue in our buy-renovate-sell program in the Real Estate Investor Solutions business, partially offset by lower property preservation referrals and brokerage commissions from REO sales in the Real Estate Investor Solutions business from lower inventories of REO homes for sale by Residential.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13,783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23,434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26,844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16,854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48,987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six months ended June 30, 2017 of $49.0 million increased by 56% compared to the six months ended June 30, 2016 ($26.8 million for the second quarter of 2017, a 59% increase compared to the second quarter of 2016). The increases in cost of revenue were primarily due to increased outside fees and services in the Real Estate Investor Solutions business from the cost of the real estate sold in connection with our buy-renovate-sell program, partially offset by lower property preservation referrals. In addition, compensation and benefits costs increased in the Consumer Real Estate Solutions business to support growth of this initiative.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a loss of $3.8 million, representing (9)% of service revenue, for the six months ended June 30, 2017, compared to gross profit of $17.4 million, representing 37% of service revenue, for the six months ended June 30, 2016 (decreased to a loss of $1.7 million, representing (7)% of service revenue for the second quarter of 2017, compared to gross profit of $8.0</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million, representing 33% of service revenue for the second quarter of 2016). Gross profit as a percentage of service revenue declined primarily as a result of growth of the lower margin buy-renovate-sell program, lower brokerage commissions from REO sales and higher compensation and benefits costs to support growth of the Consumer Real Estate Solutions business.</w:t>
      </w:r>
    </w:p>
    <w:p>
      <w:pPr>
        <w:spacing w:after="0" w:line="127" w:lineRule="exact"/>
        <w:rPr>
          <w:sz w:val="20"/>
          <w:szCs w:val="20"/>
          <w:color w:val="auto"/>
        </w:rPr>
      </w:pPr>
    </w:p>
    <w:p>
      <w:pPr>
        <w:ind w:right="5480"/>
        <w:spacing w:after="0" w:line="465" w:lineRule="auto"/>
        <w:rPr>
          <w:sz w:val="20"/>
          <w:szCs w:val="20"/>
          <w:color w:val="auto"/>
        </w:rPr>
      </w:pPr>
      <w:r>
        <w:rPr>
          <w:rFonts w:ascii="Arial" w:cs="Arial" w:eastAsia="Arial" w:hAnsi="Arial"/>
          <w:sz w:val="18"/>
          <w:szCs w:val="18"/>
          <w:i w:val="1"/>
          <w:iCs w:val="1"/>
          <w:color w:val="auto"/>
        </w:rPr>
        <w:t xml:space="preserve">Selling, General and Administrative Expenses and Income (Loss) from Operations </w:t>
      </w:r>
      <w:r>
        <w:rPr>
          <w:rFonts w:ascii="Arial" w:cs="Arial" w:eastAsia="Arial" w:hAnsi="Arial"/>
          <w:sz w:val="18"/>
          <w:szCs w:val="18"/>
          <w:color w:val="auto"/>
        </w:rPr>
        <w:t>SG&amp;A expenses consisted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for the six months ended June 30, 2017 of $9.9 million decreased by 16% compared to the six months ended June 30, 2016 ($5.6 million for the second quarter of 2017, a 1% decrease compared to the second quarter of 2016). The decrease in SG&amp;A for the six months ended June 30, 2017 was primarily the result of lower marketing costs as a result of initial non-recurring Owners.com market launch costs incurred in 2016, partially offset by higher compensation and benefits costs in the Consumer Real Estate Solutions business to support the growth of this initiative.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a loss from operations of $13.7 million, representing (31)% of service revenue, for the six months ended June 30, 2017 compared to income from operations of $5.6 million, representing 12% of service revenue, for the six months ended June 30, 2016 (decreased to a loss from operations of $7.3 million, representing (30)% of service revenue for the second quarter of 2017, compared to income from operations of $2.3 million, representing 10% of service revenue for the second quarter of 2016). The decrease in operating income as a percentage of service revenue was primarily the result of lower gross profit margins,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7,503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14,860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Asset recovery management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42,517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recognized service revenue of $31.0 million for the six months ended June 30, 2017, a 27% decrease compared to the six months ended June 30, 2016 ($15.3 million for the second quarter of 2017, a 22% decrease compared to the second quarter of 2016). The decreases were primarily due to lower customer relationship management business as we have severed relationships with certain clients that were not profitable to us and we experienced a reduction in volume from the transition of services from one customer to another. In addition, IT infrastructure services, which are typically billed on a cost plus basis, declined due to the transition of resources supporting Ocwen’s technology infrastructure to Ocwen.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w w:val="92"/>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left="28"/>
              <w:spacing w:after="0"/>
              <w:rPr>
                <w:sz w:val="20"/>
                <w:szCs w:val="20"/>
                <w:color w:val="auto"/>
              </w:rPr>
            </w:pPr>
            <w:r>
              <w:rPr>
                <w:rFonts w:ascii="Arial" w:cs="Arial" w:eastAsia="Arial" w:hAnsi="Arial"/>
                <w:sz w:val="14"/>
                <w:szCs w:val="14"/>
                <w:b w:val="1"/>
                <w:bCs w:val="1"/>
                <w:color w:val="auto"/>
                <w:w w:val="90"/>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34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28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10,595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16,283</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31,857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1,376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4,112</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40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21,794</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42,156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for the six months ended June 30, 2017 of $29.9 million decreased by 29% compared to the six months ended June 30, 2016 ($14.2 million for the second quarter of 2017, a 35% decrease compared to the second quarter of 2016). The decrease in cost of revenue was primarily due to a decrease in compensation and benefits costs associated with the transition of resources supporting Ocwen’s technology infrastructure to Ocwen and reduced headcount levels in our customer relationship management business from a decrease in client relationships, as discussed in the revenue section above.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increased to $1.2 million, representing 4% of service revenue, for the six months ended June 30, 2017 compared to $0.4 million, representing 1% of service revenue, for the six months ended June 30, 2016 (increased to gross profit of $1.1 million, representing 7% of service revenue for the second quarter of 2017, compared to a gross loss of $2.1 million, representing (11)% of service revenue for the second quarter of 2016). Gross profit as a percentage of service revenue increased as the decrease in customer relationship management and IT infrastructure revenue was more than offset by the reduction in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Loss from Operations and Other Expenses, net.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SG&amp;A in Other Businesses, Corporate and Eliminations include SG&amp;A expenses of the customer relationship management, asset recovery management and IT infrastructure services business.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expense and non-operating gains and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includes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corporate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17,878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20,768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45,380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for the six months ended June 30, 2017 of $31.8 million decreased by 10% compared to the six months ended June 30, 2016 ($17.1 million for the second quarter of 2017, a 2% decrease compared to the second quarter of 2016). The decrease in SG&amp;A for the six months ended June 30, 2017 was primarily due to lower legal and regulatory costs, partially offset by unfavorable loss accrual adjustments of $2.7 million related to facility closures and litigation related costs in other SG&amp;A in the second quarter of 2017. The increase in SG&amp;A in the second quarter of 2017 was primarily due to unfavorable loss accrual adjustments of $2.7 million in other SG&amp;A, partially offset by professional services related to legal costs in connection with litigation and regulatory matters.</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Loss from operations decreased to $30.6 million for the six months ended June 30, 2017 compared to a loss of $35.1 million for the six months ended June 30, 2016 (decreased to $16.0 million for the second quarter of 2017 compared to a loss of $19.5 million for the second quarter of 2016). The decreases in loss from operations were primarily driven by the increases in gross profit and lower SG&amp;A for the six months ended June 30, 2017, as discussed above.</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expenses, net principally includes interest expense and other non-operating gains and losses. For the six months ended June 30, 2017, other expenses, net of $5.9 million decreased by 41% compared to the six months ended June 30, 2016 ($0.8 million for the second quarter of 2017, decreased by 77% compared to the second quarter of 2016) from lower interest expense and non-recurring expenses incurred in the second quarter of 2016 relating to our investment in Residential. These reductions were partially offset by lower gains on the early extinguishment of debt in the second quarter of 2017.</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was $11.3 million for the six months ended June 30, 2017, a decrease of $1.3 million compared to the six months ended June 30, 2016 ($5.5 million for the second quarter of 2017, a decrease of $0.5 million compared to the second quarter of 2016), primarily from the 2017 and 2016 repurchases of portions of our senior secured term loan with an aggregate par value of $77.0 million.</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second quarter of 2017, we repurchased portions of our senior secured term loan with an aggregate par value of $26.0 million at a weighted average discount of 16.5%, recognizing a net gain of $3.9 million on the early extinguishment of debt. In the second quarter of 2016, we repurchased portions of our</w:t>
      </w:r>
    </w:p>
    <w:p>
      <w:pPr>
        <w:sectPr>
          <w:pgSz w:w="11900" w:h="16838" w:orient="portrait"/>
          <w:cols w:equalWidth="0" w:num="1">
            <w:col w:w="11420"/>
          </w:cols>
          <w:pgMar w:left="240" w:top="288" w:right="239" w:bottom="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senior secured term loan with an aggregate par value of $51.0 million at a weighted average discount of 13.2%, recognizing a net gain of $5.5 million on the early extinguishment of debt.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2016, we incurred expenses of $3.4 million and earned dividends of $1.0 million related to our investment in Residential common stock. During the six months ended June 30, 2017 and the second quarter of 2017, we earned dividends of $1.2 million and $0.6 million, respectively, related to this investment.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primary source of liquidity is cash flows from operations. We seek to deploy cash generated in a disciplined manner. Principally, we intend to use cash to develop and grow complementary services and businesses that we believe will generate attractive margins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line with our core capabilities and strategy. We use cash for scheduled repayments of our senior secured term loan and seek to use cash from time to time to repurchase shares of our common stock and repurchase our senior secured term loan. In addition, we consider and evaluate business acquisitions that may arise from time to time that are aligned with our strategy.</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2017, we used $24.8 million to repay and repurchase portions of the senior secured term loan ($23.3 million for the second quarter of 2017) and $18.6 million to repurchase shares of our common stock ($8.0 million for the second quarter of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subsidiaries are guarantors of the term loan. We subsequently entered into three amendments to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June 30, 2017, $450.6 million was outstanding under the senior secured term loan agreement, as amended, compared to $479.7 million as of December 31, 2016.</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for the six months ended June 30, 2017. The interest rate as of June 30, 2017 was 4.72%.</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2017, we repurchased portions of our senior secured term loan with an aggregate par value of $26.0 million at a weighted average discount of 16.5%, recognizing a net gain of $3.9 million on the early extinguishment of debt. In the second quarter of 2016, we repurchased portions of our senior secured term loan with an aggregate par value of $51.0 million at a weighted average discount of 13.2%, recognizing a net gain of $5.5 million on the early extinguishment of debt.</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69,405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(60,670)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(58,841)</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179,327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114,205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120,486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operating activities generally consist of the cash effects of transactions and events that enter into the determination of net income. For the six months ended June 30, 2017, cash flows provided by operating activities were $12.5 million, or $0.03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every dollar of service revenue ($0.13 for every dollar of service revenue for the second quarter of 2017) compared to cash flows generated from operating activities of $69.4 million, or $0.15 for every dollar of service revenue for the six months ended June 30, 2016 ($0.17 for every dollar of service revenue for the second quarter of 2016). The decrease in cash flows from operations for the six months ended June 30, 2017 compared to the six months ended June 30, 2016 was principally driven by the $28.0 million net payment for the previously accrued litigation settlement combined with lower net income, partially offset by higher collections of accounts receivable, primarily driven by timing.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In addition, annual incentive compensation bonuses are paid during the first quarter of each year. Consequently, our cash flows from operations may be negatively impacted when comparing one interim period to another.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investing activities for the six months ended June 30, 2017 and 2016 primarily included capital expenditures and purchases and sales of available for sale securities. For the six months ended June 30, 2017 and 2016, we used $5.7 million and $12.4 million, respectively, for capital expenditures primarily related to investments in the development of certain software applications, IT infrastructure and facility build-outs. The decrease in capital expenditures primarily related to the completion of several software development projects and facility build-outs in 2016. In addition, during the six months ended June 30, 2016, we purchased 4.1 million shares of Residential common stock for $48.2 million including brokers’ commissions (no comparative amount in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flows from financing activities for the six months ended June 30, 2017 and 2016 primarily included activities associated with share repurchases, debt repayments, stock option exercises and payments to non-controlling interests. During the six months ended June 30, 2017 and 2016, we used $15.5 million and $19.7 million, respectively, to repurchase our common stock. In addition, during the six months ended June 30, 2017 and 2016, we used $24.8 million and $47.8 million, respectively, to repurchase portions of our senior secured term loan and make scheduled repayments of our senior secured term loan. During the six months ended June 30, 2017 and 2016, stock option exercises provided proceeds of $0.8 million and $1.0 million, respectively. During each of the six months ended June 30, 2017 and 2016, we distributed $1.1 million to non-controlling interests. Also during the six months ended June 30, 2017, we made payments of $1.1 million to satisfy employee tax withholding obligations on the issuance of restricted shares. These payments were made to tax authorities, at the employees’ direction, to satisfy the employees’ tax obligations rather than issuing a portion of vested restricted shares to employees.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June 30, 2017</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12, 2014, we acquired certain assets and assumed certain liabilities of Mortgage Builder Software, Inc. (“Mortgage Builder”). The Mortgage Builder purchase agreement provides for the payment of up to $7.0 million in potential additional consideration based on Adjusted Revenue (as defined in the purchase agreement). As of June 30, 2017, we have recorded $0.4 million of potential additional consideration related to the Mortgage Builder acquisition. The amount ultimately paid will depend on Mortgage Builder’s Adjusted Revenue in the last of the three consecutive 12-month periods following acquisition.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Holdings, LLC and its subsidiaries. A portion of the purchase consideration totaling $10.5 million is payable to the sellers over four years from the acquisition date, including $3.8 million to be paid to certain of the sellers that is contingent on future employment. As of June 30, 2017, we have paid $4.7 million of the $10.5 million that is payable over four years from the acquisition date and $0 of the $3.8 million purchase consideration that is contingent on future employment.</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next 12 months, we expect to distribute approximately $2.0 million to the Lenders One members representing non-controlling interest, repay $1.5 million of the senior secured term loan and pay $5.1 million of interest expense under the senior secured term loan agreement.</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12 months.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six months ended June 30, 2017, there were no significant changes to our contractual obligations from those identified in our Form 10-K for the fiscal year ended December 31, 2016, other than those that occur in the normal course of business. See Note 20 to the condensed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2016 filed with the SEC on February 16, 2017. Those policies have not changed during the six months ended June 30,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for a discussion of the future adoption of new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the interest rate charged on the senior secured term loan was 4.72%. The interest rate is calculated based on the Adjusted Eurodollar Rate (as defined in the senior secured term loan agreement) with a minimum floor of 1.00% plus 3.50%.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June 30, 2017, a one percentage point increase in the Eurodollar Rate would increase our annual interest expense by approximately $4.5 million, based on the June 30, 2017 Adjusted Eurodollar Rate. There would be a $1.0 million decrease in our annual interest expense if there was a one percentage point decrease in the Eurodollar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second quarter of 2017, a one percentage point increase or decrease in value of the Indian rupee in relation to the United States dollar would increase or decrease our annual expenses by approximately $1.1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2017,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2017.</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On December 19, 2016, the Court granted Lead Plaintiffs leave to file the fourth amended complaint, and Lead Plaintiffs filed the fourth amended complaint on December 28, 2016. On January 6, 2017, Defendants filed a motion to strike certain matters from the fourth amended complaint and a motion to dismiss certain claims pled in the fourth amended complaint. Before the Court ruled on Defendants’ motions, the parties notified the Court on January 19, 2017 of their agreement to settle the action, subject to Court approval and other customary terms and conditions described in the settlement stipulation filed with the Court, including rights of the parties to terminate the settlement under certain conditions. On February 10, 2017, the Court entered an order preliminarily approving the settlement, certifying a settlement class, approving the form and content of notice of the settlement to class members, establishing procedures for shareholders to request exclusion from the class or object to the settlement, and setting a hearing for May 30, 2017 to determine whether the settlement should be approved and the case dismissed with prejudice. Following the May 30, 2017 hearing, the Court entered an Order and Final Judgment dated May 30, 2017, approving the settlement and dismissing the case with prejudice. Under the settlement, Altisource Portfolio Solutions S.A. paid a total of $32 million in cash, $4 million of which was funded by insurance proceeds, to a settlement fund to resolve all claims asserted and which could have been asserted on behalf of investors who purchased or otherwise acquired Altisource Portfolio Solutions S.A. stock between April 25, 2013 and December 21, 2014. The settlement provides that Altisource Portfolio Solutions S.A. and the officer and director defendants deny all claims of wrongdoing or liability.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Altisource received a Notice and Opportunity to Respond and Advise (“NORA”) letter on November 10, 2016 from the Consumer Financial Protection Bureau (“CFPB”) indicating that the CFPB is considering a potential enforcement action against Altisource relating to an alleged violation of federal law that primarily concerns certain technology services provided to Ocwen. The NORA letter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spacing w:after="0" w:line="438" w:lineRule="auto"/>
        <w:rPr>
          <w:sz w:val="20"/>
          <w:szCs w:val="20"/>
          <w:color w:val="auto"/>
        </w:rPr>
      </w:pPr>
      <w:r>
        <w:rPr>
          <w:rFonts w:ascii="Arial" w:cs="Arial" w:eastAsia="Arial" w:hAnsi="Arial"/>
          <w:sz w:val="18"/>
          <w:szCs w:val="18"/>
          <w:color w:val="auto"/>
        </w:rPr>
        <w:t xml:space="preserve">is premature to predict the potential outcome or to estimate any potential financial impact in connection with any potential CFPB enforcement action. </w:t>
      </w:r>
      <w:r>
        <w:rPr>
          <w:rFonts w:ascii="Arial" w:cs="Arial" w:eastAsia="Arial" w:hAnsi="Arial"/>
          <w:sz w:val="18"/>
          <w:szCs w:val="18"/>
          <w:b w:val="1"/>
          <w:bCs w:val="1"/>
          <w:color w:val="auto"/>
        </w:rPr>
        <w:t>Item 1A. Risk Factors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2016 filed with the SEC on February 16,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3"/>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purchased</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(1)</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(1)</w:t>
            </w:r>
          </w:p>
        </w:tc>
        <w:tc>
          <w:tcPr>
            <w:tcW w:w="0" w:type="dxa"/>
            <w:vAlign w:val="bottom"/>
          </w:tcPr>
          <w:p>
            <w:pPr>
              <w:spacing w:after="0"/>
              <w:rPr>
                <w:sz w:val="1"/>
                <w:szCs w:val="1"/>
                <w:color w:val="auto"/>
              </w:rPr>
            </w:pPr>
          </w:p>
        </w:tc>
      </w:tr>
      <w:tr>
        <w:trPr>
          <w:trHeight w:val="270"/>
        </w:trPr>
        <w:tc>
          <w:tcPr>
            <w:tcW w:w="28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April 1 – 30, 2017</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3,460,598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May 1 – 31, 2017</w:t>
            </w:r>
          </w:p>
        </w:tc>
        <w:tc>
          <w:tcPr>
            <w:tcW w:w="98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245,663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245,663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4,390,108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June 1 – 30, 2017</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170,443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170,443</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4,219,665</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416,106</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416,106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4,219,665</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80" w:hanging="258"/>
        <w:spacing w:after="0" w:line="226" w:lineRule="auto"/>
        <w:tabs>
          <w:tab w:leader="none" w:pos="2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On May 17, 2017, our shareholders approved the renewal of the share repurchase program originally approved by the shareholders on May 18, 2016, which replaced the previous share repurchase program and authorizes us to purchase up to 4.6 million shares of our common stock in the open market, subject to certain parameters.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4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0800" w:type="dxa"/>
            <w:vAlign w:val="bottom"/>
          </w:tcPr>
          <w:p>
            <w:pPr>
              <w:ind w:left="120"/>
              <w:spacing w:after="0"/>
              <w:rPr>
                <w:sz w:val="20"/>
                <w:szCs w:val="20"/>
                <w:color w:val="auto"/>
              </w:rPr>
            </w:pPr>
            <w:r>
              <w:rPr>
                <w:rFonts w:ascii="Arial" w:cs="Arial" w:eastAsia="Arial" w:hAnsi="Arial"/>
                <w:sz w:val="18"/>
                <w:szCs w:val="18"/>
                <w:color w:val="auto"/>
              </w:rPr>
              <w:t>*  Amended and Restated Articles of Incorporation of Altisource Portfolio Solutions S.A.</w:t>
            </w:r>
          </w:p>
        </w:tc>
      </w:tr>
      <w:tr>
        <w:trPr>
          <w:trHeight w:val="37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10.1</w:t>
            </w:r>
          </w:p>
        </w:tc>
        <w:tc>
          <w:tcPr>
            <w:tcW w:w="10800" w:type="dxa"/>
            <w:vAlign w:val="bottom"/>
          </w:tcPr>
          <w:p>
            <w:pPr>
              <w:ind w:left="120"/>
              <w:spacing w:after="0"/>
              <w:rPr>
                <w:sz w:val="20"/>
                <w:szCs w:val="20"/>
                <w:color w:val="auto"/>
              </w:rPr>
            </w:pPr>
            <w:r>
              <w:rPr>
                <w:rFonts w:ascii="Arial" w:cs="Arial" w:eastAsia="Arial" w:hAnsi="Arial"/>
                <w:sz w:val="18"/>
                <w:szCs w:val="18"/>
                <w:color w:val="auto"/>
                <w:w w:val="92"/>
              </w:rPr>
              <w:t>†  Form of Non-Qualified Stock Option Award Agreement (2017 Performance-Based Stock Options) (incorporated by reference to Exhibit 10.1 of</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the Company’s Form 8-K filed on April 13, 2017)</w:t>
            </w:r>
          </w:p>
        </w:tc>
      </w:tr>
      <w:tr>
        <w:trPr>
          <w:trHeight w:val="37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10.2</w:t>
            </w:r>
          </w:p>
        </w:tc>
        <w:tc>
          <w:tcPr>
            <w:tcW w:w="10800" w:type="dxa"/>
            <w:vAlign w:val="bottom"/>
          </w:tcPr>
          <w:p>
            <w:pPr>
              <w:ind w:left="120"/>
              <w:spacing w:after="0"/>
              <w:rPr>
                <w:sz w:val="20"/>
                <w:szCs w:val="20"/>
                <w:color w:val="auto"/>
              </w:rPr>
            </w:pPr>
            <w:r>
              <w:rPr>
                <w:rFonts w:ascii="Arial" w:cs="Arial" w:eastAsia="Arial" w:hAnsi="Arial"/>
                <w:sz w:val="18"/>
                <w:szCs w:val="18"/>
                <w:color w:val="auto"/>
                <w:w w:val="95"/>
              </w:rPr>
              <w:t>†  Form of Non-Qualified Stock Option Award Agreement (Service Revenue Stock Options) (incorporated by reference to Exhibit 10.2 of the</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Company’s Form 8-K filed on April 13, 2017)</w:t>
            </w:r>
          </w:p>
        </w:tc>
      </w:tr>
      <w:tr>
        <w:trPr>
          <w:trHeight w:val="37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10.3</w:t>
            </w:r>
          </w:p>
        </w:tc>
        <w:tc>
          <w:tcPr>
            <w:tcW w:w="10800" w:type="dxa"/>
            <w:vAlign w:val="bottom"/>
          </w:tcPr>
          <w:p>
            <w:pPr>
              <w:ind w:left="120"/>
              <w:spacing w:after="0"/>
              <w:rPr>
                <w:sz w:val="20"/>
                <w:szCs w:val="20"/>
                <w:color w:val="auto"/>
              </w:rPr>
            </w:pPr>
            <w:r>
              <w:rPr>
                <w:rFonts w:ascii="Arial" w:cs="Arial" w:eastAsia="Arial" w:hAnsi="Arial"/>
                <w:sz w:val="18"/>
                <w:szCs w:val="18"/>
                <w:color w:val="auto"/>
                <w:w w:val="94"/>
              </w:rPr>
              <w:t>†  Form of Restricted Stock Award Agreement (2017 Performance-Based Restricted Shares) (incorporated by reference to Exhibit 10.3 of the</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Company’s Form 8-K filed on April 13, 2017)</w:t>
            </w:r>
          </w:p>
        </w:tc>
      </w:tr>
      <w:tr>
        <w:trPr>
          <w:trHeight w:val="37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10.4</w:t>
            </w:r>
          </w:p>
        </w:tc>
        <w:tc>
          <w:tcPr>
            <w:tcW w:w="10800" w:type="dxa"/>
            <w:vAlign w:val="bottom"/>
          </w:tcPr>
          <w:p>
            <w:pPr>
              <w:ind w:left="120"/>
              <w:spacing w:after="0"/>
              <w:rPr>
                <w:sz w:val="20"/>
                <w:szCs w:val="20"/>
                <w:color w:val="auto"/>
              </w:rPr>
            </w:pPr>
            <w:r>
              <w:rPr>
                <w:rFonts w:ascii="Arial" w:cs="Arial" w:eastAsia="Arial" w:hAnsi="Arial"/>
                <w:sz w:val="18"/>
                <w:szCs w:val="18"/>
                <w:color w:val="auto"/>
                <w:w w:val="94"/>
              </w:rPr>
              <w:t>†  Form of Restricted Stock Award Agreement (Service-Based Restricted Shares) (incorporated by reference to Exhibit 10.4 of the Company’s</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Form 8-K filed on April 13, 2017)</w:t>
            </w:r>
          </w:p>
        </w:tc>
      </w:tr>
      <w:tr>
        <w:trPr>
          <w:trHeight w:val="392"/>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31.1</w:t>
            </w:r>
          </w:p>
        </w:tc>
        <w:tc>
          <w:tcPr>
            <w:tcW w:w="10800" w:type="dxa"/>
            <w:vAlign w:val="bottom"/>
          </w:tcPr>
          <w:p>
            <w:pPr>
              <w:ind w:left="120"/>
              <w:spacing w:after="0"/>
              <w:rPr>
                <w:sz w:val="20"/>
                <w:szCs w:val="20"/>
                <w:color w:val="auto"/>
              </w:rPr>
            </w:pPr>
            <w:r>
              <w:rPr>
                <w:rFonts w:ascii="Arial" w:cs="Arial" w:eastAsia="Arial" w:hAnsi="Arial"/>
                <w:sz w:val="18"/>
                <w:szCs w:val="18"/>
                <w:color w:val="auto"/>
              </w:rPr>
              <w:t>*  Section 302 Certification of the Chief Executive Officer pursuant to Exchange Act Rule 13a-14(a)</w:t>
            </w:r>
          </w:p>
        </w:tc>
      </w:tr>
      <w:tr>
        <w:trPr>
          <w:trHeight w:val="392"/>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31.2</w:t>
            </w:r>
          </w:p>
        </w:tc>
        <w:tc>
          <w:tcPr>
            <w:tcW w:w="10800" w:type="dxa"/>
            <w:vAlign w:val="bottom"/>
          </w:tcPr>
          <w:p>
            <w:pPr>
              <w:ind w:left="120"/>
              <w:spacing w:after="0"/>
              <w:rPr>
                <w:sz w:val="20"/>
                <w:szCs w:val="20"/>
                <w:color w:val="auto"/>
              </w:rPr>
            </w:pPr>
            <w:r>
              <w:rPr>
                <w:rFonts w:ascii="Arial" w:cs="Arial" w:eastAsia="Arial" w:hAnsi="Arial"/>
                <w:sz w:val="18"/>
                <w:szCs w:val="18"/>
                <w:color w:val="auto"/>
              </w:rPr>
              <w:t>*  Section 302 Certification of the Chief Financial Officer pursuant to Exchange Act Rule 13a-14(a)</w:t>
            </w:r>
          </w:p>
        </w:tc>
      </w:tr>
      <w:tr>
        <w:trPr>
          <w:trHeight w:val="392"/>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32.1</w:t>
            </w:r>
          </w:p>
        </w:tc>
        <w:tc>
          <w:tcPr>
            <w:tcW w:w="10800" w:type="dxa"/>
            <w:vAlign w:val="bottom"/>
          </w:tcPr>
          <w:p>
            <w:pPr>
              <w:ind w:left="120"/>
              <w:spacing w:after="0"/>
              <w:rPr>
                <w:sz w:val="20"/>
                <w:szCs w:val="20"/>
                <w:color w:val="auto"/>
              </w:rPr>
            </w:pPr>
            <w:r>
              <w:rPr>
                <w:rFonts w:ascii="Arial" w:cs="Arial" w:eastAsia="Arial" w:hAnsi="Arial"/>
                <w:sz w:val="18"/>
                <w:szCs w:val="18"/>
                <w:color w:val="auto"/>
              </w:rPr>
              <w:t>*  Certification by the Chief Executive Officer and Chief Financial Officer pursuant to Section 906 of the Sarbanes-Oxley Act of 2002</w:t>
            </w:r>
          </w:p>
        </w:tc>
      </w:tr>
    </w:tbl>
    <w:p>
      <w:pPr>
        <w:spacing w:after="0" w:line="161" w:lineRule="exact"/>
        <w:rPr>
          <w:sz w:val="20"/>
          <w:szCs w:val="20"/>
          <w:color w:val="auto"/>
        </w:rPr>
      </w:pPr>
    </w:p>
    <w:p>
      <w:pPr>
        <w:ind w:left="960" w:hanging="763"/>
        <w:spacing w:after="0" w:line="297" w:lineRule="auto"/>
        <w:tabs>
          <w:tab w:leader="none" w:pos="719" w:val="left"/>
        </w:tabs>
        <w:numPr>
          <w:ilvl w:val="0"/>
          <w:numId w:val="19"/>
        </w:numPr>
        <w:rPr>
          <w:rFonts w:ascii="Arial" w:cs="Arial" w:eastAsia="Arial" w:hAnsi="Arial"/>
          <w:sz w:val="16"/>
          <w:szCs w:val="16"/>
          <w:color w:val="auto"/>
        </w:rPr>
      </w:pPr>
      <w:r>
        <w:rPr>
          <w:rFonts w:ascii="Arial" w:cs="Arial" w:eastAsia="Arial" w:hAnsi="Arial"/>
          <w:sz w:val="16"/>
          <w:szCs w:val="16"/>
          <w:color w:val="auto"/>
        </w:rPr>
        <w:t>* Pursuant to Rule 405 of Regulation S-T, the following financial information from the Company’s Quarterly Report on Form 10-Q for the period ended June 30, 2017 is formatted in XBRL interactive data files: (i) Condensed Consolidated Balance Sheets at June 30, 2017 and December 31, 2016; (ii) Condensed Consolidated Statements of Operations and Comprehensive Income for the three and six months ended June 30, 2017 and 2016; (iii) Condensed Consolidated Statements of Equity for the six months ended June 30, 2017 and 2016; (iv) Condensed Consolidated Statements of Cash Flows for the six months ended June 30, 2017 and 2016; and (v) Notes to Condensed Consolidated Financial Statements.</w:t>
      </w:r>
    </w:p>
    <w:p>
      <w:pPr>
        <w:spacing w:after="0" w:line="320" w:lineRule="exact"/>
        <w:rPr>
          <w:sz w:val="20"/>
          <w:szCs w:val="20"/>
          <w:color w:val="auto"/>
        </w:rPr>
      </w:pPr>
    </w:p>
    <w:p>
      <w:pPr>
        <w:ind w:left="380" w:right="6280" w:hanging="3"/>
        <w:spacing w:after="0" w:line="340" w:lineRule="auto"/>
        <w:tabs>
          <w:tab w:leader="none" w:pos="6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Denotes a management contract or compensatory arrangement * Filed herewith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ALTISOURCE PORTFOLIO SOLUTIONS S.A.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61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(On behalf of the Registrant and as its Principal Financial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462280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 Altisource Portfolio Solutions S.A. »</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Société anonyme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Grand-Duché de Luxembourg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R.C.S. Luxembourg: B 72 391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ARTICLES OF INCORPORATION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I. Form, Corporate Name, Registered Office, Object, Duration</w:t>
      </w:r>
    </w:p>
    <w:p>
      <w:pPr>
        <w:spacing w:after="0" w:line="12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b w:val="1"/>
          <w:bCs w:val="1"/>
          <w:color w:val="auto"/>
        </w:rPr>
        <w:t xml:space="preserve">Art. 1. Form, Corporate Name. </w:t>
      </w:r>
      <w:r>
        <w:rPr>
          <w:rFonts w:ascii="Arial" w:cs="Arial" w:eastAsia="Arial" w:hAnsi="Arial"/>
          <w:sz w:val="22"/>
          <w:szCs w:val="22"/>
          <w:color w:val="auto"/>
        </w:rPr>
        <w:t>There is established among the subscriber(s), and all those who may become owners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of the company hereafter issued, a company in the form of a public limited liability company (</w:t>
      </w:r>
      <w:r>
        <w:rPr>
          <w:rFonts w:ascii="Arial" w:cs="Arial" w:eastAsia="Arial" w:hAnsi="Arial"/>
          <w:sz w:val="22"/>
          <w:szCs w:val="22"/>
          <w:i w:val="1"/>
          <w:iCs w:val="1"/>
          <w:color w:val="auto"/>
        </w:rPr>
        <w:t>société anonyme</w:t>
      </w:r>
      <w:r>
        <w:rPr>
          <w:rFonts w:ascii="Arial" w:cs="Arial" w:eastAsia="Arial" w:hAnsi="Arial"/>
          <w:sz w:val="22"/>
          <w:szCs w:val="22"/>
          <w:color w:val="auto"/>
        </w:rPr>
        <w:t>) (the "</w:t>
      </w:r>
      <w:r>
        <w:rPr>
          <w:rFonts w:ascii="Arial" w:cs="Arial" w:eastAsia="Arial" w:hAnsi="Arial"/>
          <w:sz w:val="22"/>
          <w:szCs w:val="22"/>
          <w:b w:val="1"/>
          <w:bCs w:val="1"/>
          <w:color w:val="auto"/>
        </w:rPr>
        <w:t>Company</w:t>
      </w:r>
      <w:r>
        <w:rPr>
          <w:rFonts w:ascii="Arial" w:cs="Arial" w:eastAsia="Arial" w:hAnsi="Arial"/>
          <w:sz w:val="22"/>
          <w:szCs w:val="22"/>
          <w:color w:val="auto"/>
        </w:rPr>
        <w:t>") which will be governed by the laws of the Grand-Duchy of Luxembourg, in particular the law of 10 August 1915 on commercial companies, as amended (the "</w:t>
      </w:r>
      <w:r>
        <w:rPr>
          <w:rFonts w:ascii="Arial" w:cs="Arial" w:eastAsia="Arial" w:hAnsi="Arial"/>
          <w:sz w:val="22"/>
          <w:szCs w:val="22"/>
          <w:b w:val="1"/>
          <w:bCs w:val="1"/>
          <w:color w:val="auto"/>
        </w:rPr>
        <w:t>Law</w:t>
      </w:r>
      <w:r>
        <w:rPr>
          <w:rFonts w:ascii="Arial" w:cs="Arial" w:eastAsia="Arial" w:hAnsi="Arial"/>
          <w:sz w:val="22"/>
          <w:szCs w:val="22"/>
          <w:color w:val="auto"/>
        </w:rPr>
        <w:t>"), Article 1832 of the Luxembourg Civil Code, as amended (the “</w:t>
      </w:r>
      <w:r>
        <w:rPr>
          <w:rFonts w:ascii="Arial" w:cs="Arial" w:eastAsia="Arial" w:hAnsi="Arial"/>
          <w:sz w:val="22"/>
          <w:szCs w:val="22"/>
          <w:b w:val="1"/>
          <w:bCs w:val="1"/>
          <w:color w:val="auto"/>
        </w:rPr>
        <w:t>Civil Code</w:t>
      </w:r>
      <w:r>
        <w:rPr>
          <w:rFonts w:ascii="Arial" w:cs="Arial" w:eastAsia="Arial" w:hAnsi="Arial"/>
          <w:sz w:val="22"/>
          <w:szCs w:val="22"/>
          <w:color w:val="auto"/>
        </w:rPr>
        <w:t>”), and by the present articles of incorporation (the "</w:t>
      </w:r>
      <w:r>
        <w:rPr>
          <w:rFonts w:ascii="Arial" w:cs="Arial" w:eastAsia="Arial" w:hAnsi="Arial"/>
          <w:sz w:val="22"/>
          <w:szCs w:val="22"/>
          <w:b w:val="1"/>
          <w:bCs w:val="1"/>
          <w:color w:val="auto"/>
        </w:rPr>
        <w:t>Articles</w:t>
      </w:r>
      <w:r>
        <w:rPr>
          <w:rFonts w:ascii="Arial" w:cs="Arial" w:eastAsia="Arial" w:hAnsi="Arial"/>
          <w:sz w:val="22"/>
          <w:szCs w:val="22"/>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will exist under the name of "</w:t>
      </w:r>
      <w:r>
        <w:rPr>
          <w:rFonts w:ascii="Arial" w:cs="Arial" w:eastAsia="Arial" w:hAnsi="Arial"/>
          <w:sz w:val="22"/>
          <w:szCs w:val="22"/>
          <w:b w:val="1"/>
          <w:bCs w:val="1"/>
          <w:color w:val="auto"/>
        </w:rPr>
        <w:t>Altisource Portfolio Solutions S.A.</w:t>
      </w:r>
      <w:r>
        <w:rPr>
          <w:rFonts w:ascii="Arial" w:cs="Arial" w:eastAsia="Arial" w:hAnsi="Arial"/>
          <w:sz w:val="22"/>
          <w:szCs w:val="22"/>
          <w:color w:val="auto"/>
        </w:rPr>
        <w:t>"</w:t>
      </w:r>
    </w:p>
    <w:p>
      <w:pPr>
        <w:spacing w:after="0" w:line="125" w:lineRule="exact"/>
        <w:rPr>
          <w:sz w:val="20"/>
          <w:szCs w:val="20"/>
          <w:color w:val="auto"/>
        </w:rPr>
      </w:pPr>
    </w:p>
    <w:p>
      <w:pPr>
        <w:jc w:val="both"/>
        <w:ind w:right="20" w:firstLine="648"/>
        <w:spacing w:after="0" w:line="360" w:lineRule="auto"/>
        <w:rPr>
          <w:sz w:val="20"/>
          <w:szCs w:val="20"/>
          <w:color w:val="auto"/>
        </w:rPr>
      </w:pPr>
      <w:r>
        <w:rPr>
          <w:rFonts w:ascii="Arial" w:cs="Arial" w:eastAsia="Arial" w:hAnsi="Arial"/>
          <w:sz w:val="22"/>
          <w:szCs w:val="22"/>
          <w:b w:val="1"/>
          <w:bCs w:val="1"/>
          <w:color w:val="auto"/>
        </w:rPr>
        <w:t xml:space="preserve">Art. 2. Registered Office. </w:t>
      </w:r>
      <w:r>
        <w:rPr>
          <w:rFonts w:ascii="Arial" w:cs="Arial" w:eastAsia="Arial" w:hAnsi="Arial"/>
          <w:sz w:val="22"/>
          <w:szCs w:val="22"/>
          <w:color w:val="auto"/>
        </w:rPr>
        <w:t>The Company has its registered office in the city of Luxembourg. The Board of Directors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Article 11) is authorized to change the address of the Company's registered office within the Grand-Duchy of Luxembourg and amend these Articles accordingly.</w:t>
      </w:r>
    </w:p>
    <w:p>
      <w:pPr>
        <w:spacing w:after="0" w:line="2" w:lineRule="exact"/>
        <w:rPr>
          <w:sz w:val="20"/>
          <w:szCs w:val="20"/>
          <w:color w:val="auto"/>
        </w:rPr>
      </w:pPr>
    </w:p>
    <w:p>
      <w:pPr>
        <w:jc w:val="both"/>
        <w:ind w:firstLine="648"/>
        <w:spacing w:after="0" w:line="380" w:lineRule="auto"/>
        <w:rPr>
          <w:sz w:val="20"/>
          <w:szCs w:val="20"/>
          <w:color w:val="auto"/>
        </w:rPr>
      </w:pPr>
      <w:r>
        <w:rPr>
          <w:rFonts w:ascii="Arial" w:cs="Arial" w:eastAsia="Arial" w:hAnsi="Arial"/>
          <w:sz w:val="21"/>
          <w:szCs w:val="21"/>
          <w:color w:val="auto"/>
        </w:rPr>
        <w:t>Branches or other offices may be established either in the Grand-Duchy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Grand-Duchy of Luxembourg. Such temporary measures will be taken and notified to any interested parties by one of the bodies or persons entrusted with the daily management of the Company.</w:t>
      </w:r>
    </w:p>
    <w:p>
      <w:pPr>
        <w:sectPr>
          <w:pgSz w:w="11900" w:h="16838" w:orient="portrait"/>
          <w:cols w:equalWidth="0" w:num="1">
            <w:col w:w="11420"/>
          </w:cols>
          <w:pgMar w:left="240" w:top="922" w:right="239" w:bottom="1440" w:gutter="0" w:footer="0" w:header="0"/>
        </w:sectPr>
      </w:pPr>
    </w:p>
    <w:bookmarkStart w:id="53" w:name="page54"/>
    <w:bookmarkEnd w:id="53"/>
    <w:p>
      <w:pPr>
        <w:jc w:val="both"/>
        <w:ind w:firstLine="648"/>
        <w:spacing w:after="0" w:line="359" w:lineRule="auto"/>
        <w:rPr>
          <w:sz w:val="20"/>
          <w:szCs w:val="20"/>
          <w:color w:val="auto"/>
        </w:rPr>
      </w:pPr>
      <w:r>
        <w:rPr>
          <w:rFonts w:ascii="Arial" w:cs="Arial" w:eastAsia="Arial" w:hAnsi="Arial"/>
          <w:sz w:val="22"/>
          <w:szCs w:val="22"/>
          <w:b w:val="1"/>
          <w:bCs w:val="1"/>
          <w:color w:val="auto"/>
        </w:rPr>
        <w:t xml:space="preserve">Art. 3. Corporate Object. </w:t>
      </w:r>
      <w:r>
        <w:rPr>
          <w:rFonts w:ascii="Arial" w:cs="Arial" w:eastAsia="Arial" w:hAnsi="Arial"/>
          <w:sz w:val="22"/>
          <w:szCs w:val="22"/>
          <w:color w:val="auto"/>
        </w:rPr>
        <w:t>The object of the Company is the acquisition, the continuing management and the sale of</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6"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Company may also provide any financial assistance to the undertakings in which the Company has a participating interest or which form a part of the group of companies to which the Company belongs, including, but not limited to, the granting of loans and the providing of guarantees or securities in any form. The Company may pledge, transfer, encumber or otherwise create security over some or all of its assets.</w:t>
      </w:r>
    </w:p>
    <w:p>
      <w:pPr>
        <w:spacing w:after="0" w:line="3"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2"/>
          <w:szCs w:val="22"/>
          <w:color w:val="auto"/>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w:t>
      </w:r>
    </w:p>
    <w:p>
      <w:pPr>
        <w:sectPr>
          <w:pgSz w:w="11900" w:h="16838" w:orient="portrait"/>
          <w:cols w:equalWidth="0" w:num="1">
            <w:col w:w="11420"/>
          </w:cols>
          <w:pgMar w:left="240" w:top="679" w:right="23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companies or enterprises, either directly or indirectly, which have similar objects or whose objects are closely related to its own.</w:t>
      </w:r>
    </w:p>
    <w:p>
      <w:pPr>
        <w:spacing w:after="0" w:line="160" w:lineRule="exact"/>
        <w:rPr>
          <w:sz w:val="20"/>
          <w:szCs w:val="20"/>
          <w:color w:val="auto"/>
        </w:rPr>
      </w:pPr>
    </w:p>
    <w:p>
      <w:pPr>
        <w:jc w:val="both"/>
        <w:ind w:right="20" w:firstLine="648"/>
        <w:spacing w:after="0" w:line="356" w:lineRule="auto"/>
        <w:rPr>
          <w:sz w:val="20"/>
          <w:szCs w:val="20"/>
          <w:color w:val="auto"/>
        </w:rPr>
      </w:pPr>
      <w:r>
        <w:rPr>
          <w:rFonts w:ascii="Arial" w:cs="Arial" w:eastAsia="Arial" w:hAnsi="Arial"/>
          <w:sz w:val="22"/>
          <w:szCs w:val="22"/>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Art. 4. Duration. </w:t>
      </w:r>
      <w:r>
        <w:rPr>
          <w:rFonts w:ascii="Arial" w:cs="Arial" w:eastAsia="Arial" w:hAnsi="Arial"/>
          <w:sz w:val="22"/>
          <w:szCs w:val="22"/>
          <w:color w:val="auto"/>
        </w:rPr>
        <w:t>The Company is formed for an unlimited duration.</w:t>
      </w:r>
    </w:p>
    <w:p>
      <w:pPr>
        <w:spacing w:after="0" w:line="125"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Chapter II. Share Capital, Shares</w:t>
      </w:r>
    </w:p>
    <w:p>
      <w:pPr>
        <w:spacing w:after="0" w:line="125" w:lineRule="exact"/>
        <w:rPr>
          <w:sz w:val="20"/>
          <w:szCs w:val="20"/>
          <w:color w:val="auto"/>
        </w:rPr>
      </w:pPr>
    </w:p>
    <w:p>
      <w:pPr>
        <w:jc w:val="both"/>
        <w:ind w:firstLine="648"/>
        <w:spacing w:after="0" w:line="359" w:lineRule="auto"/>
        <w:rPr>
          <w:sz w:val="20"/>
          <w:szCs w:val="20"/>
          <w:color w:val="auto"/>
        </w:rPr>
      </w:pPr>
      <w:r>
        <w:rPr>
          <w:rFonts w:ascii="Arial" w:cs="Arial" w:eastAsia="Arial" w:hAnsi="Arial"/>
          <w:sz w:val="22"/>
          <w:szCs w:val="22"/>
          <w:b w:val="1"/>
          <w:bCs w:val="1"/>
          <w:color w:val="auto"/>
        </w:rPr>
        <w:t xml:space="preserve">Art. 5. Share Capital. </w:t>
      </w:r>
      <w:r>
        <w:rPr>
          <w:rFonts w:ascii="Arial" w:cs="Arial" w:eastAsia="Arial" w:hAnsi="Arial"/>
          <w:sz w:val="22"/>
          <w:szCs w:val="22"/>
          <w:color w:val="auto"/>
        </w:rPr>
        <w:t>The share capital of the Company is set at thirty million seven hundred eighty four thousand nine</w:t>
      </w:r>
      <w:r>
        <w:rPr>
          <w:rFonts w:ascii="Arial" w:cs="Arial" w:eastAsia="Arial" w:hAnsi="Arial"/>
          <w:sz w:val="22"/>
          <w:szCs w:val="22"/>
          <w:b w:val="1"/>
          <w:bCs w:val="1"/>
          <w:color w:val="auto"/>
        </w:rPr>
        <w:t xml:space="preserve"> </w:t>
      </w:r>
      <w:r>
        <w:rPr>
          <w:rFonts w:ascii="Arial" w:cs="Arial" w:eastAsia="Arial" w:hAnsi="Arial"/>
          <w:sz w:val="22"/>
          <w:szCs w:val="22"/>
          <w:color w:val="auto"/>
        </w:rPr>
        <w:t>hundred and seven United States Dollars (USD 30,784,907.-), divided into thirty million seven hundred eighty four thousand nine hundred and seven (30,784,907) shares of the Company’s common stock with a par value of one United States Dollar (USD 1.-) each. As used in the present Articles, “Shares” means shares of the Company’s common stock with a par value of one United States Dollar (USD 1.-)</w:t>
      </w:r>
    </w:p>
    <w:p>
      <w:pPr>
        <w:spacing w:after="0" w:line="5" w:lineRule="exact"/>
        <w:rPr>
          <w:sz w:val="20"/>
          <w:szCs w:val="20"/>
          <w:color w:val="auto"/>
        </w:rPr>
      </w:pPr>
    </w:p>
    <w:p>
      <w:pPr>
        <w:jc w:val="both"/>
        <w:ind w:firstLine="621"/>
        <w:spacing w:after="0" w:line="358" w:lineRule="auto"/>
        <w:rPr>
          <w:sz w:val="20"/>
          <w:szCs w:val="20"/>
          <w:color w:val="auto"/>
        </w:rPr>
      </w:pPr>
      <w:r>
        <w:rPr>
          <w:rFonts w:ascii="Arial" w:cs="Arial" w:eastAsia="Arial" w:hAnsi="Arial"/>
          <w:sz w:val="22"/>
          <w:szCs w:val="22"/>
          <w:color w:val="auto"/>
        </w:rPr>
        <w:t>In addition to the share capital, share premium accounts into which any premium paid on any Share in addition to its par value may be transferred and capital contribution accounts (</w:t>
      </w:r>
      <w:r>
        <w:rPr>
          <w:rFonts w:ascii="Arial" w:cs="Arial" w:eastAsia="Arial" w:hAnsi="Arial"/>
          <w:sz w:val="22"/>
          <w:szCs w:val="22"/>
          <w:i w:val="1"/>
          <w:iCs w:val="1"/>
          <w:color w:val="auto"/>
        </w:rPr>
        <w:t>compte 115, “Apport en capitaux propres non rémunéré par des titres</w:t>
      </w:r>
      <w:r>
        <w:rPr>
          <w:rFonts w:ascii="Arial" w:cs="Arial" w:eastAsia="Arial" w:hAnsi="Arial"/>
          <w:sz w:val="22"/>
          <w:szCs w:val="22"/>
          <w:color w:val="auto"/>
        </w:rPr>
        <w:t>”)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4" w:lineRule="exact"/>
        <w:rPr>
          <w:sz w:val="20"/>
          <w:szCs w:val="20"/>
          <w:color w:val="auto"/>
        </w:rPr>
      </w:pPr>
    </w:p>
    <w:p>
      <w:pPr>
        <w:ind w:left="960" w:hanging="331"/>
        <w:spacing w:after="0"/>
        <w:tabs>
          <w:tab w:leader="none" w:pos="9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distributable reserve to be used for distributions of any kind to be made by the Company;</w:t>
      </w:r>
    </w:p>
    <w:p>
      <w:pPr>
        <w:spacing w:after="0" w:line="125" w:lineRule="exact"/>
        <w:rPr>
          <w:rFonts w:ascii="Arial" w:cs="Arial" w:eastAsia="Arial" w:hAnsi="Arial"/>
          <w:sz w:val="22"/>
          <w:szCs w:val="22"/>
          <w:color w:val="auto"/>
        </w:rPr>
      </w:pPr>
    </w:p>
    <w:p>
      <w:pPr>
        <w:ind w:left="960" w:hanging="331"/>
        <w:spacing w:after="0"/>
        <w:tabs>
          <w:tab w:leader="none" w:pos="9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special reserve as foreseen by Articles 49-5, 49-8 and 72-1 of the Law.</w:t>
      </w:r>
    </w:p>
    <w:p>
      <w:pPr>
        <w:spacing w:after="0" w:line="119"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22"/>
          <w:szCs w:val="22"/>
          <w:b w:val="1"/>
          <w:bCs w:val="1"/>
          <w:color w:val="auto"/>
        </w:rPr>
        <w:t xml:space="preserve">Art. 6. Authorized Share Capital. </w:t>
      </w:r>
      <w:r>
        <w:rPr>
          <w:rFonts w:ascii="Arial" w:cs="Arial" w:eastAsia="Arial" w:hAnsi="Arial"/>
          <w:sz w:val="22"/>
          <w:szCs w:val="22"/>
          <w:color w:val="auto"/>
        </w:rPr>
        <w:t>The authorized share capital is set at one hundred million United States Dollars (USD</w:t>
      </w:r>
      <w:r>
        <w:rPr>
          <w:rFonts w:ascii="Arial" w:cs="Arial" w:eastAsia="Arial" w:hAnsi="Arial"/>
          <w:sz w:val="22"/>
          <w:szCs w:val="22"/>
          <w:b w:val="1"/>
          <w:bCs w:val="1"/>
          <w:color w:val="auto"/>
        </w:rPr>
        <w:t xml:space="preserve"> </w:t>
      </w:r>
      <w:r>
        <w:rPr>
          <w:rFonts w:ascii="Arial" w:cs="Arial" w:eastAsia="Arial" w:hAnsi="Arial"/>
          <w:sz w:val="22"/>
          <w:szCs w:val="22"/>
          <w:color w:val="auto"/>
        </w:rPr>
        <w:t>100,000,000.-), divided into one hundred million (100,000,000) Shares with a par value of one United States Dollar (USD 1.-) each.</w:t>
      </w:r>
    </w:p>
    <w:p>
      <w:pPr>
        <w:spacing w:after="0" w:line="2"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9"/>
          <w:szCs w:val="19"/>
          <w:color w:val="auto"/>
        </w:rPr>
        <w:t>The Board of Directors is authorized, during a period ending five (5) years after the date of publication of this delegation of authority or the renewal of such delegation in the electronic gazette RESA (</w:t>
      </w:r>
      <w:r>
        <w:rPr>
          <w:rFonts w:ascii="Arial" w:cs="Arial" w:eastAsia="Arial" w:hAnsi="Arial"/>
          <w:sz w:val="19"/>
          <w:szCs w:val="19"/>
          <w:i w:val="1"/>
          <w:iCs w:val="1"/>
          <w:color w:val="auto"/>
        </w:rPr>
        <w:t>Recueil Electronique des Sociétés et Associations</w:t>
      </w:r>
      <w:r>
        <w:rPr>
          <w:rFonts w:ascii="Arial" w:cs="Arial" w:eastAsia="Arial" w:hAnsi="Arial"/>
          <w:sz w:val="19"/>
          <w:szCs w:val="19"/>
          <w:color w:val="auto"/>
        </w:rPr>
        <w:t>) to:</w:t>
      </w:r>
    </w:p>
    <w:p>
      <w:pPr>
        <w:spacing w:after="0" w:line="1" w:lineRule="exact"/>
        <w:rPr>
          <w:sz w:val="20"/>
          <w:szCs w:val="20"/>
          <w:color w:val="auto"/>
        </w:rPr>
      </w:pPr>
    </w:p>
    <w:p>
      <w:pPr>
        <w:jc w:val="both"/>
        <w:ind w:left="980" w:hanging="324"/>
        <w:spacing w:after="0" w:line="368" w:lineRule="auto"/>
        <w:tabs>
          <w:tab w:leader="none" w:pos="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Realize any increase of the issued share capital within the limits of the authorized share capital in one or several times, by the issuing of new Shares, grant of options, warrants or other similar instruments exercisable into Shares, rights to subscribe for</w:t>
      </w:r>
    </w:p>
    <w:p>
      <w:pPr>
        <w:sectPr>
          <w:pgSz w:w="11900" w:h="16838" w:orient="portrait"/>
          <w:cols w:equalWidth="0" w:num="1">
            <w:col w:w="11420"/>
          </w:cols>
          <w:pgMar w:left="240" w:top="685" w:right="239" w:bottom="1440" w:gutter="0" w:footer="0" w:header="0"/>
        </w:sectPr>
      </w:pPr>
    </w:p>
    <w:bookmarkStart w:id="55" w:name="page56"/>
    <w:bookmarkEnd w:id="55"/>
    <w:p>
      <w:pPr>
        <w:jc w:val="both"/>
        <w:ind w:left="980"/>
        <w:spacing w:after="0" w:line="358" w:lineRule="auto"/>
        <w:rPr>
          <w:sz w:val="20"/>
          <w:szCs w:val="20"/>
          <w:color w:val="auto"/>
        </w:rPr>
      </w:pPr>
      <w:r>
        <w:rPr>
          <w:rFonts w:ascii="Arial" w:cs="Arial" w:eastAsia="Arial" w:hAnsi="Arial"/>
          <w:sz w:val="22"/>
          <w:szCs w:val="22"/>
          <w:color w:val="auto"/>
        </w:rPr>
        <w:t>Shares against payment in cash or in kind; by conversion of claims; by the increase of the par value of existing Shares; or in any other manner to be decided by the Board of Directors up to an amount of one hundred million United States Dollars (USD 100,000,000.-).</w:t>
      </w:r>
    </w:p>
    <w:p>
      <w:pPr>
        <w:spacing w:after="0" w:line="2" w:lineRule="exact"/>
        <w:rPr>
          <w:sz w:val="20"/>
          <w:szCs w:val="20"/>
          <w:color w:val="auto"/>
        </w:rPr>
      </w:pPr>
    </w:p>
    <w:p>
      <w:pPr>
        <w:jc w:val="both"/>
        <w:ind w:left="980" w:hanging="324"/>
        <w:spacing w:after="0" w:line="358"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w:t>
      </w:r>
      <w:r>
        <w:rPr>
          <w:rFonts w:ascii="Arial" w:cs="Arial" w:eastAsia="Arial" w:hAnsi="Arial"/>
          <w:sz w:val="22"/>
          <w:szCs w:val="22"/>
          <w:i w:val="1"/>
          <w:iCs w:val="1"/>
          <w:color w:val="auto"/>
        </w:rPr>
        <w:t>compte 115 "Apport en capitaux propres non rémunéré par des titres"</w:t>
      </w:r>
      <w:r>
        <w:rPr>
          <w:rFonts w:ascii="Arial" w:cs="Arial" w:eastAsia="Arial" w:hAnsi="Arial"/>
          <w:sz w:val="22"/>
          <w:szCs w:val="22"/>
          <w:color w:val="auto"/>
        </w:rPr>
        <w:t>), share premium account or retained earnings). If the consideration payable to the Company for newly issued Shares exceeds the par value of those Shares, the excess is to be treated as share premium in respect of the Shares in the books of the Company.</w:t>
      </w:r>
    </w:p>
    <w:p>
      <w:pPr>
        <w:spacing w:after="0" w:line="6" w:lineRule="exact"/>
        <w:rPr>
          <w:rFonts w:ascii="Arial" w:cs="Arial" w:eastAsia="Arial" w:hAnsi="Arial"/>
          <w:sz w:val="22"/>
          <w:szCs w:val="22"/>
          <w:color w:val="auto"/>
        </w:rPr>
      </w:pPr>
    </w:p>
    <w:p>
      <w:pPr>
        <w:jc w:val="both"/>
        <w:ind w:left="980" w:hanging="324"/>
        <w:spacing w:after="0" w:line="358"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3" w:lineRule="exact"/>
        <w:rPr>
          <w:rFonts w:ascii="Arial" w:cs="Arial" w:eastAsia="Arial" w:hAnsi="Arial"/>
          <w:sz w:val="22"/>
          <w:szCs w:val="22"/>
          <w:color w:val="auto"/>
        </w:rPr>
      </w:pPr>
    </w:p>
    <w:p>
      <w:pPr>
        <w:jc w:val="both"/>
        <w:ind w:left="980" w:hanging="324"/>
        <w:spacing w:after="0" w:line="415" w:lineRule="auto"/>
        <w:tabs>
          <w:tab w:leader="none" w:pos="9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w:t>
      </w:r>
    </w:p>
    <w:p>
      <w:pPr>
        <w:spacing w:after="0" w:line="2" w:lineRule="exact"/>
        <w:rPr>
          <w:sz w:val="20"/>
          <w:szCs w:val="20"/>
          <w:color w:val="auto"/>
        </w:rPr>
      </w:pPr>
    </w:p>
    <w:p>
      <w:pPr>
        <w:ind w:left="980" w:right="20"/>
        <w:spacing w:after="0" w:line="375" w:lineRule="auto"/>
        <w:rPr>
          <w:sz w:val="20"/>
          <w:szCs w:val="20"/>
          <w:color w:val="auto"/>
        </w:rPr>
      </w:pPr>
      <w:r>
        <w:rPr>
          <w:rFonts w:ascii="Arial" w:cs="Arial" w:eastAsia="Arial" w:hAnsi="Arial"/>
          <w:sz w:val="21"/>
          <w:szCs w:val="21"/>
          <w:color w:val="auto"/>
        </w:rPr>
        <w:t>receiving payment for Shares or doing all things necessary to amend Articles 5 and 6 of the present Articles in order to record the change of share capital following any increase pursuant to the present Article.</w:t>
      </w:r>
    </w:p>
    <w:p>
      <w:pPr>
        <w:spacing w:after="0" w:line="2" w:lineRule="exact"/>
        <w:rPr>
          <w:sz w:val="20"/>
          <w:szCs w:val="20"/>
          <w:color w:val="auto"/>
        </w:rPr>
      </w:pPr>
    </w:p>
    <w:p>
      <w:pPr>
        <w:ind w:right="20" w:firstLine="648"/>
        <w:spacing w:after="0" w:line="379" w:lineRule="auto"/>
        <w:rPr>
          <w:sz w:val="20"/>
          <w:szCs w:val="20"/>
          <w:color w:val="auto"/>
        </w:rPr>
      </w:pPr>
      <w:r>
        <w:rPr>
          <w:rFonts w:ascii="Arial" w:cs="Arial" w:eastAsia="Arial" w:hAnsi="Arial"/>
          <w:sz w:val="22"/>
          <w:szCs w:val="22"/>
          <w:color w:val="auto"/>
        </w:rPr>
        <w:t>After each increase of the issued share capital according to the above, the present Articles shall be amended to reflect such increase without requiring further approval from the Company’s shareholders.</w:t>
      </w:r>
    </w:p>
    <w:p>
      <w:pPr>
        <w:sectPr>
          <w:pgSz w:w="11900" w:h="16838" w:orient="portrait"/>
          <w:cols w:equalWidth="0" w:num="1">
            <w:col w:w="11420"/>
          </w:cols>
          <w:pgMar w:left="240" w:top="685" w:right="239" w:bottom="1440" w:gutter="0" w:footer="0" w:header="0"/>
        </w:sectPr>
      </w:pPr>
    </w:p>
    <w:bookmarkStart w:id="56" w:name="page57"/>
    <w:bookmarkEnd w:id="56"/>
    <w:p>
      <w:pPr>
        <w:jc w:val="both"/>
        <w:ind w:firstLine="621"/>
        <w:spacing w:after="0" w:line="361" w:lineRule="auto"/>
        <w:rPr>
          <w:sz w:val="20"/>
          <w:szCs w:val="20"/>
          <w:color w:val="auto"/>
        </w:rPr>
      </w:pPr>
      <w:r>
        <w:rPr>
          <w:rFonts w:ascii="Arial" w:cs="Arial" w:eastAsia="Arial" w:hAnsi="Arial"/>
          <w:sz w:val="22"/>
          <w:szCs w:val="22"/>
          <w:b w:val="1"/>
          <w:bCs w:val="1"/>
          <w:color w:val="auto"/>
        </w:rPr>
        <w:t xml:space="preserve">Art. 7. Shares. </w:t>
      </w:r>
      <w:r>
        <w:rPr>
          <w:rFonts w:ascii="Arial" w:cs="Arial" w:eastAsia="Arial" w:hAnsi="Arial"/>
          <w:sz w:val="22"/>
          <w:szCs w:val="22"/>
          <w:color w:val="auto"/>
        </w:rPr>
        <w:t>The Shares will take the form of registered shares. The shareholders shall not have the right to ask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conversion of Shares into bearer shares.</w:t>
      </w:r>
    </w:p>
    <w:p>
      <w:pPr>
        <w:spacing w:after="0" w:line="1"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1"/>
          <w:szCs w:val="21"/>
          <w:color w:val="auto"/>
        </w:rPr>
        <w:t>A shareholders' register will be available for inspection by the Company’s shareholders at the Company’s registered office subject to the provisions of Article 39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spacing w:after="0" w:line="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spacing w:after="0" w:line="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Any transfer of Shares shall be recorded in the share register in accordance with applicable law. The Board of Directors may delegate its powers with respect to the recording of such transfers in the share register.</w:t>
      </w:r>
    </w:p>
    <w:p>
      <w:pPr>
        <w:spacing w:after="0" w:line="2" w:lineRule="exact"/>
        <w:rPr>
          <w:sz w:val="20"/>
          <w:szCs w:val="20"/>
          <w:color w:val="auto"/>
        </w:rPr>
      </w:pPr>
    </w:p>
    <w:p>
      <w:pPr>
        <w:jc w:val="both"/>
        <w:ind w:firstLine="621"/>
        <w:spacing w:after="0" w:line="358" w:lineRule="auto"/>
        <w:rPr>
          <w:sz w:val="20"/>
          <w:szCs w:val="20"/>
          <w:color w:val="auto"/>
        </w:rPr>
      </w:pPr>
      <w:r>
        <w:rPr>
          <w:rFonts w:ascii="Arial" w:cs="Arial" w:eastAsia="Arial" w:hAnsi="Arial"/>
          <w:sz w:val="22"/>
          <w:szCs w:val="22"/>
          <w:color w:val="auto"/>
        </w:rPr>
        <w:t>Each Share is indivisible. In case of holding of a Share by more than one person, the Company has the right to suspend the rights attaching thereto (except for the information rights provided for by Article 73 of the Law) until one sole person has been designated as being the holder thereof towards the Company.</w:t>
      </w:r>
    </w:p>
    <w:p>
      <w:pPr>
        <w:spacing w:after="0" w:line="2" w:lineRule="exact"/>
        <w:rPr>
          <w:sz w:val="20"/>
          <w:szCs w:val="20"/>
          <w:color w:val="auto"/>
        </w:rPr>
      </w:pPr>
    </w:p>
    <w:p>
      <w:pPr>
        <w:jc w:val="both"/>
        <w:ind w:firstLine="648"/>
        <w:spacing w:after="0" w:line="427" w:lineRule="auto"/>
        <w:rPr>
          <w:sz w:val="20"/>
          <w:szCs w:val="20"/>
          <w:color w:val="auto"/>
        </w:rPr>
      </w:pPr>
      <w:r>
        <w:rPr>
          <w:rFonts w:ascii="Arial" w:cs="Arial" w:eastAsia="Arial" w:hAnsi="Arial"/>
          <w:sz w:val="19"/>
          <w:szCs w:val="19"/>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 w:cs="Arial" w:eastAsia="Arial" w:hAnsi="Arial"/>
          <w:sz w:val="19"/>
          <w:szCs w:val="19"/>
          <w:b w:val="1"/>
          <w:bCs w:val="1"/>
          <w:color w:val="auto"/>
        </w:rPr>
        <w:t>Depositories</w:t>
      </w:r>
      <w:r>
        <w:rPr>
          <w:rFonts w:ascii="Arial" w:cs="Arial" w:eastAsia="Arial" w:hAnsi="Arial"/>
          <w:sz w:val="19"/>
          <w:szCs w:val="19"/>
          <w:color w:val="auto"/>
        </w:rPr>
        <w:t>" and each a "</w:t>
      </w:r>
      <w:r>
        <w:rPr>
          <w:rFonts w:ascii="Arial" w:cs="Arial" w:eastAsia="Arial" w:hAnsi="Arial"/>
          <w:sz w:val="19"/>
          <w:szCs w:val="19"/>
          <w:b w:val="1"/>
          <w:bCs w:val="1"/>
          <w:color w:val="auto"/>
        </w:rPr>
        <w:t>Depository</w:t>
      </w:r>
      <w:r>
        <w:rPr>
          <w:rFonts w:ascii="Arial" w:cs="Arial" w:eastAsia="Arial" w:hAnsi="Arial"/>
          <w:sz w:val="19"/>
          <w:szCs w:val="19"/>
          <w:color w:val="auto"/>
        </w:rPr>
        <w:t>") or of a sub-depository designated by one or more Depositories (the "</w:t>
      </w:r>
      <w:r>
        <w:rPr>
          <w:rFonts w:ascii="Arial" w:cs="Arial" w:eastAsia="Arial" w:hAnsi="Arial"/>
          <w:sz w:val="19"/>
          <w:szCs w:val="19"/>
          <w:b w:val="1"/>
          <w:bCs w:val="1"/>
          <w:color w:val="auto"/>
        </w:rPr>
        <w:t>Indirect Holders</w:t>
      </w:r>
      <w:r>
        <w:rPr>
          <w:rFonts w:ascii="Arial" w:cs="Arial" w:eastAsia="Arial" w:hAnsi="Arial"/>
          <w:sz w:val="19"/>
          <w:szCs w:val="19"/>
          <w:color w:val="auto"/>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w:t>
      </w:r>
    </w:p>
    <w:p>
      <w:pPr>
        <w:sectPr>
          <w:pgSz w:w="11900" w:h="16838" w:orient="portrait"/>
          <w:cols w:equalWidth="0" w:num="1">
            <w:col w:w="11420"/>
          </w:cols>
          <w:pgMar w:left="240" w:top="679" w:right="239" w:bottom="1440" w:gutter="0" w:footer="0" w:header="0"/>
        </w:sectPr>
      </w:pPr>
    </w:p>
    <w:bookmarkStart w:id="57" w:name="page58"/>
    <w:bookmarkEnd w:id="57"/>
    <w:p>
      <w:pPr>
        <w:jc w:val="both"/>
        <w:spacing w:after="0" w:line="358" w:lineRule="auto"/>
        <w:rPr>
          <w:sz w:val="20"/>
          <w:szCs w:val="20"/>
          <w:color w:val="auto"/>
        </w:rPr>
      </w:pPr>
      <w:r>
        <w:rPr>
          <w:rFonts w:ascii="Arial" w:cs="Arial" w:eastAsia="Arial" w:hAnsi="Arial"/>
          <w:sz w:val="22"/>
          <w:szCs w:val="22"/>
          <w:color w:val="auto"/>
        </w:rPr>
        <w:t>and shall consider those persons to be the shareholders for the purposes of Article 9. The Board of Directors may determine the formal requirements with which such certificates must comply.</w:t>
      </w:r>
    </w:p>
    <w:p>
      <w:pPr>
        <w:spacing w:after="0" w:line="2"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9"/>
          <w:szCs w:val="19"/>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b w:val="1"/>
          <w:bCs w:val="1"/>
          <w:color w:val="auto"/>
        </w:rPr>
        <w:t xml:space="preserve">Art. 8. Payment of Shares. </w:t>
      </w:r>
      <w:r>
        <w:rPr>
          <w:rFonts w:ascii="Arial" w:cs="Arial" w:eastAsia="Arial" w:hAnsi="Arial"/>
          <w:sz w:val="22"/>
          <w:szCs w:val="22"/>
          <w:color w:val="auto"/>
        </w:rPr>
        <w:t>Payments on Shares not fully paid up at the time of subscription may be made at the time and</w:t>
      </w:r>
      <w:r>
        <w:rPr>
          <w:rFonts w:ascii="Arial" w:cs="Arial" w:eastAsia="Arial" w:hAnsi="Arial"/>
          <w:sz w:val="22"/>
          <w:szCs w:val="22"/>
          <w:b w:val="1"/>
          <w:bCs w:val="1"/>
          <w:color w:val="auto"/>
        </w:rPr>
        <w:t xml:space="preserve"> </w:t>
      </w:r>
      <w:r>
        <w:rPr>
          <w:rFonts w:ascii="Arial" w:cs="Arial" w:eastAsia="Arial" w:hAnsi="Arial"/>
          <w:sz w:val="22"/>
          <w:szCs w:val="22"/>
          <w:color w:val="auto"/>
        </w:rPr>
        <w:t>upon conditions which the Board of Directors shall from time to time determine subject to the Law. Any amount called up on Shares will be charged equally on all outstanding Shares which are not fully paid up.</w:t>
      </w:r>
    </w:p>
    <w:p>
      <w:pPr>
        <w:spacing w:after="0" w:line="2" w:lineRule="exact"/>
        <w:rPr>
          <w:sz w:val="20"/>
          <w:szCs w:val="20"/>
          <w:color w:val="auto"/>
        </w:rPr>
      </w:pPr>
    </w:p>
    <w:p>
      <w:pPr>
        <w:jc w:val="both"/>
        <w:ind w:firstLine="621"/>
        <w:spacing w:after="0" w:line="376" w:lineRule="auto"/>
        <w:rPr>
          <w:sz w:val="20"/>
          <w:szCs w:val="20"/>
          <w:color w:val="auto"/>
        </w:rPr>
      </w:pPr>
      <w:r>
        <w:rPr>
          <w:rFonts w:ascii="Arial" w:cs="Arial" w:eastAsia="Arial" w:hAnsi="Arial"/>
          <w:sz w:val="21"/>
          <w:szCs w:val="21"/>
          <w:b w:val="1"/>
          <w:bCs w:val="1"/>
          <w:color w:val="auto"/>
        </w:rPr>
        <w:t xml:space="preserve">Art. 9. Increase and Reduction of the Share Capital. </w:t>
      </w:r>
      <w:r>
        <w:rPr>
          <w:rFonts w:ascii="Arial" w:cs="Arial" w:eastAsia="Arial" w:hAnsi="Arial"/>
          <w:sz w:val="21"/>
          <w:szCs w:val="21"/>
          <w:color w:val="auto"/>
        </w:rPr>
        <w:t>The issued share capital and the authorized share capital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pacing w:after="0" w:line="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2" w:lineRule="exact"/>
        <w:rPr>
          <w:sz w:val="20"/>
          <w:szCs w:val="20"/>
          <w:color w:val="auto"/>
        </w:rPr>
      </w:pPr>
    </w:p>
    <w:p>
      <w:pPr>
        <w:ind w:left="660"/>
        <w:spacing w:after="0" w:line="415" w:lineRule="auto"/>
        <w:rPr>
          <w:sz w:val="20"/>
          <w:szCs w:val="20"/>
          <w:color w:val="auto"/>
        </w:rPr>
      </w:pPr>
      <w:r>
        <w:rPr>
          <w:rFonts w:ascii="Arial" w:cs="Arial" w:eastAsia="Arial" w:hAnsi="Arial"/>
          <w:sz w:val="19"/>
          <w:szCs w:val="19"/>
          <w:color w:val="auto"/>
        </w:rPr>
        <w:t xml:space="preserve">The preferred subscription right is not applicable when the share capital is increased by means of contributions in kind. </w:t>
      </w:r>
      <w:r>
        <w:rPr>
          <w:rFonts w:ascii="Arial" w:cs="Arial" w:eastAsia="Arial" w:hAnsi="Arial"/>
          <w:sz w:val="19"/>
          <w:szCs w:val="19"/>
          <w:b w:val="1"/>
          <w:bCs w:val="1"/>
          <w:color w:val="auto"/>
        </w:rPr>
        <w:t>Art. 10. Acquisition or Redemption of Own Shares</w:t>
      </w:r>
      <w:r>
        <w:rPr>
          <w:rFonts w:ascii="Arial" w:cs="Arial" w:eastAsia="Arial" w:hAnsi="Arial"/>
          <w:sz w:val="19"/>
          <w:szCs w:val="19"/>
          <w:color w:val="auto"/>
        </w:rPr>
        <w:t>. The Company may acquire or redeem its own Shares in accordance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with the provisions of the Law. It may hold the Shares so</w:t>
      </w:r>
    </w:p>
    <w:p>
      <w:pPr>
        <w:sectPr>
          <w:pgSz w:w="11900" w:h="16838" w:orient="portrait"/>
          <w:cols w:equalWidth="0" w:num="1">
            <w:col w:w="11420"/>
          </w:cols>
          <w:pgMar w:left="240" w:top="685" w:right="239" w:bottom="1440" w:gutter="0" w:footer="0" w:header="0"/>
        </w:sectPr>
      </w:pPr>
    </w:p>
    <w:bookmarkStart w:id="58" w:name="page59"/>
    <w:bookmarkEnd w:id="58"/>
    <w:p>
      <w:pPr>
        <w:jc w:val="both"/>
        <w:ind w:left="660" w:hanging="647"/>
        <w:spacing w:after="0" w:line="415" w:lineRule="auto"/>
        <w:rPr>
          <w:sz w:val="20"/>
          <w:szCs w:val="20"/>
          <w:color w:val="auto"/>
        </w:rPr>
      </w:pPr>
      <w:r>
        <w:rPr>
          <w:rFonts w:ascii="Arial" w:cs="Arial" w:eastAsia="Arial" w:hAnsi="Arial"/>
          <w:sz w:val="19"/>
          <w:szCs w:val="19"/>
          <w:color w:val="auto"/>
        </w:rPr>
        <w:t>acquired or redeemed. As used in this Article 10, “Own Shares” means Shares acquired or redeemed and held by the Company. The voting rights of Own Shares are suspended and are not taken into account in the determination of the quorum and</w:t>
      </w:r>
    </w:p>
    <w:p>
      <w:pPr>
        <w:spacing w:after="0" w:line="1" w:lineRule="exact"/>
        <w:rPr>
          <w:sz w:val="20"/>
          <w:szCs w:val="20"/>
          <w:color w:val="auto"/>
        </w:rPr>
      </w:pPr>
    </w:p>
    <w:p>
      <w:pPr>
        <w:jc w:val="both"/>
        <w:ind w:right="20"/>
        <w:spacing w:after="0" w:line="412" w:lineRule="auto"/>
        <w:rPr>
          <w:sz w:val="20"/>
          <w:szCs w:val="20"/>
          <w:color w:val="auto"/>
        </w:rPr>
      </w:pPr>
      <w:r>
        <w:rPr>
          <w:rFonts w:ascii="Arial" w:cs="Arial" w:eastAsia="Arial" w:hAnsi="Arial"/>
          <w:sz w:val="19"/>
          <w:szCs w:val="19"/>
          <w:color w:val="auto"/>
        </w:rPr>
        <w:t>majority for shareholders' meetings. The Board of Directors is authorized to suspend the dividend rights attached to Own Shares. In such case, the Board of Directors may freely decide on the distributable profits in accordance with Article 49-5 of the Law.</w:t>
      </w:r>
    </w:p>
    <w:p>
      <w:pPr>
        <w:jc w:val="center"/>
        <w:spacing w:after="0"/>
        <w:rPr>
          <w:sz w:val="20"/>
          <w:szCs w:val="20"/>
          <w:color w:val="auto"/>
        </w:rPr>
      </w:pPr>
      <w:r>
        <w:rPr>
          <w:rFonts w:ascii="Arial" w:cs="Arial" w:eastAsia="Arial" w:hAnsi="Arial"/>
          <w:sz w:val="22"/>
          <w:szCs w:val="22"/>
          <w:b w:val="1"/>
          <w:bCs w:val="1"/>
          <w:color w:val="auto"/>
        </w:rPr>
        <w:t>Chapter III. Directors, Board of Directors, Statutory Auditors</w:t>
      </w:r>
    </w:p>
    <w:p>
      <w:pPr>
        <w:spacing w:after="0" w:line="125" w:lineRule="exact"/>
        <w:rPr>
          <w:sz w:val="20"/>
          <w:szCs w:val="20"/>
          <w:color w:val="auto"/>
        </w:rPr>
      </w:pPr>
    </w:p>
    <w:p>
      <w:pPr>
        <w:jc w:val="both"/>
        <w:ind w:firstLine="648"/>
        <w:spacing w:after="0" w:line="378" w:lineRule="auto"/>
        <w:rPr>
          <w:sz w:val="20"/>
          <w:szCs w:val="20"/>
          <w:color w:val="auto"/>
        </w:rPr>
      </w:pPr>
      <w:r>
        <w:rPr>
          <w:rFonts w:ascii="Arial" w:cs="Arial" w:eastAsia="Arial" w:hAnsi="Arial"/>
          <w:sz w:val="21"/>
          <w:szCs w:val="21"/>
          <w:b w:val="1"/>
          <w:bCs w:val="1"/>
          <w:color w:val="auto"/>
        </w:rPr>
        <w:t xml:space="preserve">Art. 11. Board of Directors. </w:t>
      </w:r>
      <w:r>
        <w:rPr>
          <w:rFonts w:ascii="Arial" w:cs="Arial" w:eastAsia="Arial" w:hAnsi="Arial"/>
          <w:sz w:val="21"/>
          <w:szCs w:val="21"/>
          <w:color w:val="auto"/>
        </w:rPr>
        <w:t>The Company is managed by a board of directors (the "</w:t>
      </w:r>
      <w:r>
        <w:rPr>
          <w:rFonts w:ascii="Arial" w:cs="Arial" w:eastAsia="Arial" w:hAnsi="Arial"/>
          <w:sz w:val="21"/>
          <w:szCs w:val="21"/>
          <w:b w:val="1"/>
          <w:bCs w:val="1"/>
          <w:color w:val="auto"/>
        </w:rPr>
        <w:t>Board of Directors</w:t>
      </w:r>
      <w:r>
        <w:rPr>
          <w:rFonts w:ascii="Arial" w:cs="Arial" w:eastAsia="Arial" w:hAnsi="Arial"/>
          <w:sz w:val="21"/>
          <w:szCs w:val="21"/>
          <w:color w:val="auto"/>
        </w:rPr>
        <w:t>") composed of at</w:t>
      </w:r>
      <w:r>
        <w:rPr>
          <w:rFonts w:ascii="Arial" w:cs="Arial" w:eastAsia="Arial" w:hAnsi="Arial"/>
          <w:sz w:val="21"/>
          <w:szCs w:val="21"/>
          <w:b w:val="1"/>
          <w:bCs w:val="1"/>
          <w:color w:val="auto"/>
        </w:rPr>
        <w:t xml:space="preserve"> </w:t>
      </w:r>
      <w:r>
        <w:rPr>
          <w:rFonts w:ascii="Arial" w:cs="Arial" w:eastAsia="Arial" w:hAnsi="Arial"/>
          <w:sz w:val="21"/>
          <w:szCs w:val="21"/>
          <w:color w:val="auto"/>
        </w:rPr>
        <w:t>least three (3) and of maximum seven (7) members (each a “</w:t>
      </w:r>
      <w:r>
        <w:rPr>
          <w:rFonts w:ascii="Arial" w:cs="Arial" w:eastAsia="Arial" w:hAnsi="Arial"/>
          <w:sz w:val="21"/>
          <w:szCs w:val="21"/>
          <w:b w:val="1"/>
          <w:bCs w:val="1"/>
          <w:color w:val="auto"/>
        </w:rPr>
        <w:t>Director</w:t>
      </w:r>
      <w:r>
        <w:rPr>
          <w:rFonts w:ascii="Arial" w:cs="Arial" w:eastAsia="Arial" w:hAnsi="Arial"/>
          <w:sz w:val="21"/>
          <w:szCs w:val="21"/>
          <w:color w:val="auto"/>
        </w:rPr>
        <w:t>”) who need not be shareholders.</w:t>
      </w:r>
    </w:p>
    <w:p>
      <w:pPr>
        <w:spacing w:after="0" w:line="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Director(s) shall be appointed by the general meeting of shareholders. The general meeting of shareholders will determine their number and the duration of their mandate for a term not exceeding six (6) years, and they will hold office until their successors are elected. Director(s) may be re-elected for successive terms, and may be removed at any time, with or without cause, by a resolution of the general meeting of shareholders.</w:t>
      </w:r>
    </w:p>
    <w:p>
      <w:pPr>
        <w:spacing w:after="0" w:line="3"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22"/>
          <w:szCs w:val="22"/>
          <w:color w:val="auto"/>
        </w:rPr>
        <w:t>If a corporate entity is appointed as Director, it shall designate a natural person as its permanent representative, who will represent the corporate entity as a member of the Board of Directors, in accordance with Article 5bis of the Law. In the event of a vacancy on the Board of Directors, if applicable, the remaining Director(s) may meet and may elect a director to fill such vacancy on a provisional basis until the next meeting of shareholders.</w:t>
      </w:r>
    </w:p>
    <w:p>
      <w:pPr>
        <w:spacing w:after="0" w:line="1" w:lineRule="exact"/>
        <w:rPr>
          <w:sz w:val="20"/>
          <w:szCs w:val="20"/>
          <w:color w:val="auto"/>
        </w:rPr>
      </w:pPr>
    </w:p>
    <w:p>
      <w:pPr>
        <w:jc w:val="both"/>
        <w:ind w:firstLine="648"/>
        <w:spacing w:after="0" w:line="417" w:lineRule="auto"/>
        <w:rPr>
          <w:sz w:val="20"/>
          <w:szCs w:val="20"/>
          <w:color w:val="auto"/>
        </w:rPr>
      </w:pPr>
      <w:r>
        <w:rPr>
          <w:rFonts w:ascii="Arial" w:cs="Arial" w:eastAsia="Arial" w:hAnsi="Arial"/>
          <w:sz w:val="19"/>
          <w:szCs w:val="19"/>
          <w:b w:val="1"/>
          <w:bCs w:val="1"/>
          <w:color w:val="auto"/>
        </w:rPr>
        <w:t xml:space="preserve">Art. 12. Meetings of the Board of Directors. </w:t>
      </w:r>
      <w:r>
        <w:rPr>
          <w:rFonts w:ascii="Arial" w:cs="Arial" w:eastAsia="Arial" w:hAnsi="Arial"/>
          <w:sz w:val="19"/>
          <w:szCs w:val="19"/>
          <w:color w:val="auto"/>
        </w:rPr>
        <w:t>The Board of Directors will appoint from among its members a chairman</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Chairman</w:t>
      </w:r>
      <w:r>
        <w:rPr>
          <w:rFonts w:ascii="Arial" w:cs="Arial" w:eastAsia="Arial" w:hAnsi="Arial"/>
          <w:sz w:val="19"/>
          <w:szCs w:val="19"/>
          <w:color w:val="auto"/>
        </w:rPr>
        <w:t>"). It may also appoint a corporate secretary, who need not be a Director and who will be responsible for keeping the minutes of the meetings of the Board of Directors and of the shareholder(s) (the "</w:t>
      </w:r>
      <w:r>
        <w:rPr>
          <w:rFonts w:ascii="Arial" w:cs="Arial" w:eastAsia="Arial" w:hAnsi="Arial"/>
          <w:sz w:val="19"/>
          <w:szCs w:val="19"/>
          <w:b w:val="1"/>
          <w:bCs w:val="1"/>
          <w:color w:val="auto"/>
        </w:rPr>
        <w:t>Secretary</w:t>
      </w:r>
      <w:r>
        <w:rPr>
          <w:rFonts w:ascii="Arial" w:cs="Arial" w:eastAsia="Arial" w:hAnsi="Arial"/>
          <w:sz w:val="19"/>
          <w:szCs w:val="19"/>
          <w:color w:val="auto"/>
        </w:rPr>
        <w:t>"). If the Secretary is not a Director, such person shall observe the confidentiality provisions as set forth in Article 15 under the responsibility of the Board of Directors.</w:t>
      </w:r>
    </w:p>
    <w:p>
      <w:pPr>
        <w:jc w:val="both"/>
        <w:ind w:firstLine="648"/>
        <w:spacing w:after="0" w:line="358" w:lineRule="auto"/>
        <w:rPr>
          <w:sz w:val="20"/>
          <w:szCs w:val="20"/>
          <w:color w:val="auto"/>
        </w:rPr>
      </w:pPr>
      <w:r>
        <w:rPr>
          <w:rFonts w:ascii="Arial" w:cs="Arial" w:eastAsia="Arial" w:hAnsi="Arial"/>
          <w:sz w:val="22"/>
          <w:szCs w:val="22"/>
          <w:color w:val="auto"/>
        </w:rPr>
        <w:t>The Board of Directors will meet upon call by the Chairman. A meeting of the Board of Directors must be convened if any two Directors so require.</w:t>
      </w:r>
    </w:p>
    <w:p>
      <w:pPr>
        <w:spacing w:after="0" w:line="2"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22"/>
          <w:szCs w:val="22"/>
          <w:color w:val="auto"/>
        </w:rPr>
        <w:t>The Chairman will preside at all meetings of the Board of Directors and of the shareholders, except that in his or her absence the Board of Directors may appoint another</w:t>
      </w:r>
    </w:p>
    <w:p>
      <w:pPr>
        <w:sectPr>
          <w:pgSz w:w="11900" w:h="16838" w:orient="portrait"/>
          <w:cols w:equalWidth="0" w:num="1">
            <w:col w:w="11420"/>
          </w:cols>
          <w:pgMar w:left="240" w:top="685" w:right="239" w:bottom="1440" w:gutter="0" w:footer="0" w:header="0"/>
        </w:sectPr>
      </w:pPr>
    </w:p>
    <w:bookmarkStart w:id="59" w:name="page60"/>
    <w:bookmarkEnd w:id="59"/>
    <w:p>
      <w:pPr>
        <w:jc w:val="both"/>
        <w:ind w:right="20"/>
        <w:spacing w:after="0" w:line="358" w:lineRule="auto"/>
        <w:rPr>
          <w:sz w:val="20"/>
          <w:szCs w:val="20"/>
          <w:color w:val="auto"/>
        </w:rPr>
      </w:pPr>
      <w:r>
        <w:rPr>
          <w:rFonts w:ascii="Arial" w:cs="Arial" w:eastAsia="Arial" w:hAnsi="Arial"/>
          <w:sz w:val="22"/>
          <w:szCs w:val="22"/>
          <w:color w:val="auto"/>
        </w:rPr>
        <w:t>Director and the general meeting of shareholders may appoint any other person as chairman pro tempore by vote of the majority present or represented at such meeting.</w:t>
      </w:r>
    </w:p>
    <w:p>
      <w:pPr>
        <w:spacing w:after="0" w:line="2"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22"/>
          <w:szCs w:val="22"/>
          <w:color w:val="auto"/>
        </w:rPr>
        <w:t>Except in cases of urgency or with the prior consent of all those entitled to attend, at least twenty-four (24) hours written notice of board meetings shall be given. Any such notice shall specify the place, the date and time of the meeting as well as the agenda and the nature of the business to be transacted.</w:t>
      </w:r>
    </w:p>
    <w:p>
      <w:pPr>
        <w:spacing w:after="0" w:line="2"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9"/>
          <w:szCs w:val="19"/>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Meetings of the Board of Directors shall be held in the location indicated in the notice of meeting.</w:t>
      </w:r>
    </w:p>
    <w:p>
      <w:pPr>
        <w:spacing w:after="0" w:line="125" w:lineRule="exact"/>
        <w:rPr>
          <w:sz w:val="20"/>
          <w:szCs w:val="20"/>
          <w:color w:val="auto"/>
        </w:rPr>
      </w:pPr>
    </w:p>
    <w:p>
      <w:pPr>
        <w:jc w:val="right"/>
        <w:spacing w:after="0" w:line="415" w:lineRule="auto"/>
        <w:rPr>
          <w:sz w:val="20"/>
          <w:szCs w:val="20"/>
          <w:color w:val="auto"/>
        </w:rPr>
      </w:pPr>
      <w:r>
        <w:rPr>
          <w:rFonts w:ascii="Arial" w:cs="Arial" w:eastAsia="Arial" w:hAnsi="Arial"/>
          <w:sz w:val="19"/>
          <w:szCs w:val="19"/>
          <w:color w:val="auto"/>
        </w:rPr>
        <w:t>Any Director may act at any meeting of the Board of Directors by appointing in writing another Director as his or her proxy. 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 (2) members of the Board of Directors or Committee, as applicable, shall be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required).</w:t>
      </w:r>
    </w:p>
    <w:p>
      <w:pPr>
        <w:spacing w:after="0" w:line="125"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22"/>
          <w:szCs w:val="22"/>
          <w:color w:val="auto"/>
        </w:rPr>
        <w:t>Decisions will be taken by a majority of the votes of the Directors present or represented at such meeting. In case of a voting tie, the Chairman shall have the deciding vote.</w:t>
      </w:r>
    </w:p>
    <w:p>
      <w:pPr>
        <w:spacing w:after="0" w:line="2"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1"/>
          <w:szCs w:val="21"/>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2"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1"/>
          <w:szCs w:val="21"/>
          <w:color w:val="auto"/>
        </w:rPr>
        <w:t>Where time is of the essence, a written decision passed by circular means and expressed by cable, facsimile or any other similar means of communication, signed by all the Directors, is proper and valid as though it had been adopted at a meeting of the Board of Directors which was duly convened and held. Such a decision can be documented in a single document or in several separate documents having the same content and each of them signed by one or several Directors.</w:t>
      </w:r>
    </w:p>
    <w:p>
      <w:pPr>
        <w:spacing w:after="0" w:line="3" w:lineRule="exact"/>
        <w:rPr>
          <w:sz w:val="20"/>
          <w:szCs w:val="20"/>
          <w:color w:val="auto"/>
        </w:rPr>
      </w:pPr>
    </w:p>
    <w:p>
      <w:pPr>
        <w:jc w:val="both"/>
        <w:ind w:right="20" w:firstLine="648"/>
        <w:spacing w:after="0" w:line="379" w:lineRule="auto"/>
        <w:rPr>
          <w:sz w:val="20"/>
          <w:szCs w:val="20"/>
          <w:color w:val="auto"/>
        </w:rPr>
      </w:pPr>
      <w:r>
        <w:rPr>
          <w:rFonts w:ascii="Arial" w:cs="Arial" w:eastAsia="Arial" w:hAnsi="Arial"/>
          <w:sz w:val="22"/>
          <w:szCs w:val="22"/>
          <w:color w:val="auto"/>
        </w:rPr>
        <w:t>The Directors assume, pursuant to their mandate, no personal liability for any commitment validly made by them in the name of the Company.</w:t>
      </w:r>
    </w:p>
    <w:p>
      <w:pPr>
        <w:sectPr>
          <w:pgSz w:w="11900" w:h="16838" w:orient="portrait"/>
          <w:cols w:equalWidth="0" w:num="1">
            <w:col w:w="11420"/>
          </w:cols>
          <w:pgMar w:left="240" w:top="685" w:right="239" w:bottom="1440" w:gutter="0" w:footer="0" w:header="0"/>
        </w:sectPr>
      </w:pPr>
    </w:p>
    <w:bookmarkStart w:id="60" w:name="page61"/>
    <w:bookmarkEnd w:id="60"/>
    <w:p>
      <w:pPr>
        <w:jc w:val="both"/>
        <w:ind w:firstLine="648"/>
        <w:spacing w:after="0" w:line="378" w:lineRule="auto"/>
        <w:rPr>
          <w:sz w:val="20"/>
          <w:szCs w:val="20"/>
          <w:color w:val="auto"/>
        </w:rPr>
      </w:pPr>
      <w:r>
        <w:rPr>
          <w:rFonts w:ascii="Arial" w:cs="Arial" w:eastAsia="Arial" w:hAnsi="Arial"/>
          <w:sz w:val="21"/>
          <w:szCs w:val="21"/>
          <w:b w:val="1"/>
          <w:bCs w:val="1"/>
          <w:color w:val="auto"/>
        </w:rPr>
        <w:t xml:space="preserve">Art. 13. Minutes of Meetings of the Board of Directors. </w:t>
      </w:r>
      <w:r>
        <w:rPr>
          <w:rFonts w:ascii="Arial" w:cs="Arial" w:eastAsia="Arial" w:hAnsi="Arial"/>
          <w:sz w:val="21"/>
          <w:szCs w:val="21"/>
          <w:color w:val="auto"/>
        </w:rPr>
        <w:t>The minutes of any meeting of the Board of Directors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signed by all Directors present and able to vote at the meeting. Any proxies will remain attached thereto.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Copies or extracts thereof shall be certified by the Secretary appointed by the Board of Directors.</w:t>
      </w:r>
    </w:p>
    <w:p>
      <w:pPr>
        <w:spacing w:after="0" w:line="119"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22"/>
          <w:szCs w:val="22"/>
          <w:b w:val="1"/>
          <w:bCs w:val="1"/>
          <w:color w:val="auto"/>
        </w:rPr>
        <w:t xml:space="preserve">Art. 14. General Powers of the Board of Directors. </w:t>
      </w:r>
      <w:r>
        <w:rPr>
          <w:rFonts w:ascii="Arial" w:cs="Arial" w:eastAsia="Arial" w:hAnsi="Arial"/>
          <w:sz w:val="22"/>
          <w:szCs w:val="22"/>
          <w:color w:val="auto"/>
        </w:rPr>
        <w:t>The Board of Directors is vested with the broadest powers to act on</w:t>
      </w:r>
      <w:r>
        <w:rPr>
          <w:rFonts w:ascii="Arial" w:cs="Arial" w:eastAsia="Arial" w:hAnsi="Arial"/>
          <w:sz w:val="22"/>
          <w:szCs w:val="22"/>
          <w:b w:val="1"/>
          <w:bCs w:val="1"/>
          <w:color w:val="auto"/>
        </w:rPr>
        <w:t xml:space="preserve"> </w:t>
      </w:r>
      <w:r>
        <w:rPr>
          <w:rFonts w:ascii="Arial" w:cs="Arial" w:eastAsia="Arial" w:hAnsi="Arial"/>
          <w:sz w:val="22"/>
          <w:szCs w:val="22"/>
          <w:color w:val="auto"/>
        </w:rPr>
        <w:t>behalf of the Company and to perform or authorize all acts of an administrative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1"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22"/>
          <w:szCs w:val="22"/>
          <w:color w:val="auto"/>
        </w:rPr>
        <w:t>The Board of Directors may freely decide to reimburse any share premium account or any available reserves or funds available on the capital contribution account (</w:t>
      </w:r>
      <w:r>
        <w:rPr>
          <w:rFonts w:ascii="Arial" w:cs="Arial" w:eastAsia="Arial" w:hAnsi="Arial"/>
          <w:sz w:val="22"/>
          <w:szCs w:val="22"/>
          <w:i w:val="1"/>
          <w:iCs w:val="1"/>
          <w:color w:val="auto"/>
        </w:rPr>
        <w:t>compte 115, “Apport en capitaux propres non rémunéré par des titres</w:t>
      </w:r>
      <w:r>
        <w:rPr>
          <w:rFonts w:ascii="Arial" w:cs="Arial" w:eastAsia="Arial" w:hAnsi="Arial"/>
          <w:sz w:val="22"/>
          <w:szCs w:val="22"/>
          <w:color w:val="auto"/>
        </w:rPr>
        <w:t>”) of the Company to its shareholders, in accordance with the provisions of the Law.</w:t>
      </w:r>
    </w:p>
    <w:p>
      <w:pPr>
        <w:spacing w:after="0" w:line="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b w:val="1"/>
          <w:bCs w:val="1"/>
          <w:color w:val="auto"/>
        </w:rPr>
        <w:t xml:space="preserve">Art. 15. Confidentiality. </w:t>
      </w:r>
      <w:r>
        <w:rPr>
          <w:rFonts w:ascii="Arial" w:cs="Arial" w:eastAsia="Arial" w:hAnsi="Arial"/>
          <w:sz w:val="22"/>
          <w:szCs w:val="22"/>
          <w:color w:val="auto"/>
        </w:rPr>
        <w:t>Even after the end of their term of office, the Directors shall not disclose information about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which could be detrimental to the Company's interests, except when disclosure is required by law, in accordance with and subject to the provisions of Article 66 of the Law.</w:t>
      </w:r>
    </w:p>
    <w:p>
      <w:pPr>
        <w:spacing w:after="0" w:line="2" w:lineRule="exact"/>
        <w:rPr>
          <w:sz w:val="20"/>
          <w:szCs w:val="20"/>
          <w:color w:val="auto"/>
        </w:rPr>
      </w:pPr>
    </w:p>
    <w:p>
      <w:pPr>
        <w:jc w:val="both"/>
        <w:ind w:firstLine="648"/>
        <w:spacing w:after="0" w:line="417" w:lineRule="auto"/>
        <w:rPr>
          <w:sz w:val="20"/>
          <w:szCs w:val="20"/>
          <w:color w:val="auto"/>
        </w:rPr>
      </w:pPr>
      <w:r>
        <w:rPr>
          <w:rFonts w:ascii="Arial" w:cs="Arial" w:eastAsia="Arial" w:hAnsi="Arial"/>
          <w:sz w:val="19"/>
          <w:szCs w:val="19"/>
          <w:b w:val="1"/>
          <w:bCs w:val="1"/>
          <w:color w:val="auto"/>
        </w:rPr>
        <w:t xml:space="preserve">Art. 16. Committees, Delegation of Powers. </w:t>
      </w:r>
      <w:r>
        <w:rPr>
          <w:rFonts w:ascii="Arial" w:cs="Arial" w:eastAsia="Arial" w:hAnsi="Arial"/>
          <w:sz w:val="19"/>
          <w:szCs w:val="19"/>
          <w:color w:val="auto"/>
        </w:rPr>
        <w:t>The Board of Directors may appoint committees, including, but not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to, an Executive Committee, an Audit Committee, a Nomination and Governance Committee, a Compliance Committee and a Compensation Committee (each a “Committee” and collectively, the “Committees”). The Board of Directors will determine each such committee’s composition and purpose in accordance with applicable law, rules and regulations.</w:t>
      </w:r>
    </w:p>
    <w:p>
      <w:pPr>
        <w:jc w:val="both"/>
        <w:ind w:firstLine="648"/>
        <w:spacing w:after="0" w:line="358" w:lineRule="auto"/>
        <w:rPr>
          <w:sz w:val="20"/>
          <w:szCs w:val="20"/>
          <w:color w:val="auto"/>
        </w:rPr>
      </w:pPr>
      <w:r>
        <w:rPr>
          <w:rFonts w:ascii="Arial" w:cs="Arial" w:eastAsia="Arial" w:hAnsi="Arial"/>
          <w:sz w:val="22"/>
          <w:szCs w:val="22"/>
          <w:color w:val="auto"/>
        </w:rPr>
        <w:t>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 Committee, under such terms and with such powers as the Board of Directors shall determine.</w:t>
      </w:r>
    </w:p>
    <w:p>
      <w:pPr>
        <w:spacing w:after="0" w:line="3" w:lineRule="exact"/>
        <w:rPr>
          <w:sz w:val="20"/>
          <w:szCs w:val="20"/>
          <w:color w:val="auto"/>
        </w:rPr>
      </w:pPr>
    </w:p>
    <w:p>
      <w:pPr>
        <w:jc w:val="both"/>
        <w:ind w:firstLine="648"/>
        <w:spacing w:after="0" w:line="368" w:lineRule="auto"/>
        <w:rPr>
          <w:sz w:val="20"/>
          <w:szCs w:val="20"/>
          <w:color w:val="auto"/>
        </w:rPr>
      </w:pPr>
      <w:r>
        <w:rPr>
          <w:rFonts w:ascii="Arial" w:cs="Arial" w:eastAsia="Arial" w:hAnsi="Arial"/>
          <w:sz w:val="22"/>
          <w:szCs w:val="22"/>
          <w:color w:val="auto"/>
        </w:rPr>
        <w:t>The Board of Directors may also delegate its powers to conduct daily management to a management committee or a management director (</w:t>
      </w:r>
      <w:r>
        <w:rPr>
          <w:rFonts w:ascii="Arial" w:cs="Arial" w:eastAsia="Arial" w:hAnsi="Arial"/>
          <w:sz w:val="22"/>
          <w:szCs w:val="22"/>
          <w:i w:val="1"/>
          <w:iCs w:val="1"/>
          <w:color w:val="auto"/>
        </w:rPr>
        <w:t>directeur</w:t>
      </w:r>
      <w:r>
        <w:rPr>
          <w:rFonts w:ascii="Arial" w:cs="Arial" w:eastAsia="Arial" w:hAnsi="Arial"/>
          <w:sz w:val="22"/>
          <w:szCs w:val="22"/>
          <w:color w:val="auto"/>
        </w:rPr>
        <w:t xml:space="preserve"> </w:t>
      </w:r>
      <w:r>
        <w:rPr>
          <w:rFonts w:ascii="Arial" w:cs="Arial" w:eastAsia="Arial" w:hAnsi="Arial"/>
          <w:sz w:val="22"/>
          <w:szCs w:val="22"/>
          <w:i w:val="1"/>
          <w:iCs w:val="1"/>
          <w:color w:val="222222"/>
        </w:rPr>
        <w:t>général</w:t>
      </w:r>
      <w:r>
        <w:rPr>
          <w:rFonts w:ascii="Arial" w:cs="Arial" w:eastAsia="Arial" w:hAnsi="Arial"/>
          <w:sz w:val="22"/>
          <w:szCs w:val="22"/>
          <w:i w:val="1"/>
          <w:iCs w:val="1"/>
          <w:color w:val="auto"/>
        </w:rPr>
        <w:t>)</w:t>
      </w:r>
      <w:r>
        <w:rPr>
          <w:rFonts w:ascii="Arial" w:cs="Arial" w:eastAsia="Arial" w:hAnsi="Arial"/>
          <w:sz w:val="22"/>
          <w:szCs w:val="22"/>
          <w:color w:val="auto"/>
        </w:rPr>
        <w:t xml:space="preserve"> in accordance with and subject to the provisions of Article 60-1 of the Law. The Board of Directors is authorized to</w:t>
      </w:r>
    </w:p>
    <w:p>
      <w:pPr>
        <w:sectPr>
          <w:pgSz w:w="11900" w:h="16838" w:orient="portrait"/>
          <w:cols w:equalWidth="0" w:num="1">
            <w:col w:w="11420"/>
          </w:cols>
          <w:pgMar w:left="240" w:top="679" w:right="239" w:bottom="1440" w:gutter="0" w:footer="0" w:header="0"/>
        </w:sectPr>
      </w:pPr>
    </w:p>
    <w:bookmarkStart w:id="61" w:name="page62"/>
    <w:bookmarkEnd w:id="61"/>
    <w:p>
      <w:pPr>
        <w:jc w:val="both"/>
        <w:spacing w:after="0" w:line="415" w:lineRule="auto"/>
        <w:rPr>
          <w:sz w:val="20"/>
          <w:szCs w:val="20"/>
          <w:color w:val="auto"/>
        </w:rPr>
      </w:pPr>
      <w:r>
        <w:rPr>
          <w:rFonts w:ascii="Arial" w:cs="Arial" w:eastAsia="Arial" w:hAnsi="Arial"/>
          <w:sz w:val="19"/>
          <w:szCs w:val="19"/>
          <w:color w:val="auto"/>
        </w:rPr>
        <w:t>determine the conditions of their appointment, removal, remuneration (if any), duration of mandate and decision-making process. The Board of Directors shall supervise the management committee, if any, and the management director, if any. The members of the management committee and management director, if any, shall comply with the conflicts of interest procedure provided for by Article 60-2 of the Law as well as with the confidentiality obligations provided for by Article 66 of the Law.</w:t>
      </w:r>
    </w:p>
    <w:p>
      <w:pPr>
        <w:spacing w:after="0" w:line="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2" w:lineRule="exact"/>
        <w:rPr>
          <w:sz w:val="20"/>
          <w:szCs w:val="20"/>
          <w:color w:val="auto"/>
        </w:rPr>
      </w:pPr>
    </w:p>
    <w:p>
      <w:pPr>
        <w:jc w:val="both"/>
        <w:ind w:right="20" w:firstLine="648"/>
        <w:spacing w:after="0" w:line="412" w:lineRule="auto"/>
        <w:rPr>
          <w:sz w:val="20"/>
          <w:szCs w:val="20"/>
          <w:color w:val="auto"/>
        </w:rPr>
      </w:pPr>
      <w:r>
        <w:rPr>
          <w:rFonts w:ascii="Arial" w:cs="Arial" w:eastAsia="Arial" w:hAnsi="Arial"/>
          <w:sz w:val="19"/>
          <w:szCs w:val="19"/>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ind w:left="660"/>
        <w:spacing w:after="0"/>
        <w:rPr>
          <w:sz w:val="20"/>
          <w:szCs w:val="20"/>
          <w:color w:val="auto"/>
        </w:rPr>
      </w:pPr>
      <w:r>
        <w:rPr>
          <w:rFonts w:ascii="Arial" w:cs="Arial" w:eastAsia="Arial" w:hAnsi="Arial"/>
          <w:sz w:val="22"/>
          <w:szCs w:val="22"/>
          <w:b w:val="1"/>
          <w:bCs w:val="1"/>
          <w:color w:val="auto"/>
        </w:rPr>
        <w:t xml:space="preserve">Art. 17. Representation of the Company. </w:t>
      </w:r>
      <w:r>
        <w:rPr>
          <w:rFonts w:ascii="Arial" w:cs="Arial" w:eastAsia="Arial" w:hAnsi="Arial"/>
          <w:sz w:val="22"/>
          <w:szCs w:val="22"/>
          <w:color w:val="auto"/>
        </w:rPr>
        <w:t>The Company will be bound towards third parties by:</w:t>
      </w:r>
    </w:p>
    <w:p>
      <w:pPr>
        <w:spacing w:after="0" w:line="13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joint signature of any two Directors;</w:t>
      </w:r>
    </w:p>
    <w:p>
      <w:pPr>
        <w:spacing w:after="0" w:line="125" w:lineRule="exact"/>
        <w:rPr>
          <w:rFonts w:ascii="Arial" w:cs="Arial" w:eastAsia="Arial" w:hAnsi="Arial"/>
          <w:sz w:val="22"/>
          <w:szCs w:val="22"/>
          <w:color w:val="auto"/>
        </w:rPr>
      </w:pPr>
    </w:p>
    <w:p>
      <w:pPr>
        <w:ind w:left="980" w:right="20" w:hanging="324"/>
        <w:spacing w:after="0" w:line="358"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individual signature of the member(s) of a management committee, if such committee has been formed by the Board of Directors; and</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signature of a management director, if one has been appointed by the Board of Directors;</w:t>
      </w:r>
    </w:p>
    <w:p>
      <w:pPr>
        <w:spacing w:after="0" w:line="125" w:lineRule="exact"/>
        <w:rPr>
          <w:rFonts w:ascii="Arial" w:cs="Arial" w:eastAsia="Arial" w:hAnsi="Arial"/>
          <w:sz w:val="22"/>
          <w:szCs w:val="22"/>
          <w:color w:val="auto"/>
        </w:rPr>
      </w:pPr>
    </w:p>
    <w:p>
      <w:pPr>
        <w:ind w:left="980" w:hanging="324"/>
        <w:spacing w:after="0" w:line="358"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individual signature of any other person to whom the Board has delegated the daily management of the Company in accordance with this Article, and then only within the scope of the daily management.</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individual signature of any person(s) to whom signing authority has been delegated by the Board of Directors;</w:t>
      </w:r>
    </w:p>
    <w:p>
      <w:pPr>
        <w:spacing w:after="0" w:line="154"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22"/>
          <w:szCs w:val="22"/>
          <w:b w:val="1"/>
          <w:bCs w:val="1"/>
          <w:color w:val="auto"/>
        </w:rPr>
        <w:t xml:space="preserve">Art. 18. Conflict of Interests. </w:t>
      </w:r>
      <w:r>
        <w:rPr>
          <w:rFonts w:ascii="Arial" w:cs="Arial" w:eastAsia="Arial" w:hAnsi="Arial"/>
          <w:sz w:val="22"/>
          <w:szCs w:val="22"/>
          <w:color w:val="auto"/>
        </w:rPr>
        <w:t>No contract or other transaction between the Company and any other company or firm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w:t>
      </w:r>
    </w:p>
    <w:p>
      <w:pPr>
        <w:sectPr>
          <w:pgSz w:w="11900" w:h="16838" w:orient="portrait"/>
          <w:cols w:equalWidth="0" w:num="1">
            <w:col w:w="11420"/>
          </w:cols>
          <w:pgMar w:left="240" w:top="685" w:right="239" w:bottom="1440" w:gutter="0" w:footer="0" w:header="0"/>
        </w:sectPr>
      </w:pPr>
    </w:p>
    <w:bookmarkStart w:id="62" w:name="page63"/>
    <w:bookmarkEnd w:id="62"/>
    <w:p>
      <w:pPr>
        <w:jc w:val="both"/>
        <w:ind w:left="660" w:hanging="647"/>
        <w:spacing w:after="0" w:line="415" w:lineRule="auto"/>
        <w:rPr>
          <w:sz w:val="20"/>
          <w:szCs w:val="20"/>
          <w:color w:val="auto"/>
        </w:rPr>
      </w:pPr>
      <w:r>
        <w:rPr>
          <w:rFonts w:ascii="Arial" w:cs="Arial" w:eastAsia="Arial" w:hAnsi="Arial"/>
          <w:sz w:val="19"/>
          <w:szCs w:val="19"/>
          <w:color w:val="auto"/>
        </w:rPr>
        <w:t>automatically prevented from considering and voting or acting upon any matters with respect to such contract or other business. Notwithstanding the above, in the event that any Director or officer of the Company has any personal interest in any</w:t>
      </w:r>
    </w:p>
    <w:p>
      <w:pPr>
        <w:spacing w:after="0" w:line="1" w:lineRule="exact"/>
        <w:rPr>
          <w:sz w:val="20"/>
          <w:szCs w:val="20"/>
          <w:color w:val="auto"/>
        </w:rPr>
      </w:pPr>
    </w:p>
    <w:p>
      <w:pPr>
        <w:jc w:val="both"/>
        <w:spacing w:after="0" w:line="358" w:lineRule="auto"/>
        <w:rPr>
          <w:sz w:val="20"/>
          <w:szCs w:val="20"/>
          <w:color w:val="auto"/>
        </w:rPr>
      </w:pPr>
      <w:r>
        <w:rPr>
          <w:rFonts w:ascii="Arial" w:cs="Arial" w:eastAsia="Arial" w:hAnsi="Arial"/>
          <w:sz w:val="22"/>
          <w:szCs w:val="22"/>
          <w:color w:val="auto"/>
        </w:rPr>
        <w:t>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spacing w:after="0" w:line="3" w:lineRule="exact"/>
        <w:rPr>
          <w:sz w:val="20"/>
          <w:szCs w:val="20"/>
          <w:color w:val="auto"/>
        </w:rPr>
      </w:pPr>
    </w:p>
    <w:p>
      <w:pPr>
        <w:jc w:val="both"/>
        <w:ind w:firstLine="648"/>
        <w:spacing w:after="0" w:line="414" w:lineRule="auto"/>
        <w:rPr>
          <w:sz w:val="20"/>
          <w:szCs w:val="20"/>
          <w:color w:val="auto"/>
        </w:rPr>
      </w:pPr>
      <w:r>
        <w:rPr>
          <w:rFonts w:ascii="Arial" w:cs="Arial" w:eastAsia="Arial" w:hAnsi="Arial"/>
          <w:sz w:val="19"/>
          <w:szCs w:val="19"/>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 liable for gross negligence or wilful misconduct; in the event of a 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or she may be entitled.</w:t>
      </w:r>
    </w:p>
    <w:p>
      <w:pPr>
        <w:spacing w:after="0" w:line="5"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22"/>
          <w:szCs w:val="22"/>
          <w:b w:val="1"/>
          <w:bCs w:val="1"/>
          <w:color w:val="auto"/>
        </w:rPr>
        <w:t xml:space="preserve">Art. 19. Auditors. </w:t>
      </w:r>
      <w:r>
        <w:rPr>
          <w:rFonts w:ascii="Arial" w:cs="Arial" w:eastAsia="Arial" w:hAnsi="Arial"/>
          <w:sz w:val="22"/>
          <w:szCs w:val="22"/>
          <w:color w:val="auto"/>
        </w:rPr>
        <w:t>The Company’s operations will be overseen by one or more supervisory auditors (</w:t>
      </w:r>
      <w:r>
        <w:rPr>
          <w:rFonts w:ascii="Arial" w:cs="Arial" w:eastAsia="Arial" w:hAnsi="Arial"/>
          <w:sz w:val="22"/>
          <w:szCs w:val="22"/>
          <w:i w:val="1"/>
          <w:iCs w:val="1"/>
          <w:color w:val="auto"/>
        </w:rPr>
        <w:t>commissaire(s) aux</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comptes</w:t>
      </w:r>
      <w:r>
        <w:rPr>
          <w:rFonts w:ascii="Arial" w:cs="Arial" w:eastAsia="Arial" w:hAnsi="Arial"/>
          <w:sz w:val="22"/>
          <w:szCs w:val="22"/>
          <w:color w:val="auto"/>
        </w:rPr>
        <w:t>) and, to the extent required by applicable law, rules and regulations, by one or more independent statutory auditors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réviseur(s) d'entreprises</w:t>
      </w:r>
      <w:r>
        <w:rPr>
          <w:rFonts w:ascii="Arial" w:cs="Arial" w:eastAsia="Arial" w:hAnsi="Arial"/>
          <w:sz w:val="22"/>
          <w:szCs w:val="22"/>
          <w:color w:val="auto"/>
        </w:rPr>
        <w:t>).</w:t>
      </w:r>
    </w:p>
    <w:p>
      <w:pPr>
        <w:spacing w:after="0" w:line="2"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22"/>
          <w:szCs w:val="22"/>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IV. Meetings of Shareholders</w:t>
      </w:r>
    </w:p>
    <w:p>
      <w:pPr>
        <w:spacing w:after="0" w:line="125" w:lineRule="exact"/>
        <w:rPr>
          <w:sz w:val="20"/>
          <w:szCs w:val="20"/>
          <w:color w:val="auto"/>
        </w:rPr>
      </w:pPr>
    </w:p>
    <w:p>
      <w:pPr>
        <w:jc w:val="both"/>
        <w:ind w:firstLine="648"/>
        <w:spacing w:after="0" w:line="384" w:lineRule="auto"/>
        <w:rPr>
          <w:sz w:val="20"/>
          <w:szCs w:val="20"/>
          <w:color w:val="auto"/>
        </w:rPr>
      </w:pPr>
      <w:r>
        <w:rPr>
          <w:rFonts w:ascii="Arial" w:cs="Arial" w:eastAsia="Arial" w:hAnsi="Arial"/>
          <w:sz w:val="22"/>
          <w:szCs w:val="22"/>
          <w:b w:val="1"/>
          <w:bCs w:val="1"/>
          <w:color w:val="auto"/>
        </w:rPr>
        <w:t xml:space="preserve">Art. 20. Annual General Meeting. </w:t>
      </w:r>
      <w:r>
        <w:rPr>
          <w:rFonts w:ascii="Arial" w:cs="Arial" w:eastAsia="Arial" w:hAnsi="Arial"/>
          <w:sz w:val="22"/>
          <w:szCs w:val="22"/>
          <w:color w:val="auto"/>
        </w:rPr>
        <w:t>The annual general meeting will be held in accordance with provisions of Article 70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Law at the registered office of the Company or</w:t>
      </w:r>
    </w:p>
    <w:p>
      <w:pPr>
        <w:sectPr>
          <w:pgSz w:w="11900" w:h="16838" w:orient="portrait"/>
          <w:cols w:equalWidth="0" w:num="1">
            <w:col w:w="11420"/>
          </w:cols>
          <w:pgMar w:left="240" w:top="685" w:right="23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t>at such other place as may be specified in the convening notice and at such time as specified in the convening notice of the meeting.</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such day is a public holiday, the meeting will be held on the next following business day.</w:t>
      </w:r>
    </w:p>
    <w:p>
      <w:pPr>
        <w:spacing w:after="0" w:line="119"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9"/>
          <w:szCs w:val="19"/>
          <w:b w:val="1"/>
          <w:bCs w:val="1"/>
          <w:color w:val="auto"/>
        </w:rPr>
        <w:t xml:space="preserve">Art. 21. Other General Meetings of Shareholders. </w:t>
      </w:r>
      <w:r>
        <w:rPr>
          <w:rFonts w:ascii="Arial" w:cs="Arial" w:eastAsia="Arial" w:hAnsi="Arial"/>
          <w:sz w:val="19"/>
          <w:szCs w:val="19"/>
          <w:color w:val="auto"/>
        </w:rPr>
        <w:t>The Board of Directors may convene other general meetings. Such</w:t>
      </w:r>
      <w:r>
        <w:rPr>
          <w:rFonts w:ascii="Arial" w:cs="Arial" w:eastAsia="Arial" w:hAnsi="Arial"/>
          <w:sz w:val="19"/>
          <w:szCs w:val="19"/>
          <w:b w:val="1"/>
          <w:bCs w:val="1"/>
          <w:color w:val="auto"/>
        </w:rPr>
        <w:t xml:space="preserve"> </w:t>
      </w:r>
      <w:r>
        <w:rPr>
          <w:rFonts w:ascii="Arial" w:cs="Arial" w:eastAsia="Arial" w:hAnsi="Arial"/>
          <w:sz w:val="19"/>
          <w:szCs w:val="19"/>
          <w:color w:val="auto"/>
        </w:rPr>
        <w:t>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2" w:lineRule="exact"/>
        <w:rPr>
          <w:sz w:val="20"/>
          <w:szCs w:val="20"/>
          <w:color w:val="auto"/>
        </w:rPr>
      </w:pPr>
    </w:p>
    <w:p>
      <w:pPr>
        <w:jc w:val="both"/>
        <w:ind w:firstLine="648"/>
        <w:spacing w:after="0" w:line="361" w:lineRule="auto"/>
        <w:rPr>
          <w:sz w:val="20"/>
          <w:szCs w:val="20"/>
          <w:color w:val="auto"/>
        </w:rPr>
      </w:pPr>
      <w:r>
        <w:rPr>
          <w:rFonts w:ascii="Arial" w:cs="Arial" w:eastAsia="Arial" w:hAnsi="Arial"/>
          <w:sz w:val="22"/>
          <w:szCs w:val="22"/>
          <w:b w:val="1"/>
          <w:bCs w:val="1"/>
          <w:color w:val="auto"/>
        </w:rPr>
        <w:t xml:space="preserve">Art. 22. Powers of the Meeting of Shareholders. </w:t>
      </w:r>
      <w:r>
        <w:rPr>
          <w:rFonts w:ascii="Arial" w:cs="Arial" w:eastAsia="Arial" w:hAnsi="Arial"/>
          <w:sz w:val="22"/>
          <w:szCs w:val="22"/>
          <w:color w:val="auto"/>
        </w:rPr>
        <w:t>Any regularly constituted general meeting of shareholders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represents the entire body of shareholders.</w:t>
      </w:r>
    </w:p>
    <w:p>
      <w:pPr>
        <w:spacing w:after="0" w:line="1"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1"/>
          <w:szCs w:val="21"/>
          <w:color w:val="auto"/>
        </w:rPr>
        <w:t>Subject to all the other powers reserved to the Board of Directors or by the Law or the Articles, the general meeting of shareholders has the broadest powers to adopt, carry out or ratify any act relating to the operations of the Company.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shareholders shall neither participate in nor interfere with the management of the Company.</w:t>
      </w:r>
    </w:p>
    <w:p>
      <w:pPr>
        <w:spacing w:after="0" w:line="125"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22"/>
          <w:szCs w:val="22"/>
          <w:color w:val="auto"/>
        </w:rPr>
        <w:t>In accordance with the provisions of Article 67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3" w:lineRule="exact"/>
        <w:rPr>
          <w:sz w:val="20"/>
          <w:szCs w:val="20"/>
          <w:color w:val="auto"/>
        </w:rPr>
      </w:pPr>
    </w:p>
    <w:p>
      <w:pPr>
        <w:jc w:val="both"/>
        <w:ind w:right="20" w:firstLine="648"/>
        <w:spacing w:after="0" w:line="361" w:lineRule="auto"/>
        <w:rPr>
          <w:sz w:val="20"/>
          <w:szCs w:val="20"/>
          <w:color w:val="auto"/>
        </w:rPr>
      </w:pPr>
      <w:r>
        <w:rPr>
          <w:rFonts w:ascii="Arial" w:cs="Arial" w:eastAsia="Arial" w:hAnsi="Arial"/>
          <w:sz w:val="22"/>
          <w:szCs w:val="22"/>
          <w:b w:val="1"/>
          <w:bCs w:val="1"/>
          <w:color w:val="auto"/>
        </w:rPr>
        <w:t xml:space="preserve">Art. 23. Procedure, Vote. </w:t>
      </w:r>
      <w:r>
        <w:rPr>
          <w:rFonts w:ascii="Arial" w:cs="Arial" w:eastAsia="Arial" w:hAnsi="Arial"/>
          <w:sz w:val="22"/>
          <w:szCs w:val="22"/>
          <w:color w:val="auto"/>
        </w:rPr>
        <w:t>The general meeting of shareholders will meet upon call by the Board of Directors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auditor(s) made in compliance with Luxembourg law and the present Articles.</w:t>
      </w:r>
    </w:p>
    <w:p>
      <w:pPr>
        <w:spacing w:after="0" w:line="1" w:lineRule="exact"/>
        <w:rPr>
          <w:sz w:val="20"/>
          <w:szCs w:val="20"/>
          <w:color w:val="auto"/>
        </w:rPr>
      </w:pPr>
    </w:p>
    <w:p>
      <w:pPr>
        <w:ind w:firstLine="648"/>
        <w:spacing w:after="0" w:line="358" w:lineRule="auto"/>
        <w:rPr>
          <w:sz w:val="20"/>
          <w:szCs w:val="20"/>
          <w:color w:val="auto"/>
        </w:rPr>
      </w:pPr>
      <w:r>
        <w:rPr>
          <w:rFonts w:ascii="Arial" w:cs="Arial" w:eastAsia="Arial" w:hAnsi="Arial"/>
          <w:sz w:val="22"/>
          <w:szCs w:val="22"/>
          <w:color w:val="auto"/>
        </w:rPr>
        <w:t>The record date for general meetings shall be set by the Board of Directors before the date of the general meeting (the "</w:t>
      </w:r>
      <w:r>
        <w:rPr>
          <w:rFonts w:ascii="Arial" w:cs="Arial" w:eastAsia="Arial" w:hAnsi="Arial"/>
          <w:sz w:val="22"/>
          <w:szCs w:val="22"/>
          <w:b w:val="1"/>
          <w:bCs w:val="1"/>
          <w:color w:val="auto"/>
        </w:rPr>
        <w:t>Record Date</w:t>
      </w:r>
      <w:r>
        <w:rPr>
          <w:rFonts w:ascii="Arial" w:cs="Arial" w:eastAsia="Arial" w:hAnsi="Arial"/>
          <w:sz w:val="22"/>
          <w:szCs w:val="22"/>
          <w:color w:val="auto"/>
        </w:rPr>
        <w:t>").</w:t>
      </w:r>
    </w:p>
    <w:p>
      <w:pPr>
        <w:spacing w:after="0" w:line="2"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22"/>
          <w:szCs w:val="22"/>
          <w:color w:val="auto"/>
        </w:rPr>
        <w:t>Shareholders shall notify the Company of their intention to participate in the general meeting in writing by post or electronic means at the postal or electronic address indicated in</w:t>
      </w:r>
    </w:p>
    <w:p>
      <w:pPr>
        <w:sectPr>
          <w:pgSz w:w="11900" w:h="16838" w:orient="portrait"/>
          <w:cols w:equalWidth="0" w:num="1">
            <w:col w:w="11420"/>
          </w:cols>
          <w:pgMar w:left="240" w:top="685" w:right="239" w:bottom="1440" w:gutter="0" w:footer="0" w:header="0"/>
        </w:sectPr>
      </w:pPr>
    </w:p>
    <w:bookmarkStart w:id="64" w:name="page65"/>
    <w:bookmarkEnd w:id="64"/>
    <w:p>
      <w:pPr>
        <w:jc w:val="both"/>
        <w:spacing w:after="0" w:line="358" w:lineRule="auto"/>
        <w:rPr>
          <w:sz w:val="20"/>
          <w:szCs w:val="20"/>
          <w:color w:val="auto"/>
        </w:rPr>
      </w:pPr>
      <w:r>
        <w:rPr>
          <w:rFonts w:ascii="Arial" w:cs="Arial" w:eastAsia="Arial" w:hAnsi="Arial"/>
          <w:sz w:val="22"/>
          <w:szCs w:val="22"/>
          <w:color w:val="auto"/>
        </w:rPr>
        <w:t>the convening notice, no later than the day determined by the Board of Directors, which may not be earlier than the Record Date, indicated in the convening notice.</w:t>
      </w:r>
    </w:p>
    <w:p>
      <w:pPr>
        <w:spacing w:after="0" w:line="2"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9"/>
          <w:szCs w:val="19"/>
          <w:color w:val="auto"/>
        </w:rPr>
        <w:t>The documents required to be submitted to the shareholders in connection with the general meeting shall be posted on the Company's corporate website or available for inspection at the Company’s registered offices, as may be required by applicable law.</w:t>
      </w:r>
    </w:p>
    <w:p>
      <w:pPr>
        <w:spacing w:after="0" w:line="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convening notice sent to the shareholders in accordance with the Law will specify the time and place of the meeting as well as the agenda and the nature of the business to be transacted.</w:t>
      </w:r>
    </w:p>
    <w:p>
      <w:pPr>
        <w:spacing w:after="0" w:line="2"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1"/>
          <w:szCs w:val="21"/>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Board of Directors may determine all other conditions that must be fulfilled in order to take part in a general meeting of shareholders.</w:t>
      </w:r>
    </w:p>
    <w:p>
      <w:pPr>
        <w:spacing w:after="0" w:line="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Except as otherwise required by the Law or by the present Articles, all other resolutions will be taken by a simple majority of votes irrespective of the number of Shares present or represented at the meeting.</w:t>
      </w:r>
    </w:p>
    <w:p>
      <w:pPr>
        <w:spacing w:after="0" w:line="2"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1"/>
          <w:szCs w:val="21"/>
          <w:color w:val="auto"/>
        </w:rPr>
        <w:t>When organizing a general meeting, the Board of Directors may in its sole discretion allow the following forms of participation by electronic means: (i) real time transmission of the general meeting; (ii) 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Board of Directors may also determine that shareholders may vote from a remote location by correspondence, by completing a voting form provided by the Company which includes the following information:</w:t>
      </w:r>
    </w:p>
    <w:p>
      <w:pPr>
        <w:spacing w:after="0" w:line="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name, address and any other pertinent information concerning the shareholder.</w:t>
      </w:r>
    </w:p>
    <w:p>
      <w:pPr>
        <w:spacing w:after="0" w:line="125" w:lineRule="exact"/>
        <w:rPr>
          <w:rFonts w:ascii="Arial" w:cs="Arial" w:eastAsia="Arial" w:hAnsi="Arial"/>
          <w:sz w:val="22"/>
          <w:szCs w:val="22"/>
          <w:color w:val="auto"/>
        </w:rPr>
      </w:pPr>
    </w:p>
    <w:p>
      <w:pPr>
        <w:ind w:left="980" w:hanging="324"/>
        <w:spacing w:after="0"/>
        <w:tabs>
          <w:tab w:leader="none" w:pos="9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number of votes the shareholder wishes to cast, the direction of his or her votes, or his or her abstention.</w:t>
      </w:r>
    </w:p>
    <w:p>
      <w:pPr>
        <w:spacing w:after="0" w:line="136" w:lineRule="exact"/>
        <w:rPr>
          <w:rFonts w:ascii="Arial" w:cs="Arial" w:eastAsia="Arial" w:hAnsi="Arial"/>
          <w:sz w:val="21"/>
          <w:szCs w:val="21"/>
          <w:color w:val="auto"/>
        </w:rPr>
      </w:pPr>
    </w:p>
    <w:p>
      <w:pPr>
        <w:ind w:left="980" w:hanging="324"/>
        <w:spacing w:after="0"/>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agenda of the meeting including the draft of resolutions.</w:t>
      </w:r>
    </w:p>
    <w:p>
      <w:pPr>
        <w:sectPr>
          <w:pgSz w:w="11900" w:h="16838" w:orient="portrait"/>
          <w:cols w:equalWidth="0" w:num="1">
            <w:col w:w="11420"/>
          </w:cols>
          <w:pgMar w:left="240" w:top="685" w:right="239" w:bottom="1440" w:gutter="0" w:footer="0" w:header="0"/>
        </w:sectPr>
      </w:pPr>
    </w:p>
    <w:bookmarkStart w:id="65" w:name="page66"/>
    <w:bookmarkEnd w:id="65"/>
    <w:p>
      <w:pPr>
        <w:ind w:left="980" w:right="20" w:hanging="324"/>
        <w:spacing w:after="0" w:line="358" w:lineRule="auto"/>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option to vote by proxy for any new resolution or any modification of the resolutions properly submitted to the general meeting between the date the shareholder submits his or her form through the meeting date.</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signature of the shareholder.</w:t>
      </w:r>
    </w:p>
    <w:p>
      <w:pPr>
        <w:spacing w:after="0" w:line="125" w:lineRule="exact"/>
        <w:rPr>
          <w:sz w:val="20"/>
          <w:szCs w:val="20"/>
          <w:color w:val="auto"/>
        </w:rPr>
      </w:pPr>
    </w:p>
    <w:p>
      <w:pPr>
        <w:jc w:val="both"/>
        <w:ind w:firstLine="621"/>
        <w:spacing w:after="0" w:line="415" w:lineRule="auto"/>
        <w:rPr>
          <w:sz w:val="20"/>
          <w:szCs w:val="20"/>
          <w:color w:val="auto"/>
        </w:rPr>
      </w:pPr>
      <w:r>
        <w:rPr>
          <w:rFonts w:ascii="Arial" w:cs="Arial" w:eastAsia="Arial" w:hAnsi="Arial"/>
          <w:sz w:val="19"/>
          <w:szCs w:val="19"/>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2" w:lineRule="exact"/>
        <w:rPr>
          <w:sz w:val="20"/>
          <w:szCs w:val="20"/>
          <w:color w:val="auto"/>
        </w:rPr>
      </w:pPr>
    </w:p>
    <w:p>
      <w:pPr>
        <w:jc w:val="both"/>
        <w:ind w:firstLine="621"/>
        <w:spacing w:after="0" w:line="415" w:lineRule="auto"/>
        <w:rPr>
          <w:sz w:val="20"/>
          <w:szCs w:val="20"/>
          <w:color w:val="auto"/>
        </w:rPr>
      </w:pPr>
      <w:r>
        <w:rPr>
          <w:rFonts w:ascii="Arial" w:cs="Arial" w:eastAsia="Arial" w:hAnsi="Arial"/>
          <w:sz w:val="19"/>
          <w:szCs w:val="19"/>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color w:val="auto"/>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2" w:lineRule="exact"/>
        <w:rPr>
          <w:sz w:val="20"/>
          <w:szCs w:val="20"/>
          <w:color w:val="auto"/>
        </w:rPr>
      </w:pPr>
    </w:p>
    <w:p>
      <w:pPr>
        <w:jc w:val="both"/>
        <w:ind w:right="20" w:firstLine="648"/>
        <w:spacing w:after="0" w:line="415" w:lineRule="auto"/>
        <w:rPr>
          <w:sz w:val="20"/>
          <w:szCs w:val="20"/>
          <w:color w:val="auto"/>
        </w:rPr>
      </w:pPr>
      <w:r>
        <w:rPr>
          <w:rFonts w:ascii="Arial" w:cs="Arial" w:eastAsia="Arial" w:hAnsi="Arial"/>
          <w:sz w:val="19"/>
          <w:szCs w:val="19"/>
          <w:color w:val="auto"/>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commitments of the shareholders may be increased only with the unanimous consent of the shareholders.</w:t>
      </w:r>
    </w:p>
    <w:p>
      <w:pPr>
        <w:spacing w:after="0" w:line="125"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21"/>
          <w:szCs w:val="21"/>
          <w:color w:val="auto"/>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spacing w:after="0" w:line="2" w:lineRule="exact"/>
        <w:rPr>
          <w:sz w:val="20"/>
          <w:szCs w:val="20"/>
          <w:color w:val="auto"/>
        </w:rPr>
      </w:pPr>
    </w:p>
    <w:p>
      <w:pPr>
        <w:jc w:val="both"/>
        <w:ind w:firstLine="648"/>
        <w:spacing w:after="0" w:line="476" w:lineRule="auto"/>
        <w:rPr>
          <w:sz w:val="20"/>
          <w:szCs w:val="20"/>
          <w:color w:val="auto"/>
        </w:rPr>
      </w:pPr>
      <w:r>
        <w:rPr>
          <w:rFonts w:ascii="Arial" w:cs="Arial" w:eastAsia="Arial" w:hAnsi="Arial"/>
          <w:sz w:val="19"/>
          <w:szCs w:val="19"/>
          <w:color w:val="auto"/>
        </w:rPr>
        <w:t>If all the shareholders are present or represented at a general meeting of shareholders and if they state that they have been informed of the agenda of the meeting, the meeting may be held without prior notice. One vote is attached to each Share.</w:t>
      </w:r>
    </w:p>
    <w:p>
      <w:pPr>
        <w:sectPr>
          <w:pgSz w:w="11900" w:h="16838" w:orient="portrait"/>
          <w:cols w:equalWidth="0" w:num="1">
            <w:col w:w="11420"/>
          </w:cols>
          <w:pgMar w:left="240" w:top="685" w:right="239" w:bottom="1440" w:gutter="0" w:footer="0" w:header="0"/>
        </w:sectPr>
      </w:pPr>
    </w:p>
    <w:bookmarkStart w:id="66" w:name="page67"/>
    <w:bookmarkEnd w:id="66"/>
    <w:p>
      <w:pPr>
        <w:jc w:val="both"/>
        <w:ind w:firstLine="648"/>
        <w:spacing w:after="0" w:line="355" w:lineRule="auto"/>
        <w:rPr>
          <w:sz w:val="20"/>
          <w:szCs w:val="20"/>
          <w:color w:val="auto"/>
        </w:rPr>
      </w:pPr>
      <w:r>
        <w:rPr>
          <w:rFonts w:ascii="Arial" w:cs="Arial" w:eastAsia="Arial" w:hAnsi="Arial"/>
          <w:sz w:val="22"/>
          <w:szCs w:val="22"/>
          <w:color w:val="auto"/>
        </w:rPr>
        <w:t>Copies or extracts of the minutes of the resolutions passed by the general meeting of shareholders shall be certified by the Chairman or by the Secretary.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V. Financial Year, Distribution of Profits</w:t>
      </w:r>
    </w:p>
    <w:p>
      <w:pPr>
        <w:spacing w:after="0" w:line="12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22"/>
          <w:szCs w:val="22"/>
          <w:b w:val="1"/>
          <w:bCs w:val="1"/>
          <w:color w:val="auto"/>
        </w:rPr>
        <w:t xml:space="preserve">Art. 24. Financial Year. </w:t>
      </w:r>
      <w:r>
        <w:rPr>
          <w:rFonts w:ascii="Arial" w:cs="Arial" w:eastAsia="Arial" w:hAnsi="Arial"/>
          <w:sz w:val="22"/>
          <w:szCs w:val="22"/>
          <w:color w:val="auto"/>
        </w:rPr>
        <w:t>The Company's financial year begins on the first day of the month of January and ends on the last</w:t>
      </w:r>
      <w:r>
        <w:rPr>
          <w:rFonts w:ascii="Arial" w:cs="Arial" w:eastAsia="Arial" w:hAnsi="Arial"/>
          <w:sz w:val="22"/>
          <w:szCs w:val="22"/>
          <w:b w:val="1"/>
          <w:bCs w:val="1"/>
          <w:color w:val="auto"/>
        </w:rPr>
        <w:t xml:space="preserve"> </w:t>
      </w:r>
      <w:r>
        <w:rPr>
          <w:rFonts w:ascii="Arial" w:cs="Arial" w:eastAsia="Arial" w:hAnsi="Arial"/>
          <w:sz w:val="22"/>
          <w:szCs w:val="22"/>
          <w:color w:val="auto"/>
        </w:rPr>
        <w:t>day of the month of December every year.</w:t>
      </w:r>
    </w:p>
    <w:p>
      <w:pPr>
        <w:spacing w:after="0" w:line="2" w:lineRule="exact"/>
        <w:rPr>
          <w:sz w:val="20"/>
          <w:szCs w:val="20"/>
          <w:color w:val="auto"/>
        </w:rPr>
      </w:pPr>
    </w:p>
    <w:p>
      <w:pPr>
        <w:jc w:val="both"/>
        <w:ind w:right="20" w:firstLine="648"/>
        <w:spacing w:after="0" w:line="360" w:lineRule="auto"/>
        <w:rPr>
          <w:sz w:val="20"/>
          <w:szCs w:val="20"/>
          <w:color w:val="auto"/>
        </w:rPr>
      </w:pPr>
      <w:r>
        <w:rPr>
          <w:rFonts w:ascii="Arial" w:cs="Arial" w:eastAsia="Arial" w:hAnsi="Arial"/>
          <w:sz w:val="22"/>
          <w:szCs w:val="22"/>
          <w:b w:val="1"/>
          <w:bCs w:val="1"/>
          <w:color w:val="auto"/>
        </w:rPr>
        <w:t xml:space="preserve">Art. 25. Adoption of Financial Statements. </w:t>
      </w:r>
      <w:r>
        <w:rPr>
          <w:rFonts w:ascii="Arial" w:cs="Arial" w:eastAsia="Arial" w:hAnsi="Arial"/>
          <w:sz w:val="22"/>
          <w:szCs w:val="22"/>
          <w:color w:val="auto"/>
        </w:rPr>
        <w:t>At the end of each financial year, the accounts are closed and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draws up an inventory of assets and liabilities, the balance sheet and the profit and loss account, in accordance with the Law.</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balance sheet and the profit and loss account are submitted to the general meeting of shareholders for approval.</w:t>
      </w:r>
    </w:p>
    <w:p>
      <w:pPr>
        <w:spacing w:after="0" w:line="154"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22"/>
          <w:szCs w:val="22"/>
          <w:b w:val="1"/>
          <w:bCs w:val="1"/>
          <w:color w:val="auto"/>
        </w:rPr>
        <w:t xml:space="preserve">Art. 26. Appropriation of Profits. </w:t>
      </w:r>
      <w:r>
        <w:rPr>
          <w:rFonts w:ascii="Arial" w:cs="Arial" w:eastAsia="Arial" w:hAnsi="Arial"/>
          <w:sz w:val="22"/>
          <w:szCs w:val="22"/>
          <w:color w:val="auto"/>
        </w:rPr>
        <w:t>From the annual net profits of the Company, five percent (5%) shall be allocated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reserve required by the Law. That allocation will cease to be required as soon and as long as such reserve amounts to ten percent (10%) of the issued share capital of the Company.</w:t>
      </w:r>
    </w:p>
    <w:p>
      <w:pPr>
        <w:spacing w:after="0" w:line="2"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9"/>
          <w:szCs w:val="19"/>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1"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9"/>
          <w:szCs w:val="19"/>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VI. Dissolution, Liquidation of the Company</w:t>
      </w:r>
    </w:p>
    <w:p>
      <w:pPr>
        <w:spacing w:after="0" w:line="125"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22"/>
          <w:szCs w:val="22"/>
          <w:b w:val="1"/>
          <w:bCs w:val="1"/>
          <w:color w:val="auto"/>
        </w:rPr>
        <w:t xml:space="preserve">Art. 27. Dissolution, Liquidation. </w:t>
      </w:r>
      <w:r>
        <w:rPr>
          <w:rFonts w:ascii="Arial" w:cs="Arial" w:eastAsia="Arial" w:hAnsi="Arial"/>
          <w:sz w:val="22"/>
          <w:szCs w:val="22"/>
          <w:color w:val="auto"/>
        </w:rPr>
        <w:t>Upon the affirmative proposal of the Board of Directors, the Company may be dissolved</w:t>
      </w:r>
      <w:r>
        <w:rPr>
          <w:rFonts w:ascii="Arial" w:cs="Arial" w:eastAsia="Arial" w:hAnsi="Arial"/>
          <w:sz w:val="22"/>
          <w:szCs w:val="22"/>
          <w:b w:val="1"/>
          <w:bCs w:val="1"/>
          <w:color w:val="auto"/>
        </w:rPr>
        <w:t xml:space="preserve"> </w:t>
      </w:r>
      <w:r>
        <w:rPr>
          <w:rFonts w:ascii="Arial" w:cs="Arial" w:eastAsia="Arial" w:hAnsi="Arial"/>
          <w:sz w:val="22"/>
          <w:szCs w:val="22"/>
          <w:color w:val="auto"/>
        </w:rPr>
        <w:t>by a decision of the general meeting of shareholders voting with the same quorum and majority as for the amendment of these Articles, unless otherwise provided by the Law.</w:t>
      </w:r>
    </w:p>
    <w:p>
      <w:pPr>
        <w:spacing w:after="0" w:line="2" w:lineRule="exact"/>
        <w:rPr>
          <w:sz w:val="20"/>
          <w:szCs w:val="20"/>
          <w:color w:val="auto"/>
        </w:rPr>
      </w:pPr>
    </w:p>
    <w:p>
      <w:pPr>
        <w:jc w:val="both"/>
        <w:ind w:firstLine="648"/>
        <w:spacing w:after="0" w:line="368" w:lineRule="auto"/>
        <w:rPr>
          <w:sz w:val="20"/>
          <w:szCs w:val="20"/>
          <w:color w:val="auto"/>
        </w:rPr>
      </w:pPr>
      <w:r>
        <w:rPr>
          <w:rFonts w:ascii="Arial" w:cs="Arial" w:eastAsia="Arial" w:hAnsi="Arial"/>
          <w:sz w:val="22"/>
          <w:szCs w:val="22"/>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ectPr>
          <w:pgSz w:w="11900" w:h="16838" w:orient="portrait"/>
          <w:cols w:equalWidth="0" w:num="1">
            <w:col w:w="11420"/>
          </w:cols>
          <w:pgMar w:left="240" w:top="685" w:right="239" w:bottom="1440" w:gutter="0" w:footer="0" w:header="0"/>
        </w:sectPr>
      </w:pPr>
    </w:p>
    <w:bookmarkStart w:id="67" w:name="page68"/>
    <w:bookmarkEnd w:id="67"/>
    <w:p>
      <w:pPr>
        <w:jc w:val="both"/>
        <w:ind w:firstLine="648"/>
        <w:spacing w:after="0" w:line="358" w:lineRule="auto"/>
        <w:rPr>
          <w:sz w:val="20"/>
          <w:szCs w:val="20"/>
          <w:color w:val="auto"/>
        </w:rPr>
      </w:pPr>
      <w:r>
        <w:rPr>
          <w:rFonts w:ascii="Arial" w:cs="Arial" w:eastAsia="Arial" w:hAnsi="Arial"/>
          <w:sz w:val="22"/>
          <w:szCs w:val="22"/>
          <w:color w:val="auto"/>
        </w:rPr>
        <w:t>After payment of all the debts of and charges against the Company and of the expenses of liquidation, the net assets shall be distributed equally to the shareholders pro rata to the number of the Shares held by them.</w:t>
      </w:r>
    </w:p>
    <w:p>
      <w:pPr>
        <w:spacing w:after="0" w:line="2"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22"/>
          <w:szCs w:val="22"/>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Chapter VII. Applicable Law</w:t>
      </w:r>
    </w:p>
    <w:p>
      <w:pPr>
        <w:spacing w:after="0" w:line="125" w:lineRule="exact"/>
        <w:rPr>
          <w:sz w:val="20"/>
          <w:szCs w:val="20"/>
          <w:color w:val="auto"/>
        </w:rPr>
      </w:pPr>
    </w:p>
    <w:p>
      <w:pPr>
        <w:jc w:val="both"/>
        <w:ind w:firstLine="648"/>
        <w:spacing w:after="0" w:line="384" w:lineRule="auto"/>
        <w:rPr>
          <w:sz w:val="20"/>
          <w:szCs w:val="20"/>
          <w:color w:val="auto"/>
        </w:rPr>
      </w:pPr>
      <w:r>
        <w:rPr>
          <w:rFonts w:ascii="Arial" w:cs="Arial" w:eastAsia="Arial" w:hAnsi="Arial"/>
          <w:sz w:val="22"/>
          <w:szCs w:val="22"/>
          <w:b w:val="1"/>
          <w:bCs w:val="1"/>
          <w:color w:val="auto"/>
        </w:rPr>
        <w:t xml:space="preserve">Art. 28. Applicable Law. </w:t>
      </w:r>
      <w:r>
        <w:rPr>
          <w:rFonts w:ascii="Arial" w:cs="Arial" w:eastAsia="Arial" w:hAnsi="Arial"/>
          <w:sz w:val="22"/>
          <w:szCs w:val="22"/>
          <w:color w:val="auto"/>
        </w:rPr>
        <w:t>All matters not governed by these Articles shall be determined in accordance with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Luxembourg Law.</w:t>
      </w:r>
    </w:p>
    <w:p>
      <w:pPr>
        <w:sectPr>
          <w:pgSz w:w="11900" w:h="16838" w:orient="portrait"/>
          <w:cols w:equalWidth="0" w:num="1">
            <w:col w:w="11420"/>
          </w:cols>
          <w:pgMar w:left="240" w:top="68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0"/>
        <w:spacing w:after="0"/>
        <w:tabs>
          <w:tab w:leader="none" w:pos="6540" w:val="left"/>
          <w:tab w:leader="none" w:pos="698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0"/>
        <w:spacing w:after="0"/>
        <w:tabs>
          <w:tab w:leader="none" w:pos="6540" w:val="left"/>
          <w:tab w:leader="none" w:pos="6980" w:val="left"/>
        </w:tabs>
        <w:rPr>
          <w:sz w:val="20"/>
          <w:szCs w:val="20"/>
          <w:color w:val="auto"/>
        </w:rPr>
      </w:pPr>
      <w:r>
        <w:rPr>
          <w:rFonts w:ascii="Arial" w:cs="Arial" w:eastAsia="Arial" w:hAnsi="Arial"/>
          <w:sz w:val="18"/>
          <w:szCs w:val="18"/>
          <w:color w:val="auto"/>
        </w:rPr>
        <w:t>Date: August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2017</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June 30, 2017,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August 9, 2017</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August 9, 2017</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352"/>
    </w:lvl>
  </w:abstractNum>
  <w:abstractNum w:abstractNumId="3">
    <w:nsid w:val="4E6AFB66"/>
    <w:multiLevelType w:val="hybridMultilevel"/>
    <w:lvl w:ilvl="0">
      <w:lvlJc w:val="left"/>
      <w:lvlText w:val="(%1)"/>
      <w:numFmt w:val="lowerRoman"/>
      <w:start w:val="1"/>
    </w:lvl>
  </w:abstractNum>
  <w:abstractNum w:abstractNumId="4">
    <w:nsid w:val="25E45D32"/>
    <w:multiLevelType w:val="hybridMultilevel"/>
    <w:lvl w:ilvl="0">
      <w:lvlJc w:val="left"/>
      <w:lvlText w:val="(%1)"/>
      <w:numFmt w:val="lowerRoman"/>
      <w:start w:val="5"/>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0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2019-12-29T05:17:31Z</dcterms:created>
  <dcterms:modified xsi:type="dcterms:W3CDTF">2019-12-29T05:17:31Z</dcterms:modified>
</cp:coreProperties>
</file>