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ALDRIDGE JOHN G JR</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tcBorders>
              <w:bottom w:val="single" w:sz="8" w:color="0000EE"/>
            </w:tcBorders>
            <w:gridSpan w:val="2"/>
          </w:tcPr>
          <w:p>
            <w:pPr>
              <w:spacing w:after="0" w:line="187"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ALTISOURCE PORTFOLIO</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80" w:type="dxa"/>
            <w:vAlign w:val="bottom"/>
            <w:tcBorders>
              <w:bottom w:val="single" w:sz="8" w:color="0000EE"/>
            </w:tcBorders>
            <w:gridSpan w:val="2"/>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S.A.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400" w:type="dxa"/>
            <w:vAlign w:val="bottom"/>
            <w:tcBorders>
              <w:bottom w:val="single" w:sz="8" w:color="9A9A9A"/>
            </w:tcBorders>
          </w:tcPr>
          <w:p>
            <w:pPr>
              <w:spacing w:after="0" w:line="20" w:lineRule="exact"/>
              <w:rPr>
                <w:sz w:val="1"/>
                <w:szCs w:val="1"/>
                <w:color w:val="auto"/>
              </w:rPr>
            </w:pPr>
          </w:p>
        </w:tc>
        <w:tc>
          <w:tcPr>
            <w:tcW w:w="14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ALTISOURCE PORTFOLIO SOLUTIONS</w:t>
            </w: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rPr>
              <w:t>S.A.</w:t>
            </w: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 BOULEVARD PRINCE HENRI</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827"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line="318" w:lineRule="exact"/>
              <w:rPr>
                <w:sz w:val="20"/>
                <w:szCs w:val="20"/>
                <w:color w:val="auto"/>
              </w:rPr>
            </w:pPr>
            <w:r>
              <w:rPr>
                <w:rFonts w:ascii="Times New Roman" w:cs="Times New Roman" w:eastAsia="Times New Roman" w:hAnsi="Times New Roman"/>
                <w:sz w:val="17"/>
                <w:szCs w:val="17"/>
                <w:color w:val="0000FF"/>
              </w:rPr>
              <w:t xml:space="preserve">LUXEMBOURG </w:t>
            </w:r>
            <w:r>
              <w:rPr>
                <w:rFonts w:ascii="Times New Roman" w:cs="Times New Roman" w:eastAsia="Times New Roman" w:hAnsi="Times New Roman"/>
                <w:sz w:val="34"/>
                <w:szCs w:val="34"/>
                <w:color w:val="0000FF"/>
                <w:vertAlign w:val="subscript"/>
              </w:rPr>
              <w:t>N4</w:t>
            </w:r>
          </w:p>
        </w:tc>
        <w:tc>
          <w:tcPr>
            <w:tcW w:w="1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L-1724</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7" w:lineRule="exact"/>
              <w:rPr>
                <w:sz w:val="20"/>
                <w:szCs w:val="20"/>
                <w:color w:val="auto"/>
              </w:rPr>
            </w:pPr>
            <w:r>
              <w:rPr>
                <w:rFonts w:ascii="Times New Roman" w:cs="Times New Roman" w:eastAsia="Times New Roman" w:hAnsi="Times New Roman"/>
                <w:sz w:val="16"/>
                <w:szCs w:val="16"/>
                <w:color w:val="0000FF"/>
              </w:rPr>
              <w:t>CITY</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19,215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57,502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Mr. Aldridge received 19,215 restricted share units ("RSUs") as compensation for his service as a non-management director of Altisource Portfolio Solutions S.A. ("ASPS" or the "Company") for the 2026 to 2027 service year. Each RSU represents a contingent right to receive one share of ASPS Common Stock. The RSUs will vest on the date of the Company's 2027 Annual General Meeting of Shareholders, provided that Mr. Aldridge attends at least 75% of all Board and Committee meetings on which he serves.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19,215 unvested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amount of securities beneficially owned following the reported transaction set forth in this Form_4 reflects the Company's 1:8 share consolidation effected as of May_28,_2025.</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Teresa L. Szupello,</w:t>
            </w:r>
          </w:p>
        </w:tc>
        <w:tc>
          <w:tcPr>
            <w:tcW w:w="5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05/26/2026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0689" TargetMode="External"/><Relationship Id="rId14" Type="http://schemas.openxmlformats.org/officeDocument/2006/relationships/hyperlink" Target="http://www.sec.gov/cgi-bin/browse-edgar?action=getcompany&amp;CIK=00014624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2026-05-26T16:43:08Z</dcterms:created>
  <dcterms:modified xsi:type="dcterms:W3CDTF">2026-05-26T16:43:08Z</dcterms:modified>
</cp:coreProperties>
</file>