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4"/>
          <w:szCs w:val="24"/>
          <w:color w:val="auto"/>
        </w:rPr>
      </w:pPr>
    </w:p>
    <w:p>
      <w:pPr>
        <w:spacing w:after="0" w:line="280"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auto"/>
        </w:rPr>
        <w:t>UNITED STATES</w:t>
      </w:r>
    </w:p>
    <w:p>
      <w:pPr>
        <w:spacing w:after="0" w:line="16"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820"/>
        <w:spacing w:after="0"/>
        <w:rPr>
          <w:sz w:val="20"/>
          <w:szCs w:val="20"/>
          <w:color w:val="auto"/>
        </w:rPr>
      </w:pPr>
      <w:r>
        <w:rPr>
          <w:rFonts w:ascii="Arial" w:cs="Arial" w:eastAsia="Arial" w:hAnsi="Arial"/>
          <w:sz w:val="25"/>
          <w:szCs w:val="25"/>
          <w:b w:val="1"/>
          <w:bCs w:val="1"/>
          <w:color w:val="auto"/>
        </w:rPr>
        <w:t>Washington, D.C. 20549</w:t>
      </w:r>
    </w:p>
    <w:p>
      <w:pPr>
        <w:spacing w:after="0" w:line="117"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SCHEDULE 14A INFORMATION</w:t>
      </w:r>
    </w:p>
    <w:p>
      <w:pPr>
        <w:spacing w:after="0" w:line="13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6"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Securities Exchange Act of 1934</w:t>
      </w:r>
    </w:p>
    <w:p>
      <w:pPr>
        <w:spacing w:after="0" w:line="11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5"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62" w:lineRule="exact"/>
        <w:rPr>
          <w:sz w:val="24"/>
          <w:szCs w:val="24"/>
          <w:color w:val="auto"/>
        </w:rPr>
      </w:pPr>
    </w:p>
    <w:p>
      <w:pPr>
        <w:ind w:left="1620" w:hanging="36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8" w:lineRule="exact"/>
        <w:rPr>
          <w:rFonts w:ascii="MS PGothic" w:cs="MS PGothic" w:eastAsia="MS PGothic" w:hAnsi="MS PGothic"/>
          <w:sz w:val="18"/>
          <w:szCs w:val="18"/>
          <w:color w:val="auto"/>
        </w:rPr>
      </w:pPr>
    </w:p>
    <w:p>
      <w:pPr>
        <w:ind w:left="1620" w:hanging="36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1620" w:hanging="36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8" w:lineRule="exact"/>
        <w:rPr>
          <w:rFonts w:ascii="MS PGothic" w:cs="MS PGothic" w:eastAsia="MS PGothic" w:hAnsi="MS PGothic"/>
          <w:sz w:val="18"/>
          <w:szCs w:val="18"/>
          <w:color w:val="auto"/>
        </w:rPr>
      </w:pPr>
    </w:p>
    <w:p>
      <w:pPr>
        <w:ind w:left="1620" w:hanging="36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7" w:lineRule="exact"/>
        <w:rPr>
          <w:sz w:val="24"/>
          <w:szCs w:val="24"/>
          <w:color w:val="auto"/>
        </w:rPr>
      </w:pPr>
    </w:p>
    <w:p>
      <w:pPr>
        <w:jc w:val="center"/>
        <w:ind w:right="-820"/>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800735</wp:posOffset>
            </wp:positionH>
            <wp:positionV relativeFrom="paragraph">
              <wp:posOffset>29210</wp:posOffset>
            </wp:positionV>
            <wp:extent cx="5193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11"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800735</wp:posOffset>
            </wp:positionH>
            <wp:positionV relativeFrom="paragraph">
              <wp:posOffset>42545</wp:posOffset>
            </wp:positionV>
            <wp:extent cx="5193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92"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2" w:lineRule="exact"/>
        <w:rPr>
          <w:sz w:val="24"/>
          <w:szCs w:val="24"/>
          <w:color w:val="auto"/>
        </w:rPr>
      </w:pPr>
    </w:p>
    <w:p>
      <w:pPr>
        <w:ind w:left="1620" w:hanging="36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3" w:lineRule="exact"/>
        <w:rPr>
          <w:sz w:val="24"/>
          <w:szCs w:val="24"/>
          <w:color w:val="auto"/>
        </w:rPr>
      </w:pPr>
    </w:p>
    <w:p>
      <w:pPr>
        <w:ind w:left="1620" w:hanging="365"/>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6" w:lineRule="exact"/>
        <w:rPr>
          <w:rFonts w:ascii="MS PGothic" w:cs="MS PGothic" w:eastAsia="MS PGothic" w:hAnsi="MS PGothic"/>
          <w:sz w:val="18"/>
          <w:szCs w:val="18"/>
          <w:color w:val="auto"/>
        </w:rPr>
      </w:pPr>
    </w:p>
    <w:p>
      <w:pPr>
        <w:ind w:left="1620" w:hanging="365"/>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6" w:lineRule="exact"/>
        <w:rPr>
          <w:rFonts w:ascii="MS PGothic" w:cs="MS PGothic" w:eastAsia="MS PGothic" w:hAnsi="MS PGothic"/>
          <w:sz w:val="18"/>
          <w:szCs w:val="18"/>
          <w:color w:val="auto"/>
        </w:rPr>
      </w:pPr>
    </w:p>
    <w:p>
      <w:pPr>
        <w:ind w:left="162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3649345</wp:posOffset>
            </wp:positionV>
            <wp:extent cx="679958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204" w:right="1440" w:bottom="1440" w:gutter="0" w:footer="0" w:header="0"/>
        </w:sectPr>
      </w:pPr>
    </w:p>
    <w:bookmarkStart w:id="1" w:name="page2"/>
    <w:bookmarkEnd w:id="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610235</wp:posOffset>
            </wp:positionV>
            <wp:extent cx="1503680" cy="751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3680"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April 4, 2022</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Shareholder:</w:t>
      </w:r>
    </w:p>
    <w:p>
      <w:pPr>
        <w:spacing w:after="0" w:line="143"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On behalf of the Board of Directors, I cordially invite you to attend the Annual Meeting of Shareholders of Altisource Portfolio Solutions S.A. (the “Annual Meeting”), which will be held at the registered office of the Company located at 33, Boulevard Prince Henri, L-1724 Luxembourg City, Grand Duchy of Luxembourg on Tuesday, May 17, 2022, at 9:00 a.m. Central European Time. We will also hold an Extraordinary Meeting of Shareholders (the “Extraordinary Meeting”) at 9:30 a.m. Central European Time on the same day and in the same location. The Board of Directors is convening the Extraordinary Meeting in order to consider renewing and extending the Board of Directors’ authorization to issue shares of the Company’s common stock within the limits of the Company’s authorized share capital, as well as certain amendments to the Company’s articles of association, as more fully set forth in the accompanying materials. Further details regarding admission to the Annual Meeting and Extraordinary Meeting as well as the business to be conducted at these meetings are also more fully described in the accompanying materials.</w:t>
      </w:r>
    </w:p>
    <w:p>
      <w:pPr>
        <w:spacing w:after="0" w:line="33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We intend to hold the Annual Meeting and Extraordinary Meeting in person; however, we are actively monitoring the protocols and restrictions that the Luxembourg government may implement in response to the COVID-19 pandemic that could prevent us from having an in - person meeting. If it is not possible to hold the Annual Meeting and Extraordinary Meeting in person, or if we conclude that providing alternatives for access by remote communication is appropriate, we will announce alternative or additional arrangements as promptly as practicable, which may include conducting the Annual Meeting and Extraordinary Meeting solely by means of remote attendance or conducting a hybrid Annual Meeting and Extraordinary Meeting with alternatives for in-person or remote attendance. If you are planning to attend our Annual Meeting and Extraordinary Meeting, please monitor protocols and restrictions implemented by the Luxembourg government and check our press releases at http://ir.altisource.com/press-releases for updated information.</w:t>
      </w:r>
    </w:p>
    <w:p>
      <w:pPr>
        <w:spacing w:after="0" w:line="34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It is very important that you be present or represented at the Annual Meeting and Extraordinary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for the Annual Meeting. For the Extraordinary Meeting you may authorize your proxy by mail only. If you hold your shares through a bank or broker, please follow the voting instructions you receive from your bank or broker. This will not prevent you from voting in person but will ensure that your vote is counted if you are unable to attend or are limited to remote attendance.</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136525</wp:posOffset>
            </wp:positionV>
            <wp:extent cx="1068070" cy="37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8070"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B. Shepro</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266700</wp:posOffset>
            </wp:positionV>
            <wp:extent cx="679958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2" w:name="page3"/>
    <w:bookmarkEnd w:id="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60" w:type="dxa"/>
            <w:vAlign w:val="bottom"/>
            <w:gridSpan w:val="31"/>
          </w:tcPr>
          <w:p>
            <w:pPr>
              <w:jc w:val="center"/>
              <w:ind w:right="3360"/>
              <w:spacing w:after="0"/>
              <w:rPr>
                <w:sz w:val="20"/>
                <w:szCs w:val="20"/>
                <w:color w:val="auto"/>
              </w:rPr>
            </w:pPr>
            <w:r>
              <w:rPr>
                <w:rFonts w:ascii="Arial" w:cs="Arial" w:eastAsia="Arial" w:hAnsi="Arial"/>
                <w:sz w:val="18"/>
                <w:szCs w:val="18"/>
                <w:b w:val="1"/>
                <w:bCs w:val="1"/>
                <w:color w:val="auto"/>
                <w:w w:val="99"/>
              </w:rPr>
              <w:t>ALTISOURCE PORTFOLIO SOLUTIONS S.A.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0" w:type="dxa"/>
            <w:vAlign w:val="bottom"/>
            <w:gridSpan w:val="26"/>
          </w:tcPr>
          <w:p>
            <w:pPr>
              <w:jc w:val="center"/>
              <w:ind w:right="3840"/>
              <w:spacing w:after="0"/>
              <w:rPr>
                <w:sz w:val="20"/>
                <w:szCs w:val="20"/>
                <w:color w:val="auto"/>
              </w:rPr>
            </w:pPr>
            <w:r>
              <w:rPr>
                <w:rFonts w:ascii="Arial" w:cs="Arial" w:eastAsia="Arial" w:hAnsi="Arial"/>
                <w:sz w:val="18"/>
                <w:szCs w:val="18"/>
                <w:b w:val="1"/>
                <w:bCs w:val="1"/>
                <w:color w:val="auto"/>
                <w:w w:val="98"/>
              </w:rPr>
              <w:t>JOINT PROXY STATEMENT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0" w:type="dxa"/>
            <w:vAlign w:val="bottom"/>
            <w:gridSpan w:val="26"/>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24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NOTICE OF ANNUAL MEETING OF SHAREHOLDERS AND IMPORTANT NOTICE REGARDING THE</w:t>
              </w:r>
            </w:hyperlink>
          </w:p>
        </w:tc>
        <w:tc>
          <w:tcPr>
            <w:tcW w:w="1160" w:type="dxa"/>
            <w:vAlign w:val="bottom"/>
            <w:tcBorders>
              <w:bottom w:val="single" w:sz="8" w:color="CCEEFF"/>
            </w:tcBorders>
            <w:gridSpan w:val="11"/>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920" w:type="dxa"/>
            <w:vAlign w:val="bottom"/>
            <w:tcBorders>
              <w:bottom w:val="single" w:sz="8" w:color="0000EE"/>
            </w:tcBorders>
            <w:gridSpan w:val="31"/>
            <w:shd w:val="clear" w:color="auto" w:fill="CCEEFF"/>
          </w:tcPr>
          <w:p>
            <w:pPr>
              <w:spacing w:after="0" w:line="195"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AVAILABILITY OF PROXY MATERIALS FOR THE ANNUAL MEETING OF SHAREHOLDERS TO BE HELD ON</w:t>
              </w:r>
            </w:hyperlink>
          </w:p>
        </w:tc>
        <w:tc>
          <w:tcPr>
            <w:tcW w:w="300" w:type="dxa"/>
            <w:vAlign w:val="bottom"/>
            <w:tcBorders>
              <w:bottom w:val="single" w:sz="8" w:color="CCEEFF"/>
            </w:tcBorders>
            <w:gridSpan w:val="6"/>
            <w:shd w:val="clear" w:color="auto" w:fill="CCEEFF"/>
          </w:tcPr>
          <w:p>
            <w:pPr>
              <w:spacing w:after="0"/>
              <w:rPr>
                <w:sz w:val="16"/>
                <w:szCs w:val="16"/>
                <w:color w:val="auto"/>
              </w:rPr>
            </w:pPr>
          </w:p>
        </w:tc>
        <w:tc>
          <w:tcPr>
            <w:tcW w:w="240" w:type="dxa"/>
            <w:vAlign w:val="bottom"/>
            <w:tcBorders>
              <w:bottom w:val="single" w:sz="8" w:color="CCEEFF"/>
            </w:tcBorders>
            <w:gridSpan w:val="3"/>
            <w:vMerge w:val="restart"/>
            <w:shd w:val="clear" w:color="auto" w:fill="CCEEFF"/>
          </w:tcPr>
          <w:p>
            <w:pPr>
              <w:spacing w:after="0"/>
              <w:rPr>
                <w:sz w:val="16"/>
                <w:szCs w:val="16"/>
                <w:color w:val="auto"/>
              </w:rPr>
            </w:pPr>
          </w:p>
        </w:tc>
        <w:tc>
          <w:tcPr>
            <w:tcW w:w="160" w:type="dxa"/>
            <w:vAlign w:val="bottom"/>
            <w:tcBorders>
              <w:bottom w:val="single" w:sz="8" w:color="CCEEFF"/>
            </w:tcBorders>
            <w:gridSpan w:val="2"/>
            <w:vMerge w:val="restart"/>
            <w:shd w:val="clear" w:color="auto" w:fill="CCEEFF"/>
          </w:tcPr>
          <w:p>
            <w:pPr>
              <w:jc w:val="right"/>
              <w:ind w:right="6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95"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MAY 17, 2022</w:t>
              </w:r>
            </w:hyperlink>
          </w:p>
        </w:tc>
        <w:tc>
          <w:tcPr>
            <w:tcW w:w="8100" w:type="dxa"/>
            <w:vAlign w:val="bottom"/>
            <w:gridSpan w:val="36"/>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640" w:type="dxa"/>
            <w:vAlign w:val="bottom"/>
            <w:gridSpan w:val="39"/>
          </w:tcPr>
          <w:p>
            <w:pPr>
              <w:ind w:left="1240"/>
              <w:spacing w:after="0"/>
              <w:rPr>
                <w:rFonts w:ascii="Arial" w:cs="Arial" w:eastAsia="Arial" w:hAnsi="Arial"/>
                <w:sz w:val="18"/>
                <w:szCs w:val="18"/>
                <w:color w:val="0000EE"/>
              </w:rPr>
            </w:pPr>
            <w:hyperlink w:anchor="page5">
              <w:r>
                <w:rPr>
                  <w:rFonts w:ascii="Arial" w:cs="Arial" w:eastAsia="Arial" w:hAnsi="Arial"/>
                  <w:sz w:val="18"/>
                  <w:szCs w:val="18"/>
                  <w:color w:val="0000EE"/>
                </w:rPr>
                <w:t>NOTICE OF EXTRAORDINARY MEETING OF SHAREHOLDERS AND IMPORTANT NOTICE REGARDING THE</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20" w:type="dxa"/>
            <w:vAlign w:val="bottom"/>
            <w:gridSpan w:val="37"/>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AVAILABILITY OF PROXY MATERIALS FOR THE EXTRAORDINARY MEETING OF SHAREHOLDERS TO BE</w:t>
              </w:r>
            </w:hyperlink>
          </w:p>
        </w:tc>
        <w:tc>
          <w:tcPr>
            <w:tcW w:w="400" w:type="dxa"/>
            <w:vAlign w:val="bottom"/>
            <w:gridSpan w:val="5"/>
            <w:vMerge w:val="restart"/>
          </w:tcPr>
          <w:p>
            <w:pPr>
              <w:jc w:val="right"/>
              <w:ind w:right="6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80" w:type="dxa"/>
            <w:vAlign w:val="bottom"/>
            <w:tcBorders>
              <w:top w:val="single" w:sz="8" w:color="0000EE"/>
            </w:tcBorders>
            <w:gridSpan w:val="29"/>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HELD ON MAY 17, 2022</w:t>
              </w:r>
            </w:hyperlink>
          </w:p>
        </w:tc>
        <w:tc>
          <w:tcPr>
            <w:tcW w:w="340" w:type="dxa"/>
            <w:vAlign w:val="bottom"/>
            <w:gridSpan w:val="8"/>
          </w:tcPr>
          <w:p>
            <w:pPr>
              <w:spacing w:after="0"/>
              <w:rPr>
                <w:sz w:val="16"/>
                <w:szCs w:val="16"/>
                <w:color w:val="auto"/>
              </w:rPr>
            </w:pPr>
          </w:p>
        </w:tc>
        <w:tc>
          <w:tcPr>
            <w:tcW w:w="4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SUMMARY</w:t>
              </w:r>
            </w:hyperlink>
          </w:p>
        </w:tc>
        <w:tc>
          <w:tcPr>
            <w:tcW w:w="400" w:type="dxa"/>
            <w:vAlign w:val="bottom"/>
            <w:gridSpan w:val="5"/>
            <w:shd w:val="clear" w:color="auto" w:fill="CCEEFF"/>
          </w:tcPr>
          <w:p>
            <w:pPr>
              <w:jc w:val="right"/>
              <w:ind w:right="6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0640" w:type="dxa"/>
            <w:vAlign w:val="bottom"/>
            <w:gridSpan w:val="39"/>
          </w:tcPr>
          <w:p>
            <w:pPr>
              <w:ind w:left="1240"/>
              <w:spacing w:after="0"/>
              <w:rPr>
                <w:rFonts w:ascii="Arial" w:cs="Arial" w:eastAsia="Arial" w:hAnsi="Arial"/>
                <w:sz w:val="18"/>
                <w:szCs w:val="18"/>
                <w:color w:val="0000EE"/>
              </w:rPr>
            </w:pPr>
            <w:hyperlink w:anchor="page15">
              <w:r>
                <w:rPr>
                  <w:rFonts w:ascii="Arial" w:cs="Arial" w:eastAsia="Arial" w:hAnsi="Arial"/>
                  <w:sz w:val="18"/>
                  <w:szCs w:val="18"/>
                  <w:color w:val="0000EE"/>
                </w:rPr>
                <w:t>JOINT PROXY STATEMENT—ANNUAL MEETING OF SHAREHOLDERS AND EXTRAORDINARY MEETING OF</w:t>
              </w:r>
            </w:hyperlink>
          </w:p>
        </w:tc>
        <w:tc>
          <w:tcPr>
            <w:tcW w:w="400" w:type="dxa"/>
            <w:vAlign w:val="bottom"/>
            <w:gridSpan w:val="5"/>
            <w:vMerge w:val="restart"/>
          </w:tcPr>
          <w:p>
            <w:pPr>
              <w:jc w:val="right"/>
              <w:ind w:right="6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900" w:type="dxa"/>
            <w:vAlign w:val="bottom"/>
            <w:tcBorders>
              <w:top w:val="single" w:sz="8" w:color="0000EE"/>
            </w:tcBorders>
            <w:gridSpan w:val="30"/>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SHAREHOLDERS</w:t>
              </w:r>
            </w:hyperlink>
          </w:p>
        </w:tc>
        <w:tc>
          <w:tcPr>
            <w:tcW w:w="320" w:type="dxa"/>
            <w:vAlign w:val="bottom"/>
            <w:gridSpan w:val="7"/>
          </w:tcPr>
          <w:p>
            <w:pPr>
              <w:spacing w:after="0"/>
              <w:rPr>
                <w:sz w:val="16"/>
                <w:szCs w:val="16"/>
                <w:color w:val="auto"/>
              </w:rPr>
            </w:pPr>
          </w:p>
        </w:tc>
        <w:tc>
          <w:tcPr>
            <w:tcW w:w="4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3820" w:type="dxa"/>
            <w:vAlign w:val="bottom"/>
            <w:gridSpan w:val="16"/>
            <w:shd w:val="clear" w:color="auto" w:fill="CCEEFF"/>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PROPOSAL ONE: ELECTION OF DIRECTORS</w:t>
              </w:r>
            </w:hyperlink>
          </w:p>
        </w:tc>
        <w:tc>
          <w:tcPr>
            <w:tcW w:w="5580" w:type="dxa"/>
            <w:vAlign w:val="bottom"/>
            <w:gridSpan w:val="22"/>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21">
              <w:r>
                <w:rPr>
                  <w:rFonts w:ascii="Arial" w:cs="Arial" w:eastAsia="Arial" w:hAnsi="Arial"/>
                  <w:sz w:val="18"/>
                  <w:szCs w:val="18"/>
                  <w:color w:val="0000EE"/>
                </w:rPr>
                <w:t>BOARD OF DIRECTORS AND CORPORATE GOVERNANCE</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BOARD OF DIRECTORS COMPENSATION</w:t>
              </w:r>
            </w:hyperlink>
          </w:p>
        </w:tc>
        <w:tc>
          <w:tcPr>
            <w:tcW w:w="4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31">
              <w:r>
                <w:rPr>
                  <w:rFonts w:ascii="Arial" w:cs="Arial" w:eastAsia="Arial" w:hAnsi="Arial"/>
                  <w:sz w:val="18"/>
                  <w:szCs w:val="18"/>
                  <w:color w:val="0000EE"/>
                </w:rPr>
                <w:t>EXECUTIVE OFFICERS WHO ARE NOT DIRECTORS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6900" w:type="dxa"/>
            <w:vAlign w:val="bottom"/>
            <w:gridSpan w:val="21"/>
            <w:shd w:val="clear" w:color="auto" w:fill="CCEEFF"/>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SECURITY OWNERSHIP OF CERTAIN BENEFICIAL OWNERS AND MANAGEMENT</w:t>
              </w:r>
            </w:hyperlink>
          </w:p>
        </w:tc>
        <w:tc>
          <w:tcPr>
            <w:tcW w:w="2500" w:type="dxa"/>
            <w:vAlign w:val="bottom"/>
            <w:gridSpan w:val="17"/>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tcPr>
          <w:p>
            <w:pPr>
              <w:spacing w:after="0"/>
              <w:rPr>
                <w:sz w:val="21"/>
                <w:szCs w:val="21"/>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PROPOSAL TWO: APPOINTMENT OF INDEPENDENT REGISTERED CERTIFIED PUBLIC ACCOUNTING FIRM</w:t>
              </w:r>
            </w:hyperlink>
          </w:p>
        </w:tc>
        <w:tc>
          <w:tcPr>
            <w:tcW w:w="140" w:type="dxa"/>
            <w:vAlign w:val="bottom"/>
            <w:gridSpan w:val="2"/>
            <w:vMerge w:val="restart"/>
            <w:shd w:val="clear" w:color="auto" w:fill="CCEEFF"/>
          </w:tcPr>
          <w:p>
            <w:pPr>
              <w:spacing w:after="0"/>
              <w:rPr>
                <w:sz w:val="21"/>
                <w:szCs w:val="21"/>
                <w:color w:val="auto"/>
              </w:rPr>
            </w:pPr>
          </w:p>
        </w:tc>
        <w:tc>
          <w:tcPr>
            <w:tcW w:w="260" w:type="dxa"/>
            <w:vAlign w:val="bottom"/>
            <w:gridSpan w:val="3"/>
            <w:vMerge w:val="restart"/>
            <w:shd w:val="clear" w:color="auto" w:fill="CCEEFF"/>
          </w:tcPr>
          <w:p>
            <w:pPr>
              <w:jc w:val="right"/>
              <w:ind w:right="6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2220" w:type="dxa"/>
            <w:vAlign w:val="bottom"/>
            <w:tcBorders>
              <w:top w:val="single" w:sz="8" w:color="0000EE"/>
            </w:tcBorders>
            <w:gridSpan w:val="8"/>
            <w:shd w:val="clear" w:color="auto" w:fill="CCEEFF"/>
          </w:tcPr>
          <w:p>
            <w:pPr>
              <w:spacing w:after="0" w:line="195"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AND CERTIFIED AUDITOR</w:t>
              </w:r>
            </w:hyperlink>
          </w:p>
        </w:tc>
        <w:tc>
          <w:tcPr>
            <w:tcW w:w="6720" w:type="dxa"/>
            <w:vAlign w:val="bottom"/>
            <w:tcBorders>
              <w:top w:val="single" w:sz="8" w:color="0000EE"/>
            </w:tcBorders>
            <w:gridSpan w:val="24"/>
            <w:shd w:val="clear" w:color="auto" w:fill="CCEEFF"/>
          </w:tcPr>
          <w:p>
            <w:pPr>
              <w:spacing w:after="0"/>
              <w:rPr>
                <w:sz w:val="16"/>
                <w:szCs w:val="16"/>
                <w:color w:val="auto"/>
              </w:rPr>
            </w:pPr>
          </w:p>
        </w:tc>
        <w:tc>
          <w:tcPr>
            <w:tcW w:w="280" w:type="dxa"/>
            <w:vAlign w:val="bottom"/>
            <w:tcBorders>
              <w:top w:val="single" w:sz="8" w:color="CCEEFF"/>
            </w:tcBorders>
            <w:gridSpan w:val="5"/>
            <w:shd w:val="clear" w:color="auto" w:fill="CCEEFF"/>
          </w:tcPr>
          <w:p>
            <w:pPr>
              <w:spacing w:after="0"/>
              <w:rPr>
                <w:sz w:val="16"/>
                <w:szCs w:val="16"/>
                <w:color w:val="auto"/>
              </w:rPr>
            </w:pPr>
          </w:p>
        </w:tc>
        <w:tc>
          <w:tcPr>
            <w:tcW w:w="140" w:type="dxa"/>
            <w:vAlign w:val="bottom"/>
            <w:tcBorders>
              <w:top w:val="single" w:sz="8" w:color="CCEEFF"/>
            </w:tcBorders>
            <w:gridSpan w:val="2"/>
            <w:vMerge w:val="continue"/>
            <w:shd w:val="clear" w:color="auto" w:fill="CCEEFF"/>
          </w:tcPr>
          <w:p>
            <w:pPr>
              <w:spacing w:after="0"/>
              <w:rPr>
                <w:sz w:val="16"/>
                <w:szCs w:val="16"/>
                <w:color w:val="auto"/>
              </w:rPr>
            </w:pPr>
          </w:p>
        </w:tc>
        <w:tc>
          <w:tcPr>
            <w:tcW w:w="260" w:type="dxa"/>
            <w:vAlign w:val="bottom"/>
            <w:tcBorders>
              <w:top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44">
              <w:r>
                <w:rPr>
                  <w:rFonts w:ascii="Arial" w:cs="Arial" w:eastAsia="Arial" w:hAnsi="Arial"/>
                  <w:sz w:val="18"/>
                  <w:szCs w:val="18"/>
                  <w:color w:val="0000EE"/>
                </w:rPr>
                <w:t>REPORT OF THE AUDIT COMMITTEE</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2320" w:type="dxa"/>
            <w:vAlign w:val="bottom"/>
            <w:gridSpan w:val="8"/>
            <w:shd w:val="clear" w:color="auto" w:fill="CCEEFF"/>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EXTERNAL AUDITOR FEES</w:t>
              </w:r>
            </w:hyperlink>
          </w:p>
        </w:tc>
        <w:tc>
          <w:tcPr>
            <w:tcW w:w="7080" w:type="dxa"/>
            <w:vAlign w:val="bottom"/>
            <w:gridSpan w:val="30"/>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47">
              <w:r>
                <w:rPr>
                  <w:rFonts w:ascii="Arial" w:cs="Arial" w:eastAsia="Arial" w:hAnsi="Arial"/>
                  <w:sz w:val="18"/>
                  <w:szCs w:val="18"/>
                  <w:color w:val="0000EE"/>
                </w:rPr>
                <w:t>PROPOSAL THREE: APPROVAL OF THE COMPANY’S LUXEMBOURG STATUTORY ACCOUNTS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tcPr>
          <w:p>
            <w:pPr>
              <w:spacing w:after="0"/>
              <w:rPr>
                <w:sz w:val="21"/>
                <w:szCs w:val="21"/>
                <w:color w:val="auto"/>
              </w:rPr>
            </w:pPr>
          </w:p>
        </w:tc>
        <w:tc>
          <w:tcPr>
            <w:tcW w:w="878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PROPOSAL FOUR: RECEIPT AND APPROVAL OF THE DIRECTORS’ REPORTS FOR THE LUXEMBOURG</w:t>
              </w:r>
            </w:hyperlink>
          </w:p>
        </w:tc>
        <w:tc>
          <w:tcPr>
            <w:tcW w:w="620" w:type="dxa"/>
            <w:vAlign w:val="bottom"/>
            <w:tcBorders>
              <w:bottom w:val="single" w:sz="8" w:color="CCEEFF"/>
            </w:tcBorders>
            <w:gridSpan w:val="10"/>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95" w:lineRule="exact"/>
              <w:rPr>
                <w:rFonts w:ascii="Arial" w:cs="Arial" w:eastAsia="Arial" w:hAnsi="Arial"/>
                <w:sz w:val="18"/>
                <w:szCs w:val="18"/>
                <w:color w:val="0000EE"/>
              </w:rPr>
            </w:pPr>
            <w:hyperlink w:anchor="page48">
              <w:r>
                <w:rPr>
                  <w:rFonts w:ascii="Arial" w:cs="Arial" w:eastAsia="Arial" w:hAnsi="Arial"/>
                  <w:sz w:val="18"/>
                  <w:szCs w:val="18"/>
                  <w:color w:val="0000EE"/>
                </w:rPr>
                <w:t>STATUTORY ACCOUNTS AND RECEIPT OF THE SUPERVISORY AUDITOR’S REPORT FOR THE</w:t>
              </w:r>
            </w:hyperlink>
          </w:p>
        </w:tc>
        <w:tc>
          <w:tcPr>
            <w:tcW w:w="400" w:type="dxa"/>
            <w:vAlign w:val="bottom"/>
            <w:gridSpan w:val="5"/>
            <w:vMerge w:val="restart"/>
            <w:shd w:val="clear" w:color="auto" w:fill="CCEEFF"/>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40" w:type="dxa"/>
            <w:vAlign w:val="bottom"/>
            <w:tcBorders>
              <w:top w:val="single" w:sz="8" w:color="0000EE"/>
            </w:tcBorders>
            <w:gridSpan w:val="25"/>
            <w:shd w:val="clear" w:color="auto" w:fill="CCEEFF"/>
          </w:tcPr>
          <w:p>
            <w:pPr>
              <w:spacing w:after="0" w:line="195" w:lineRule="exact"/>
              <w:rPr>
                <w:rFonts w:ascii="Arial" w:cs="Arial" w:eastAsia="Arial" w:hAnsi="Arial"/>
                <w:sz w:val="18"/>
                <w:szCs w:val="18"/>
                <w:color w:val="0000EE"/>
              </w:rPr>
            </w:pPr>
            <w:hyperlink w:anchor="page48">
              <w:r>
                <w:rPr>
                  <w:rFonts w:ascii="Arial" w:cs="Arial" w:eastAsia="Arial" w:hAnsi="Arial"/>
                  <w:sz w:val="18"/>
                  <w:szCs w:val="18"/>
                  <w:color w:val="0000EE"/>
                </w:rPr>
                <w:t>LUXEMBOURG ANNUAL ACCOUNTS</w:t>
              </w:r>
            </w:hyperlink>
          </w:p>
        </w:tc>
        <w:tc>
          <w:tcPr>
            <w:tcW w:w="1180" w:type="dxa"/>
            <w:vAlign w:val="bottom"/>
            <w:tcBorders>
              <w:top w:val="single" w:sz="8" w:color="CCEEFF"/>
            </w:tcBorders>
            <w:gridSpan w:val="12"/>
            <w:shd w:val="clear" w:color="auto" w:fill="CCEEFF"/>
          </w:tcPr>
          <w:p>
            <w:pPr>
              <w:spacing w:after="0"/>
              <w:rPr>
                <w:sz w:val="16"/>
                <w:szCs w:val="16"/>
                <w:color w:val="auto"/>
              </w:rPr>
            </w:pPr>
          </w:p>
        </w:tc>
        <w:tc>
          <w:tcPr>
            <w:tcW w:w="400" w:type="dxa"/>
            <w:vAlign w:val="bottom"/>
            <w:tcBorders>
              <w:top w:val="single" w:sz="8" w:color="CCEEFF"/>
            </w:tcBorders>
            <w:gridSpan w:val="5"/>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49">
              <w:r>
                <w:rPr>
                  <w:rFonts w:ascii="Arial" w:cs="Arial" w:eastAsia="Arial" w:hAnsi="Arial"/>
                  <w:sz w:val="18"/>
                  <w:szCs w:val="18"/>
                  <w:color w:val="0000EE"/>
                </w:rPr>
                <w:t>PROPOSAL FIVE: ALLOCATION OF THE RESULTS IN THE LUXEMBOURG ANNUAL ACCOUNTS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PROPOSAL SIX: DISCHARGE OF THE DIRECTORS AND THE SUPERVISORY AUDITOR</w:t>
              </w:r>
            </w:hyperlink>
          </w:p>
        </w:tc>
        <w:tc>
          <w:tcPr>
            <w:tcW w:w="400" w:type="dxa"/>
            <w:vAlign w:val="bottom"/>
            <w:gridSpan w:val="5"/>
            <w:shd w:val="clear" w:color="auto" w:fill="CCEEFF"/>
          </w:tcPr>
          <w:p>
            <w:pPr>
              <w:jc w:val="right"/>
              <w:ind w:right="6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51">
              <w:r>
                <w:rPr>
                  <w:rFonts w:ascii="Arial" w:cs="Arial" w:eastAsia="Arial" w:hAnsi="Arial"/>
                  <w:sz w:val="18"/>
                  <w:szCs w:val="18"/>
                  <w:color w:val="0000EE"/>
                </w:rPr>
                <w:t>PROPOSAL SEVEN: ADVISORY VOTE ON EXECUTIVE COMPENSATION (“SAY-ON-PAY”)</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4240" w:type="dxa"/>
            <w:vAlign w:val="bottom"/>
            <w:gridSpan w:val="17"/>
            <w:shd w:val="clear" w:color="auto" w:fill="CCEEFF"/>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EXTRAORDINARY MEETING OF SHAREHOLDERS</w:t>
              </w:r>
            </w:hyperlink>
          </w:p>
        </w:tc>
        <w:tc>
          <w:tcPr>
            <w:tcW w:w="5160" w:type="dxa"/>
            <w:vAlign w:val="bottom"/>
            <w:gridSpan w:val="21"/>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0640" w:type="dxa"/>
            <w:vAlign w:val="bottom"/>
            <w:gridSpan w:val="39"/>
          </w:tcPr>
          <w:p>
            <w:pPr>
              <w:ind w:left="1240"/>
              <w:spacing w:after="0"/>
              <w:rPr>
                <w:rFonts w:ascii="Arial" w:cs="Arial" w:eastAsia="Arial" w:hAnsi="Arial"/>
                <w:sz w:val="18"/>
                <w:szCs w:val="18"/>
                <w:color w:val="0000EE"/>
              </w:rPr>
            </w:pPr>
            <w:hyperlink w:anchor="page52">
              <w:r>
                <w:rPr>
                  <w:rFonts w:ascii="Arial" w:cs="Arial" w:eastAsia="Arial" w:hAnsi="Arial"/>
                  <w:sz w:val="18"/>
                  <w:szCs w:val="18"/>
                  <w:color w:val="0000EE"/>
                </w:rPr>
                <w:t>PROPOSAL ONE: APPROVE AMENDMENT OF THE COMPANY’S ARTICLES OF INCORPORATION TO RENEW</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20" w:type="dxa"/>
            <w:vAlign w:val="bottom"/>
            <w:gridSpan w:val="8"/>
            <w:shd w:val="clear" w:color="auto" w:fill="0000EE"/>
          </w:tcPr>
          <w:p>
            <w:pPr>
              <w:spacing w:after="0" w:line="20" w:lineRule="exact"/>
              <w:rPr>
                <w:sz w:val="1"/>
                <w:szCs w:val="1"/>
                <w:color w:val="auto"/>
              </w:rPr>
            </w:pPr>
          </w:p>
        </w:tc>
        <w:tc>
          <w:tcPr>
            <w:tcW w:w="3060" w:type="dxa"/>
            <w:vAlign w:val="bottom"/>
            <w:gridSpan w:val="9"/>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60" w:type="dxa"/>
            <w:vAlign w:val="bottom"/>
            <w:tcBorders>
              <w:bottom w:val="single" w:sz="8" w:color="0000EE"/>
            </w:tcBorders>
            <w:gridSpan w:val="35"/>
          </w:tcPr>
          <w:p>
            <w:pPr>
              <w:spacing w:after="0" w:line="195"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AND EXTEND THE CURRENT AUTHORIZATION OF THE BOARD OF DIRECTORS TO ISSUE SHARES OF THE</w:t>
              </w:r>
            </w:hyperlink>
          </w:p>
        </w:tc>
        <w:tc>
          <w:tcPr>
            <w:tcW w:w="60" w:type="dxa"/>
            <w:vAlign w:val="bottom"/>
            <w:gridSpan w:val="2"/>
          </w:tcPr>
          <w:p>
            <w:pPr>
              <w:spacing w:after="0"/>
              <w:rPr>
                <w:sz w:val="16"/>
                <w:szCs w:val="16"/>
                <w:color w:val="auto"/>
              </w:rPr>
            </w:pPr>
          </w:p>
        </w:tc>
        <w:tc>
          <w:tcPr>
            <w:tcW w:w="400" w:type="dxa"/>
            <w:vAlign w:val="bottom"/>
            <w:gridSpan w:val="5"/>
            <w:vMerge w:val="restart"/>
          </w:tcPr>
          <w:p>
            <w:pPr>
              <w:jc w:val="right"/>
              <w:ind w:right="6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20" w:type="dxa"/>
            <w:vAlign w:val="bottom"/>
            <w:gridSpan w:val="37"/>
          </w:tcPr>
          <w:p>
            <w:pPr>
              <w:spacing w:after="0" w:line="195" w:lineRule="exact"/>
              <w:rPr>
                <w:rFonts w:ascii="Arial" w:cs="Arial" w:eastAsia="Arial" w:hAnsi="Arial"/>
                <w:sz w:val="18"/>
                <w:szCs w:val="18"/>
                <w:color w:val="0000EE"/>
              </w:rPr>
            </w:pPr>
            <w:hyperlink w:anchor="page52">
              <w:r>
                <w:rPr>
                  <w:rFonts w:ascii="Arial" w:cs="Arial" w:eastAsia="Arial" w:hAnsi="Arial"/>
                  <w:sz w:val="18"/>
                  <w:szCs w:val="18"/>
                  <w:color w:val="0000EE"/>
                </w:rPr>
                <w:t>COMPANY’S COMMON STOCK WITHIN THE LIMITS OF THE COMPANY’S AUTHORIZED SHARE CAPITAL</w:t>
              </w:r>
            </w:hyperlink>
          </w:p>
        </w:tc>
        <w:tc>
          <w:tcPr>
            <w:tcW w:w="4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tcPr>
          <w:p>
            <w:pPr>
              <w:spacing w:after="0"/>
              <w:rPr>
                <w:sz w:val="21"/>
                <w:szCs w:val="21"/>
                <w:color w:val="auto"/>
              </w:rPr>
            </w:pPr>
          </w:p>
        </w:tc>
        <w:tc>
          <w:tcPr>
            <w:tcW w:w="9380" w:type="dxa"/>
            <w:vAlign w:val="bottom"/>
            <w:tcBorders>
              <w:bottom w:val="single" w:sz="8" w:color="0000EE"/>
            </w:tcBorders>
            <w:gridSpan w:val="37"/>
            <w:shd w:val="clear" w:color="auto" w:fill="CCEEFF"/>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PROPOSAL TWO: AMEND THE RELEVANT PROVISIONS OF THE COMPANY’S ARTICLES OF INCORPORATION</w:t>
              </w:r>
            </w:hyperlink>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40" w:type="dxa"/>
            <w:vAlign w:val="bottom"/>
            <w:tcBorders>
              <w:bottom w:val="single" w:sz="8" w:color="0000EE"/>
            </w:tcBorders>
            <w:gridSpan w:val="34"/>
            <w:shd w:val="clear" w:color="auto" w:fill="CCEEFF"/>
          </w:tcPr>
          <w:p>
            <w:pPr>
              <w:spacing w:after="0" w:line="195"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TO EFFECTUATE RECENT CHANGES IN THE LUXEMBOURG COMPANY LAW AND MAKE CERTAIN OTHER</w:t>
              </w:r>
            </w:hyperlink>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400" w:type="dxa"/>
            <w:vAlign w:val="bottom"/>
            <w:tcBorders>
              <w:bottom w:val="single" w:sz="8" w:color="CCEEFF"/>
            </w:tcBorders>
            <w:gridSpan w:val="5"/>
            <w:vMerge w:val="restart"/>
            <w:shd w:val="clear" w:color="auto" w:fill="CCEEFF"/>
          </w:tcPr>
          <w:p>
            <w:pPr>
              <w:jc w:val="right"/>
              <w:ind w:right="6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95" w:lineRule="exact"/>
              <w:rPr>
                <w:rFonts w:ascii="Arial" w:cs="Arial" w:eastAsia="Arial" w:hAnsi="Arial"/>
                <w:sz w:val="18"/>
                <w:szCs w:val="18"/>
                <w:color w:val="0000EE"/>
              </w:rPr>
            </w:pPr>
            <w:hyperlink w:anchor="page54">
              <w:r>
                <w:rPr>
                  <w:rFonts w:ascii="Arial" w:cs="Arial" w:eastAsia="Arial" w:hAnsi="Arial"/>
                  <w:sz w:val="18"/>
                  <w:szCs w:val="18"/>
                  <w:color w:val="0000EE"/>
                </w:rPr>
                <w:t>ADMINISTRATIVE CHANGES</w:t>
              </w:r>
            </w:hyperlink>
          </w:p>
        </w:tc>
        <w:tc>
          <w:tcPr>
            <w:tcW w:w="400" w:type="dxa"/>
            <w:vAlign w:val="bottom"/>
            <w:gridSpan w:val="5"/>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55">
              <w:r>
                <w:rPr>
                  <w:rFonts w:ascii="Arial" w:cs="Arial" w:eastAsia="Arial" w:hAnsi="Arial"/>
                  <w:sz w:val="18"/>
                  <w:szCs w:val="18"/>
                  <w:color w:val="0000EE"/>
                </w:rPr>
                <w:t>BUSINESS RELATIONSHIPS AND RELATED PERSON TRANSACTIONS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2520" w:type="dxa"/>
            <w:vAlign w:val="bottom"/>
            <w:gridSpan w:val="11"/>
            <w:shd w:val="clear" w:color="auto" w:fill="CCEEFF"/>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SHAREHOLDER PROPOSALS</w:t>
              </w:r>
            </w:hyperlink>
          </w:p>
        </w:tc>
        <w:tc>
          <w:tcPr>
            <w:tcW w:w="6880" w:type="dxa"/>
            <w:vAlign w:val="bottom"/>
            <w:gridSpan w:val="27"/>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10640" w:type="dxa"/>
            <w:vAlign w:val="bottom"/>
            <w:gridSpan w:val="39"/>
          </w:tcPr>
          <w:p>
            <w:pPr>
              <w:ind w:left="1240"/>
              <w:spacing w:after="0"/>
              <w:rPr>
                <w:rFonts w:ascii="Arial" w:cs="Arial" w:eastAsia="Arial" w:hAnsi="Arial"/>
                <w:sz w:val="18"/>
                <w:szCs w:val="18"/>
                <w:color w:val="0000EE"/>
              </w:rPr>
            </w:pPr>
            <w:hyperlink w:anchor="page56">
              <w:r>
                <w:rPr>
                  <w:rFonts w:ascii="Arial" w:cs="Arial" w:eastAsia="Arial" w:hAnsi="Arial"/>
                  <w:sz w:val="18"/>
                  <w:szCs w:val="18"/>
                  <w:color w:val="0000EE"/>
                </w:rPr>
                <w:t>ANNUAL REPORTS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3"/>
        </w:trPr>
        <w:tc>
          <w:tcPr>
            <w:tcW w:w="1240" w:type="dxa"/>
            <w:vAlign w:val="bottom"/>
          </w:tcPr>
          <w:p>
            <w:pPr>
              <w:spacing w:after="0"/>
              <w:rPr>
                <w:sz w:val="24"/>
                <w:szCs w:val="24"/>
                <w:color w:val="auto"/>
              </w:rPr>
            </w:pPr>
          </w:p>
        </w:tc>
        <w:tc>
          <w:tcPr>
            <w:tcW w:w="1520" w:type="dxa"/>
            <w:vAlign w:val="bottom"/>
            <w:gridSpan w:val="3"/>
            <w:shd w:val="clear" w:color="auto" w:fill="CCEEFF"/>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OTHER MATTERS</w:t>
              </w:r>
            </w:hyperlink>
          </w:p>
        </w:tc>
        <w:tc>
          <w:tcPr>
            <w:tcW w:w="7880" w:type="dxa"/>
            <w:vAlign w:val="bottom"/>
            <w:gridSpan w:val="35"/>
            <w:shd w:val="clear" w:color="auto" w:fill="CCEEFF"/>
          </w:tcPr>
          <w:p>
            <w:pPr>
              <w:spacing w:after="0"/>
              <w:rPr>
                <w:sz w:val="24"/>
                <w:szCs w:val="24"/>
                <w:color w:val="auto"/>
              </w:rPr>
            </w:pPr>
          </w:p>
        </w:tc>
        <w:tc>
          <w:tcPr>
            <w:tcW w:w="140" w:type="dxa"/>
            <w:vAlign w:val="bottom"/>
            <w:gridSpan w:val="2"/>
            <w:shd w:val="clear" w:color="auto" w:fill="CCEEFF"/>
          </w:tcPr>
          <w:p>
            <w:pPr>
              <w:spacing w:after="0"/>
              <w:rPr>
                <w:sz w:val="24"/>
                <w:szCs w:val="24"/>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610"/>
        </w:trPr>
        <w:tc>
          <w:tcPr>
            <w:tcW w:w="1240" w:type="dxa"/>
            <w:vAlign w:val="bottom"/>
          </w:tcPr>
          <w:p>
            <w:pPr>
              <w:spacing w:after="0"/>
              <w:rPr>
                <w:sz w:val="24"/>
                <w:szCs w:val="24"/>
                <w:color w:val="auto"/>
              </w:rPr>
            </w:pPr>
          </w:p>
        </w:tc>
        <w:tc>
          <w:tcPr>
            <w:tcW w:w="1520" w:type="dxa"/>
            <w:vAlign w:val="bottom"/>
            <w:tcBorders>
              <w:top w:val="single" w:sz="8" w:color="0000EE"/>
            </w:tcBorders>
            <w:gridSpan w:val="3"/>
          </w:tcPr>
          <w:p>
            <w:pPr>
              <w:spacing w:after="0"/>
              <w:rPr>
                <w:sz w:val="24"/>
                <w:szCs w:val="24"/>
                <w:color w:val="auto"/>
              </w:rPr>
            </w:pPr>
          </w:p>
        </w:tc>
        <w:tc>
          <w:tcPr>
            <w:tcW w:w="2720" w:type="dxa"/>
            <w:vAlign w:val="bottom"/>
            <w:tcBorders>
              <w:top w:val="single" w:sz="8" w:color="CCEEFF"/>
            </w:tcBorders>
            <w:gridSpan w:val="14"/>
          </w:tcPr>
          <w:p>
            <w:pPr>
              <w:jc w:val="center"/>
              <w:ind w:left="2330"/>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-7098030</wp:posOffset>
            </wp:positionV>
            <wp:extent cx="5970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70905" cy="8255"/>
                    </a:xfrm>
                    <a:prstGeom prst="rect">
                      <a:avLst/>
                    </a:prstGeom>
                    <a:noFill/>
                  </pic:spPr>
                </pic:pic>
              </a:graphicData>
            </a:graphic>
          </wp:anchor>
        </w:drawing>
        <w:drawing>
          <wp:anchor simplePos="0" relativeHeight="251657728" behindDoc="1" locked="0" layoutInCell="0" allowOverlap="1">
            <wp:simplePos x="0" y="0"/>
            <wp:positionH relativeFrom="column">
              <wp:posOffset>6758940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60"/>
          </w:cols>
          <w:pgMar w:left="600" w:top="97" w:right="239" w:bottom="1440" w:gutter="0" w:footer="0" w:header="0"/>
        </w:sectPr>
      </w:pPr>
    </w:p>
    <w:bookmarkStart w:id="3" w:name="page4"/>
    <w:bookmarkEnd w:id="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ALTISOURCE PORTFOLIO SOLUTIONS S.A.</w:t>
      </w:r>
    </w:p>
    <w:p>
      <w:pPr>
        <w:spacing w:after="0" w:line="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33, Boulevard Prince Henri</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L-1724 Luxembourg City</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Grand Duchy of Luxembourg</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R.C.S. Luxembourg B72391</w:t>
      </w:r>
    </w:p>
    <w:p>
      <w:pPr>
        <w:spacing w:after="0" w:line="20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2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FOR THE ANNUAL MEETING OF SHAREHOLDERS TO BE HELD ON MAY 17, 2022</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NOTICE</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91"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May 17, 2022</w:t>
      </w:r>
    </w:p>
    <w:p>
      <w:pPr>
        <w:spacing w:after="0" w:line="116"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102"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33, Boulevard Prince Henri</w:t>
      </w:r>
    </w:p>
    <w:p>
      <w:pPr>
        <w:ind w:left="2620"/>
        <w:spacing w:after="0" w:line="233"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Grand Duchy of Luxembourg</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PURPOSE</w:t>
      </w:r>
    </w:p>
    <w:p>
      <w:pPr>
        <w:spacing w:after="0" w:line="116" w:lineRule="exact"/>
        <w:rPr>
          <w:sz w:val="20"/>
          <w:szCs w:val="20"/>
          <w:color w:val="auto"/>
        </w:rPr>
      </w:pPr>
    </w:p>
    <w:p>
      <w:pPr>
        <w:ind w:left="1800" w:right="799" w:hanging="187"/>
        <w:spacing w:after="0" w:line="28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(5) Directors to serve until the next annual meeting of shareholders or until their respective successors have been elected and qualified;</w:t>
      </w:r>
    </w:p>
    <w:p>
      <w:pPr>
        <w:spacing w:after="0" w:line="46" w:lineRule="exact"/>
        <w:rPr>
          <w:rFonts w:ascii="Arial" w:cs="Arial" w:eastAsia="Arial" w:hAnsi="Arial"/>
          <w:sz w:val="18"/>
          <w:szCs w:val="18"/>
          <w:color w:val="auto"/>
        </w:rPr>
      </w:pPr>
    </w:p>
    <w:p>
      <w:pPr>
        <w:ind w:left="1800" w:right="539" w:hanging="187"/>
        <w:spacing w:after="0" w:line="264"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appointment of Mayer Hoffman McCann P.C. to be our independent registered certified public accounting firm for the year ending December 31, 2022 and the appointment 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same period;</w:t>
      </w:r>
    </w:p>
    <w:p>
      <w:pPr>
        <w:spacing w:after="0" w:line="285" w:lineRule="exact"/>
        <w:rPr>
          <w:rFonts w:ascii="Arial" w:cs="Arial" w:eastAsia="Arial" w:hAnsi="Arial"/>
          <w:sz w:val="18"/>
          <w:szCs w:val="18"/>
          <w:color w:val="auto"/>
        </w:rPr>
      </w:pPr>
    </w:p>
    <w:p>
      <w:pPr>
        <w:ind w:left="1800" w:right="579" w:hanging="187"/>
        <w:spacing w:after="0" w:line="25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Altisource Portfolio Solutions S.A.’s unconsolidated annual accounts prepared in accordance with accounting principles generally accepted in Luxembourg (the “Luxembourg Annual Accounts”) for the year ended December 31, 2021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2021;</w:t>
      </w:r>
    </w:p>
    <w:p>
      <w:pPr>
        <w:spacing w:after="0" w:line="74" w:lineRule="exact"/>
        <w:rPr>
          <w:rFonts w:ascii="Arial" w:cs="Arial" w:eastAsia="Arial" w:hAnsi="Arial"/>
          <w:sz w:val="18"/>
          <w:szCs w:val="18"/>
          <w:color w:val="auto"/>
        </w:rPr>
      </w:pPr>
    </w:p>
    <w:p>
      <w:pPr>
        <w:ind w:left="1800" w:right="599" w:hanging="187"/>
        <w:spacing w:after="0" w:line="264"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receive and approve the Directors’ reports for the Luxembourg Statutory Accounts for the year ended December 31, 2021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w:t>
      </w:r>
    </w:p>
    <w:p>
      <w:pPr>
        <w:spacing w:after="0" w:line="285" w:lineRule="exact"/>
        <w:rPr>
          <w:rFonts w:ascii="Arial" w:cs="Arial" w:eastAsia="Arial" w:hAnsi="Arial"/>
          <w:sz w:val="18"/>
          <w:szCs w:val="18"/>
          <w:color w:val="auto"/>
        </w:rPr>
      </w:pPr>
    </w:p>
    <w:p>
      <w:pPr>
        <w:ind w:left="1800" w:right="1219" w:hanging="187"/>
        <w:spacing w:after="0" w:line="28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2021;</w:t>
      </w:r>
    </w:p>
    <w:p>
      <w:pPr>
        <w:spacing w:after="0" w:line="46" w:lineRule="exact"/>
        <w:rPr>
          <w:rFonts w:ascii="Arial" w:cs="Arial" w:eastAsia="Arial" w:hAnsi="Arial"/>
          <w:sz w:val="18"/>
          <w:szCs w:val="18"/>
          <w:color w:val="auto"/>
        </w:rPr>
      </w:pPr>
    </w:p>
    <w:p>
      <w:pPr>
        <w:ind w:left="1800" w:right="579" w:hanging="187"/>
        <w:spacing w:after="0" w:line="264"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discharge each of the Directors of Altisource Portfolio Solutions S.A. for the performance of their mandates for the year ended December 31, 2021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performance of her mandate for the same period;</w:t>
      </w:r>
    </w:p>
    <w:p>
      <w:pPr>
        <w:spacing w:after="0" w:line="285" w:lineRule="exact"/>
        <w:rPr>
          <w:rFonts w:ascii="Arial" w:cs="Arial" w:eastAsia="Arial" w:hAnsi="Arial"/>
          <w:sz w:val="18"/>
          <w:szCs w:val="18"/>
          <w:color w:val="auto"/>
        </w:rPr>
      </w:pPr>
    </w:p>
    <w:p>
      <w:pPr>
        <w:ind w:left="1800" w:right="479" w:hanging="187"/>
        <w:spacing w:after="0" w:line="28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Altisource’s named executive officers as disclosed in the joint proxy statement (“Say-on-Pay”); and</w:t>
      </w:r>
    </w:p>
    <w:p>
      <w:pPr>
        <w:spacing w:after="0" w:line="46" w:lineRule="exact"/>
        <w:rPr>
          <w:rFonts w:ascii="Arial" w:cs="Arial" w:eastAsia="Arial" w:hAnsi="Arial"/>
          <w:sz w:val="18"/>
          <w:szCs w:val="18"/>
          <w:color w:val="auto"/>
        </w:rPr>
      </w:pPr>
    </w:p>
    <w:p>
      <w:pPr>
        <w:ind w:left="1800" w:right="499" w:hanging="187"/>
        <w:spacing w:after="0" w:line="28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4" w:name="page5"/>
    <w:bookmarkEnd w:id="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PROCEDURES</w:t>
      </w:r>
    </w:p>
    <w:p>
      <w:pPr>
        <w:spacing w:after="0" w:line="116" w:lineRule="exact"/>
        <w:rPr>
          <w:sz w:val="20"/>
          <w:szCs w:val="20"/>
          <w:color w:val="auto"/>
        </w:rPr>
      </w:pPr>
    </w:p>
    <w:p>
      <w:pPr>
        <w:ind w:left="1800" w:right="599" w:hanging="187"/>
        <w:spacing w:after="0" w:line="285"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25, 2022 as the record date for the determination of shareholders entitled to notice of and to vote at the Annual Meeting.</w:t>
      </w:r>
    </w:p>
    <w:p>
      <w:pPr>
        <w:spacing w:after="0" w:line="46" w:lineRule="exact"/>
        <w:rPr>
          <w:rFonts w:ascii="Arial" w:cs="Arial" w:eastAsia="Arial" w:hAnsi="Arial"/>
          <w:sz w:val="18"/>
          <w:szCs w:val="18"/>
          <w:color w:val="auto"/>
        </w:rPr>
      </w:pPr>
    </w:p>
    <w:p>
      <w:pPr>
        <w:ind w:left="1800" w:right="439" w:hanging="187"/>
        <w:spacing w:after="0" w:line="285"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46" w:lineRule="exact"/>
        <w:rPr>
          <w:rFonts w:ascii="Arial" w:cs="Arial" w:eastAsia="Arial" w:hAnsi="Arial"/>
          <w:sz w:val="18"/>
          <w:szCs w:val="18"/>
          <w:color w:val="auto"/>
        </w:rPr>
      </w:pPr>
    </w:p>
    <w:p>
      <w:pPr>
        <w:ind w:left="1800" w:right="439" w:hanging="187"/>
        <w:spacing w:after="0" w:line="254"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w:t>
      </w:r>
    </w:p>
    <w:p>
      <w:pPr>
        <w:spacing w:after="0" w:line="2" w:lineRule="exact"/>
        <w:rPr>
          <w:rFonts w:ascii="Arial" w:cs="Arial" w:eastAsia="Arial" w:hAnsi="Arial"/>
          <w:sz w:val="18"/>
          <w:szCs w:val="18"/>
          <w:color w:val="auto"/>
        </w:rPr>
      </w:pPr>
    </w:p>
    <w:p>
      <w:pPr>
        <w:ind w:left="1800" w:right="539"/>
        <w:spacing w:after="0" w:line="257" w:lineRule="auto"/>
        <w:rPr>
          <w:rFonts w:ascii="Arial" w:cs="Arial" w:eastAsia="Arial" w:hAnsi="Arial"/>
          <w:sz w:val="18"/>
          <w:szCs w:val="18"/>
          <w:color w:val="auto"/>
        </w:rPr>
      </w:pPr>
      <w:r>
        <w:rPr>
          <w:rFonts w:ascii="Arial" w:cs="Arial" w:eastAsia="Arial" w:hAnsi="Arial"/>
          <w:sz w:val="18"/>
          <w:szCs w:val="18"/>
          <w:b w:val="1"/>
          <w:bCs w:val="1"/>
          <w:color w:val="auto"/>
        </w:rPr>
        <w:t>Even if you plan to attend the Annual Meeting, we recommend that you vote your shares in advance of the meeting pursuant to the instructions listed in the accompanying materials so that your vote will be counted if you are unable to attend or are limited to remote attendance.</w:t>
      </w:r>
    </w:p>
    <w:p>
      <w:pPr>
        <w:spacing w:after="0" w:line="63" w:lineRule="exact"/>
        <w:rPr>
          <w:rFonts w:ascii="Arial" w:cs="Arial" w:eastAsia="Arial" w:hAnsi="Arial"/>
          <w:sz w:val="18"/>
          <w:szCs w:val="18"/>
          <w:color w:val="auto"/>
        </w:rPr>
      </w:pPr>
    </w:p>
    <w:p>
      <w:pPr>
        <w:ind w:left="1800" w:right="479" w:hanging="187"/>
        <w:spacing w:after="0" w:line="254"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joint proxy statement for our Annual Meeting and Extraordinary Meeting of Shareholders and our annual report to shareholders on Form 10-K for the year ended December 31, 2021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accordance with Securities and Exchange Commission rules, you may also access our joint proxy statement and annual report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to the site, by entering the Control Number found on your Notice and Access Card, your proxy card or your email notification, as applicable.</w:t>
      </w:r>
    </w:p>
    <w:p>
      <w:pPr>
        <w:spacing w:after="0" w:line="77" w:lineRule="exact"/>
        <w:rPr>
          <w:rFonts w:ascii="Arial" w:cs="Arial" w:eastAsia="Arial" w:hAnsi="Arial"/>
          <w:sz w:val="18"/>
          <w:szCs w:val="18"/>
          <w:color w:val="auto"/>
        </w:rPr>
      </w:pPr>
    </w:p>
    <w:p>
      <w:pPr>
        <w:ind w:left="1800" w:right="539" w:hanging="187"/>
        <w:spacing w:after="0" w:line="241"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84" w:lineRule="exact"/>
        <w:rPr>
          <w:rFonts w:ascii="Arial" w:cs="Arial" w:eastAsia="Arial" w:hAnsi="Arial"/>
          <w:sz w:val="18"/>
          <w:szCs w:val="18"/>
          <w:color w:val="auto"/>
        </w:rPr>
      </w:pPr>
    </w:p>
    <w:p>
      <w:pPr>
        <w:ind w:left="1800" w:right="499" w:hanging="187"/>
        <w:spacing w:after="0" w:line="254"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the report of the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Consolidated Accounts and the report of the supervisory auditor (</w:t>
      </w:r>
      <w:r>
        <w:rPr>
          <w:rFonts w:ascii="Arial" w:cs="Arial" w:eastAsia="Arial" w:hAnsi="Arial"/>
          <w:sz w:val="18"/>
          <w:szCs w:val="18"/>
          <w:i w:val="1"/>
          <w:iCs w:val="1"/>
          <w:color w:val="auto"/>
        </w:rPr>
        <w:t>Commissaire aux</w:t>
      </w:r>
      <w:r>
        <w:rPr>
          <w:rFonts w:ascii="Arial" w:cs="Arial" w:eastAsia="Arial" w:hAnsi="Arial"/>
          <w:sz w:val="18"/>
          <w:szCs w:val="18"/>
          <w:color w:val="auto"/>
        </w:rPr>
        <w:t xml:space="preserve"> </w:t>
      </w:r>
      <w:r>
        <w:rPr>
          <w:rFonts w:ascii="Arial" w:cs="Arial" w:eastAsia="Arial" w:hAnsi="Arial"/>
          <w:sz w:val="18"/>
          <w:szCs w:val="18"/>
          <w:i w:val="1"/>
          <w:iCs w:val="1"/>
          <w:color w:val="auto"/>
        </w:rPr>
        <w:t>Comptes</w:t>
      </w:r>
      <w:r>
        <w:rPr>
          <w:rFonts w:ascii="Arial" w:cs="Arial" w:eastAsia="Arial" w:hAnsi="Arial"/>
          <w:sz w:val="18"/>
          <w:szCs w:val="18"/>
          <w:color w:val="auto"/>
        </w:rPr>
        <w:t>) for the Luxembourg Annual Accounts will be available for inspection at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office during business hours, by appointment, subject to sanitary limitations that may be imposed by the Luxembourg government, from May 3, 2022 until the conclusion of the Annual Meeting. Beginning May 3, 2022, copies will also be available to any shareholder who requests them by writing to our Corporate Secretary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307340</wp:posOffset>
            </wp:positionV>
            <wp:extent cx="1990090" cy="384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0090"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Gregory J. Ritts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Secretary</w:t>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4, 2022</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City, Grand Duchy of Luxembourg</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 w:name="page6"/>
    <w:bookmarkEnd w:id="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ALTISOURCE PORTFOLIO SOLUTIONS S.A.</w:t>
      </w:r>
    </w:p>
    <w:p>
      <w:pPr>
        <w:spacing w:after="0" w:line="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33, Boulevard Prince Henri</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L-1724 Luxembourg City</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Grand Duchy of Luxembourg</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R.C.S. Luxembourg B72391</w:t>
      </w:r>
    </w:p>
    <w:p>
      <w:pPr>
        <w:spacing w:after="0" w:line="20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NOTICE OF EXTRAORDINARY MEETING OF SHAREHOLDERS AND</w:t>
      </w:r>
    </w:p>
    <w:p>
      <w:pPr>
        <w:spacing w:after="0" w:line="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EXTRAORDINARY MEETING OF SHAREHOLDERS TO BE HELD ON MAY 17, 2022</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NOTICE</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Extraordinary Meeting of Shareholders (“Extraordinary Meeting”) will be held:</w:t>
      </w:r>
    </w:p>
    <w:p>
      <w:pPr>
        <w:spacing w:after="0" w:line="291"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May 17, 2022</w:t>
      </w:r>
    </w:p>
    <w:p>
      <w:pPr>
        <w:spacing w:after="0" w:line="116"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9:30 a.m. Central European Time</w:t>
      </w:r>
    </w:p>
    <w:p>
      <w:pPr>
        <w:spacing w:after="0" w:line="102"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33, Boulevard Prince Henri</w:t>
      </w:r>
    </w:p>
    <w:p>
      <w:pPr>
        <w:ind w:left="2620"/>
        <w:spacing w:after="0" w:line="233"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Grand Duchy of Luxembourg</w:t>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PURPOSE</w:t>
      </w:r>
    </w:p>
    <w:p>
      <w:pPr>
        <w:spacing w:after="0" w:line="116" w:lineRule="exact"/>
        <w:rPr>
          <w:sz w:val="20"/>
          <w:szCs w:val="20"/>
          <w:color w:val="auto"/>
        </w:rPr>
      </w:pPr>
    </w:p>
    <w:p>
      <w:pPr>
        <w:ind w:left="1800" w:right="559" w:hanging="187"/>
        <w:spacing w:after="0" w:line="254"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 amend the Company’s Articles of Incorporation to renew and extend the current authorization of the Board of Directors to issue shares of the Company’s common stock, within the limits of the Company’s authorized share capital of one hundred million dollars ($100,000,000) which includes the current authorization, in connection with any such issuance, to limit or cancel the preferential subscription rights of shareholders, each for a period of five (5) years, and (ii) receive the report issued by the Board of Directors pursuant to article 420-26 (5) of the Luxembourg Law of 10 August 1915 on commercial companies, as amended (the “Luxembourg Company Law”);</w:t>
      </w:r>
    </w:p>
    <w:p>
      <w:pPr>
        <w:spacing w:after="0" w:line="292" w:lineRule="exact"/>
        <w:rPr>
          <w:rFonts w:ascii="Arial" w:cs="Arial" w:eastAsia="Arial" w:hAnsi="Arial"/>
          <w:sz w:val="18"/>
          <w:szCs w:val="18"/>
          <w:color w:val="auto"/>
        </w:rPr>
      </w:pPr>
    </w:p>
    <w:p>
      <w:pPr>
        <w:ind w:left="1800" w:right="439" w:hanging="187"/>
        <w:spacing w:after="0" w:line="258"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the relevant provisions of the Company’s Articles of Incorporation to effectuate recent changes in the Luxembourg Company Law, in particular further to the Luxembourg regulation dated 5 December 2017 coordinating such act, and make certain other administrative changes as set forth in the proposed amended provisions of the Articles of Incorporation; and</w:t>
      </w:r>
    </w:p>
    <w:p>
      <w:pPr>
        <w:spacing w:after="0" w:line="71" w:lineRule="exact"/>
        <w:rPr>
          <w:rFonts w:ascii="Arial" w:cs="Arial" w:eastAsia="Arial" w:hAnsi="Arial"/>
          <w:sz w:val="18"/>
          <w:szCs w:val="18"/>
          <w:color w:val="auto"/>
        </w:rPr>
      </w:pPr>
    </w:p>
    <w:p>
      <w:pPr>
        <w:ind w:left="1800" w:right="1079" w:hanging="187"/>
        <w:spacing w:after="0" w:line="285"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Extraordinary Meeting and any adjournment or postponement thereof.</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PROCEDURES</w:t>
      </w:r>
    </w:p>
    <w:p>
      <w:pPr>
        <w:spacing w:after="0" w:line="129" w:lineRule="exact"/>
        <w:rPr>
          <w:sz w:val="20"/>
          <w:szCs w:val="20"/>
          <w:color w:val="auto"/>
        </w:rPr>
      </w:pPr>
    </w:p>
    <w:p>
      <w:pPr>
        <w:ind w:left="1800" w:right="839" w:hanging="187"/>
        <w:spacing w:after="0" w:line="27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of Directors has fixed March 25, 2022 as the record date for the determination of shareholders entitled to notice of and to vote at the Extraordinary Meeting.</w:t>
      </w:r>
    </w:p>
    <w:p>
      <w:pPr>
        <w:spacing w:after="0" w:line="277" w:lineRule="exact"/>
        <w:rPr>
          <w:rFonts w:ascii="Arial" w:cs="Arial" w:eastAsia="Arial" w:hAnsi="Arial"/>
          <w:sz w:val="18"/>
          <w:szCs w:val="18"/>
          <w:color w:val="auto"/>
        </w:rPr>
      </w:pPr>
    </w:p>
    <w:p>
      <w:pPr>
        <w:ind w:left="1800" w:right="439" w:hanging="187"/>
        <w:spacing w:after="0" w:line="255"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Only shareholders as of the close of business on the record date will be able to vote at the Extraordinary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8"/>
          <w:szCs w:val="18"/>
          <w:b w:val="1"/>
          <w:bCs w:val="1"/>
          <w:color w:val="auto"/>
        </w:rPr>
        <w:t>Even if you plan to attend the Extraordinary Meeting, we</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 that you vote your shares in advance of the meeting pursuant to the instructions listed in the accompanying materials so that your vote will be counted if you are unable to attend or are limited to remote attendance.</w:t>
      </w:r>
    </w:p>
    <w:p>
      <w:pPr>
        <w:spacing w:after="0" w:line="285" w:lineRule="exact"/>
        <w:rPr>
          <w:rFonts w:ascii="Arial" w:cs="Arial" w:eastAsia="Arial" w:hAnsi="Arial"/>
          <w:sz w:val="18"/>
          <w:szCs w:val="18"/>
          <w:color w:val="auto"/>
        </w:rPr>
      </w:pPr>
    </w:p>
    <w:p>
      <w:pPr>
        <w:ind w:left="1800" w:right="819" w:hanging="187"/>
        <w:spacing w:after="0" w:line="261"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joint proxy statement for our Annual Meeting and Extraordinary Meeting is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In accordance with Securities and Exchange Commission rules, you may also access our joint proxy statement</w:t>
      </w:r>
    </w:p>
    <w:p>
      <w:pPr>
        <w:sectPr>
          <w:pgSz w:w="11900" w:h="16838" w:orient="portrait"/>
          <w:cols w:equalWidth="0" w:num="1">
            <w:col w:w="9859"/>
          </w:cols>
          <w:pgMar w:left="60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6" w:name="page7"/>
    <w:bookmarkEnd w:id="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right="739"/>
        <w:spacing w:after="0" w:line="267"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xml:space="preserve"> , a website that does not identify or track visitors to the site, by entering the Control Number found on your Notice and Access Card, your proxy card or your email notification, as applicable.</w:t>
      </w:r>
    </w:p>
    <w:p>
      <w:pPr>
        <w:spacing w:after="0" w:line="63" w:lineRule="exact"/>
        <w:rPr>
          <w:sz w:val="20"/>
          <w:szCs w:val="20"/>
          <w:color w:val="auto"/>
        </w:rPr>
      </w:pPr>
    </w:p>
    <w:p>
      <w:pPr>
        <w:ind w:left="1800" w:right="479" w:hanging="187"/>
        <w:spacing w:after="0" w:line="245"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accordance with Luxembourg law, the Extraordinary Meeting will validly deliberate on its agenda,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quorum representing fifty percent (50%) of our issued and outstanding shares of common stock able to be voted is reached. Under Luxembourg law, if a quorum is not reached at an extraordinary meeting for the purpose of resolving on the agenda thereof, the meeting may be adjourned or postponed to a later time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for the transaction of business. The resolutions concerning the agenda of the Extraordinary Meeting, or any adjournment or postponement thereof, will be approved by the affirmative vote of the holders of at least two-thirds of the shares validly voted.</w:t>
      </w:r>
    </w:p>
    <w:p>
      <w:pPr>
        <w:spacing w:after="0" w:line="301" w:lineRule="exact"/>
        <w:rPr>
          <w:rFonts w:ascii="Arial" w:cs="Arial" w:eastAsia="Arial" w:hAnsi="Arial"/>
          <w:sz w:val="18"/>
          <w:szCs w:val="18"/>
          <w:color w:val="auto"/>
        </w:rPr>
      </w:pPr>
    </w:p>
    <w:p>
      <w:pPr>
        <w:ind w:left="1800" w:right="499" w:hanging="187"/>
        <w:spacing w:after="0" w:line="25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copy of the proposed amended provisions of the articles of incorporation and the report of the Board of Directors pursuant to article 420-26 (5) of the Luxembourg Company Law will be available for inspection at the Company’s registered office from May 3, 2022 until the conclusion of the Extraordinary Meeting. Copies are also available to any shareholder who requests them by writing to our Corporate Secretary at Altisource Portfolio Solutions S.A., 33, Boulevard Prince Henri, L-1724 Luxembourg City, Grand Duchy of Luxembourg.</w:t>
      </w:r>
    </w:p>
    <w:p>
      <w:pPr>
        <w:spacing w:after="0" w:line="200" w:lineRule="exact"/>
        <w:rPr>
          <w:sz w:val="20"/>
          <w:szCs w:val="20"/>
          <w:color w:val="auto"/>
        </w:rPr>
      </w:pPr>
    </w:p>
    <w:p>
      <w:pPr>
        <w:spacing w:after="0" w:line="30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307340</wp:posOffset>
            </wp:positionV>
            <wp:extent cx="1990090" cy="384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0090"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Gregory J. Ritts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Secretary</w:t>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4, 2022</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City, Grand Duchy of Luxembourg</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7" w:name="page8"/>
    <w:bookmarkEnd w:id="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jc w:val="both"/>
        <w:ind w:left="1260" w:right="519"/>
        <w:spacing w:after="0" w:line="252" w:lineRule="auto"/>
        <w:rPr>
          <w:sz w:val="20"/>
          <w:szCs w:val="20"/>
          <w:color w:val="auto"/>
        </w:rPr>
      </w:pPr>
      <w:r>
        <w:rPr>
          <w:rFonts w:ascii="Arial" w:cs="Arial" w:eastAsia="Arial" w:hAnsi="Arial"/>
          <w:sz w:val="18"/>
          <w:szCs w:val="18"/>
          <w:color w:val="auto"/>
        </w:rPr>
        <w:t>This summary highlights information contained elsewhere in this joint proxy statement. This summary does not contain all information you should consider. Please read this entire proxy statement carefully before voting.</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 Information</w:t>
      </w:r>
    </w:p>
    <w:p>
      <w:pPr>
        <w:spacing w:after="0" w:line="98" w:lineRule="exact"/>
        <w:rPr>
          <w:sz w:val="20"/>
          <w:szCs w:val="20"/>
          <w:color w:val="auto"/>
        </w:rPr>
      </w:pPr>
    </w:p>
    <w:p>
      <w:pPr>
        <w:ind w:left="1800" w:hanging="187"/>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Tuesday, May 17, 2022</w:t>
      </w:r>
    </w:p>
    <w:p>
      <w:pPr>
        <w:spacing w:after="0" w:line="115" w:lineRule="exact"/>
        <w:rPr>
          <w:rFonts w:ascii="Arial" w:cs="Arial" w:eastAsia="Arial" w:hAnsi="Arial"/>
          <w:sz w:val="18"/>
          <w:szCs w:val="18"/>
          <w:color w:val="auto"/>
        </w:rPr>
      </w:pPr>
    </w:p>
    <w:p>
      <w:pPr>
        <w:ind w:left="1800" w:hanging="187"/>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115" w:lineRule="exact"/>
        <w:rPr>
          <w:rFonts w:ascii="Arial" w:cs="Arial" w:eastAsia="Arial" w:hAnsi="Arial"/>
          <w:sz w:val="18"/>
          <w:szCs w:val="18"/>
          <w:color w:val="auto"/>
        </w:rPr>
      </w:pPr>
    </w:p>
    <w:p>
      <w:pPr>
        <w:ind w:left="1800" w:hanging="187"/>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Extraordinary Meeting Time: 9:30 a.m. Central European Time</w:t>
      </w:r>
    </w:p>
    <w:p>
      <w:pPr>
        <w:spacing w:after="0" w:line="115" w:lineRule="exact"/>
        <w:rPr>
          <w:rFonts w:ascii="Arial" w:cs="Arial" w:eastAsia="Arial" w:hAnsi="Arial"/>
          <w:sz w:val="18"/>
          <w:szCs w:val="18"/>
          <w:color w:val="auto"/>
        </w:rPr>
      </w:pPr>
    </w:p>
    <w:p>
      <w:pPr>
        <w:ind w:left="1800" w:right="1319" w:hanging="187"/>
        <w:spacing w:after="0" w:line="285"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33, Boulevard Prince Henri, L-1724 Luxembourg City, Grand Duchy of Luxembourg</w:t>
      </w:r>
    </w:p>
    <w:p>
      <w:pPr>
        <w:spacing w:after="0" w:line="46" w:lineRule="exact"/>
        <w:rPr>
          <w:rFonts w:ascii="Arial" w:cs="Arial" w:eastAsia="Arial" w:hAnsi="Arial"/>
          <w:sz w:val="18"/>
          <w:szCs w:val="18"/>
          <w:color w:val="auto"/>
        </w:rPr>
      </w:pPr>
    </w:p>
    <w:p>
      <w:pPr>
        <w:ind w:left="1800" w:hanging="187"/>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 Date: March 25, 2022</w:t>
      </w:r>
    </w:p>
    <w:p>
      <w:pPr>
        <w:spacing w:after="0" w:line="115" w:lineRule="exact"/>
        <w:rPr>
          <w:rFonts w:ascii="Arial" w:cs="Arial" w:eastAsia="Arial" w:hAnsi="Arial"/>
          <w:sz w:val="18"/>
          <w:szCs w:val="18"/>
          <w:color w:val="auto"/>
        </w:rPr>
      </w:pPr>
    </w:p>
    <w:p>
      <w:pPr>
        <w:ind w:left="1800" w:right="799" w:hanging="187"/>
        <w:spacing w:after="0" w:line="285"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Annual Meeting, Voting Matters and Board Recommendations</w:t>
      </w:r>
    </w:p>
    <w:p>
      <w:pPr>
        <w:spacing w:after="0" w:line="129"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Annual Meeting of Shareholders</w:t>
      </w: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020" w:type="dxa"/>
            <w:vAlign w:val="bottom"/>
            <w:tcBorders>
              <w:top w:val="single" w:sz="8" w:color="auto"/>
              <w:bottom w:val="single" w:sz="8" w:color="auto"/>
            </w:tcBorders>
          </w:tcPr>
          <w:p>
            <w:pPr>
              <w:ind w:left="2500"/>
              <w:spacing w:after="0"/>
              <w:rPr>
                <w:sz w:val="20"/>
                <w:szCs w:val="20"/>
                <w:color w:val="auto"/>
              </w:rPr>
            </w:pPr>
            <w:r>
              <w:rPr>
                <w:rFonts w:ascii="Arial" w:cs="Arial" w:eastAsia="Arial" w:hAnsi="Arial"/>
                <w:sz w:val="16"/>
                <w:szCs w:val="16"/>
                <w:b w:val="1"/>
                <w:bCs w:val="1"/>
                <w:color w:val="auto"/>
              </w:rPr>
              <w:t>Proposals</w:t>
            </w: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Recommendation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b w:val="1"/>
                <w:bCs w:val="1"/>
                <w:color w:val="auto"/>
                <w:w w:val="73"/>
              </w:rPr>
              <w:t>1.</w:t>
            </w:r>
          </w:p>
        </w:tc>
        <w:tc>
          <w:tcPr>
            <w:tcW w:w="6020" w:type="dxa"/>
            <w:vAlign w:val="bottom"/>
          </w:tcPr>
          <w:p>
            <w:pPr>
              <w:ind w:left="100"/>
              <w:spacing w:after="0" w:line="155" w:lineRule="exact"/>
              <w:rPr>
                <w:sz w:val="20"/>
                <w:szCs w:val="20"/>
                <w:color w:val="auto"/>
              </w:rPr>
            </w:pPr>
            <w:r>
              <w:rPr>
                <w:rFonts w:ascii="Arial" w:cs="Arial" w:eastAsia="Arial" w:hAnsi="Arial"/>
                <w:sz w:val="16"/>
                <w:szCs w:val="16"/>
                <w:color w:val="auto"/>
              </w:rPr>
              <w:t>Election of Directors</w:t>
            </w:r>
          </w:p>
        </w:tc>
        <w:tc>
          <w:tcPr>
            <w:tcW w:w="220" w:type="dxa"/>
            <w:vAlign w:val="bottom"/>
          </w:tcPr>
          <w:p>
            <w:pPr>
              <w:spacing w:after="0"/>
              <w:rPr>
                <w:sz w:val="13"/>
                <w:szCs w:val="13"/>
                <w:color w:val="auto"/>
              </w:rPr>
            </w:pPr>
          </w:p>
        </w:tc>
        <w:tc>
          <w:tcPr>
            <w:tcW w:w="1720" w:type="dxa"/>
            <w:vAlign w:val="bottom"/>
          </w:tcPr>
          <w:p>
            <w:pPr>
              <w:jc w:val="center"/>
              <w:spacing w:after="0" w:line="155"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FOR each nominee</w:t>
            </w:r>
          </w:p>
        </w:tc>
        <w:tc>
          <w:tcPr>
            <w:tcW w:w="0" w:type="dxa"/>
            <w:vAlign w:val="bottom"/>
          </w:tcPr>
          <w:p>
            <w:pPr>
              <w:spacing w:after="0"/>
              <w:rPr>
                <w:sz w:val="1"/>
                <w:szCs w:val="1"/>
                <w:color w:val="auto"/>
              </w:rPr>
            </w:pPr>
          </w:p>
        </w:tc>
      </w:tr>
      <w:tr>
        <w:trPr>
          <w:trHeight w:val="188"/>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2.</w:t>
            </w:r>
          </w:p>
        </w:tc>
        <w:tc>
          <w:tcPr>
            <w:tcW w:w="6020" w:type="dxa"/>
            <w:vAlign w:val="bottom"/>
          </w:tcPr>
          <w:p>
            <w:pPr>
              <w:ind w:left="100"/>
              <w:spacing w:after="0"/>
              <w:rPr>
                <w:sz w:val="20"/>
                <w:szCs w:val="20"/>
                <w:color w:val="auto"/>
              </w:rPr>
            </w:pPr>
            <w:r>
              <w:rPr>
                <w:rFonts w:ascii="Arial" w:cs="Arial" w:eastAsia="Arial" w:hAnsi="Arial"/>
                <w:sz w:val="16"/>
                <w:szCs w:val="16"/>
                <w:color w:val="auto"/>
              </w:rPr>
              <w:t>Appointment of Independent Registered Certified Public Accounting Firm</w:t>
            </w:r>
          </w:p>
        </w:tc>
        <w:tc>
          <w:tcPr>
            <w:tcW w:w="220" w:type="dxa"/>
            <w:vAlign w:val="bottom"/>
          </w:tcPr>
          <w:p>
            <w:pPr>
              <w:spacing w:after="0"/>
              <w:rPr>
                <w:sz w:val="16"/>
                <w:szCs w:val="16"/>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Arial" w:cs="Arial" w:eastAsia="Arial" w:hAnsi="Arial"/>
                <w:sz w:val="16"/>
                <w:szCs w:val="16"/>
                <w:color w:val="auto"/>
              </w:rPr>
              <w:t>and Certified Auditor</w:t>
            </w:r>
          </w:p>
        </w:tc>
        <w:tc>
          <w:tcPr>
            <w:tcW w:w="220" w:type="dxa"/>
            <w:vAlign w:val="bottom"/>
          </w:tcPr>
          <w:p>
            <w:pPr>
              <w:spacing w:after="0"/>
              <w:rPr>
                <w:sz w:val="16"/>
                <w:szCs w:val="16"/>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63"/>
        </w:trPr>
        <w:tc>
          <w:tcPr>
            <w:tcW w:w="220" w:type="dxa"/>
            <w:vAlign w:val="bottom"/>
            <w:gridSpan w:val="2"/>
          </w:tcPr>
          <w:p>
            <w:pPr>
              <w:jc w:val="right"/>
              <w:ind w:right="34"/>
              <w:spacing w:after="0" w:line="163" w:lineRule="exact"/>
              <w:rPr>
                <w:sz w:val="20"/>
                <w:szCs w:val="20"/>
                <w:color w:val="auto"/>
              </w:rPr>
            </w:pPr>
            <w:r>
              <w:rPr>
                <w:rFonts w:ascii="Arial" w:cs="Arial" w:eastAsia="Arial" w:hAnsi="Arial"/>
                <w:sz w:val="16"/>
                <w:szCs w:val="16"/>
                <w:b w:val="1"/>
                <w:bCs w:val="1"/>
                <w:color w:val="auto"/>
                <w:w w:val="74"/>
              </w:rPr>
              <w:t>3.</w:t>
            </w:r>
          </w:p>
        </w:tc>
        <w:tc>
          <w:tcPr>
            <w:tcW w:w="6020" w:type="dxa"/>
            <w:vAlign w:val="bottom"/>
          </w:tcPr>
          <w:p>
            <w:pPr>
              <w:ind w:left="100"/>
              <w:spacing w:after="0" w:line="163" w:lineRule="exact"/>
              <w:rPr>
                <w:sz w:val="20"/>
                <w:szCs w:val="20"/>
                <w:color w:val="auto"/>
              </w:rPr>
            </w:pPr>
            <w:r>
              <w:rPr>
                <w:rFonts w:ascii="Arial" w:cs="Arial" w:eastAsia="Arial" w:hAnsi="Arial"/>
                <w:sz w:val="16"/>
                <w:szCs w:val="16"/>
                <w:color w:val="auto"/>
              </w:rPr>
              <w:t>Approval of the Company’s 2021 Statutory Accounts</w:t>
            </w: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4.</w:t>
            </w:r>
          </w:p>
        </w:tc>
        <w:tc>
          <w:tcPr>
            <w:tcW w:w="6020" w:type="dxa"/>
            <w:vAlign w:val="bottom"/>
          </w:tcPr>
          <w:p>
            <w:pPr>
              <w:ind w:left="100"/>
              <w:spacing w:after="0"/>
              <w:rPr>
                <w:sz w:val="20"/>
                <w:szCs w:val="20"/>
                <w:color w:val="auto"/>
              </w:rPr>
            </w:pPr>
            <w:r>
              <w:rPr>
                <w:rFonts w:ascii="Arial" w:cs="Arial" w:eastAsia="Arial" w:hAnsi="Arial"/>
                <w:sz w:val="16"/>
                <w:szCs w:val="16"/>
                <w:color w:val="auto"/>
              </w:rPr>
              <w:t>Receipt and Approval of the Directors’ Reports for the Luxembourg</w:t>
            </w:r>
          </w:p>
        </w:tc>
        <w:tc>
          <w:tcPr>
            <w:tcW w:w="220" w:type="dxa"/>
            <w:vAlign w:val="bottom"/>
          </w:tcPr>
          <w:p>
            <w:pPr>
              <w:spacing w:after="0"/>
              <w:rPr>
                <w:sz w:val="18"/>
                <w:szCs w:val="18"/>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Arial" w:cs="Arial" w:eastAsia="Arial" w:hAnsi="Arial"/>
                <w:sz w:val="16"/>
                <w:szCs w:val="16"/>
                <w:color w:val="auto"/>
              </w:rPr>
              <w:t>Statutory Accounts and Receipt of the Supervisory Auditor’s Report for the</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20" w:type="dxa"/>
            <w:vAlign w:val="bottom"/>
          </w:tcPr>
          <w:p>
            <w:pPr>
              <w:ind w:left="100"/>
              <w:spacing w:after="0"/>
              <w:rPr>
                <w:sz w:val="20"/>
                <w:szCs w:val="20"/>
                <w:color w:val="auto"/>
              </w:rPr>
            </w:pPr>
            <w:r>
              <w:rPr>
                <w:rFonts w:ascii="Arial" w:cs="Arial" w:eastAsia="Arial" w:hAnsi="Arial"/>
                <w:sz w:val="16"/>
                <w:szCs w:val="16"/>
                <w:color w:val="auto"/>
              </w:rPr>
              <w:t>Luxembourg Annual Accounts</w:t>
            </w:r>
          </w:p>
        </w:tc>
        <w:tc>
          <w:tcPr>
            <w:tcW w:w="220" w:type="dxa"/>
            <w:vAlign w:val="bottom"/>
          </w:tcPr>
          <w:p>
            <w:pPr>
              <w:spacing w:after="0"/>
              <w:rPr>
                <w:sz w:val="17"/>
                <w:szCs w:val="17"/>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63"/>
        </w:trPr>
        <w:tc>
          <w:tcPr>
            <w:tcW w:w="220" w:type="dxa"/>
            <w:vAlign w:val="bottom"/>
            <w:gridSpan w:val="2"/>
          </w:tcPr>
          <w:p>
            <w:pPr>
              <w:jc w:val="right"/>
              <w:ind w:right="34"/>
              <w:spacing w:after="0" w:line="163" w:lineRule="exact"/>
              <w:rPr>
                <w:sz w:val="20"/>
                <w:szCs w:val="20"/>
                <w:color w:val="auto"/>
              </w:rPr>
            </w:pPr>
            <w:r>
              <w:rPr>
                <w:rFonts w:ascii="Arial" w:cs="Arial" w:eastAsia="Arial" w:hAnsi="Arial"/>
                <w:sz w:val="16"/>
                <w:szCs w:val="16"/>
                <w:b w:val="1"/>
                <w:bCs w:val="1"/>
                <w:color w:val="auto"/>
                <w:w w:val="74"/>
              </w:rPr>
              <w:t>5.</w:t>
            </w:r>
          </w:p>
        </w:tc>
        <w:tc>
          <w:tcPr>
            <w:tcW w:w="6020" w:type="dxa"/>
            <w:vAlign w:val="bottom"/>
          </w:tcPr>
          <w:p>
            <w:pPr>
              <w:ind w:left="100"/>
              <w:spacing w:after="0" w:line="163" w:lineRule="exact"/>
              <w:rPr>
                <w:sz w:val="20"/>
                <w:szCs w:val="20"/>
                <w:color w:val="auto"/>
              </w:rPr>
            </w:pPr>
            <w:r>
              <w:rPr>
                <w:rFonts w:ascii="Arial" w:cs="Arial" w:eastAsia="Arial" w:hAnsi="Arial"/>
                <w:sz w:val="16"/>
                <w:szCs w:val="16"/>
                <w:color w:val="auto"/>
              </w:rPr>
              <w:t>Allocation of the Results in the Luxembourg Annual Accounts</w:t>
            </w: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6.</w:t>
            </w:r>
          </w:p>
        </w:tc>
        <w:tc>
          <w:tcPr>
            <w:tcW w:w="6020" w:type="dxa"/>
            <w:vAlign w:val="bottom"/>
          </w:tcPr>
          <w:p>
            <w:pPr>
              <w:ind w:left="100"/>
              <w:spacing w:after="0"/>
              <w:rPr>
                <w:sz w:val="20"/>
                <w:szCs w:val="20"/>
                <w:color w:val="auto"/>
              </w:rPr>
            </w:pPr>
            <w:r>
              <w:rPr>
                <w:rFonts w:ascii="Arial" w:cs="Arial" w:eastAsia="Arial" w:hAnsi="Arial"/>
                <w:sz w:val="16"/>
                <w:szCs w:val="16"/>
                <w:color w:val="auto"/>
              </w:rPr>
              <w:t>Discharge of the Directors and the Supervisory Auditor</w:t>
            </w:r>
          </w:p>
        </w:tc>
        <w:tc>
          <w:tcPr>
            <w:tcW w:w="220" w:type="dxa"/>
            <w:vAlign w:val="bottom"/>
          </w:tcPr>
          <w:p>
            <w:pPr>
              <w:spacing w:after="0"/>
              <w:rPr>
                <w:sz w:val="16"/>
                <w:szCs w:val="16"/>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54"/>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7.</w:t>
            </w:r>
          </w:p>
        </w:tc>
        <w:tc>
          <w:tcPr>
            <w:tcW w:w="6020" w:type="dxa"/>
            <w:vAlign w:val="bottom"/>
          </w:tcPr>
          <w:p>
            <w:pPr>
              <w:ind w:left="100"/>
              <w:spacing w:after="0"/>
              <w:rPr>
                <w:sz w:val="20"/>
                <w:szCs w:val="20"/>
                <w:color w:val="auto"/>
              </w:rPr>
            </w:pPr>
            <w:r>
              <w:rPr>
                <w:rFonts w:ascii="Arial" w:cs="Arial" w:eastAsia="Arial" w:hAnsi="Arial"/>
                <w:sz w:val="16"/>
                <w:szCs w:val="16"/>
                <w:color w:val="auto"/>
              </w:rPr>
              <w:t>Advisory Vote on Executive Compensation (“Say-on-Pay”)</w:t>
            </w:r>
          </w:p>
        </w:tc>
        <w:tc>
          <w:tcPr>
            <w:tcW w:w="220" w:type="dxa"/>
            <w:vAlign w:val="bottom"/>
          </w:tcPr>
          <w:p>
            <w:pPr>
              <w:spacing w:after="0"/>
              <w:rPr>
                <w:sz w:val="22"/>
                <w:szCs w:val="22"/>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Extraordinary Meeting of Shareholders</w:t>
      </w: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Borders>
              <w:top w:val="single" w:sz="8" w:color="auto"/>
            </w:tcBorders>
          </w:tcPr>
          <w:p>
            <w:pPr>
              <w:ind w:left="2940"/>
              <w:spacing w:after="0"/>
              <w:rPr>
                <w:sz w:val="20"/>
                <w:szCs w:val="20"/>
                <w:color w:val="auto"/>
              </w:rPr>
            </w:pPr>
            <w:r>
              <w:rPr>
                <w:rFonts w:ascii="Arial" w:cs="Arial" w:eastAsia="Arial" w:hAnsi="Arial"/>
                <w:sz w:val="16"/>
                <w:szCs w:val="16"/>
                <w:b w:val="1"/>
                <w:bCs w:val="1"/>
                <w:color w:val="auto"/>
              </w:rPr>
              <w:t>Proposal</w:t>
            </w:r>
          </w:p>
        </w:tc>
        <w:tc>
          <w:tcPr>
            <w:tcW w:w="1580" w:type="dxa"/>
            <w:vAlign w:val="bottom"/>
            <w:tcBorders>
              <w:top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rPr>
              <w:t>Recommendation</w:t>
            </w:r>
          </w:p>
        </w:tc>
      </w:tr>
      <w:tr>
        <w:trPr>
          <w:trHeight w:val="181"/>
        </w:trPr>
        <w:tc>
          <w:tcPr>
            <w:tcW w:w="20" w:type="dxa"/>
            <w:vAlign w:val="bottom"/>
          </w:tcPr>
          <w:p>
            <w:pPr>
              <w:spacing w:after="0"/>
              <w:rPr>
                <w:sz w:val="15"/>
                <w:szCs w:val="15"/>
                <w:color w:val="auto"/>
              </w:rPr>
            </w:pPr>
          </w:p>
        </w:tc>
        <w:tc>
          <w:tcPr>
            <w:tcW w:w="65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To (i) amend the Company’s Articles of Incorporation to renew and extend the</w:t>
            </w:r>
          </w:p>
        </w:tc>
        <w:tc>
          <w:tcPr>
            <w:tcW w:w="2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current authorization of the Board of Directors to issue shares of the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Company’s common stock, within the limits of the Company’s authorized share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capital of one hundred million dollars ($100,000,000) which includes the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current authorization and, in connection with any such issuance, to limit or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cancel the preferential subscription rights of shareholders, each for a period of</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five (5) years; and (ii) receive the report issued by the Board of Directors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pursuant to article 420-26(5) of the Luxembourg Law of 10 August 1915 on</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commercial companies, as amended (the “Luxembourg Company Law”)</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4"/>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To amend the relevant provisions of the Company’s Articles of Incorporation to</w:t>
            </w:r>
          </w:p>
        </w:tc>
        <w:tc>
          <w:tcPr>
            <w:tcW w:w="220" w:type="dxa"/>
            <w:vAlign w:val="bottom"/>
          </w:tcPr>
          <w:p>
            <w:pPr>
              <w:spacing w:after="0"/>
              <w:rPr>
                <w:sz w:val="24"/>
                <w:szCs w:val="24"/>
                <w:color w:val="auto"/>
              </w:rPr>
            </w:pPr>
          </w:p>
        </w:tc>
        <w:tc>
          <w:tcPr>
            <w:tcW w:w="136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effectuate recent changes in the Luxembourg Company Law, in particular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further to the Luxembourg regulation dated 5 December 2017 coordinating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such act, and make certain other administrative changes as set forth in the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proposed amended provisions of the Articles of Incorporation</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6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2021 Highlights</w:t>
      </w:r>
    </w:p>
    <w:p>
      <w:pPr>
        <w:spacing w:after="0" w:line="90" w:lineRule="exact"/>
        <w:rPr>
          <w:sz w:val="20"/>
          <w:szCs w:val="20"/>
          <w:color w:val="auto"/>
        </w:rPr>
      </w:pPr>
    </w:p>
    <w:p>
      <w:pPr>
        <w:ind w:left="1260" w:right="659"/>
        <w:spacing w:after="0" w:line="229" w:lineRule="auto"/>
        <w:rPr>
          <w:sz w:val="20"/>
          <w:szCs w:val="20"/>
          <w:color w:val="auto"/>
        </w:rPr>
      </w:pPr>
      <w:r>
        <w:rPr>
          <w:rFonts w:ascii="Arial" w:cs="Arial" w:eastAsia="Arial" w:hAnsi="Arial"/>
          <w:sz w:val="18"/>
          <w:szCs w:val="18"/>
          <w:color w:val="auto"/>
        </w:rPr>
        <w:t xml:space="preserve">Altisource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116" w:lineRule="exact"/>
        <w:rPr>
          <w:sz w:val="20"/>
          <w:szCs w:val="20"/>
          <w:color w:val="auto"/>
        </w:rPr>
      </w:pPr>
    </w:p>
    <w:p>
      <w:pPr>
        <w:ind w:left="1260" w:right="719"/>
        <w:spacing w:after="0" w:line="256" w:lineRule="auto"/>
        <w:rPr>
          <w:sz w:val="20"/>
          <w:szCs w:val="20"/>
          <w:color w:val="auto"/>
        </w:rPr>
      </w:pPr>
      <w:r>
        <w:rPr>
          <w:rFonts w:ascii="Arial" w:cs="Arial" w:eastAsia="Arial" w:hAnsi="Arial"/>
          <w:sz w:val="18"/>
          <w:szCs w:val="18"/>
          <w:color w:val="auto"/>
        </w:rPr>
        <w:t>Set forth below is a partial summary of Altisource’s 2021 performance. Please refer to our 2021 Annual Report filed on Form 10-K for a more complete description of our 2021 performance.</w:t>
      </w:r>
    </w:p>
    <w:p>
      <w:pPr>
        <w:spacing w:after="0" w:line="312" w:lineRule="exact"/>
        <w:rPr>
          <w:sz w:val="20"/>
          <w:szCs w:val="20"/>
          <w:color w:val="auto"/>
        </w:rPr>
      </w:pPr>
    </w:p>
    <w:p>
      <w:pPr>
        <w:ind w:left="1260" w:right="639"/>
        <w:spacing w:after="0" w:line="246" w:lineRule="auto"/>
        <w:rPr>
          <w:sz w:val="20"/>
          <w:szCs w:val="20"/>
          <w:color w:val="auto"/>
        </w:rPr>
      </w:pPr>
      <w:r>
        <w:rPr>
          <w:rFonts w:ascii="Arial" w:cs="Arial" w:eastAsia="Arial" w:hAnsi="Arial"/>
          <w:sz w:val="18"/>
          <w:szCs w:val="18"/>
          <w:color w:val="auto"/>
        </w:rPr>
        <w:t>Altisource demonstrated resiliency during 2021, a year defined by challenges from the pandemic and related borrower relief programs that significantly impacted our revenue and earnings. We strengthened our balance sheet, ending 2021 with $98.1 million in cash representing a 68% increase in cash compared to 2020.</w:t>
      </w:r>
    </w:p>
    <w:p>
      <w:pPr>
        <w:sectPr>
          <w:pgSz w:w="11900" w:h="16838" w:orient="portrait"/>
          <w:cols w:equalWidth="0" w:num="1">
            <w:col w:w="9859"/>
          </w:cols>
          <w:pgMar w:left="600" w:top="97" w:right="1440" w:bottom="1052" w:gutter="0" w:footer="0" w:header="0"/>
        </w:sectPr>
      </w:pP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052" w:gutter="0" w:footer="0" w:header="0"/>
          <w:type w:val="continuous"/>
        </w:sectPr>
      </w:pPr>
    </w:p>
    <w:bookmarkStart w:id="8" w:name="page9"/>
    <w:bookmarkEnd w:id="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260" w:right="639"/>
        <w:spacing w:after="0" w:line="244" w:lineRule="auto"/>
        <w:rPr>
          <w:sz w:val="20"/>
          <w:szCs w:val="20"/>
          <w:color w:val="auto"/>
        </w:rPr>
      </w:pPr>
      <w:r>
        <w:rPr>
          <w:rFonts w:ascii="Arial" w:cs="Arial" w:eastAsia="Arial" w:hAnsi="Arial"/>
          <w:sz w:val="18"/>
          <w:szCs w:val="18"/>
          <w:color w:val="auto"/>
        </w:rPr>
        <w:t>In the fourth quarter of 2021, we completed the sale of our equity interests in our Pointillist subsidiary for approximately $102 million in cash and an additional approximately</w:t>
      </w:r>
    </w:p>
    <w:p>
      <w:pPr>
        <w:spacing w:after="0" w:line="1" w:lineRule="exact"/>
        <w:rPr>
          <w:sz w:val="20"/>
          <w:szCs w:val="20"/>
          <w:color w:val="auto"/>
        </w:rPr>
      </w:pPr>
    </w:p>
    <w:p>
      <w:pPr>
        <w:ind w:left="1260" w:right="519"/>
        <w:spacing w:after="0" w:line="242" w:lineRule="auto"/>
        <w:rPr>
          <w:sz w:val="20"/>
          <w:szCs w:val="20"/>
          <w:color w:val="auto"/>
        </w:rPr>
      </w:pPr>
      <w:r>
        <w:rPr>
          <w:rFonts w:ascii="Arial" w:cs="Arial" w:eastAsia="Arial" w:hAnsi="Arial"/>
          <w:sz w:val="18"/>
          <w:szCs w:val="18"/>
          <w:color w:val="auto"/>
        </w:rPr>
        <w:t>$3.5 million deposited in an indemnification escrow, generating an $89 million post-tax gain. We used $20 million of the proceeds to repay the outstanding balance on our revolving line of credit.</w:t>
      </w:r>
    </w:p>
    <w:p>
      <w:pPr>
        <w:spacing w:after="0" w:line="318"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We reduced 2021 cash operating costs (excluding outside fees and services) by 25% compared to 2020. During 2021, the Company implemented certain cost reduction measures to address potential impacts related to the COVID-19 pandemic, including a temporary reduction of the base salaries of Mr. Shepro, Ms. Esterman and certain other senior leaders. These reductions commenced on March 1, 2021 and continued until December 1, 2021. In addition, Mr. Shepro voluntarily waived on a permanent basis his housing allowance, effective March 1, 2021, and the use of one company leased vehicle, effective June 1, 2021.</w:t>
      </w:r>
    </w:p>
    <w:p>
      <w:pPr>
        <w:spacing w:after="0" w:line="98"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The restricted share units (“RSUs”) granted pursuant to the 2021 Long-Term Incentive Awards for executive officers and other employees were calculated using a fixed share price rather than the average 30- trading day share price preceding the grant date which was the method historically used to determine the number of RSUs granted. A $15 share price was applied to determine the number of RSUs granted, rather than the average $10.56 share price over the preceding 30-trading day period, resulting in a smaller number of RSUs being granted. The smaller number of RSUs granted reduced shareholder dilution when compared to the grants that would have been applied using the historical methodology. Further,</w:t>
      </w:r>
    </w:p>
    <w:p>
      <w:pPr>
        <w:spacing w:after="0" w:line="4" w:lineRule="exact"/>
        <w:rPr>
          <w:sz w:val="20"/>
          <w:szCs w:val="20"/>
          <w:color w:val="auto"/>
        </w:rPr>
      </w:pPr>
    </w:p>
    <w:p>
      <w:pPr>
        <w:ind w:left="1260" w:right="1799"/>
        <w:spacing w:after="0" w:line="249" w:lineRule="auto"/>
        <w:rPr>
          <w:sz w:val="20"/>
          <w:szCs w:val="20"/>
          <w:color w:val="auto"/>
        </w:rPr>
      </w:pPr>
      <w:r>
        <w:rPr>
          <w:rFonts w:ascii="Arial" w:cs="Arial" w:eastAsia="Arial" w:hAnsi="Arial"/>
          <w:sz w:val="18"/>
          <w:szCs w:val="18"/>
          <w:color w:val="auto"/>
        </w:rPr>
        <w:t>Mr. Shepro voluntarily reduced his target 2021 Long- Term Incentive Award by seventy percent (70%), from 83,997 RSUs to 25,199 RSUs.</w:t>
      </w:r>
    </w:p>
    <w:p>
      <w:pPr>
        <w:spacing w:after="0" w:line="104"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2021 referrals to Hubzu, our online real estate sale platform, were 30% higher than 2020, including a 62% increase in foreclosure referrals and a 6% decrease in REO referrals. As of December 31, 2021, Hubzu inventory included over 6,300 homes, representing a 27% increase compared to December 31, 2020, including a 67% increase in foreclosure inventory and a 5% decrease in REO inventory.</w:t>
      </w:r>
    </w:p>
    <w:p>
      <w:pPr>
        <w:spacing w:after="0" w:line="319"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In the second quarter of 2021, we entered into an agreement with Ocwen Financial Corporation (together with its subsidiaries, “Ocwen”) extending the terms of certain services agreements from August 2025 through August 2030 and expanding the scope of solutions to include, among other things, the opportunity for the Company to provide first and second chance foreclosure auctions on Federal Housing Administration (“FHA”) loans, field services on Ocwen’s FHA, Veterans Affairs and United States Department of Agriculture loans, and title services on FHA and Veterans Affairs loans, subject to a process to confirm Altisource’s ability to meet reasonable performance requirements.</w:t>
      </w:r>
    </w:p>
    <w:p>
      <w:pPr>
        <w:spacing w:after="0" w:line="300"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Service revenue from our Origination business grew by 11% in 2021 to $58.0 million compared to 2020. The Lenders One cooperative that we manage increased membership by 13% in 2021 and launched several new products, including an on-line solution designed to make it easier for Lenders One members to order and receive solutions through a single point of entry and to automate loan manufacturing processes.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0"/>
          <w:szCs w:val="20"/>
          <w:u w:val="single" w:color="auto"/>
          <w:color w:val="auto"/>
        </w:rPr>
        <w:t>Culture and Community Support</w:t>
      </w:r>
    </w:p>
    <w:p>
      <w:pPr>
        <w:spacing w:after="0" w:line="109" w:lineRule="exact"/>
        <w:rPr>
          <w:sz w:val="20"/>
          <w:szCs w:val="20"/>
          <w:color w:val="auto"/>
        </w:rPr>
      </w:pPr>
    </w:p>
    <w:p>
      <w:pPr>
        <w:jc w:val="both"/>
        <w:ind w:left="1260" w:right="759"/>
        <w:spacing w:after="0" w:line="252" w:lineRule="auto"/>
        <w:rPr>
          <w:sz w:val="20"/>
          <w:szCs w:val="20"/>
          <w:color w:val="auto"/>
        </w:rPr>
      </w:pPr>
      <w:r>
        <w:rPr>
          <w:rFonts w:ascii="Arial" w:cs="Arial" w:eastAsia="Arial" w:hAnsi="Arial"/>
          <w:sz w:val="18"/>
          <w:szCs w:val="18"/>
          <w:color w:val="auto"/>
        </w:rPr>
        <w:t>We function by a set of core values communicated by management to our employees and available on our website. The following core values, which are regularly referenced in our employee communications, guide the conduct of Altisource and its employees:</w:t>
      </w:r>
    </w:p>
    <w:p>
      <w:pPr>
        <w:spacing w:after="0" w:line="61" w:lineRule="exact"/>
        <w:rPr>
          <w:sz w:val="20"/>
          <w:szCs w:val="20"/>
          <w:color w:val="auto"/>
        </w:rPr>
      </w:pPr>
    </w:p>
    <w:p>
      <w:pPr>
        <w:ind w:left="1800" w:right="639" w:hanging="187"/>
        <w:spacing w:after="0" w:line="262"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w:t>
      </w:r>
    </w:p>
    <w:p>
      <w:pPr>
        <w:spacing w:after="0" w:line="312" w:lineRule="exact"/>
        <w:rPr>
          <w:rFonts w:ascii="Arial" w:cs="Arial" w:eastAsia="Arial" w:hAnsi="Arial"/>
          <w:sz w:val="18"/>
          <w:szCs w:val="18"/>
          <w:color w:val="auto"/>
        </w:rPr>
      </w:pPr>
    </w:p>
    <w:p>
      <w:pPr>
        <w:ind w:left="1800" w:hanging="187"/>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 results</w:t>
      </w:r>
    </w:p>
    <w:p>
      <w:pPr>
        <w:spacing w:after="0" w:line="102" w:lineRule="exact"/>
        <w:rPr>
          <w:rFonts w:ascii="Arial" w:cs="Arial" w:eastAsia="Arial" w:hAnsi="Arial"/>
          <w:sz w:val="18"/>
          <w:szCs w:val="18"/>
          <w:color w:val="auto"/>
        </w:rPr>
      </w:pPr>
    </w:p>
    <w:p>
      <w:pPr>
        <w:ind w:left="1800" w:right="959" w:hanging="187"/>
        <w:spacing w:after="0" w:line="285"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achieve our mission and generate value for our customers</w:t>
      </w:r>
    </w:p>
    <w:p>
      <w:pPr>
        <w:spacing w:after="0" w:line="46" w:lineRule="exact"/>
        <w:rPr>
          <w:rFonts w:ascii="Arial" w:cs="Arial" w:eastAsia="Arial" w:hAnsi="Arial"/>
          <w:sz w:val="18"/>
          <w:szCs w:val="18"/>
          <w:color w:val="auto"/>
        </w:rPr>
      </w:pPr>
    </w:p>
    <w:p>
      <w:pPr>
        <w:ind w:left="1800" w:hanging="187"/>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15" w:lineRule="exact"/>
        <w:rPr>
          <w:rFonts w:ascii="Arial" w:cs="Arial" w:eastAsia="Arial" w:hAnsi="Arial"/>
          <w:sz w:val="18"/>
          <w:szCs w:val="18"/>
          <w:color w:val="auto"/>
        </w:rPr>
      </w:pPr>
    </w:p>
    <w:p>
      <w:pPr>
        <w:ind w:left="1800" w:right="519" w:hanging="187"/>
        <w:spacing w:after="0" w:line="285"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 win as</w:t>
      </w:r>
      <w:r>
        <w:rPr>
          <w:rFonts w:ascii="Arial" w:cs="Arial" w:eastAsia="Arial" w:hAnsi="Arial"/>
          <w:sz w:val="18"/>
          <w:szCs w:val="18"/>
          <w:b w:val="1"/>
          <w:bCs w:val="1"/>
          <w:color w:val="auto"/>
        </w:rPr>
        <w:t xml:space="preserve"> </w:t>
      </w:r>
      <w:r>
        <w:rPr>
          <w:rFonts w:ascii="Arial" w:cs="Arial" w:eastAsia="Arial" w:hAnsi="Arial"/>
          <w:sz w:val="18"/>
          <w:szCs w:val="18"/>
          <w:color w:val="auto"/>
        </w:rPr>
        <w:t>“One-Altisource”</w:t>
      </w:r>
    </w:p>
    <w:p>
      <w:pPr>
        <w:spacing w:after="0" w:line="46" w:lineRule="exact"/>
        <w:rPr>
          <w:rFonts w:ascii="Arial" w:cs="Arial" w:eastAsia="Arial" w:hAnsi="Arial"/>
          <w:sz w:val="18"/>
          <w:szCs w:val="18"/>
          <w:color w:val="auto"/>
        </w:rPr>
      </w:pPr>
    </w:p>
    <w:p>
      <w:pPr>
        <w:ind w:left="1800" w:right="639" w:hanging="187"/>
        <w:spacing w:after="0" w:line="262"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w:t>
      </w:r>
    </w:p>
    <w:p>
      <w:pPr>
        <w:spacing w:after="0" w:line="339" w:lineRule="exact"/>
        <w:rPr>
          <w:sz w:val="20"/>
          <w:szCs w:val="20"/>
          <w:color w:val="auto"/>
        </w:rPr>
      </w:pPr>
    </w:p>
    <w:p>
      <w:pPr>
        <w:ind w:left="1260" w:right="779"/>
        <w:spacing w:after="0" w:line="252" w:lineRule="auto"/>
        <w:rPr>
          <w:sz w:val="20"/>
          <w:szCs w:val="20"/>
          <w:color w:val="auto"/>
        </w:rPr>
      </w:pPr>
      <w:r>
        <w:rPr>
          <w:rFonts w:ascii="Arial" w:cs="Arial" w:eastAsia="Arial" w:hAnsi="Arial"/>
          <w:sz w:val="18"/>
          <w:szCs w:val="18"/>
          <w:color w:val="auto"/>
        </w:rPr>
        <w:t>While we continued to strive to create a positive impact in the communities where we live and serve, we adjusted our social and environmental engagement efforts in 2021 in response to the continued difficulties presented by the COVID-19 pandemic.</w:t>
      </w:r>
    </w:p>
    <w:p>
      <w:pPr>
        <w:sectPr>
          <w:pgSz w:w="11900" w:h="16838" w:orient="portrait"/>
          <w:cols w:equalWidth="0" w:num="1">
            <w:col w:w="9859"/>
          </w:cols>
          <w:pgMar w:left="600" w:top="97" w:right="1440" w:bottom="998" w:gutter="0" w:footer="0" w:header="0"/>
        </w:sect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998" w:gutter="0" w:footer="0" w:header="0"/>
          <w:type w:val="continuous"/>
        </w:sectPr>
      </w:pPr>
    </w:p>
    <w:bookmarkStart w:id="9" w:name="page10"/>
    <w:bookmarkEnd w:id="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800" w:right="599" w:hanging="187"/>
        <w:spacing w:after="0" w:line="25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United States, we undertook many successful community support initiatives, including our participation in the “Pledge to Safety” program created to implement additional safety measures to combat COVID-19; the “National Wreaths Across America,” supporting fallen veterans; and “Toys for Tots” and the Salvation Army “Angel Tree” programs which include donations and presents to children. In addition, we continued to provide funding and support to several charities, some of which are hosted by our valued clients. We donated to the Carrington Charitable Foundation which provides free air transportation to post-9/11 combat veterans and their families as well as to the Veterans Financial Services Advisory Council (VFSAC), which also supports veterans in their search for housing and critical services.</w:t>
      </w:r>
    </w:p>
    <w:p>
      <w:pPr>
        <w:spacing w:after="0" w:line="296" w:lineRule="exact"/>
        <w:rPr>
          <w:rFonts w:ascii="Arial" w:cs="Arial" w:eastAsia="Arial" w:hAnsi="Arial"/>
          <w:sz w:val="18"/>
          <w:szCs w:val="18"/>
          <w:color w:val="auto"/>
        </w:rPr>
      </w:pPr>
    </w:p>
    <w:p>
      <w:pPr>
        <w:ind w:left="1800" w:right="579" w:hanging="187"/>
        <w:spacing w:after="0" w:line="256"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India, we partnered with a leading non-profit organization, “Give India”, to provide ground level support and relief to fight against the COVID-19 pandemic. We donated funds to procure oxygen generating plants, medical equipment, and food. We also continued our partnerships with other non-governmental organizations such as Akshaya Patra to provide meals to underprivileged children and Kalike Trust to build sustainable processes to reduce infant mortality and improve mother and child health in rural Karnataka.</w:t>
      </w:r>
    </w:p>
    <w:p>
      <w:pPr>
        <w:spacing w:after="0" w:line="289" w:lineRule="exact"/>
        <w:rPr>
          <w:rFonts w:ascii="Arial" w:cs="Arial" w:eastAsia="Arial" w:hAnsi="Arial"/>
          <w:sz w:val="18"/>
          <w:szCs w:val="18"/>
          <w:color w:val="auto"/>
        </w:rPr>
      </w:pPr>
    </w:p>
    <w:p>
      <w:pPr>
        <w:ind w:left="1800" w:hanging="187"/>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Uruguay we provided food donations to soup kitchens.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Environment</w:t>
      </w:r>
    </w:p>
    <w:p>
      <w:pPr>
        <w:spacing w:after="0" w:line="156"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We recognize the scientific consensus that climate change is a reality and that human activities are responsible for increasing the concentration of heat-trapping gases in the atmosphere. We acknowledge that we have an impact on the environment through our operations and, in accordance with our Environmental Policy (available at http://www.altisource.com/environmental-policy), we are taking action to reduce such impact.</w:t>
      </w:r>
    </w:p>
    <w:p>
      <w:pPr>
        <w:spacing w:after="0" w:line="109"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During 2021, we reduced the square footage of our locations by 33% and continued with our efforts to reduce the use of paper, energy, and water. In addition, upon a recommendation from the Company’s Corporate Responsibility Management Committee, the Board established a target of reducing our greenhouse gas emissions by 25% compared to 2019, the last year we were fully operational in our offices.</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Arial" w:cs="Arial" w:eastAsia="Arial" w:hAnsi="Arial"/>
                <w:sz w:val="18"/>
                <w:szCs w:val="18"/>
                <w:color w:val="auto"/>
              </w:rPr>
              <w:t>Sustainability Report:</w:t>
            </w: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2"/>
        </w:trPr>
        <w:tc>
          <w:tcPr>
            <w:tcW w:w="48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r>
      <w:tr>
        <w:trPr>
          <w:trHeight w:val="195"/>
        </w:trPr>
        <w:tc>
          <w:tcPr>
            <w:tcW w:w="48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Facilities</w:t>
            </w:r>
          </w:p>
        </w:tc>
        <w:tc>
          <w:tcPr>
            <w:tcW w:w="2500" w:type="dxa"/>
            <w:vAlign w:val="bottom"/>
            <w:gridSpan w:val="2"/>
            <w:shd w:val="clear" w:color="auto" w:fill="CCEEFF"/>
          </w:tcPr>
          <w:p>
            <w:pPr>
              <w:jc w:val="center"/>
              <w:ind w:left="690"/>
              <w:spacing w:after="0" w:line="195" w:lineRule="exact"/>
              <w:rPr>
                <w:sz w:val="20"/>
                <w:szCs w:val="20"/>
                <w:color w:val="auto"/>
              </w:rPr>
            </w:pPr>
            <w:r>
              <w:rPr>
                <w:rFonts w:ascii="Arial" w:cs="Arial" w:eastAsia="Arial" w:hAnsi="Arial"/>
                <w:sz w:val="18"/>
                <w:szCs w:val="18"/>
                <w:b w:val="1"/>
                <w:bCs w:val="1"/>
                <w:color w:val="auto"/>
                <w:w w:val="99"/>
              </w:rPr>
              <w:t>% of Facilities</w:t>
            </w:r>
          </w:p>
        </w:tc>
        <w:tc>
          <w:tcPr>
            <w:tcW w:w="8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4880" w:type="dxa"/>
            <w:vAlign w:val="bottom"/>
          </w:tcPr>
          <w:p>
            <w:pPr>
              <w:spacing w:after="0" w:line="229" w:lineRule="exact"/>
              <w:rPr>
                <w:sz w:val="20"/>
                <w:szCs w:val="20"/>
                <w:color w:val="auto"/>
              </w:rPr>
            </w:pPr>
            <w:r>
              <w:rPr>
                <w:rFonts w:ascii="Arial" w:cs="Arial" w:eastAsia="Arial" w:hAnsi="Arial"/>
                <w:sz w:val="18"/>
                <w:szCs w:val="18"/>
                <w:color w:val="auto"/>
              </w:rPr>
              <w:t>Certified Facilities</w:t>
            </w:r>
            <w:r>
              <w:rPr>
                <w:rFonts w:ascii="Arial" w:cs="Arial" w:eastAsia="Arial" w:hAnsi="Arial"/>
                <w:sz w:val="23"/>
                <w:szCs w:val="23"/>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Low-Flow Plumbing</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67%</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w:t>
            </w: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Rainwater Harvesting</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11%</w:t>
            </w:r>
          </w:p>
        </w:tc>
        <w:tc>
          <w:tcPr>
            <w:tcW w:w="14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17%</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w:t>
            </w:r>
          </w:p>
        </w:tc>
      </w:tr>
      <w:tr>
        <w:trPr>
          <w:trHeight w:val="229"/>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Carbon Footprint/Greenhouse Gas (direct)</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210"/>
              <w:spacing w:after="0" w:line="229" w:lineRule="exact"/>
              <w:rPr>
                <w:sz w:val="20"/>
                <w:szCs w:val="20"/>
                <w:color w:val="auto"/>
              </w:rPr>
            </w:pPr>
            <w:r>
              <w:rPr>
                <w:rFonts w:ascii="Arial" w:cs="Arial" w:eastAsia="Arial" w:hAnsi="Arial"/>
                <w:sz w:val="18"/>
                <w:szCs w:val="18"/>
                <w:b w:val="1"/>
                <w:bCs w:val="1"/>
                <w:color w:val="auto"/>
                <w:w w:val="97"/>
              </w:rPr>
              <w:t>CO</w:t>
            </w:r>
            <w:r>
              <w:rPr>
                <w:rFonts w:ascii="Arial" w:cs="Arial" w:eastAsia="Arial" w:hAnsi="Arial"/>
                <w:sz w:val="23"/>
                <w:szCs w:val="23"/>
                <w:b w:val="1"/>
                <w:bCs w:val="1"/>
                <w:color w:val="auto"/>
                <w:w w:val="97"/>
                <w:vertAlign w:val="superscript"/>
              </w:rPr>
              <w:t>2</w:t>
            </w:r>
            <w:r>
              <w:rPr>
                <w:rFonts w:ascii="Arial" w:cs="Arial" w:eastAsia="Arial" w:hAnsi="Arial"/>
                <w:sz w:val="18"/>
                <w:szCs w:val="18"/>
                <w:b w:val="1"/>
                <w:bCs w:val="1"/>
                <w:color w:val="auto"/>
                <w:w w:val="97"/>
              </w:rPr>
              <w:t xml:space="preserve"> Emitted</w:t>
            </w:r>
          </w:p>
        </w:tc>
        <w:tc>
          <w:tcPr>
            <w:tcW w:w="8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Transport – Employee Commuting</w:t>
            </w:r>
          </w:p>
        </w:tc>
        <w:tc>
          <w:tcPr>
            <w:tcW w:w="10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3,765,000</w:t>
            </w:r>
          </w:p>
        </w:tc>
        <w:tc>
          <w:tcPr>
            <w:tcW w:w="14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1,494,000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304,000</w:t>
            </w:r>
          </w:p>
        </w:tc>
        <w:tc>
          <w:tcPr>
            <w:tcW w:w="160" w:type="dxa"/>
            <w:vAlign w:val="bottom"/>
          </w:tcPr>
          <w:p>
            <w:pPr>
              <w:spacing w:after="0"/>
              <w:rPr>
                <w:sz w:val="17"/>
                <w:szCs w:val="17"/>
                <w:color w:val="auto"/>
              </w:rPr>
            </w:pPr>
          </w:p>
        </w:tc>
      </w:tr>
      <w:tr>
        <w:trPr>
          <w:trHeight w:val="229"/>
        </w:trPr>
        <w:tc>
          <w:tcPr>
            <w:tcW w:w="488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Refrigeration and Air Conditioning</w:t>
            </w:r>
            <w:r>
              <w:rPr>
                <w:rFonts w:ascii="Arial" w:cs="Arial" w:eastAsia="Arial" w:hAnsi="Arial"/>
                <w:sz w:val="23"/>
                <w:szCs w:val="23"/>
                <w:color w:val="auto"/>
                <w:vertAlign w:val="superscript"/>
              </w:rPr>
              <w:t>(2)</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274,000</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160" w:type="dxa"/>
            <w:vAlign w:val="bottom"/>
          </w:tcPr>
          <w:p>
            <w:pPr>
              <w:spacing w:after="0"/>
              <w:rPr>
                <w:sz w:val="19"/>
                <w:szCs w:val="19"/>
                <w:color w:val="auto"/>
              </w:rPr>
            </w:pPr>
          </w:p>
        </w:tc>
      </w:tr>
      <w:tr>
        <w:trPr>
          <w:trHeight w:val="229"/>
        </w:trPr>
        <w:tc>
          <w:tcPr>
            <w:tcW w:w="4880" w:type="dxa"/>
            <w:vAlign w:val="bottom"/>
          </w:tcPr>
          <w:p>
            <w:pPr>
              <w:spacing w:after="0" w:line="229" w:lineRule="exact"/>
              <w:rPr>
                <w:sz w:val="20"/>
                <w:szCs w:val="20"/>
                <w:color w:val="auto"/>
              </w:rPr>
            </w:pPr>
            <w:r>
              <w:rPr>
                <w:rFonts w:ascii="Arial" w:cs="Arial" w:eastAsia="Arial" w:hAnsi="Arial"/>
                <w:sz w:val="18"/>
                <w:szCs w:val="18"/>
                <w:color w:val="auto"/>
              </w:rPr>
              <w:t>Fire Suppression</w:t>
            </w:r>
            <w:r>
              <w:rPr>
                <w:rFonts w:ascii="Arial" w:cs="Arial" w:eastAsia="Arial" w:hAnsi="Arial"/>
                <w:sz w:val="23"/>
                <w:szCs w:val="23"/>
                <w:color w:val="auto"/>
                <w:vertAlign w:val="superscript"/>
              </w:rPr>
              <w:t>(2)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5,000</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5,000</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r>
      <w:tr>
        <w:trPr>
          <w:trHeight w:val="202"/>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Business Travel</w:t>
            </w:r>
          </w:p>
        </w:tc>
        <w:tc>
          <w:tcPr>
            <w:tcW w:w="108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424,000</w:t>
            </w:r>
          </w:p>
        </w:tc>
        <w:tc>
          <w:tcPr>
            <w:tcW w:w="142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115,000</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54,000</w:t>
            </w:r>
          </w:p>
        </w:tc>
        <w:tc>
          <w:tcPr>
            <w:tcW w:w="160" w:type="dxa"/>
            <w:vAlign w:val="bottom"/>
          </w:tcPr>
          <w:p>
            <w:pPr>
              <w:spacing w:after="0"/>
              <w:rPr>
                <w:sz w:val="17"/>
                <w:szCs w:val="17"/>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b w:val="1"/>
                <w:bCs w:val="1"/>
                <w:color w:val="auto"/>
              </w:rPr>
              <w:t>Carbon Footprint/Greenhouse Gas (indirect)</w:t>
            </w:r>
          </w:p>
        </w:tc>
        <w:tc>
          <w:tcPr>
            <w:tcW w:w="2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rPr>
              <w:t>Units Consumed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Paper Cups (number)</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178,507</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26,640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Paper Sheets (number)</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1,508,190</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223,300</w:t>
            </w:r>
          </w:p>
        </w:tc>
        <w:tc>
          <w:tcPr>
            <w:tcW w:w="800" w:type="dxa"/>
            <w:vAlign w:val="bottom"/>
          </w:tcPr>
          <w:p>
            <w:pPr>
              <w:jc w:val="right"/>
              <w:spacing w:after="0"/>
              <w:rPr>
                <w:sz w:val="20"/>
                <w:szCs w:val="20"/>
                <w:color w:val="auto"/>
              </w:rPr>
            </w:pPr>
            <w:r>
              <w:rPr>
                <w:rFonts w:ascii="Arial" w:cs="Arial" w:eastAsia="Arial" w:hAnsi="Arial"/>
                <w:sz w:val="18"/>
                <w:szCs w:val="18"/>
                <w:color w:val="auto"/>
              </w:rPr>
              <w:t>70,280</w:t>
            </w:r>
          </w:p>
        </w:tc>
        <w:tc>
          <w:tcPr>
            <w:tcW w:w="16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Paper Towels (units)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40,388</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Power (kWh)</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5,542,196</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1,512,392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1,071,843</w:t>
            </w:r>
          </w:p>
        </w:tc>
        <w:tc>
          <w:tcPr>
            <w:tcW w:w="16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Water (liters)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27,921,888</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6,191,957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3,103,890</w:t>
            </w: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b w:val="1"/>
                <w:bCs w:val="1"/>
                <w:color w:val="auto"/>
              </w:rPr>
              <w:t>Recycle and Reduce</w:t>
            </w:r>
          </w:p>
        </w:tc>
        <w:tc>
          <w:tcPr>
            <w:tcW w:w="2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8"/>
              </w:rPr>
              <w:t>% Of Total Facilities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Plastic Recycling</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Paper Recycling</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Permanent Kitchenware</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46"/>
        </w:trPr>
        <w:tc>
          <w:tcPr>
            <w:tcW w:w="4880" w:type="dxa"/>
            <w:vAlign w:val="bottom"/>
          </w:tcPr>
          <w:p>
            <w:pPr>
              <w:spacing w:after="0"/>
              <w:rPr>
                <w:sz w:val="20"/>
                <w:szCs w:val="20"/>
                <w:color w:val="auto"/>
              </w:rPr>
            </w:pPr>
            <w:r>
              <w:rPr>
                <w:rFonts w:ascii="Arial" w:cs="Arial" w:eastAsia="Arial" w:hAnsi="Arial"/>
                <w:sz w:val="18"/>
                <w:szCs w:val="18"/>
                <w:color w:val="auto"/>
              </w:rPr>
              <w:t>E-Recycling</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-2470785</wp:posOffset>
            </wp:positionV>
            <wp:extent cx="519366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93665" cy="12827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-565785</wp:posOffset>
            </wp:positionV>
            <wp:extent cx="519366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93665" cy="13652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-292735</wp:posOffset>
            </wp:positionV>
            <wp:extent cx="5193665" cy="13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93665" cy="13652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-2752725</wp:posOffset>
            </wp:positionV>
            <wp:extent cx="239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39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-2752725</wp:posOffset>
            </wp:positionV>
            <wp:extent cx="39122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12235" cy="8255"/>
                    </a:xfrm>
                    <a:prstGeom prst="rect">
                      <a:avLst/>
                    </a:prstGeom>
                    <a:noFill/>
                  </pic:spPr>
                </pic:pic>
              </a:graphicData>
            </a:graphic>
          </wp:anchor>
        </w:drawing>
      </w:r>
    </w:p>
    <w:p>
      <w:pPr>
        <w:spacing w:after="0" w:line="24" w:lineRule="exact"/>
        <w:rPr>
          <w:sz w:val="20"/>
          <w:szCs w:val="20"/>
          <w:color w:val="auto"/>
        </w:rPr>
      </w:pPr>
    </w:p>
    <w:p>
      <w:pPr>
        <w:ind w:left="1620" w:right="819" w:hanging="365"/>
        <w:spacing w:after="0" w:line="210" w:lineRule="auto"/>
        <w:tabs>
          <w:tab w:leader="none" w:pos="16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Facilities which have obtained industry standard certifications such as BREEAM (the Building Research Establishment Environmental Assessment Method), LEED (Leadership in Energy and Environmental Design), ENERGY STAR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similar certifications demonstrating energy efficient practice.</w:t>
      </w:r>
    </w:p>
    <w:p>
      <w:pPr>
        <w:sectPr>
          <w:pgSz w:w="11900" w:h="16838" w:orient="portrait"/>
          <w:cols w:equalWidth="0" w:num="1">
            <w:col w:w="9859"/>
          </w:cols>
          <w:pgMar w:left="60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10" w:name="page11"/>
    <w:bookmarkEnd w:id="1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620" w:right="659" w:hanging="365"/>
        <w:spacing w:after="0" w:line="221" w:lineRule="auto"/>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Refrigeration, air conditioning and fire suppression use materials which contribute to greenhouse gas emissions. We will be identifying any possible opportunities to reduce our carbon footprint from these emissions.</w:t>
      </w:r>
    </w:p>
    <w:p>
      <w:pPr>
        <w:spacing w:after="0" w:line="127" w:lineRule="exact"/>
        <w:rPr>
          <w:sz w:val="20"/>
          <w:szCs w:val="20"/>
          <w:color w:val="auto"/>
        </w:rPr>
      </w:pPr>
    </w:p>
    <w:p>
      <w:pPr>
        <w:ind w:left="1260" w:right="1079"/>
        <w:spacing w:after="0" w:line="252" w:lineRule="auto"/>
        <w:rPr>
          <w:sz w:val="20"/>
          <w:szCs w:val="20"/>
          <w:color w:val="auto"/>
        </w:rPr>
      </w:pPr>
      <w:r>
        <w:rPr>
          <w:rFonts w:ascii="Arial" w:cs="Arial" w:eastAsia="Arial" w:hAnsi="Arial"/>
          <w:sz w:val="18"/>
          <w:szCs w:val="18"/>
          <w:color w:val="auto"/>
        </w:rPr>
        <w:t>In 2022 we intend to continue to assess our real estate portfolio, telecommuting and transport programs to evaluate ways to further reduce our impact on the environment, including by implementing and continuing to foster remote working arrangements.</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Human Rights</w:t>
      </w:r>
    </w:p>
    <w:p>
      <w:pPr>
        <w:spacing w:after="0" w:line="156"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 xml:space="preserve">We are committed to respect for human rights as described in our Human Rights Statement (available at </w:t>
      </w:r>
      <w:r>
        <w:rPr>
          <w:rFonts w:ascii="Arial" w:cs="Arial" w:eastAsia="Arial" w:hAnsi="Arial"/>
          <w:sz w:val="18"/>
          <w:szCs w:val="18"/>
          <w:u w:val="single" w:color="auto"/>
          <w:color w:val="auto"/>
        </w:rPr>
        <w:t>www.altisource.com/humanrights).</w:t>
      </w:r>
      <w:r>
        <w:rPr>
          <w:rFonts w:ascii="Arial" w:cs="Arial" w:eastAsia="Arial" w:hAnsi="Arial"/>
          <w:sz w:val="18"/>
          <w:szCs w:val="18"/>
          <w:color w:val="auto"/>
        </w:rPr>
        <w:t xml:space="preserve"> Among other things, this document reaffirms the Company’s commitment to respect all applicable legal rights of freedom of association and collective bargaining as applicable in the different locations where it operates, provide a safe and healthy workplace, foster socially responsible businesses in which women and minorities can participate on an equal basis, and adhere to applicable laws intended to promote human rights. Consistent with the principles set forth in our Code of Business Conduct and Ethics, and other policies and procedures, our Human Rights Statement prohibits forced labor and child labor.</w:t>
      </w:r>
    </w:p>
    <w:p>
      <w:pPr>
        <w:spacing w:after="0" w:line="308"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color w:val="auto"/>
        </w:rPr>
        <w:t>Our Vendor Code of Business Conduct and Ethics (available at https://www.altisource.com/vendorscodeofconduct), which is generally made a part of our vendor agreements, requires vendors to embed respect for human rights into their business operations and prohibits: (i) the employment of child labor; and (ii) the use of any compulsory, involuntary or forced labor, which includes slavery, forced contract, human trafficking and any other form of work that is done against a worker’s will.</w:t>
      </w:r>
    </w:p>
    <w:p>
      <w:pPr>
        <w:spacing w:after="0" w:line="9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In 2021, we began asking our vendors to confirm whether or not they have enterprise-level human rights policies or similar documents in place, and to confirm if such documents address the protection of women’s and minorities’ rights and prohibit the use of forced labor and child labor. Vendors without such a document in place are offered the option of accepting and committing to our Human Rights Statement.</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Workforce and Diversity</w:t>
      </w:r>
    </w:p>
    <w:p>
      <w:pPr>
        <w:spacing w:after="0" w:line="156"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Given the nature of our business, our global workforce consists of various diverse talent groups. The majority of our employees support our Servicer and Origination solutions businesses. We also have a significant number of technology employees developing and maintaining our technology-enabled solutions. As of December 31, 2021, we had 2,024 employees. In the United States, in addition to supporting operations, a number of our employees fill roles that require professional licenses and work in product, sales and marketing, and corporate functions. The India workforce primarily comprises the teams that support operations, technology, and corporate functions, while the Uruguay workforce supports several corporate functions. The executive management team is largely based out of Luxembourg, our headquarters.</w:t>
      </w:r>
    </w:p>
    <w:p>
      <w:pPr>
        <w:spacing w:after="0" w:line="290"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Our people practices aim to develop our workforce and retain high performers. We maintain various touchpoints along the employee life cycle to support our employees and improve their experiences. In 2021 we retained 68% of our workforce, which included the retention of 77% of employees deemed high performers. While this is lower than previous years, we believe that the drop in retention performance was primarily driven by strong external market conditions that increased demand for employees with similar skills. Our human resources team partnered with the businesses and support groups to implement a number of measures designed to support our employees, including regular touchpoints through town halls and team connects, survey tools to allow our workforce to provide feedback and several engagement activities that support keeping the employees ‘connected’ to the larger organization and build a sense of belongingness. We also introduced a renewed employee wellness calendar to support physical and mental well-being for our employees.</w:t>
      </w:r>
    </w:p>
    <w:p>
      <w:pPr>
        <w:spacing w:after="0" w:line="293" w:lineRule="exact"/>
        <w:rPr>
          <w:sz w:val="20"/>
          <w:szCs w:val="20"/>
          <w:color w:val="auto"/>
        </w:rPr>
      </w:pPr>
    </w:p>
    <w:p>
      <w:pPr>
        <w:ind w:left="1260" w:right="599"/>
        <w:spacing w:after="0" w:line="270" w:lineRule="auto"/>
        <w:rPr>
          <w:sz w:val="20"/>
          <w:szCs w:val="20"/>
          <w:color w:val="auto"/>
        </w:rPr>
      </w:pPr>
      <w:r>
        <w:rPr>
          <w:rFonts w:ascii="Arial" w:cs="Arial" w:eastAsia="Arial" w:hAnsi="Arial"/>
          <w:sz w:val="18"/>
          <w:szCs w:val="18"/>
          <w:color w:val="auto"/>
        </w:rPr>
        <w:t>Our employees largely continued to work remotely in 2021, except for certain limited teams and functions. We plan to remain a largely remote workforce in the future.</w:t>
      </w:r>
    </w:p>
    <w:p>
      <w:pPr>
        <w:spacing w:after="0" w:line="86"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We continued to emphasize employee development and training. Each of our employees on average undertook 40 hours of training in 2021, including a mix of functional, compliance and behavioral learning programs.</w:t>
      </w:r>
    </w:p>
    <w:p>
      <w:pPr>
        <w:spacing w:after="0" w:line="88" w:lineRule="exact"/>
        <w:rPr>
          <w:sz w:val="20"/>
          <w:szCs w:val="20"/>
          <w:color w:val="auto"/>
        </w:rPr>
      </w:pPr>
    </w:p>
    <w:p>
      <w:pPr>
        <w:ind w:left="1260" w:right="619"/>
        <w:spacing w:after="0" w:line="270" w:lineRule="auto"/>
        <w:rPr>
          <w:sz w:val="20"/>
          <w:szCs w:val="20"/>
          <w:color w:val="auto"/>
        </w:rPr>
      </w:pPr>
      <w:r>
        <w:rPr>
          <w:rFonts w:ascii="Arial" w:cs="Arial" w:eastAsia="Arial" w:hAnsi="Arial"/>
          <w:sz w:val="18"/>
          <w:szCs w:val="18"/>
          <w:color w:val="auto"/>
        </w:rPr>
        <w:t>We regularly conduct employee talent reviews and succession planning exercises that help us identify and develop key talent and appropriate succession plans.</w:t>
      </w:r>
    </w:p>
    <w:p>
      <w:pPr>
        <w:sectPr>
          <w:pgSz w:w="11900" w:h="16838" w:orient="portrait"/>
          <w:cols w:equalWidth="0" w:num="1">
            <w:col w:w="9859"/>
          </w:cols>
          <w:pgMar w:left="60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11" w:name="page12"/>
    <w:bookmarkEnd w:id="1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260" w:right="1579"/>
        <w:spacing w:after="0" w:line="285" w:lineRule="auto"/>
        <w:rPr>
          <w:sz w:val="20"/>
          <w:szCs w:val="20"/>
          <w:color w:val="auto"/>
        </w:rPr>
      </w:pPr>
      <w:r>
        <w:rPr>
          <w:rFonts w:ascii="Arial" w:cs="Arial" w:eastAsia="Arial" w:hAnsi="Arial"/>
          <w:sz w:val="18"/>
          <w:szCs w:val="18"/>
          <w:color w:val="auto"/>
        </w:rPr>
        <w:t>Our overall percentage of female employees has increased during the last three consecutive years.</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Gender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128270</wp:posOffset>
            </wp:positionV>
            <wp:extent cx="5151120" cy="2707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5112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We believe that our globally diverse, inclusive, and collaborative workforce makes us a more innovative and creative company. We are an equal opportunity employer and our policies prohibit unlawful discrimination or harassment of any kind, including on the basis of race, color, creed, religion, national origin, ancestry, citizen status, age, sex or gender (including pregnancy, childbirth, or related medical conditions), gender identity or expression (including transgender status), sexual orientation, genetic information, physical or mental disability, marital status, military service and veteran status or any other characteristic protected by applicable law. At Altisource, everyone is valued and appreciated for their distinct contributions to the growth and sustainability of our business. The same principles are included in our Vendor Code of Business Conduct and Ethics.</w:t>
      </w:r>
    </w:p>
    <w:p>
      <w:pPr>
        <w:spacing w:after="0" w:line="337"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color w:val="auto"/>
        </w:rPr>
        <w:t>54% of our workforce in the United States, and 42% of our workforce in Luxembourg, self-identify as members of ethnic minority groups.</w:t>
      </w:r>
    </w:p>
    <w:p>
      <w:pPr>
        <w:spacing w:after="0" w:line="87" w:lineRule="exact"/>
        <w:rPr>
          <w:sz w:val="20"/>
          <w:szCs w:val="20"/>
          <w:color w:val="auto"/>
        </w:rPr>
      </w:pPr>
    </w:p>
    <w:p>
      <w:pPr>
        <w:jc w:val="both"/>
        <w:ind w:left="1260" w:right="779"/>
        <w:spacing w:after="0" w:line="267" w:lineRule="auto"/>
        <w:rPr>
          <w:sz w:val="20"/>
          <w:szCs w:val="20"/>
          <w:color w:val="auto"/>
        </w:rPr>
      </w:pPr>
      <w:r>
        <w:rPr>
          <w:rFonts w:ascii="Arial" w:cs="Arial" w:eastAsia="Arial" w:hAnsi="Arial"/>
          <w:sz w:val="18"/>
          <w:szCs w:val="18"/>
          <w:color w:val="auto"/>
        </w:rPr>
        <w:t>We value diversity among our supply chain, the overall percentage of minority, LGBTQ+, disabled and veteran owned businesses that provide services to the Company has grown steadily over the past three years.</w:t>
      </w:r>
    </w:p>
    <w:p>
      <w:pPr>
        <w:spacing w:after="0" w:line="89"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As highlighted in our Human Rights Statement, employee health and well-being is critical to us. We did not receive any formal employee complaints regarding health and safety during 2021, and to the best of our knowledge, we have not experienced any work-related accidents during the last two years.</w:t>
      </w:r>
    </w:p>
    <w:p>
      <w:pPr>
        <w:spacing w:after="0" w:line="109"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As part of our support to our workforce in relation to the COVID- 19 pandemic, we ensure our employees in the United States and India have access to health benefits to help address medical costs related to the treatment of COVID-19. Our employees in Luxembourg and Uruguay are covered by their local applicable social security or health programs. To help provide a safe working environment for our employees working from our facilities in the United States, we continued and revised safety measures in line with guidance from the United States Centers for Disease Control (CDC) and state and local health departments, as applicable. For our employees who continue to work from our facilities in India, we established safety measures based on the guidelines provided by the regulatory bodies of the central and state governments and the local municipal corporations. We also hosted vaccination events in India, supporting our employees and their families in obtaining their COVID-19 vaccinations.</w:t>
      </w:r>
    </w:p>
    <w:p>
      <w:pPr>
        <w:spacing w:after="0" w:line="340"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As a result of the extension and expansion of the national foreclosure and eviction moratoriums, and the anticipated continued impact to our Default related business, we made the difficult decision to reduce our global workforce in the first two quarters of 2021. There were also adjustments in the workforce for the</w:t>
      </w:r>
    </w:p>
    <w:p>
      <w:pPr>
        <w:sectPr>
          <w:pgSz w:w="11900" w:h="16838" w:orient="portrait"/>
          <w:cols w:equalWidth="0" w:num="1">
            <w:col w:w="9859"/>
          </w:cols>
          <w:pgMar w:left="600" w:top="97" w:right="1440" w:bottom="768" w:gutter="0" w:footer="0" w:header="0"/>
        </w:sect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266700</wp:posOffset>
            </wp:positionV>
            <wp:extent cx="679958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768" w:gutter="0" w:footer="0" w:header="0"/>
          <w:type w:val="continuous"/>
        </w:sectPr>
      </w:pPr>
    </w:p>
    <w:bookmarkStart w:id="12" w:name="page13"/>
    <w:bookmarkEnd w:id="1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260" w:right="1199"/>
        <w:spacing w:after="0" w:line="285" w:lineRule="auto"/>
        <w:rPr>
          <w:sz w:val="20"/>
          <w:szCs w:val="20"/>
          <w:color w:val="auto"/>
        </w:rPr>
      </w:pPr>
      <w:r>
        <w:rPr>
          <w:rFonts w:ascii="Arial" w:cs="Arial" w:eastAsia="Arial" w:hAnsi="Arial"/>
          <w:sz w:val="18"/>
          <w:szCs w:val="18"/>
          <w:color w:val="auto"/>
        </w:rPr>
        <w:t>Origination business to better align our staffing levels to our operating model. These initiatives impacted approximately 10% of our global workforce during the year.</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Shareholder Engagement</w:t>
      </w:r>
    </w:p>
    <w:p>
      <w:pPr>
        <w:spacing w:after="0" w:line="143"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We seek to engage with our shareholders and analysts through our quarterly earnings calls, which typically follow our quarterly financial filings with the Securities and Exchange Commission (“SEC”). Additionally, during 2021, we periodically met with analysts and shareholders. We met with shareholders that collectively represent an estimated 65% of our outstanding shares, to discuss a variety of Company matters including strategy, business performance and operations, compensation practices, Board diversity and capital structure.</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56"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Our Board of Directors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Board diversity continued to be an area of focus during 2021. Our Board and Nomination/Governance Committee addressed this subject at several meetings during the course of the year and undertook efforts to recruit diverse director candidates with relevant experience. In March 2022, the Board appointed Mary C. Hickok to fill the vacant director position created by the resignation of Scott Burg from our Board.</w:t>
      </w:r>
    </w:p>
    <w:p>
      <w:pPr>
        <w:spacing w:after="0" w:line="319" w:lineRule="exact"/>
        <w:rPr>
          <w:sz w:val="20"/>
          <w:szCs w:val="20"/>
          <w:color w:val="auto"/>
        </w:rPr>
      </w:pPr>
    </w:p>
    <w:p>
      <w:pPr>
        <w:ind w:left="1260" w:right="719"/>
        <w:spacing w:after="0" w:line="262" w:lineRule="auto"/>
        <w:rPr>
          <w:sz w:val="20"/>
          <w:szCs w:val="20"/>
          <w:color w:val="auto"/>
        </w:rPr>
      </w:pPr>
      <w:r>
        <w:rPr>
          <w:rFonts w:ascii="Arial" w:cs="Arial" w:eastAsia="Arial" w:hAnsi="Arial"/>
          <w:sz w:val="18"/>
          <w:szCs w:val="18"/>
          <w:color w:val="auto"/>
        </w:rPr>
        <w:t>All of our current directors have been nominated by the Board for reelection at the Annual Meeting.</w:t>
      </w: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Board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128270</wp:posOffset>
            </wp:positionV>
            <wp:extent cx="4142740" cy="1546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42740" cy="154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60" w:right="879"/>
        <w:spacing w:after="0" w:line="285" w:lineRule="auto"/>
        <w:rPr>
          <w:sz w:val="20"/>
          <w:szCs w:val="20"/>
          <w:color w:val="auto"/>
        </w:rPr>
      </w:pPr>
      <w:r>
        <w:rPr>
          <w:rFonts w:ascii="Arial" w:cs="Arial" w:eastAsia="Arial" w:hAnsi="Arial"/>
          <w:sz w:val="18"/>
          <w:szCs w:val="18"/>
          <w:color w:val="auto"/>
        </w:rPr>
        <w:t>Our Board also believes that having directors with a mix of tenure helps to maintain and leverage institutional knowledge while providing different experiences and perspectives.</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13" w:name="page14"/>
    <w:bookmarkEnd w:id="1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599"/>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tenure,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136525</wp:posOffset>
            </wp:positionV>
            <wp:extent cx="2835910" cy="1947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35910" cy="194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56" w:lineRule="exact"/>
        <w:rPr>
          <w:sz w:val="20"/>
          <w:szCs w:val="20"/>
          <w:color w:val="auto"/>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election of directors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Majority of independent directors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Active shareholder engagement</w:t>
      </w:r>
    </w:p>
    <w:p>
      <w:pPr>
        <w:spacing w:after="0" w:line="156" w:lineRule="exact"/>
        <w:rPr>
          <w:rFonts w:ascii="MS PGothic" w:cs="MS PGothic" w:eastAsia="MS PGothic" w:hAnsi="MS PGothic"/>
          <w:sz w:val="18"/>
          <w:szCs w:val="18"/>
          <w:color w:val="auto"/>
          <w:highlight w:val="black"/>
        </w:rPr>
      </w:pPr>
    </w:p>
    <w:p>
      <w:pPr>
        <w:ind w:left="1980" w:right="859" w:hanging="367"/>
        <w:spacing w:after="0" w:line="285"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Shareholder meetings can be called by shareholders owning at least 10% of our share capital</w:t>
      </w:r>
    </w:p>
    <w:p>
      <w:pPr>
        <w:spacing w:after="0" w:line="86" w:lineRule="exact"/>
        <w:rPr>
          <w:rFonts w:ascii="MS PGothic" w:cs="MS PGothic" w:eastAsia="MS PGothic" w:hAnsi="MS PGothic"/>
          <w:sz w:val="18"/>
          <w:szCs w:val="18"/>
          <w:color w:val="auto"/>
          <w:highlight w:val="black"/>
        </w:rPr>
      </w:pPr>
    </w:p>
    <w:p>
      <w:pPr>
        <w:ind w:left="1980" w:right="1219" w:hanging="367"/>
        <w:spacing w:after="0" w:line="285"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Share ownership requirements for non-management Directors and the Chief Executive Officer</w:t>
      </w:r>
    </w:p>
    <w:p>
      <w:pPr>
        <w:spacing w:after="0" w:line="8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Board and Committee self-evaluations</w:t>
      </w:r>
    </w:p>
    <w:p>
      <w:pPr>
        <w:spacing w:after="0" w:line="156" w:lineRule="exact"/>
        <w:rPr>
          <w:rFonts w:ascii="MS PGothic" w:cs="MS PGothic" w:eastAsia="MS PGothic" w:hAnsi="MS PGothic"/>
          <w:sz w:val="18"/>
          <w:szCs w:val="18"/>
          <w:color w:val="auto"/>
          <w:highlight w:val="black"/>
        </w:rPr>
      </w:pPr>
    </w:p>
    <w:p>
      <w:pPr>
        <w:ind w:left="1980" w:right="1439" w:hanging="367"/>
        <w:spacing w:after="0" w:line="285"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Lead Independent Director role facilitates independent Board oversight of management</w:t>
      </w:r>
    </w:p>
    <w:p>
      <w:pPr>
        <w:spacing w:after="0" w:line="8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independent directors</w:t>
      </w:r>
    </w:p>
    <w:p>
      <w:pPr>
        <w:spacing w:after="0" w:line="156" w:lineRule="exact"/>
        <w:rPr>
          <w:rFonts w:ascii="MS PGothic" w:cs="MS PGothic" w:eastAsia="MS PGothic" w:hAnsi="MS PGothic"/>
          <w:sz w:val="18"/>
          <w:szCs w:val="18"/>
          <w:color w:val="auto"/>
          <w:highlight w:val="black"/>
        </w:rPr>
      </w:pPr>
    </w:p>
    <w:p>
      <w:pPr>
        <w:ind w:left="1980" w:right="759" w:hanging="367"/>
        <w:spacing w:after="0" w:line="285"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internal auditor</w:t>
      </w:r>
    </w:p>
    <w:p>
      <w:pPr>
        <w:spacing w:after="0" w:line="86" w:lineRule="exact"/>
        <w:rPr>
          <w:rFonts w:ascii="MS PGothic" w:cs="MS PGothic" w:eastAsia="MS PGothic" w:hAnsi="MS PGothic"/>
          <w:sz w:val="18"/>
          <w:szCs w:val="18"/>
          <w:color w:val="auto"/>
          <w:highlight w:val="black"/>
        </w:rPr>
      </w:pPr>
    </w:p>
    <w:p>
      <w:pPr>
        <w:ind w:left="1980" w:right="759" w:hanging="367"/>
        <w:spacing w:after="0" w:line="285"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external auditor</w:t>
      </w:r>
    </w:p>
    <w:p>
      <w:pPr>
        <w:spacing w:after="0" w:line="100"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strategic objectives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evaluation the Chief Executive Officer’s performance</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long-term succession planning for executives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oversees financial performance and risk management and controls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No shareholder rights plan (“poison pill”)</w:t>
      </w:r>
    </w:p>
    <w:p>
      <w:pPr>
        <w:spacing w:after="0" w:line="156" w:lineRule="exact"/>
        <w:rPr>
          <w:rFonts w:ascii="MS PGothic" w:cs="MS PGothic" w:eastAsia="MS PGothic" w:hAnsi="MS PGothic"/>
          <w:sz w:val="18"/>
          <w:szCs w:val="18"/>
          <w:color w:val="auto"/>
          <w:highlight w:val="black"/>
        </w:rPr>
      </w:pPr>
    </w:p>
    <w:p>
      <w:pPr>
        <w:ind w:left="1260" w:right="1459" w:firstLine="353"/>
        <w:spacing w:after="0" w:line="397" w:lineRule="auto"/>
        <w:tabs>
          <w:tab w:leader="none" w:pos="1977"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Board involved in corporate social responsibility and sustainability efforts </w:t>
      </w:r>
      <w:r>
        <w:rPr>
          <w:rFonts w:ascii="Arial" w:cs="Arial" w:eastAsia="Arial" w:hAnsi="Arial"/>
          <w:sz w:val="18"/>
          <w:szCs w:val="18"/>
          <w:u w:val="single" w:color="auto"/>
          <w:color w:val="auto"/>
        </w:rPr>
        <w:t>Executive Compensation Highlights</w:t>
      </w:r>
    </w:p>
    <w:p>
      <w:pPr>
        <w:spacing w:after="0" w:line="28"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Alignment of executive compensation with the interests of our shareholders</w:t>
      </w:r>
    </w:p>
    <w:p>
      <w:pPr>
        <w:spacing w:after="0" w:line="156" w:lineRule="exact"/>
        <w:rPr>
          <w:rFonts w:ascii="MS PGothic" w:cs="MS PGothic" w:eastAsia="MS PGothic" w:hAnsi="MS PGothic"/>
          <w:sz w:val="18"/>
          <w:szCs w:val="18"/>
          <w:color w:val="auto"/>
          <w:highlight w:val="black"/>
        </w:rPr>
      </w:pPr>
    </w:p>
    <w:p>
      <w:pPr>
        <w:ind w:left="1980" w:right="679" w:hanging="367"/>
        <w:spacing w:after="0" w:line="285"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opportunity for shareholders to provide feedback through an advisory Say-on-Pay vote on executive compensation</w:t>
      </w:r>
    </w:p>
    <w:p>
      <w:pPr>
        <w:spacing w:after="0" w:line="8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Based on a pay-for-performance philosophy</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Maintains a clawback policy</w:t>
      </w:r>
    </w:p>
    <w:p>
      <w:pPr>
        <w:sectPr>
          <w:pgSz w:w="11900" w:h="16838" w:orient="portrait"/>
          <w:cols w:equalWidth="0" w:num="1">
            <w:col w:w="9859"/>
          </w:cols>
          <w:pgMar w:left="600" w:top="97"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14" w:name="page15"/>
    <w:bookmarkEnd w:id="1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294640</wp:posOffset>
            </wp:positionV>
            <wp:extent cx="1084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282" w:lineRule="exact"/>
        <w:rPr>
          <w:sz w:val="20"/>
          <w:szCs w:val="20"/>
          <w:color w:val="auto"/>
        </w:rPr>
      </w:pPr>
    </w:p>
    <w:p>
      <w:pPr>
        <w:ind w:left="1980" w:right="839" w:hanging="367"/>
        <w:spacing w:after="0" w:line="285"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More than 50% of the named executive officers’ target compensation is linked to individual and Company performance metrics</w:t>
      </w:r>
    </w:p>
    <w:p>
      <w:pPr>
        <w:spacing w:after="0" w:line="86" w:lineRule="exact"/>
        <w:rPr>
          <w:rFonts w:ascii="MS PGothic" w:cs="MS PGothic" w:eastAsia="MS PGothic" w:hAnsi="MS PGothic"/>
          <w:sz w:val="18"/>
          <w:szCs w:val="18"/>
          <w:color w:val="auto"/>
          <w:highlight w:val="black"/>
        </w:rPr>
      </w:pPr>
    </w:p>
    <w:p>
      <w:pPr>
        <w:ind w:left="1980" w:right="599" w:hanging="367"/>
        <w:spacing w:after="0" w:line="285"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 substantial portion of the named executive officers’ target compensation is in the form of long-term equity awards</w:t>
      </w:r>
    </w:p>
    <w:p>
      <w:pPr>
        <w:spacing w:after="0" w:line="73" w:lineRule="exact"/>
        <w:rPr>
          <w:rFonts w:ascii="MS PGothic" w:cs="MS PGothic" w:eastAsia="MS PGothic" w:hAnsi="MS PGothic"/>
          <w:sz w:val="18"/>
          <w:szCs w:val="18"/>
          <w:color w:val="auto"/>
          <w:highlight w:val="black"/>
        </w:rPr>
      </w:pPr>
    </w:p>
    <w:p>
      <w:pPr>
        <w:ind w:left="1980" w:right="559" w:hanging="367"/>
        <w:spacing w:after="0" w:line="285"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annual incentive compensation is based on performance against a scorecard with defined goals</w:t>
      </w:r>
    </w:p>
    <w:p>
      <w:pPr>
        <w:spacing w:after="0" w:line="86" w:lineRule="exact"/>
        <w:rPr>
          <w:rFonts w:ascii="MS PGothic" w:cs="MS PGothic" w:eastAsia="MS PGothic" w:hAnsi="MS PGothic"/>
          <w:sz w:val="18"/>
          <w:szCs w:val="18"/>
          <w:color w:val="auto"/>
          <w:highlight w:val="black"/>
        </w:rPr>
      </w:pPr>
    </w:p>
    <w:p>
      <w:pPr>
        <w:ind w:left="1980" w:right="1379" w:hanging="367"/>
        <w:spacing w:after="0" w:line="285"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86" w:lineRule="exact"/>
        <w:rPr>
          <w:rFonts w:ascii="MS PGothic" w:cs="MS PGothic" w:eastAsia="MS PGothic" w:hAnsi="MS PGothic"/>
          <w:sz w:val="18"/>
          <w:szCs w:val="18"/>
          <w:color w:val="auto"/>
          <w:highlight w:val="black"/>
        </w:rPr>
      </w:pPr>
    </w:p>
    <w:p>
      <w:pPr>
        <w:ind w:left="1980" w:right="659" w:hanging="367"/>
        <w:spacing w:after="0" w:line="262"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Includes components based on Company and stock performance over a multi-year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15" w:name="page16"/>
    <w:bookmarkEnd w:id="1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Altisource Portfolio Solutions S.A. Joint Proxy Statement</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Annual Meeting of Shareholders and Extraordinary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22860</wp:posOffset>
            </wp:positionV>
            <wp:extent cx="51936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General Information</w:t>
      </w:r>
    </w:p>
    <w:p>
      <w:pPr>
        <w:spacing w:after="0" w:line="11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have made this joint proxy statement available to you on or about April 4, 2022 as a holder of common stock of Altisource Portfolio Solutions S.A. (“Altisource” or the “Company”) because our Board of Directors is soliciting your proxy to be used at our Annual Meeting and our Extraordinary Meeting, and any adjournment or postponement thereof. The Annual Meeting will be held on Tuesday, May 17, 2022, at 9:00 a.m. Central European Time for the purposes listed in the Notice of Annual Meeting of Shareholders. The Extraordinary Meeting will be held on the same day at 9:30 a.m. Central European Time for the purposes listed in the Notice of Extraordinary Meeting of Shareholders. Both meetings will be held at our registered office located at 33, Boulevard Prince Henri, L-1724 Luxembourg City, Grand Duchy of Luxembourg.</w:t>
      </w:r>
    </w:p>
    <w:p>
      <w:pPr>
        <w:spacing w:after="0" w:line="39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111"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meetings and save costs. On April 4, 2022,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320"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Shareholders of record will receive a paper copy of the proxy materials for the Annual Meeting and the Extraordinary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Who May Vote</w:t>
      </w:r>
    </w:p>
    <w:p>
      <w:pPr>
        <w:spacing w:after="0" w:line="111"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You are entitled to vote at the Annual Meeting and the Extraordinary Meeting, and any adjournment or postponement thereof, if you were a holder of our common stock at the close of business on March 25, 2022. At the close of business on March 25, 2022, there were 16,057,359 shares of common stock issued, outstanding and able to be voted, and there was no other class of equity securities outstanding. Each share of our common stock is entitled to one (1) vote at the Annual Meeting and one (1) vote at the Extraordinary Meeting on all matters properly presented for a vote at such meetings.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Voting Procedures</w:t>
      </w:r>
    </w:p>
    <w:p>
      <w:pPr>
        <w:spacing w:after="0" w:line="111" w:lineRule="exact"/>
        <w:rPr>
          <w:sz w:val="20"/>
          <w:szCs w:val="20"/>
          <w:color w:val="auto"/>
        </w:rPr>
      </w:pPr>
    </w:p>
    <w:p>
      <w:pPr>
        <w:jc w:val="both"/>
        <w:ind w:left="1260" w:right="739"/>
        <w:spacing w:after="0" w:line="267"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American Stock Transfer &amp; Trust Company, LLC, you may vote by one of the following options: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the Annual Meeting</w:t>
      </w:r>
    </w:p>
    <w:p>
      <w:pPr>
        <w:spacing w:after="0" w:line="116" w:lineRule="exact"/>
        <w:rPr>
          <w:sz w:val="20"/>
          <w:szCs w:val="20"/>
          <w:color w:val="auto"/>
        </w:rPr>
      </w:pPr>
    </w:p>
    <w:p>
      <w:pPr>
        <w:ind w:left="1800" w:right="679" w:hanging="187"/>
        <w:spacing w:after="0" w:line="285"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by following the instructions on your proxy card or the instructions that you received by email; or</w:t>
      </w:r>
    </w:p>
    <w:p>
      <w:pPr>
        <w:spacing w:after="0" w:line="46" w:lineRule="exact"/>
        <w:rPr>
          <w:rFonts w:ascii="Arial" w:cs="Arial" w:eastAsia="Arial" w:hAnsi="Arial"/>
          <w:sz w:val="18"/>
          <w:szCs w:val="18"/>
          <w:color w:val="auto"/>
        </w:rPr>
      </w:pPr>
    </w:p>
    <w:p>
      <w:pPr>
        <w:ind w:left="1800" w:hanging="187"/>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the Extraordinary Meeting</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By completing, dating, signing and returning the proxy card by mail.</w:t>
      </w:r>
    </w:p>
    <w:p>
      <w:pPr>
        <w:spacing w:after="0" w:line="143" w:lineRule="exact"/>
        <w:rPr>
          <w:sz w:val="20"/>
          <w:szCs w:val="20"/>
          <w:color w:val="auto"/>
        </w:rPr>
      </w:pPr>
    </w:p>
    <w:p>
      <w:pPr>
        <w:ind w:left="1260" w:right="719"/>
        <w:spacing w:after="0" w:line="267"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ectPr>
          <w:pgSz w:w="11900" w:h="16838" w:orient="portrait"/>
          <w:cols w:equalWidth="0" w:num="1">
            <w:col w:w="9859"/>
          </w:cols>
          <w:pgMar w:left="600" w:top="97" w:right="1440" w:bottom="1160" w:gutter="0" w:footer="0" w:header="0"/>
        </w:sect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160" w:gutter="0" w:footer="0" w:header="0"/>
          <w:type w:val="continuous"/>
        </w:sectPr>
      </w:pPr>
    </w:p>
    <w:bookmarkStart w:id="16" w:name="page17"/>
    <w:bookmarkEnd w:id="1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1019"/>
        <w:spacing w:after="0" w:line="262" w:lineRule="auto"/>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3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you vote over the Internet, your vote must be received by Altisource no later than</w:t>
      </w:r>
    </w:p>
    <w:p>
      <w:pPr>
        <w:spacing w:after="0" w:line="13"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9:59 p.m. Central European Time (3:59 p.m. Eastern Time) on May 16, 2022 in order to allow sufficient time to tabulate the votes prior to the start of the meetings.</w:t>
      </w:r>
    </w:p>
    <w:p>
      <w:pPr>
        <w:spacing w:after="0" w:line="104"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Shareholders may also vote in person at the meetings. All shareholders must present proof of share ownership as of the record date and valid government-issued photo identification to vote in person at the meetings. If your shares are held by a bank or broker, you must also obtain and present a “legal proxy” from the holder of record to vote at the meetings. For specific instructions, please refer to the proxy card, notice or email notification you receive.</w:t>
      </w:r>
    </w:p>
    <w:p>
      <w:pPr>
        <w:spacing w:after="0" w:line="172" w:lineRule="exact"/>
        <w:rPr>
          <w:sz w:val="20"/>
          <w:szCs w:val="20"/>
          <w:color w:val="auto"/>
        </w:rPr>
      </w:pPr>
    </w:p>
    <w:p>
      <w:pPr>
        <w:jc w:val="both"/>
        <w:ind w:left="1260" w:right="659"/>
        <w:spacing w:after="0" w:line="245" w:lineRule="auto"/>
        <w:rPr>
          <w:sz w:val="20"/>
          <w:szCs w:val="20"/>
          <w:color w:val="auto"/>
        </w:rPr>
      </w:pPr>
      <w:r>
        <w:rPr>
          <w:rFonts w:ascii="Arial" w:cs="Arial" w:eastAsia="Arial" w:hAnsi="Arial"/>
          <w:sz w:val="20"/>
          <w:szCs w:val="20"/>
          <w:b w:val="1"/>
          <w:bCs w:val="1"/>
          <w:color w:val="auto"/>
        </w:rPr>
        <w:t>Even if you plan to attend the meetings, we recommend that you vote your shares in advance of the meetings in one of the manners available to you so that your vote will be counted if later you are unable to attend or are limited to remote attendance.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a Proxy Works</w:t>
      </w:r>
    </w:p>
    <w:p>
      <w:pPr>
        <w:spacing w:after="0" w:line="111"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joint proxy statement and “FOR” each of the other proposals identified in the agenda for the Annual Meeting; each proxy received for the Extraordinary Meeting will be voted “FOR” the proposals identified in the agenda for the Extraordinary Meeting; and, with regard to any other business that properly comes before either meeting, each proxy will be voted in accordance with the discretion of the persons appointed as proxies.</w:t>
      </w:r>
    </w:p>
    <w:p>
      <w:pPr>
        <w:spacing w:after="0" w:line="30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Only our proposal related to the appointment of our independent registered certified public accounting firm is routine; all other proposals are expected to be “non-routine” proposals. Therefore, if you do not instruct your bank or broker how to vote your shares with respect to non-routine proposals, your shares will not be voted on the non-routine proposals.</w:t>
      </w: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to Revoke a Proxy</w:t>
      </w:r>
    </w:p>
    <w:p>
      <w:pPr>
        <w:spacing w:after="0" w:line="11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Your proxy may be used only at the relevant meetings and any adjournment or postponement thereof, and may not be used for any other meeting. You have the power to revoke your proxy at any time before it is exercised by:</w:t>
      </w:r>
    </w:p>
    <w:p>
      <w:pPr>
        <w:spacing w:after="0" w:line="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5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Gregory J. Ritts, Corporate Secretary</w:t>
      </w:r>
    </w:p>
    <w:p>
      <w:pPr>
        <w:spacing w:after="0" w:line="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Altisource Portfolio Solutions S.A.</w:t>
      </w:r>
    </w:p>
    <w:p>
      <w:pPr>
        <w:ind w:left="2340"/>
        <w:spacing w:after="0" w:line="233" w:lineRule="auto"/>
        <w:rPr>
          <w:sz w:val="20"/>
          <w:szCs w:val="20"/>
          <w:color w:val="auto"/>
        </w:rPr>
      </w:pPr>
      <w:r>
        <w:rPr>
          <w:rFonts w:ascii="Arial" w:cs="Arial" w:eastAsia="Arial" w:hAnsi="Arial"/>
          <w:sz w:val="18"/>
          <w:szCs w:val="18"/>
          <w:color w:val="auto"/>
        </w:rPr>
        <w:t>33, Boulevard Prince Henri</w:t>
      </w:r>
    </w:p>
    <w:p>
      <w:pPr>
        <w:ind w:left="2340"/>
        <w:spacing w:after="0" w:line="234"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Duchy of Luxembourg;</w:t>
      </w:r>
    </w:p>
    <w:p>
      <w:pPr>
        <w:spacing w:after="0" w:line="84" w:lineRule="exact"/>
        <w:rPr>
          <w:sz w:val="20"/>
          <w:szCs w:val="20"/>
          <w:color w:val="auto"/>
        </w:rPr>
      </w:pPr>
    </w:p>
    <w:p>
      <w:pPr>
        <w:ind w:left="1800" w:hanging="187"/>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15" w:lineRule="exact"/>
        <w:rPr>
          <w:rFonts w:ascii="Arial" w:cs="Arial" w:eastAsia="Arial" w:hAnsi="Arial"/>
          <w:sz w:val="18"/>
          <w:szCs w:val="18"/>
          <w:color w:val="auto"/>
        </w:rPr>
      </w:pPr>
    </w:p>
    <w:p>
      <w:pPr>
        <w:ind w:left="1800" w:right="699" w:hanging="187"/>
        <w:spacing w:after="0" w:line="285"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appearing at the relevant meeting and giving the Corporate Secretary notice of your intention to vote in person.</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Quorum and Voting Information</w:t>
      </w:r>
    </w:p>
    <w:p>
      <w:pPr>
        <w:spacing w:after="0" w:line="111" w:lineRule="exact"/>
        <w:rPr>
          <w:sz w:val="20"/>
          <w:szCs w:val="20"/>
          <w:color w:val="auto"/>
        </w:rPr>
      </w:pPr>
    </w:p>
    <w:p>
      <w:pPr>
        <w:ind w:left="1260" w:right="739"/>
        <w:spacing w:after="0" w:line="251" w:lineRule="auto"/>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w:t>
      </w:r>
    </w:p>
    <w:p>
      <w:pPr>
        <w:sectPr>
          <w:pgSz w:w="11900" w:h="16838" w:orient="portrait"/>
          <w:cols w:equalWidth="0" w:num="1">
            <w:col w:w="9859"/>
          </w:cols>
          <w:pgMar w:left="600" w:top="97" w:right="1440" w:bottom="1440" w:gutter="0" w:footer="0" w:header="0"/>
        </w:sect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17" w:name="page18"/>
    <w:bookmarkEnd w:id="1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979"/>
        <w:spacing w:after="0" w:line="285" w:lineRule="auto"/>
        <w:rPr>
          <w:sz w:val="20"/>
          <w:szCs w:val="20"/>
          <w:color w:val="auto"/>
        </w:rPr>
      </w:pPr>
      <w:r>
        <w:rPr>
          <w:rFonts w:ascii="Arial" w:cs="Arial" w:eastAsia="Arial" w:hAnsi="Arial"/>
          <w:sz w:val="18"/>
          <w:szCs w:val="18"/>
          <w:color w:val="auto"/>
        </w:rPr>
        <w:t>and outstanding shares of common stock able to be voted, represented in person or by proxy, will constitute a quorum for the transaction of business at the Annual Meeting.</w:t>
      </w:r>
    </w:p>
    <w:p>
      <w:pPr>
        <w:spacing w:after="0" w:line="7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For the transaction of business at the Extraordinary Meeting, the presence of holders of at least fifty percent (50%) of our issued and outstanding shares of common stock able to be voted will constitute a quorum in accordance with Luxembourg law. Under Luxembourg law, if a quorum is not reached at an extraordinary meeting for the purpose of resolving on the agenda thereof, the meeting may be adjourned or postponed to a later time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 1/3%) of our issued and outstanding shares of common stock able to be voted for the transaction of business. Abstentions and “broker non-votes” will be treated as present for purposes of a quorum.</w:t>
      </w:r>
    </w:p>
    <w:p>
      <w:pPr>
        <w:spacing w:after="0" w:line="334"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Assuming a quorum, each of the five (5) nominees for Director will be elected as a Director of Altisource at the Annual Meeting so long as the votes cast in favor of such nominee exceeds the votes cast against such nominee. You may vote for, against or abstain from voting for one (1) or more nominees for Director.</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Annual Meeting proposals will be approved if the votes cast in favor of the</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action exceed the votes cast against the action: (i) the proposal to approve the appointment</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Mayer Hoffman McCann P.C. to be our independent registered certified public accounting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firm for the year ending December 31, 2022 and Atwell S.à r.l. to be our certified auditor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all statutory accounts as required by Luxembourg law for the same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period; (ii) the proposal to approve the Luxembourg Statutory Accounts as of and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year ended December 31, 2021; (iii) the proposal to receive and approve the Directors’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reports for the Luxembourg Statutory Accounts for the year ended December 31, 2021 and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Annual Accounts for the same period; (iv) the proposal to allocate the results in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Luxembourg Annual Accounts for the year ended December 31, 2021; (v) the proposal to</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approve the discharge of each of the Directors of Altisource Portfolio Solutions S.A.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performance of their mandates during the year ended December 31, 2021 and of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performance of her mandate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same period; and (vi) any other matter properly submitted for your consideration at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Annual Meeting. Because the advisory vote to approve the compensation of Altisource’s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as disclosed in the Proxy Statement (“Say-on-Pay”) is non-binding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advisory in nature, there is no required number of votes that would constitute approval.</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While the results of the Say-on-Pay vote are not binding on the Company, our Board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Directors intends to carefully consider the shareholder votes resulting from the Say-on-Pay</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proposal.</w:t>
      </w:r>
    </w:p>
    <w:p>
      <w:pPr>
        <w:spacing w:after="0" w:line="12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Assuming a quorum, the following Extraordinary Meeting proposals will be approved if the votes cast in favor of the action exceed two-thirds of the shares validly voted: (i) the proposal to (a) amend the Company’s Articles of Incorporation to renew and extend the current authorization of the Board of Directors to issue shares of the Company’s common stock, within the limits of the Company’s authorized share capital of one hundred million dollars ($100,000,000) which includes the current authorization and, in connection with any such issuance, to limit or cancel the preferential subscription rights of shareholders, each for a period of five (5) years, and (b) receive the report issued by the Board of Directors pursuant to article 420-26 (5) of the Luxembourg Law of 10 August 1915 on commercial companies, as amended (the “Luxembourg Company Law”); and (ii) the proposal to amend the relevant provisions of the Company’s Articles of Incorporation to effectuate recent changes in the Luxembourg Company Law, in particular further to the Luxembourg regulation dated 5 December 2017 coordinating such act, and make certain other administrative changes as set forth in the proposed amended provisions of the Articles of Incorporation; and (iii) any other matter properly submitted for your consideration at the Extraordinary Meeting.</w:t>
      </w:r>
    </w:p>
    <w:p>
      <w:pPr>
        <w:spacing w:after="0" w:line="200" w:lineRule="exact"/>
        <w:rPr>
          <w:sz w:val="20"/>
          <w:szCs w:val="20"/>
          <w:color w:val="auto"/>
        </w:rPr>
      </w:pPr>
    </w:p>
    <w:p>
      <w:pPr>
        <w:spacing w:after="0" w:line="34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agendas of the Annual Meeting and Extraordinary Meeting.</w:t>
      </w:r>
    </w:p>
    <w:p>
      <w:pPr>
        <w:sectPr>
          <w:pgSz w:w="11900" w:h="16838" w:orient="portrait"/>
          <w:cols w:equalWidth="0" w:num="1">
            <w:col w:w="9859"/>
          </w:cols>
          <w:pgMar w:left="600" w:top="97" w:right="1440" w:bottom="1039" w:gutter="0" w:footer="0" w:header="0"/>
        </w:sect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039" w:gutter="0" w:footer="0" w:header="0"/>
          <w:type w:val="continuous"/>
        </w:sectPr>
      </w:pPr>
    </w:p>
    <w:bookmarkStart w:id="18" w:name="page19"/>
    <w:bookmarkEnd w:id="1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294640</wp:posOffset>
            </wp:positionV>
            <wp:extent cx="99949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ONE</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PROPOSALS TO BE CONSIDERED AT THE ANNUAL MEETING OF SHAREHOLDERS</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jc w:val="both"/>
        <w:ind w:left="1260" w:right="620"/>
        <w:spacing w:after="0" w:line="256"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298" w:lineRule="exact"/>
        <w:rPr>
          <w:sz w:val="20"/>
          <w:szCs w:val="20"/>
          <w:color w:val="auto"/>
        </w:rPr>
      </w:pPr>
    </w:p>
    <w:p>
      <w:pPr>
        <w:ind w:left="1260" w:right="760"/>
        <w:spacing w:after="0" w:line="252" w:lineRule="auto"/>
        <w:rPr>
          <w:sz w:val="20"/>
          <w:szCs w:val="20"/>
          <w:color w:val="auto"/>
        </w:rPr>
      </w:pPr>
      <w:r>
        <w:rPr>
          <w:rFonts w:ascii="Arial" w:cs="Arial" w:eastAsia="Arial" w:hAnsi="Arial"/>
          <w:sz w:val="18"/>
          <w:szCs w:val="18"/>
          <w:color w:val="auto"/>
        </w:rPr>
        <w:t>We are proposing the five (5) nominees listed below for election as Directors at the Annual Meeting until the next annual meeting of shareholders or until their respective successors have been elected and qualified, subject to their earlier death, resignation or removal.</w:t>
      </w:r>
    </w:p>
    <w:p>
      <w:pPr>
        <w:spacing w:after="0" w:line="101" w:lineRule="exact"/>
        <w:rPr>
          <w:sz w:val="20"/>
          <w:szCs w:val="20"/>
          <w:color w:val="auto"/>
        </w:rPr>
      </w:pPr>
    </w:p>
    <w:p>
      <w:pPr>
        <w:ind w:left="1260" w:right="820"/>
        <w:spacing w:after="0" w:line="256" w:lineRule="auto"/>
        <w:rPr>
          <w:sz w:val="20"/>
          <w:szCs w:val="20"/>
          <w:color w:val="auto"/>
        </w:rPr>
      </w:pPr>
      <w:r>
        <w:rPr>
          <w:rFonts w:ascii="Arial" w:cs="Arial" w:eastAsia="Arial" w:hAnsi="Arial"/>
          <w:sz w:val="18"/>
          <w:szCs w:val="18"/>
          <w:color w:val="auto"/>
        </w:rPr>
        <w:t>All nominees other than Mr. Aldridge currently serve as our Directors. There are no arrangements or understandings between any nominee and any other person for selection as a nominee.</w:t>
      </w:r>
    </w:p>
    <w:p>
      <w:pPr>
        <w:spacing w:after="0" w:line="312" w:lineRule="exact"/>
        <w:rPr>
          <w:sz w:val="20"/>
          <w:szCs w:val="20"/>
          <w:color w:val="auto"/>
        </w:rPr>
      </w:pPr>
    </w:p>
    <w:p>
      <w:pPr>
        <w:ind w:left="1260" w:right="560"/>
        <w:spacing w:after="0" w:line="257"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the Board of Directors may recommend in place of such nominee, unless the Board of Directors chooses to reduce the number of Directors serving on the Board. At this time, our Board of Directors knows of no reason why any of the nominees would not be able or willing to serve as Director if elected.</w:t>
      </w:r>
    </w:p>
    <w:p>
      <w:pPr>
        <w:spacing w:after="0" w:line="3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certain information concerning each of our nominees for</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b w:val="1"/>
                <w:bCs w:val="1"/>
                <w:color w:val="auto"/>
                <w:w w:val="96"/>
                <w:vertAlign w:val="subscript"/>
              </w:rPr>
              <w:t>(1)</w:t>
            </w:r>
            <w:r>
              <w:rPr>
                <w:rFonts w:ascii="Arial" w:cs="Arial" w:eastAsia="Arial" w:hAnsi="Arial"/>
                <w:sz w:val="16"/>
                <w:szCs w:val="16"/>
                <w:b w:val="1"/>
                <w:bCs w:val="1"/>
                <w:color w:val="auto"/>
                <w:w w:val="96"/>
              </w:rPr>
              <w:t>Director</w:t>
            </w:r>
          </w:p>
        </w:tc>
        <w:tc>
          <w:tcPr>
            <w:tcW w:w="1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Committee Memberships</w:t>
            </w:r>
            <w:r>
              <w:rPr>
                <w:rFonts w:ascii="Arial" w:cs="Arial" w:eastAsia="Arial" w:hAnsi="Arial"/>
                <w:sz w:val="19"/>
                <w:szCs w:val="19"/>
                <w:b w:val="1"/>
                <w:bCs w:val="1"/>
                <w:color w:val="auto"/>
                <w:vertAlign w:val="superscript"/>
              </w:rPr>
              <w:t>(1)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0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Name</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Age</w:t>
            </w:r>
          </w:p>
        </w:tc>
        <w:tc>
          <w:tcPr>
            <w:tcW w:w="7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jc w:val="center"/>
              <w:ind w:right="49"/>
              <w:spacing w:after="0" w:line="157" w:lineRule="exact"/>
              <w:rPr>
                <w:sz w:val="20"/>
                <w:szCs w:val="20"/>
                <w:color w:val="auto"/>
              </w:rPr>
            </w:pPr>
            <w:r>
              <w:rPr>
                <w:rFonts w:ascii="Arial" w:cs="Arial" w:eastAsia="Arial" w:hAnsi="Arial"/>
                <w:sz w:val="16"/>
                <w:szCs w:val="16"/>
                <w:b w:val="1"/>
                <w:bCs w:val="1"/>
                <w:color w:val="auto"/>
              </w:rPr>
              <w:t>Executive</w:t>
            </w:r>
          </w:p>
        </w:tc>
        <w:tc>
          <w:tcPr>
            <w:tcW w:w="780" w:type="dxa"/>
            <w:vAlign w:val="bottom"/>
          </w:tcPr>
          <w:p>
            <w:pPr>
              <w:jc w:val="center"/>
              <w:ind w:right="26"/>
              <w:spacing w:after="0" w:line="157" w:lineRule="exact"/>
              <w:rPr>
                <w:sz w:val="20"/>
                <w:szCs w:val="20"/>
                <w:color w:val="auto"/>
              </w:rPr>
            </w:pPr>
            <w:r>
              <w:rPr>
                <w:rFonts w:ascii="Arial" w:cs="Arial" w:eastAsia="Arial" w:hAnsi="Arial"/>
                <w:sz w:val="16"/>
                <w:szCs w:val="16"/>
                <w:b w:val="1"/>
                <w:bCs w:val="1"/>
                <w:color w:val="auto"/>
                <w:w w:val="97"/>
              </w:rPr>
              <w:t>Audit</w:t>
            </w:r>
          </w:p>
        </w:tc>
        <w:tc>
          <w:tcPr>
            <w:tcW w:w="2980" w:type="dxa"/>
            <w:vAlign w:val="bottom"/>
            <w:gridSpan w:val="3"/>
          </w:tcPr>
          <w:p>
            <w:pPr>
              <w:spacing w:after="0" w:line="157" w:lineRule="exact"/>
              <w:rPr>
                <w:sz w:val="20"/>
                <w:szCs w:val="20"/>
                <w:color w:val="auto"/>
              </w:rPr>
            </w:pPr>
            <w:r>
              <w:rPr>
                <w:rFonts w:ascii="Arial" w:cs="Arial" w:eastAsia="Arial" w:hAnsi="Arial"/>
                <w:sz w:val="16"/>
                <w:szCs w:val="16"/>
                <w:b w:val="1"/>
                <w:bCs w:val="1"/>
                <w:color w:val="auto"/>
              </w:rPr>
              <w:t>Compensation Compliance Nom/Gov</w:t>
            </w:r>
          </w:p>
        </w:tc>
        <w:tc>
          <w:tcPr>
            <w:tcW w:w="0" w:type="dxa"/>
            <w:vAlign w:val="bottom"/>
          </w:tcPr>
          <w:p>
            <w:pPr>
              <w:spacing w:after="0"/>
              <w:rPr>
                <w:sz w:val="1"/>
                <w:szCs w:val="1"/>
                <w:color w:val="auto"/>
              </w:rPr>
            </w:pPr>
          </w:p>
        </w:tc>
      </w:tr>
      <w:tr>
        <w:trPr>
          <w:trHeight w:val="186"/>
        </w:trPr>
        <w:tc>
          <w:tcPr>
            <w:tcW w:w="20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Since</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IndependentCommitteeCommittee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8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Committee Committee</w:t>
            </w:r>
          </w:p>
        </w:tc>
        <w:tc>
          <w:tcPr>
            <w:tcW w:w="0" w:type="dxa"/>
            <w:vAlign w:val="bottom"/>
          </w:tcPr>
          <w:p>
            <w:pPr>
              <w:spacing w:after="0"/>
              <w:rPr>
                <w:sz w:val="1"/>
                <w:szCs w:val="1"/>
                <w:color w:val="auto"/>
              </w:rPr>
            </w:pPr>
          </w:p>
        </w:tc>
      </w:tr>
      <w:tr>
        <w:trPr>
          <w:trHeight w:val="195"/>
        </w:trPr>
        <w:tc>
          <w:tcPr>
            <w:tcW w:w="20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Mary C. Hickok</w:t>
            </w:r>
            <w:r>
              <w:rPr>
                <w:rFonts w:ascii="Arial" w:cs="Arial" w:eastAsia="Arial" w:hAnsi="Arial"/>
                <w:sz w:val="19"/>
                <w:szCs w:val="19"/>
                <w:color w:val="auto"/>
                <w:vertAlign w:val="superscript"/>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2022</w:t>
            </w:r>
          </w:p>
        </w:tc>
        <w:tc>
          <w:tcPr>
            <w:tcW w:w="1000" w:type="dxa"/>
            <w:vAlign w:val="bottom"/>
            <w:shd w:val="clear" w:color="auto" w:fill="CCEEFF"/>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ind w:left="3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120" w:type="dxa"/>
            <w:vAlign w:val="bottom"/>
            <w:shd w:val="clear" w:color="auto" w:fill="CCEEFF"/>
          </w:tcPr>
          <w:p>
            <w:pPr>
              <w:ind w:left="600"/>
              <w:spacing w:after="0" w:line="195" w:lineRule="exact"/>
              <w:rPr>
                <w:sz w:val="20"/>
                <w:szCs w:val="20"/>
                <w:color w:val="auto"/>
              </w:rPr>
            </w:pPr>
            <w:r>
              <w:rPr>
                <w:rFonts w:ascii="MS PGothic" w:cs="MS PGothic" w:eastAsia="MS PGothic" w:hAnsi="MS PGothic"/>
                <w:sz w:val="22"/>
                <w:szCs w:val="22"/>
                <w:color w:val="auto"/>
                <w:highlight w:val="black"/>
                <w:vertAlign w:val="subscript"/>
              </w:rPr>
              <w:t>✓</w:t>
            </w:r>
            <w:r>
              <w:rPr>
                <w:rFonts w:ascii="Arial" w:cs="Arial" w:eastAsia="Arial" w:hAnsi="Arial"/>
                <w:sz w:val="8"/>
                <w:szCs w:val="8"/>
                <w:color w:val="auto"/>
              </w:rPr>
              <w:t>(3)</w:t>
            </w:r>
          </w:p>
        </w:tc>
        <w:tc>
          <w:tcPr>
            <w:tcW w:w="10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00" w:type="dxa"/>
            <w:vAlign w:val="bottom"/>
          </w:tcPr>
          <w:p>
            <w:pPr>
              <w:spacing w:after="0"/>
              <w:rPr>
                <w:sz w:val="20"/>
                <w:szCs w:val="20"/>
                <w:color w:val="auto"/>
              </w:rPr>
            </w:pPr>
            <w:r>
              <w:rPr>
                <w:rFonts w:ascii="Arial" w:cs="Arial" w:eastAsia="Arial" w:hAnsi="Arial"/>
                <w:sz w:val="16"/>
                <w:szCs w:val="16"/>
                <w:color w:val="auto"/>
              </w:rPr>
              <w:t>Joseph L. Morettini</w:t>
            </w:r>
          </w:p>
        </w:tc>
        <w:tc>
          <w:tcPr>
            <w:tcW w:w="300" w:type="dxa"/>
            <w:vAlign w:val="bottom"/>
          </w:tcPr>
          <w:p>
            <w:pPr>
              <w:jc w:val="right"/>
              <w:spacing w:after="0"/>
              <w:rPr>
                <w:sz w:val="20"/>
                <w:szCs w:val="20"/>
                <w:color w:val="auto"/>
              </w:rPr>
            </w:pPr>
            <w:r>
              <w:rPr>
                <w:rFonts w:ascii="Arial" w:cs="Arial" w:eastAsia="Arial" w:hAnsi="Arial"/>
                <w:sz w:val="16"/>
                <w:szCs w:val="16"/>
                <w:color w:val="auto"/>
              </w:rPr>
              <w:t>69</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2017</w:t>
            </w:r>
          </w:p>
        </w:tc>
        <w:tc>
          <w:tcPr>
            <w:tcW w:w="1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tcPr>
          <w:p>
            <w:pPr>
              <w:spacing w:after="0"/>
              <w:rPr>
                <w:sz w:val="16"/>
                <w:szCs w:val="16"/>
                <w:color w:val="auto"/>
              </w:rPr>
            </w:pPr>
          </w:p>
        </w:tc>
        <w:tc>
          <w:tcPr>
            <w:tcW w:w="7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1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060" w:type="dxa"/>
            <w:vAlign w:val="bottom"/>
          </w:tcPr>
          <w:p>
            <w:pPr>
              <w:ind w:left="560"/>
              <w:spacing w:after="0" w:line="189" w:lineRule="exact"/>
              <w:rPr>
                <w:sz w:val="20"/>
                <w:szCs w:val="20"/>
                <w:color w:val="auto"/>
              </w:rPr>
            </w:pPr>
            <w:r>
              <w:rPr>
                <w:rFonts w:ascii="MS PGothic" w:cs="MS PGothic" w:eastAsia="MS PGothic" w:hAnsi="MS PGothic"/>
                <w:sz w:val="21"/>
                <w:szCs w:val="21"/>
                <w:color w:val="auto"/>
                <w:highlight w:val="black"/>
                <w:vertAlign w:val="subscript"/>
              </w:rPr>
              <w:t>✓</w:t>
            </w:r>
            <w:r>
              <w:rPr>
                <w:rFonts w:ascii="Arial" w:cs="Arial" w:eastAsia="Arial" w:hAnsi="Arial"/>
                <w:sz w:val="8"/>
                <w:szCs w:val="8"/>
                <w:color w:val="auto"/>
              </w:rPr>
              <w:t>(3)</w:t>
            </w:r>
          </w:p>
        </w:tc>
        <w:tc>
          <w:tcPr>
            <w:tcW w:w="800" w:type="dxa"/>
            <w:vAlign w:val="bottom"/>
          </w:tcPr>
          <w:p>
            <w:pPr>
              <w:ind w:left="380"/>
              <w:spacing w:after="0" w:line="189" w:lineRule="exact"/>
              <w:rPr>
                <w:sz w:val="20"/>
                <w:szCs w:val="20"/>
                <w:color w:val="auto"/>
              </w:rPr>
            </w:pPr>
            <w:r>
              <w:rPr>
                <w:rFonts w:ascii="MS PGothic" w:cs="MS PGothic" w:eastAsia="MS PGothic" w:hAnsi="MS PGothic"/>
                <w:sz w:val="21"/>
                <w:szCs w:val="21"/>
                <w:color w:val="auto"/>
                <w:highlight w:val="black"/>
                <w:vertAlign w:val="subscript"/>
              </w:rPr>
              <w:t>✓</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Roland M</w:t>
            </w:r>
            <w:r>
              <w:rPr>
                <w:rFonts w:ascii="MS PGothic" w:cs="MS PGothic" w:eastAsia="MS PGothic" w:hAnsi="MS PGothic"/>
                <w:sz w:val="16"/>
                <w:szCs w:val="16"/>
                <w:color w:val="auto"/>
              </w:rPr>
              <w:t>✔</w:t>
            </w:r>
            <w:r>
              <w:rPr>
                <w:rFonts w:ascii="Arial" w:cs="Arial" w:eastAsia="Arial" w:hAnsi="Arial"/>
                <w:sz w:val="16"/>
                <w:szCs w:val="16"/>
                <w:color w:val="auto"/>
              </w:rPr>
              <w:t>ller-Ineichen</w:t>
            </w:r>
            <w:r>
              <w:rPr>
                <w:rFonts w:ascii="Arial" w:cs="Arial" w:eastAsia="Arial" w:hAnsi="Arial"/>
                <w:sz w:val="19"/>
                <w:szCs w:val="19"/>
                <w:color w:val="auto"/>
                <w:vertAlign w:val="superscript"/>
              </w:rPr>
              <w:t>(4)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2009</w:t>
            </w:r>
          </w:p>
        </w:tc>
        <w:tc>
          <w:tcPr>
            <w:tcW w:w="1000" w:type="dxa"/>
            <w:vAlign w:val="bottom"/>
            <w:shd w:val="clear" w:color="auto" w:fill="CCEEFF"/>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shd w:val="clear" w:color="auto" w:fill="CCEEFF"/>
          </w:tcPr>
          <w:p>
            <w:pPr>
              <w:ind w:left="400"/>
              <w:spacing w:after="0" w:line="202" w:lineRule="exact"/>
              <w:rPr>
                <w:sz w:val="20"/>
                <w:szCs w:val="20"/>
                <w:color w:val="auto"/>
              </w:rPr>
            </w:pPr>
            <w:r>
              <w:rPr>
                <w:rFonts w:ascii="MS PGothic" w:cs="MS PGothic" w:eastAsia="MS PGothic" w:hAnsi="MS PGothic"/>
                <w:sz w:val="23"/>
                <w:szCs w:val="23"/>
                <w:color w:val="auto"/>
                <w:highlight w:val="black"/>
                <w:vertAlign w:val="subscript"/>
              </w:rPr>
              <w:t>✓</w:t>
            </w:r>
            <w:r>
              <w:rPr>
                <w:rFonts w:ascii="Arial" w:cs="Arial" w:eastAsia="Arial" w:hAnsi="Arial"/>
                <w:sz w:val="9"/>
                <w:szCs w:val="9"/>
                <w:color w:val="auto"/>
              </w:rPr>
              <w:t>(3)</w:t>
            </w:r>
          </w:p>
        </w:tc>
        <w:tc>
          <w:tcPr>
            <w:tcW w:w="780" w:type="dxa"/>
            <w:vAlign w:val="bottom"/>
            <w:shd w:val="clear" w:color="auto" w:fill="CCEEFF"/>
          </w:tcPr>
          <w:p>
            <w:pPr>
              <w:ind w:left="360"/>
              <w:spacing w:after="0" w:line="202" w:lineRule="exact"/>
              <w:rPr>
                <w:sz w:val="20"/>
                <w:szCs w:val="20"/>
                <w:color w:val="auto"/>
              </w:rPr>
            </w:pPr>
            <w:r>
              <w:rPr>
                <w:rFonts w:ascii="MS PGothic" w:cs="MS PGothic" w:eastAsia="MS PGothic" w:hAnsi="MS PGothic"/>
                <w:sz w:val="23"/>
                <w:szCs w:val="23"/>
                <w:color w:val="auto"/>
                <w:highlight w:val="black"/>
                <w:vertAlign w:val="subscript"/>
              </w:rPr>
              <w:t>✓</w:t>
            </w:r>
            <w:r>
              <w:rPr>
                <w:rFonts w:ascii="Arial" w:cs="Arial" w:eastAsia="Arial" w:hAnsi="Arial"/>
                <w:sz w:val="9"/>
                <w:szCs w:val="9"/>
                <w:color w:val="auto"/>
              </w:rPr>
              <w:t>(3)</w:t>
            </w:r>
          </w:p>
        </w:tc>
        <w:tc>
          <w:tcPr>
            <w:tcW w:w="1120" w:type="dxa"/>
            <w:vAlign w:val="bottom"/>
            <w:shd w:val="clear" w:color="auto" w:fill="CCEEFF"/>
          </w:tcPr>
          <w:p>
            <w:pPr>
              <w:ind w:left="6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060" w:type="dxa"/>
            <w:vAlign w:val="bottom"/>
            <w:shd w:val="clear" w:color="auto" w:fill="CCEEFF"/>
          </w:tcPr>
          <w:p>
            <w:pPr>
              <w:ind w:left="5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0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20"/>
                <w:szCs w:val="20"/>
                <w:color w:val="auto"/>
              </w:rPr>
            </w:pPr>
            <w:r>
              <w:rPr>
                <w:rFonts w:ascii="Arial" w:cs="Arial" w:eastAsia="Arial" w:hAnsi="Arial"/>
                <w:sz w:val="16"/>
                <w:szCs w:val="16"/>
                <w:color w:val="auto"/>
              </w:rPr>
              <w:t>William B. Shepro</w:t>
            </w:r>
          </w:p>
        </w:tc>
        <w:tc>
          <w:tcPr>
            <w:tcW w:w="300" w:type="dxa"/>
            <w:vAlign w:val="bottom"/>
          </w:tcPr>
          <w:p>
            <w:pPr>
              <w:jc w:val="right"/>
              <w:spacing w:after="0"/>
              <w:rPr>
                <w:sz w:val="20"/>
                <w:szCs w:val="20"/>
                <w:color w:val="auto"/>
              </w:rPr>
            </w:pPr>
            <w:r>
              <w:rPr>
                <w:rFonts w:ascii="Arial" w:cs="Arial" w:eastAsia="Arial" w:hAnsi="Arial"/>
                <w:sz w:val="16"/>
                <w:szCs w:val="16"/>
                <w:color w:val="auto"/>
              </w:rPr>
              <w:t>53</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2009</w:t>
            </w:r>
          </w:p>
        </w:tc>
        <w:tc>
          <w:tcPr>
            <w:tcW w:w="1000" w:type="dxa"/>
            <w:vAlign w:val="bottom"/>
          </w:tcPr>
          <w:p>
            <w:pPr>
              <w:spacing w:after="0"/>
              <w:rPr>
                <w:sz w:val="16"/>
                <w:szCs w:val="16"/>
                <w:color w:val="auto"/>
              </w:rPr>
            </w:pPr>
          </w:p>
        </w:tc>
        <w:tc>
          <w:tcPr>
            <w:tcW w:w="8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John. G. Aldridge, Jr.</w:t>
            </w:r>
            <w:r>
              <w:rPr>
                <w:rFonts w:ascii="Arial" w:cs="Arial" w:eastAsia="Arial" w:hAnsi="Arial"/>
                <w:sz w:val="19"/>
                <w:szCs w:val="19"/>
                <w:color w:val="auto"/>
                <w:vertAlign w:val="superscript"/>
              </w:rPr>
              <w:t>(5)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N/A</w:t>
            </w:r>
          </w:p>
        </w:tc>
        <w:tc>
          <w:tcPr>
            <w:tcW w:w="1000" w:type="dxa"/>
            <w:vAlign w:val="bottom"/>
            <w:shd w:val="clear" w:color="auto" w:fill="CCEEFF"/>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CCEEFF"/>
          </w:tcPr>
          <w:p>
            <w:pPr>
              <w:jc w:val="center"/>
              <w:ind w:left="6"/>
              <w:spacing w:after="0"/>
              <w:rPr>
                <w:sz w:val="20"/>
                <w:szCs w:val="20"/>
                <w:color w:val="auto"/>
              </w:rPr>
            </w:pPr>
            <w:r>
              <w:rPr>
                <w:rFonts w:ascii="Arial" w:cs="Arial" w:eastAsia="Arial" w:hAnsi="Arial"/>
                <w:sz w:val="16"/>
                <w:szCs w:val="16"/>
                <w:color w:val="auto"/>
              </w:rPr>
              <w:t>N/A</w:t>
            </w:r>
          </w:p>
        </w:tc>
        <w:tc>
          <w:tcPr>
            <w:tcW w:w="10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620" w:hanging="365"/>
        <w:spacing w:after="0"/>
        <w:tabs>
          <w:tab w:leader="none" w:pos="162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As of March 25, 2022</w:t>
      </w:r>
    </w:p>
    <w:p>
      <w:pPr>
        <w:spacing w:after="0" w:line="57" w:lineRule="exact"/>
        <w:rPr>
          <w:rFonts w:ascii="Arial" w:cs="Arial" w:eastAsia="Arial" w:hAnsi="Arial"/>
          <w:sz w:val="25"/>
          <w:szCs w:val="25"/>
          <w:color w:val="auto"/>
          <w:vertAlign w:val="superscript"/>
        </w:rPr>
      </w:pPr>
    </w:p>
    <w:p>
      <w:pPr>
        <w:ind w:left="1620" w:hanging="365"/>
        <w:spacing w:after="0" w:line="187" w:lineRule="auto"/>
        <w:tabs>
          <w:tab w:leader="none" w:pos="162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Elected as Director on March 1, 2022</w:t>
      </w:r>
    </w:p>
    <w:p>
      <w:pPr>
        <w:spacing w:after="0" w:line="58" w:lineRule="exact"/>
        <w:rPr>
          <w:rFonts w:ascii="Arial" w:cs="Arial" w:eastAsia="Arial" w:hAnsi="Arial"/>
          <w:sz w:val="22"/>
          <w:szCs w:val="22"/>
          <w:color w:val="auto"/>
          <w:vertAlign w:val="superscript"/>
        </w:rPr>
      </w:pPr>
    </w:p>
    <w:p>
      <w:pPr>
        <w:ind w:left="1620" w:hanging="365"/>
        <w:spacing w:after="0" w:line="187" w:lineRule="auto"/>
        <w:tabs>
          <w:tab w:leader="none" w:pos="162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Committee Chair</w:t>
      </w:r>
    </w:p>
    <w:p>
      <w:pPr>
        <w:spacing w:after="0" w:line="58" w:lineRule="exact"/>
        <w:rPr>
          <w:rFonts w:ascii="Arial" w:cs="Arial" w:eastAsia="Arial" w:hAnsi="Arial"/>
          <w:sz w:val="22"/>
          <w:szCs w:val="22"/>
          <w:color w:val="auto"/>
          <w:vertAlign w:val="superscript"/>
        </w:rPr>
      </w:pPr>
    </w:p>
    <w:p>
      <w:pPr>
        <w:ind w:left="1620" w:hanging="365"/>
        <w:spacing w:after="0" w:line="187" w:lineRule="auto"/>
        <w:tabs>
          <w:tab w:leader="none" w:pos="162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Lead Independent Director</w:t>
      </w:r>
    </w:p>
    <w:p>
      <w:pPr>
        <w:spacing w:after="0" w:line="58" w:lineRule="exact"/>
        <w:rPr>
          <w:rFonts w:ascii="Arial" w:cs="Arial" w:eastAsia="Arial" w:hAnsi="Arial"/>
          <w:sz w:val="22"/>
          <w:szCs w:val="22"/>
          <w:color w:val="auto"/>
          <w:vertAlign w:val="superscript"/>
        </w:rPr>
      </w:pPr>
    </w:p>
    <w:p>
      <w:pPr>
        <w:ind w:left="1620" w:right="1160" w:hanging="365"/>
        <w:spacing w:after="0" w:line="196" w:lineRule="auto"/>
        <w:tabs>
          <w:tab w:leader="none" w:pos="162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Mr. Aldridge may be appointed to one or more Committees after the Annual Meeting if he is elected to our Board of Directors</w:t>
      </w:r>
    </w:p>
    <w:p>
      <w:pPr>
        <w:spacing w:after="0" w:line="105" w:lineRule="exact"/>
        <w:rPr>
          <w:sz w:val="20"/>
          <w:szCs w:val="20"/>
          <w:color w:val="auto"/>
        </w:rPr>
      </w:pPr>
    </w:p>
    <w:p>
      <w:pPr>
        <w:ind w:left="1260" w:right="560"/>
        <w:spacing w:after="0" w:line="267" w:lineRule="auto"/>
        <w:rPr>
          <w:sz w:val="20"/>
          <w:szCs w:val="20"/>
          <w:color w:val="auto"/>
        </w:rPr>
      </w:pPr>
      <w:r>
        <w:rPr>
          <w:rFonts w:ascii="Arial" w:cs="Arial" w:eastAsia="Arial" w:hAnsi="Arial"/>
          <w:sz w:val="18"/>
          <w:szCs w:val="18"/>
          <w:color w:val="auto"/>
        </w:rPr>
        <w:t>If our nominees for Director are elected, we believe that the proposed Board composition will be well-balanced in terms of length of Director tenure between more experienced Directors and more recently appointed Directors.</w:t>
      </w:r>
    </w:p>
    <w:p>
      <w:pPr>
        <w:spacing w:after="0" w:line="103" w:lineRule="exact"/>
        <w:rPr>
          <w:sz w:val="20"/>
          <w:szCs w:val="20"/>
          <w:color w:val="auto"/>
        </w:rPr>
      </w:pPr>
    </w:p>
    <w:p>
      <w:pPr>
        <w:ind w:left="1260" w:right="640"/>
        <w:spacing w:after="0" w:line="261"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109" w:lineRule="exact"/>
        <w:rPr>
          <w:sz w:val="20"/>
          <w:szCs w:val="20"/>
          <w:color w:val="auto"/>
        </w:rPr>
      </w:pPr>
    </w:p>
    <w:p>
      <w:pPr>
        <w:ind w:left="1260" w:right="560"/>
        <w:spacing w:after="0" w:line="252" w:lineRule="auto"/>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is the founder and managing partner of Aldridge|Pite, LLP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 a multi-state law firm focusing on the representation of banks, financial institutions, mortgage servicing concerns and institutional investors with respect to all facets of the commercial and residential real estate life cycle. A|P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 of Directors of a privately held title company. Mr. Aldridge has served on industry boards as well, including most recently the United States Foreclosure Network, and is a frequent speaker at mortgage banking and real estate</w:t>
      </w:r>
    </w:p>
    <w:p>
      <w:pPr>
        <w:sectPr>
          <w:pgSz w:w="11900" w:h="16838" w:orient="portrait"/>
          <w:cols w:equalWidth="0" w:num="1">
            <w:col w:w="9980"/>
          </w:cols>
          <w:pgMar w:left="600" w:top="97" w:right="131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980"/>
          </w:cols>
          <w:pgMar w:left="600" w:top="97" w:right="1319" w:bottom="1440" w:gutter="0" w:footer="0" w:header="0"/>
          <w:type w:val="continuous"/>
        </w:sectPr>
      </w:pPr>
    </w:p>
    <w:bookmarkStart w:id="19" w:name="page20"/>
    <w:bookmarkEnd w:id="1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294640</wp:posOffset>
            </wp:positionV>
            <wp:extent cx="99949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ONE</w:t>
      </w:r>
    </w:p>
    <w:p>
      <w:pPr>
        <w:spacing w:after="0" w:line="282"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conferences across the country. Mr. Aldridge holds a Bachelor of Arts in Political Science from the University of North Carolina at Chapel Hill and a Juris Doctor from Emory University School of Law.</w:t>
      </w:r>
    </w:p>
    <w:p>
      <w:pPr>
        <w:spacing w:after="0" w:line="312"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Mr. Aldridge was selected to serve on our Board based on his mortgage industry knowledge and extensive relationships, developed through professional engagements, with senior management of companies engaged in mortgage origination and servicing. Mr. Aldridge’s appointment may serve to enhance Altisource’s client relationships and lead to additional business opportunities.</w:t>
      </w:r>
    </w:p>
    <w:p>
      <w:pPr>
        <w:spacing w:after="0" w:line="305" w:lineRule="exact"/>
        <w:rPr>
          <w:sz w:val="20"/>
          <w:szCs w:val="20"/>
          <w:color w:val="auto"/>
        </w:rPr>
      </w:pPr>
    </w:p>
    <w:p>
      <w:pPr>
        <w:ind w:left="1260" w:right="459"/>
        <w:spacing w:after="0"/>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March 2022. Ms. Hickok serves as Managing Director at Deer Park Road Management Company, LP (“Deer Park”), an alternative investment management firm, where she is responsible for leading the Flywheel SFR Fund, a newly launched single-family rental strategy. Prior to joining Deer Park in July 2020, Ms. Hickok served as Associate, Fixed Income Sales and Trading at Morgan Stanley from July 2017 to July 2020. Ms. Hickok holds a Bachelor of Arts in Economics and Foreign Affairs from the University of Virginia.</w:t>
      </w:r>
    </w:p>
    <w:p>
      <w:pPr>
        <w:spacing w:after="0" w:line="112"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As Managing Director of the Flywheel SFR Fund of Deer Park and previously as an Associate at Morgan Stanley, Ms. Hickok has expertise and experience in business advisory services and asset management, including real estate and mortgage-related investments, that makes her financially literate and qualifies her as a financial expert as defined by Nasdaq listing standards and SEC rules. Deer Park’s position as an investor in the Company has provided Ms. Hickok with a thorough understanding of our business and unique insight into the interests of our long-term investors.</w:t>
      </w:r>
    </w:p>
    <w:p>
      <w:pPr>
        <w:spacing w:after="0" w:line="319" w:lineRule="exact"/>
        <w:rPr>
          <w:sz w:val="20"/>
          <w:szCs w:val="20"/>
          <w:color w:val="auto"/>
        </w:rPr>
      </w:pPr>
    </w:p>
    <w:p>
      <w:pPr>
        <w:ind w:left="1260" w:right="519"/>
        <w:spacing w:after="0"/>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appointed to the Board of Directors of Altisource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2017. Mr. Morettini served as Partner of Deloitte &amp; 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284"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and his thirty plus years of experience with Deloitte provide our Board of Directors with valuable insight from an accounting and auditing perspective. Mr. Morettini is financially literate and qualifies as a financial expert as defined by the Nasdaq listing standards and SEC rules.</w:t>
      </w:r>
    </w:p>
    <w:p>
      <w:pPr>
        <w:spacing w:after="0" w:line="81" w:lineRule="exact"/>
        <w:rPr>
          <w:sz w:val="20"/>
          <w:szCs w:val="20"/>
          <w:color w:val="auto"/>
        </w:rPr>
      </w:pPr>
    </w:p>
    <w:p>
      <w:pPr>
        <w:ind w:left="1260" w:right="439"/>
        <w:spacing w:after="0" w:line="207" w:lineRule="exact"/>
        <w:rPr>
          <w:sz w:val="20"/>
          <w:szCs w:val="20"/>
          <w:color w:val="auto"/>
        </w:rPr>
      </w:pPr>
      <w:r>
        <w:rPr>
          <w:rFonts w:ascii="Arial" w:cs="Arial" w:eastAsia="Arial" w:hAnsi="Arial"/>
          <w:sz w:val="18"/>
          <w:szCs w:val="18"/>
          <w:b w:val="1"/>
          <w:bCs w:val="1"/>
          <w:i w:val="1"/>
          <w:iCs w:val="1"/>
          <w:color w:val="auto"/>
        </w:rPr>
        <w:t>Roland M</w:t>
      </w:r>
      <w:r>
        <w:rPr>
          <w:rFonts w:ascii="MS PGothic" w:cs="MS PGothic" w:eastAsia="MS PGothic" w:hAnsi="MS PGothic"/>
          <w:sz w:val="18"/>
          <w:szCs w:val="18"/>
          <w:i w:val="1"/>
          <w:iCs w:val="1"/>
          <w:color w:val="auto"/>
          <w:highlight w:val="black"/>
        </w:rPr>
        <w:t>✔</w:t>
      </w:r>
      <w:r>
        <w:rPr>
          <w:rFonts w:ascii="Arial" w:cs="Arial" w:eastAsia="Arial" w:hAnsi="Arial"/>
          <w:sz w:val="18"/>
          <w:szCs w:val="18"/>
          <w:b w:val="1"/>
          <w:bCs w:val="1"/>
          <w:i w:val="1"/>
          <w:iCs w:val="1"/>
          <w:color w:val="auto"/>
          <w:highlight w:val="black"/>
        </w:rPr>
        <w:t>l</w:t>
      </w:r>
      <w:r>
        <w:rPr>
          <w:rFonts w:ascii="Arial" w:cs="Arial" w:eastAsia="Arial" w:hAnsi="Arial"/>
          <w:sz w:val="18"/>
          <w:szCs w:val="18"/>
          <w:b w:val="1"/>
          <w:bCs w:val="1"/>
          <w:i w:val="1"/>
          <w:iCs w:val="1"/>
          <w:color w:val="auto"/>
        </w:rPr>
        <w:t xml:space="preserve">ler-Ineichen. </w:t>
      </w:r>
      <w:r>
        <w:rPr>
          <w:rFonts w:ascii="Arial" w:cs="Arial" w:eastAsia="Arial" w:hAnsi="Arial"/>
          <w:sz w:val="18"/>
          <w:szCs w:val="18"/>
          <w:color w:val="auto"/>
        </w:rPr>
        <w:t>Mr. M</w:t>
      </w:r>
      <w:r>
        <w:rPr>
          <w:rFonts w:ascii="MS PGothic" w:cs="MS PGothic" w:eastAsia="MS PGothic" w:hAnsi="MS PGothic"/>
          <w:sz w:val="18"/>
          <w:szCs w:val="18"/>
          <w:color w:val="auto"/>
        </w:rPr>
        <w:t>✔</w:t>
      </w:r>
      <w:r>
        <w:rPr>
          <w:rFonts w:ascii="Arial" w:cs="Arial" w:eastAsia="Arial" w:hAnsi="Arial"/>
          <w:sz w:val="18"/>
          <w:szCs w:val="18"/>
          <w:color w:val="auto"/>
        </w:rPr>
        <w:t>ller -Ineichen was appointed to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July 2009 and as Lead Independent Director in September 2020. He also serves on the Board of Directors of ONE Swiss Bank SA, with offices in Geneva and Lugano, Switzerland, which offers advisory, asset management and wealth management services;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Habib Bank Zurich AG, a provider of corporate, personal, private, and correspondent banking products based in Zurich. In addition, from October 2012 until March 2022, Mr. M</w:t>
      </w:r>
      <w:r>
        <w:rPr>
          <w:rFonts w:ascii="MS PGothic" w:cs="MS PGothic" w:eastAsia="MS PGothic" w:hAnsi="MS PGothic"/>
          <w:sz w:val="18"/>
          <w:szCs w:val="18"/>
          <w:color w:val="auto"/>
        </w:rPr>
        <w:t>✔</w:t>
      </w:r>
      <w:r>
        <w:rPr>
          <w:rFonts w:ascii="Arial" w:cs="Arial" w:eastAsia="Arial" w:hAnsi="Arial"/>
          <w:sz w:val="18"/>
          <w:szCs w:val="18"/>
          <w:color w:val="auto"/>
        </w:rPr>
        <w:t>ller-Ineichen served as a member of the Board of Directors of Sberbank (Switzerland) AG, based in Zurich, Switzerland, a subsidiary of Sberbank Russia, offering trade finance, trading and corporate banking services; and from May 2010 to September 2011, Mr. M</w:t>
      </w:r>
      <w:r>
        <w:rPr>
          <w:rFonts w:ascii="MS PGothic" w:cs="MS PGothic" w:eastAsia="MS PGothic" w:hAnsi="MS PGothic"/>
          <w:sz w:val="18"/>
          <w:szCs w:val="18"/>
          <w:color w:val="auto"/>
        </w:rPr>
        <w:t>✔</w:t>
      </w:r>
      <w:r>
        <w:rPr>
          <w:rFonts w:ascii="Arial" w:cs="Arial" w:eastAsia="Arial" w:hAnsi="Arial"/>
          <w:sz w:val="18"/>
          <w:szCs w:val="18"/>
          <w:color w:val="auto"/>
        </w:rPr>
        <w:t>ller-Ineichen served as a member of the Board of Directors of Absolute Private Equity AG, a Switzerland-based investment company. Mr. M</w:t>
      </w:r>
      <w:r>
        <w:rPr>
          <w:rFonts w:ascii="MS PGothic" w:cs="MS PGothic" w:eastAsia="MS PGothic" w:hAnsi="MS PGothic"/>
          <w:sz w:val="18"/>
          <w:szCs w:val="18"/>
          <w:color w:val="auto"/>
        </w:rPr>
        <w:t>✔</w:t>
      </w:r>
      <w:r>
        <w:rPr>
          <w:rFonts w:ascii="Arial" w:cs="Arial" w:eastAsia="Arial" w:hAnsi="Arial"/>
          <w:sz w:val="18"/>
          <w:szCs w:val="18"/>
          <w:color w:val="auto"/>
        </w:rPr>
        <w:t xml:space="preserve"> ller-Ineichen served as a Partner with KPMG Switzerland and KPMG Europe LLP where he was the lead partner on audits of national and international banks, security dealers and fund management companies. Mr. M</w:t>
      </w:r>
      <w:r>
        <w:rPr>
          <w:rFonts w:ascii="MS PGothic" w:cs="MS PGothic" w:eastAsia="MS PGothic" w:hAnsi="MS PGothic"/>
          <w:sz w:val="18"/>
          <w:szCs w:val="18"/>
          <w:color w:val="auto"/>
        </w:rPr>
        <w:t>✔</w:t>
      </w:r>
      <w:r>
        <w:rPr>
          <w:rFonts w:ascii="Arial" w:cs="Arial" w:eastAsia="Arial" w:hAnsi="Arial"/>
          <w:sz w:val="18"/>
          <w:szCs w:val="18"/>
          <w:color w:val="auto"/>
        </w:rPr>
        <w:t>ller-Ineichen began working in the Zurich office of KPMG in June 1995 as a Senior Manager in the audit department focused on the banking and financial services industries and served as a Partner from January 1999 until his retirement in December 2008. Prior to joining KPMG, Mr. M</w:t>
      </w:r>
      <w:r>
        <w:rPr>
          <w:rFonts w:ascii="MS PGothic" w:cs="MS PGothic" w:eastAsia="MS PGothic" w:hAnsi="MS PGothic"/>
          <w:sz w:val="18"/>
          <w:szCs w:val="18"/>
          <w:color w:val="auto"/>
        </w:rPr>
        <w:t>✔</w:t>
      </w:r>
      <w:r>
        <w:rPr>
          <w:rFonts w:ascii="Arial" w:cs="Arial" w:eastAsia="Arial" w:hAnsi="Arial"/>
          <w:sz w:val="18"/>
          <w:szCs w:val="18"/>
          <w:color w:val="auto"/>
        </w:rPr>
        <w:t>ller-Ineichen progressed through various audit and managerial roles with Switzerland -based financial institutions. Mr. M</w:t>
      </w:r>
      <w:r>
        <w:rPr>
          <w:rFonts w:ascii="MS PGothic" w:cs="MS PGothic" w:eastAsia="MS PGothic" w:hAnsi="MS PGothic"/>
          <w:sz w:val="18"/>
          <w:szCs w:val="18"/>
          <w:color w:val="auto"/>
        </w:rPr>
        <w:t>✔</w:t>
      </w:r>
      <w:r>
        <w:rPr>
          <w:rFonts w:ascii="Arial" w:cs="Arial" w:eastAsia="Arial" w:hAnsi="Arial"/>
          <w:sz w:val="18"/>
          <w:szCs w:val="18"/>
          <w:color w:val="auto"/>
        </w:rPr>
        <w:t>ller-Ineichen is a Swiss Certified Public Accountant. He completed a commercial and banking business apprenticeship with UBS in 1980. Mr. M</w:t>
      </w:r>
      <w:r>
        <w:rPr>
          <w:rFonts w:ascii="MS PGothic" w:cs="MS PGothic" w:eastAsia="MS PGothic" w:hAnsi="MS PGothic"/>
          <w:sz w:val="18"/>
          <w:szCs w:val="18"/>
          <w:color w:val="auto"/>
        </w:rPr>
        <w:t>✔</w:t>
      </w:r>
      <w:r>
        <w:rPr>
          <w:rFonts w:ascii="Arial" w:cs="Arial" w:eastAsia="Arial" w:hAnsi="Arial"/>
          <w:sz w:val="18"/>
          <w:szCs w:val="18"/>
          <w:color w:val="auto"/>
        </w:rPr>
        <w:t>ller-Ineichen holds a Business Commerce degree.</w:t>
      </w:r>
    </w:p>
    <w:p>
      <w:pPr>
        <w:sectPr>
          <w:pgSz w:w="11900" w:h="16838" w:orient="portrait"/>
          <w:cols w:equalWidth="0" w:num="1">
            <w:col w:w="9859"/>
          </w:cols>
          <w:pgMar w:left="600" w:top="97" w:right="1440" w:bottom="1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106" w:gutter="0" w:footer="0" w:header="0"/>
          <w:type w:val="continuous"/>
        </w:sectPr>
      </w:pPr>
    </w:p>
    <w:bookmarkStart w:id="20" w:name="page21"/>
    <w:bookmarkEnd w:id="2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294640</wp:posOffset>
            </wp:positionV>
            <wp:extent cx="99949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ONE</w:t>
      </w:r>
    </w:p>
    <w:p>
      <w:pPr>
        <w:spacing w:after="0" w:line="254" w:lineRule="exact"/>
        <w:rPr>
          <w:sz w:val="20"/>
          <w:szCs w:val="20"/>
          <w:color w:val="auto"/>
        </w:rPr>
      </w:pPr>
    </w:p>
    <w:p>
      <w:pPr>
        <w:ind w:left="1260" w:right="639"/>
        <w:spacing w:after="0" w:line="223" w:lineRule="exact"/>
        <w:rPr>
          <w:sz w:val="20"/>
          <w:szCs w:val="20"/>
          <w:color w:val="auto"/>
        </w:rPr>
      </w:pPr>
      <w:r>
        <w:rPr>
          <w:rFonts w:ascii="Arial" w:cs="Arial" w:eastAsia="Arial" w:hAnsi="Arial"/>
          <w:sz w:val="18"/>
          <w:szCs w:val="18"/>
          <w:color w:val="auto"/>
        </w:rPr>
        <w:t>Mr. M</w:t>
      </w:r>
      <w:r>
        <w:rPr>
          <w:rFonts w:ascii="MS PGothic" w:cs="MS PGothic" w:eastAsia="MS PGothic" w:hAnsi="MS PGothic"/>
          <w:sz w:val="18"/>
          <w:szCs w:val="18"/>
          <w:color w:val="auto"/>
        </w:rPr>
        <w:t>✔</w:t>
      </w:r>
      <w:r>
        <w:rPr>
          <w:rFonts w:ascii="Arial" w:cs="Arial" w:eastAsia="Arial" w:hAnsi="Arial"/>
          <w:sz w:val="18"/>
          <w:szCs w:val="18"/>
          <w:color w:val="auto"/>
        </w:rPr>
        <w:t>ller- Ineichen’s past employment experience provides the Board of Directors with accounting expertise, and his experience in the financial services industry provides the Board of Directors with valuable audit and accounting as well as strategic and financial insights. Furthermore, Mr. M</w:t>
      </w:r>
      <w:r>
        <w:rPr>
          <w:rFonts w:ascii="MS PGothic" w:cs="MS PGothic" w:eastAsia="MS PGothic" w:hAnsi="MS PGothic"/>
          <w:sz w:val="18"/>
          <w:szCs w:val="18"/>
          <w:color w:val="auto"/>
        </w:rPr>
        <w:t>✔</w:t>
      </w:r>
      <w:r>
        <w:rPr>
          <w:rFonts w:ascii="Arial" w:cs="Arial" w:eastAsia="Arial" w:hAnsi="Arial"/>
          <w:sz w:val="18"/>
          <w:szCs w:val="18"/>
          <w:color w:val="auto"/>
        </w:rPr>
        <w:t>ller-Ineichen is financially literate and qualifies as a financial expert as defined by the Nasdaq listing standards and SEC rules. Through his twelve plus years of service on our Board of Directors, Mr. M</w:t>
      </w:r>
      <w:r>
        <w:rPr>
          <w:rFonts w:ascii="MS PGothic" w:cs="MS PGothic" w:eastAsia="MS PGothic" w:hAnsi="MS PGothic"/>
          <w:sz w:val="18"/>
          <w:szCs w:val="18"/>
          <w:color w:val="auto"/>
        </w:rPr>
        <w:t>✔</w:t>
      </w:r>
      <w:r>
        <w:rPr>
          <w:rFonts w:ascii="Arial" w:cs="Arial" w:eastAsia="Arial" w:hAnsi="Arial"/>
          <w:sz w:val="18"/>
          <w:szCs w:val="18"/>
          <w:color w:val="auto"/>
        </w:rPr>
        <w:t>ller-Ineichen has developed a thorough understanding of our business and industry.</w:t>
      </w:r>
    </w:p>
    <w:p>
      <w:pPr>
        <w:spacing w:after="0" w:line="125"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b w:val="1"/>
          <w:bCs w:val="1"/>
          <w:i w:val="1"/>
          <w:iCs w:val="1"/>
          <w:color w:val="auto"/>
        </w:rPr>
        <w:t xml:space="preserve">William B. Shepro. </w:t>
      </w:r>
      <w:r>
        <w:rPr>
          <w:rFonts w:ascii="Arial" w:cs="Arial" w:eastAsia="Arial" w:hAnsi="Arial"/>
          <w:sz w:val="18"/>
          <w:szCs w:val="18"/>
          <w:color w:val="auto"/>
        </w:rPr>
        <w:t>Mr. Shepro was appointed Chief Executive Officer and to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Altisource in July 2009. Since May 2019, Mr. Shepro has served as Chairman of the Board of Directors. Mr. Shepro 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327"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6"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THAT YOU VOTE “FOR” EACH OF THE NOMINEES FOR DIRECTOR</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21" w:name="page22"/>
    <w:bookmarkEnd w:id="2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45085</wp:posOffset>
            </wp:positionV>
            <wp:extent cx="51936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Meetings of the Board of Directors</w:t>
      </w:r>
    </w:p>
    <w:p>
      <w:pPr>
        <w:spacing w:after="0" w:line="111" w:lineRule="exact"/>
        <w:rPr>
          <w:sz w:val="20"/>
          <w:szCs w:val="20"/>
          <w:color w:val="auto"/>
        </w:rPr>
      </w:pPr>
    </w:p>
    <w:p>
      <w:pPr>
        <w:ind w:left="1260" w:right="639"/>
        <w:spacing w:after="0" w:line="259" w:lineRule="auto"/>
        <w:rPr>
          <w:sz w:val="20"/>
          <w:szCs w:val="20"/>
          <w:color w:val="auto"/>
        </w:rPr>
      </w:pPr>
      <w:r>
        <w:rPr>
          <w:rFonts w:ascii="Arial" w:cs="Arial" w:eastAsia="Arial" w:hAnsi="Arial"/>
          <w:sz w:val="18"/>
          <w:szCs w:val="18"/>
          <w:color w:val="auto"/>
        </w:rPr>
        <w:t>The Board of Directors (also referred to herein as the “Board”)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Board of Directors met ten (10) times and took action pursuant to written consent one</w:t>
      </w:r>
    </w:p>
    <w:p>
      <w:pPr>
        <w:spacing w:after="0" w:line="26" w:lineRule="exact"/>
        <w:rPr>
          <w:sz w:val="20"/>
          <w:szCs w:val="20"/>
          <w:color w:val="auto"/>
        </w:rPr>
      </w:pPr>
    </w:p>
    <w:p>
      <w:pPr>
        <w:ind w:left="1260" w:right="519" w:hanging="5"/>
        <w:spacing w:after="0" w:line="257" w:lineRule="auto"/>
        <w:tabs>
          <w:tab w:leader="none" w:pos="15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in 2021. During 2021, each of our Directors attended at least seventy-five percent (75%) of Board meetings and meetings of the Committees on which they served during their applicable period of service.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Independence of Directors</w:t>
      </w:r>
    </w:p>
    <w:p>
      <w:pPr>
        <w:spacing w:after="0" w:line="111" w:lineRule="exact"/>
        <w:rPr>
          <w:sz w:val="20"/>
          <w:szCs w:val="20"/>
          <w:color w:val="auto"/>
        </w:rPr>
      </w:pPr>
    </w:p>
    <w:p>
      <w:pPr>
        <w:ind w:left="1260" w:right="659"/>
        <w:spacing w:after="0" w:line="285"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87"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and applicable law. The Board of Directors also considers beneficial ownership of our common stock by each of the Directors in its analysis,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33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Board of Directors has determined that all of our current Directors other than Mr. Shepro are independent under the Nasdaq listing standards. Mr. Shepro is deemed not to be independent because he serves as the Chief Executive Officer of Altisource. The Board of Directors has determined that upon his election, Mr. Aldridge will also qualify as independent.</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Executive Sessions of Independent Directors</w:t>
      </w:r>
    </w:p>
    <w:p>
      <w:pPr>
        <w:spacing w:after="0" w:line="111" w:lineRule="exact"/>
        <w:rPr>
          <w:sz w:val="20"/>
          <w:szCs w:val="20"/>
          <w:color w:val="auto"/>
        </w:rPr>
      </w:pPr>
    </w:p>
    <w:p>
      <w:pPr>
        <w:ind w:left="1260" w:right="1139"/>
        <w:spacing w:after="0" w:line="285" w:lineRule="auto"/>
        <w:rPr>
          <w:sz w:val="20"/>
          <w:szCs w:val="20"/>
          <w:color w:val="auto"/>
        </w:rPr>
      </w:pPr>
      <w:r>
        <w:rPr>
          <w:rFonts w:ascii="Arial" w:cs="Arial" w:eastAsia="Arial" w:hAnsi="Arial"/>
          <w:sz w:val="18"/>
          <w:szCs w:val="18"/>
          <w:color w:val="auto"/>
        </w:rPr>
        <w:t>Our independent Directors met in executive session of the Board of Directors without management four (4) times in 2021.</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Board Leadership Structure</w:t>
      </w:r>
    </w:p>
    <w:p>
      <w:pPr>
        <w:spacing w:after="0" w:line="111" w:lineRule="exact"/>
        <w:rPr>
          <w:sz w:val="20"/>
          <w:szCs w:val="20"/>
          <w:color w:val="auto"/>
        </w:rPr>
      </w:pPr>
    </w:p>
    <w:p>
      <w:pPr>
        <w:ind w:left="1260" w:right="1379"/>
        <w:spacing w:after="0" w:line="260" w:lineRule="auto"/>
        <w:rPr>
          <w:sz w:val="20"/>
          <w:szCs w:val="20"/>
          <w:color w:val="auto"/>
        </w:rPr>
      </w:pPr>
      <w:r>
        <w:rPr>
          <w:rFonts w:ascii="Arial" w:cs="Arial" w:eastAsia="Arial" w:hAnsi="Arial"/>
          <w:sz w:val="18"/>
          <w:szCs w:val="18"/>
          <w:color w:val="auto"/>
        </w:rPr>
        <w:t>Our Corporate Governance Guidelines provide that the Board may appoint a lead independent director unless the Chairman of the Board is an independent director.</w:t>
      </w:r>
    </w:p>
    <w:p>
      <w:pPr>
        <w:ind w:left="1260" w:right="539"/>
        <w:spacing w:after="0" w:line="216" w:lineRule="exact"/>
        <w:rPr>
          <w:sz w:val="20"/>
          <w:szCs w:val="20"/>
          <w:color w:val="auto"/>
        </w:rPr>
      </w:pPr>
      <w:r>
        <w:rPr>
          <w:rFonts w:ascii="Arial" w:cs="Arial" w:eastAsia="Arial" w:hAnsi="Arial"/>
          <w:sz w:val="18"/>
          <w:szCs w:val="18"/>
          <w:color w:val="auto"/>
        </w:rPr>
        <w:t>Mr. Shepro, our Chairman of the Board, is also our Chief Executive Officer, and, as a result, the Board believes that it is in the best interests of the Company and our shareholders to appoint a lead independent director. Mr. M</w:t>
      </w:r>
      <w:r>
        <w:rPr>
          <w:rFonts w:ascii="MS PGothic" w:cs="MS PGothic" w:eastAsia="MS PGothic" w:hAnsi="MS PGothic"/>
          <w:sz w:val="18"/>
          <w:szCs w:val="18"/>
          <w:color w:val="auto"/>
        </w:rPr>
        <w:t>✔</w:t>
      </w:r>
      <w:r>
        <w:rPr>
          <w:rFonts w:ascii="Arial" w:cs="Arial" w:eastAsia="Arial" w:hAnsi="Arial"/>
          <w:sz w:val="18"/>
          <w:szCs w:val="18"/>
          <w:color w:val="auto"/>
        </w:rPr>
        <w:t xml:space="preserve"> 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114"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The Board of Directors appointed Mr. Shepro as Chairman of the Board in May 2019. Our Board believes that it is appropriate to combine the positions of Chairman and Chief Executive Officer at this time due to Mr. Shepro’s critical role in our strategy, his experience with the Company and its customers, and his longevity with the Company. Mr. Shepro is responsible for the design, in consultation with the Board of Directors, and execution of the Company’s strategic plan. Our Board of Directors believes that he is the appropriate person to serve as its Chairman.</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22" w:name="page23"/>
    <w:bookmarkEnd w:id="2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294640</wp:posOffset>
            </wp:positionV>
            <wp:extent cx="302387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11"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319"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with our independent registered certified public accounting firm and certified auditor; (ii) provides assistance to our Board of Directors with respect to matters involving the accounting, financial reporting and internal control functions; (iii) establishes procedures for the receipt, retention and treatment of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w:t>
      </w:r>
    </w:p>
    <w:p>
      <w:pPr>
        <w:spacing w:after="0" w:line="2" w:lineRule="exact"/>
        <w:rPr>
          <w:sz w:val="20"/>
          <w:szCs w:val="20"/>
          <w:color w:val="auto"/>
        </w:rPr>
      </w:pPr>
    </w:p>
    <w:p>
      <w:pPr>
        <w:ind w:left="1260" w:right="519" w:hanging="5"/>
        <w:spacing w:after="0" w:line="237" w:lineRule="auto"/>
        <w:tabs>
          <w:tab w:leader="none" w:pos="15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the scope and results of the annual audit conducted by the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73" w:lineRule="exact"/>
        <w:rPr>
          <w:sz w:val="20"/>
          <w:szCs w:val="20"/>
          <w:color w:val="auto"/>
        </w:rPr>
      </w:pPr>
    </w:p>
    <w:p>
      <w:pPr>
        <w:ind w:left="1260" w:right="559"/>
        <w:spacing w:after="0" w:line="207" w:lineRule="exact"/>
        <w:rPr>
          <w:sz w:val="20"/>
          <w:szCs w:val="20"/>
          <w:color w:val="auto"/>
        </w:rPr>
      </w:pPr>
      <w:r>
        <w:rPr>
          <w:rFonts w:ascii="Arial" w:cs="Arial" w:eastAsia="Arial" w:hAnsi="Arial"/>
          <w:sz w:val="18"/>
          <w:szCs w:val="18"/>
          <w:color w:val="auto"/>
        </w:rPr>
        <w:t>The members of the Audit Committee during 2021 were Messrs. M</w:t>
      </w:r>
      <w:r>
        <w:rPr>
          <w:rFonts w:ascii="MS PGothic" w:cs="MS PGothic" w:eastAsia="MS PGothic" w:hAnsi="MS PGothic"/>
          <w:sz w:val="18"/>
          <w:szCs w:val="18"/>
          <w:color w:val="auto"/>
        </w:rPr>
        <w:t>✔</w:t>
      </w:r>
      <w:r>
        <w:rPr>
          <w:rFonts w:ascii="Arial" w:cs="Arial" w:eastAsia="Arial" w:hAnsi="Arial"/>
          <w:sz w:val="18"/>
          <w:szCs w:val="18"/>
          <w:color w:val="auto"/>
        </w:rPr>
        <w:t xml:space="preserve">ller -Ineichen, Burg and Morettini, with Mr. M </w:t>
      </w:r>
      <w:r>
        <w:rPr>
          <w:rFonts w:ascii="MS PGothic" w:cs="MS PGothic" w:eastAsia="MS PGothic" w:hAnsi="MS PGothic"/>
          <w:sz w:val="18"/>
          <w:szCs w:val="18"/>
          <w:color w:val="auto"/>
        </w:rPr>
        <w:t>✔</w:t>
      </w:r>
      <w:r>
        <w:rPr>
          <w:rFonts w:ascii="Arial" w:cs="Arial" w:eastAsia="Arial" w:hAnsi="Arial"/>
          <w:sz w:val="18"/>
          <w:szCs w:val="18"/>
          <w:color w:val="auto"/>
        </w:rPr>
        <w:t>ller-Ineichen serving as the Committee Chair. Mr. Burg resigned as a member of the Audit Committee effective March 1, 2022, upon his resignation from the Board of Directors. Following Mr. Burg’s resignation from the Board and Ms. Hickok’s appointment in March 2022, Ms. Hickok became a member of the Audit Committee. Each member of our Audit Committee is independent as defined in regulations adopted by the SEC and the Nasdaq listing standards. Our Board of Directors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305"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December 2021. The Audit Committee met ten (10) times in 2021. The Audit Committee met in executive session simultaneously with the Company’s internal and external auditors three (3) times, solely with the Company’s internal auditors one (1) time and solely with the Company’s external auditors four (4) times in 2021.</w:t>
      </w:r>
    </w:p>
    <w:p>
      <w:pPr>
        <w:spacing w:after="0" w:line="298"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our compensation and employee benefit plans and practices. Our Compensation Committee also evaluates and makes 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327" w:lineRule="exact"/>
        <w:rPr>
          <w:sz w:val="20"/>
          <w:szCs w:val="20"/>
          <w:color w:val="auto"/>
        </w:rPr>
      </w:pPr>
    </w:p>
    <w:p>
      <w:pPr>
        <w:ind w:left="1260" w:right="879"/>
        <w:spacing w:after="0" w:line="267"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 persons attend its meetings to provide advice, counsel or pertinent information as the Committee requests.</w:t>
      </w:r>
    </w:p>
    <w:p>
      <w:pPr>
        <w:sectPr>
          <w:pgSz w:w="11900" w:h="16838" w:orient="portrait"/>
          <w:cols w:equalWidth="0" w:num="1">
            <w:col w:w="9859"/>
          </w:cols>
          <w:pgMar w:left="600" w:top="97" w:right="1440" w:bottom="702"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702" w:gutter="0" w:footer="0" w:header="0"/>
          <w:type w:val="continuous"/>
        </w:sectPr>
      </w:pPr>
    </w:p>
    <w:bookmarkStart w:id="23" w:name="page24"/>
    <w:bookmarkEnd w:id="2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294640</wp:posOffset>
            </wp:positionV>
            <wp:extent cx="302387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82"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Certain executives are involved in the design and implementation of our executive compensation program. Our Chief Executive Officer generally attends Compensation Committee meetings, except that he is not present during any voting or deliberations related to his own compensation. Mr. Shepro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298" w:lineRule="exact"/>
        <w:rPr>
          <w:sz w:val="20"/>
          <w:szCs w:val="20"/>
          <w:color w:val="auto"/>
        </w:rPr>
      </w:pPr>
    </w:p>
    <w:p>
      <w:pPr>
        <w:ind w:left="1260" w:right="619"/>
        <w:spacing w:after="0" w:line="256"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or 5,000 restricted shares (or similar equity instrument) per employee (other than Named Executive Officers), with an exercise price of up to $50 per share and in an aggregate amount of up to 75,000 stock options or restricted shares (or similar equity instrument) per calendar year. Awards approved by the Chief Executive Officer pursuant to this delegation are reported to the Compensation Committee on a regular basis.</w:t>
      </w:r>
    </w:p>
    <w:p>
      <w:pPr>
        <w:spacing w:after="0" w:line="316"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15" w:lineRule="exact"/>
        <w:rPr>
          <w:sz w:val="20"/>
          <w:szCs w:val="20"/>
          <w:color w:val="auto"/>
        </w:rPr>
      </w:pPr>
    </w:p>
    <w:p>
      <w:pPr>
        <w:ind w:left="1260" w:right="439"/>
        <w:spacing w:after="0" w:line="222" w:lineRule="exact"/>
        <w:rPr>
          <w:sz w:val="20"/>
          <w:szCs w:val="20"/>
          <w:color w:val="auto"/>
        </w:rPr>
      </w:pPr>
      <w:r>
        <w:rPr>
          <w:rFonts w:ascii="Arial" w:cs="Arial" w:eastAsia="Arial" w:hAnsi="Arial"/>
          <w:sz w:val="18"/>
          <w:szCs w:val="18"/>
          <w:color w:val="auto"/>
        </w:rPr>
        <w:t>The members of the Compensation Committee during 2021 were Messrs. Burg, Morettini and M</w:t>
      </w:r>
      <w:r>
        <w:rPr>
          <w:rFonts w:ascii="MS PGothic" w:cs="MS PGothic" w:eastAsia="MS PGothic" w:hAnsi="MS PGothic"/>
          <w:sz w:val="18"/>
          <w:szCs w:val="18"/>
          <w:color w:val="auto"/>
        </w:rPr>
        <w:t>✔</w:t>
      </w:r>
      <w:r>
        <w:rPr>
          <w:rFonts w:ascii="Arial" w:cs="Arial" w:eastAsia="Arial" w:hAnsi="Arial"/>
          <w:sz w:val="18"/>
          <w:szCs w:val="18"/>
          <w:color w:val="auto"/>
        </w:rPr>
        <w:t>ller-Ineichen, with Mr. Burg serving as the Committee Chair until his resignation as a member of the Compensation Committee effective March 1, 2022, upon his resignation from the Board of Directors. Following Mr. Burg’s resignation from the Board and Ms. Hickok’s appointment in March 2022, Ms. Hickok became a member and the Chair of the Compensation Committee.</w:t>
      </w:r>
    </w:p>
    <w:p>
      <w:pPr>
        <w:spacing w:after="0" w:line="331"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Each member of the Compensation Committee is independent as defined by the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317"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December 2021. The Compensation Committee met six (6) times and took action pursuant to written consent one (1) time in 2021.</w:t>
      </w:r>
    </w:p>
    <w:p>
      <w:pPr>
        <w:spacing w:after="0" w:line="333" w:lineRule="exact"/>
        <w:rPr>
          <w:sz w:val="20"/>
          <w:szCs w:val="20"/>
          <w:color w:val="auto"/>
        </w:rPr>
      </w:pPr>
    </w:p>
    <w:p>
      <w:pPr>
        <w:ind w:left="1260" w:right="499"/>
        <w:spacing w:after="0" w:line="220" w:lineRule="exact"/>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with 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2021 were Messrs. Burg, Morettini and M</w:t>
      </w:r>
      <w:r>
        <w:rPr>
          <w:rFonts w:ascii="MS PGothic" w:cs="MS PGothic" w:eastAsia="MS PGothic" w:hAnsi="MS PGothic"/>
          <w:sz w:val="18"/>
          <w:szCs w:val="18"/>
          <w:color w:val="auto"/>
        </w:rPr>
        <w:t>✔</w:t>
      </w:r>
      <w:r>
        <w:rPr>
          <w:rFonts w:ascii="Arial" w:cs="Arial" w:eastAsia="Arial" w:hAnsi="Arial"/>
          <w:sz w:val="18"/>
          <w:szCs w:val="18"/>
          <w:color w:val="auto"/>
        </w:rPr>
        <w:t>ller- Ineichen, with Mr. Morettini serving as the Committee Chair. Mr. Burg resigned as a member of the Compliance Committee effective March 1, 2022, upon his resignation from the Board of Directors.</w:t>
      </w:r>
    </w:p>
    <w:p>
      <w:pPr>
        <w:spacing w:after="0" w:line="333"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w:t>
      </w:r>
    </w:p>
    <w:p>
      <w:pPr>
        <w:sectPr>
          <w:pgSz w:w="11900" w:h="16838" w:orient="portrait"/>
          <w:cols w:equalWidth="0" w:num="1">
            <w:col w:w="9859"/>
          </w:cols>
          <w:pgMar w:left="600" w:top="97" w:right="1440" w:bottom="57" w:gutter="0" w:footer="0" w:header="0"/>
        </w:sect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57" w:gutter="0" w:footer="0" w:header="0"/>
          <w:type w:val="continuous"/>
        </w:sectPr>
      </w:pPr>
    </w:p>
    <w:bookmarkStart w:id="24" w:name="page25"/>
    <w:bookmarkEnd w:id="2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294640</wp:posOffset>
            </wp:positionV>
            <wp:extent cx="302387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82" w:lineRule="exact"/>
        <w:rPr>
          <w:sz w:val="20"/>
          <w:szCs w:val="20"/>
          <w:color w:val="auto"/>
        </w:rPr>
      </w:pPr>
    </w:p>
    <w:p>
      <w:pPr>
        <w:ind w:left="1260" w:right="1839"/>
        <w:spacing w:after="0" w:line="270" w:lineRule="auto"/>
        <w:rPr>
          <w:sz w:val="20"/>
          <w:szCs w:val="20"/>
          <w:color w:val="auto"/>
        </w:rPr>
      </w:pPr>
      <w:r>
        <w:rPr>
          <w:rFonts w:ascii="Arial" w:cs="Arial" w:eastAsia="Arial" w:hAnsi="Arial"/>
          <w:sz w:val="18"/>
          <w:szCs w:val="18"/>
          <w:color w:val="auto"/>
        </w:rPr>
        <w:t>of its charter. The charter was last reviewed by the Compliance Committee in December 2021. The Compliance Committee met four (4) times in 2021.</w:t>
      </w:r>
    </w:p>
    <w:p>
      <w:pPr>
        <w:spacing w:after="0" w:line="86" w:lineRule="exact"/>
        <w:rPr>
          <w:sz w:val="20"/>
          <w:szCs w:val="20"/>
          <w:color w:val="auto"/>
        </w:rPr>
      </w:pPr>
    </w:p>
    <w:p>
      <w:pPr>
        <w:ind w:left="1260" w:right="439"/>
        <w:spacing w:after="0"/>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makes recommendations to the Board of individuals qualified to serve as Directors and 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98" w:lineRule="exact"/>
        <w:rPr>
          <w:sz w:val="20"/>
          <w:szCs w:val="20"/>
          <w:color w:val="auto"/>
        </w:rPr>
      </w:pPr>
    </w:p>
    <w:p>
      <w:pPr>
        <w:ind w:left="1260" w:right="659"/>
        <w:spacing w:after="0" w:line="208" w:lineRule="exact"/>
        <w:rPr>
          <w:sz w:val="20"/>
          <w:szCs w:val="20"/>
          <w:color w:val="auto"/>
        </w:rPr>
      </w:pPr>
      <w:r>
        <w:rPr>
          <w:rFonts w:ascii="Arial" w:cs="Arial" w:eastAsia="Arial" w:hAnsi="Arial"/>
          <w:sz w:val="18"/>
          <w:szCs w:val="18"/>
          <w:color w:val="auto"/>
        </w:rPr>
        <w:t>The members of the Nomination/Governance Committee during 2021 were Messrs. Burg, Morettini and M</w:t>
      </w:r>
      <w:r>
        <w:rPr>
          <w:rFonts w:ascii="MS PGothic" w:cs="MS PGothic" w:eastAsia="MS PGothic" w:hAnsi="MS PGothic"/>
          <w:sz w:val="18"/>
          <w:szCs w:val="18"/>
          <w:color w:val="auto"/>
        </w:rPr>
        <w:t>✔</w:t>
      </w:r>
      <w:r>
        <w:rPr>
          <w:rFonts w:ascii="Arial" w:cs="Arial" w:eastAsia="Arial" w:hAnsi="Arial"/>
          <w:sz w:val="18"/>
          <w:szCs w:val="18"/>
          <w:color w:val="auto"/>
        </w:rPr>
        <w:t>ller-Ineichen, with Mr. Morettini serving as the Committee Chair. Mr. Burg resigned as a member of the Nomination/Governance Committee effective March 1, 2022, upon his resignation from the Board of Directors. Each member of the Nomination/Governance Committee is independent as defined by the Nasdaq listing standards.</w:t>
      </w:r>
    </w:p>
    <w:p>
      <w:pPr>
        <w:spacing w:after="0" w:line="319"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December 2021. The Nomination/Governance Committee met four (4) times in 2021.</w:t>
      </w:r>
    </w:p>
    <w:p>
      <w:pPr>
        <w:spacing w:after="0" w:line="308"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are anticipated. The Nomination/Governance Committee then identifies various potential candidates for Director. Candidates may come to the attention of the Nomination/Governance Committee through current members of the Board of Directors, professional search firms, shareholders or industry sources.</w:t>
      </w:r>
    </w:p>
    <w:p>
      <w:pPr>
        <w:spacing w:after="0" w:line="306"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 the Nomination/Governance Committee considers differences that relate to gender, age, ethnicity, race, national origin, cultural background, disability, religion and other relevant personal distinctions. The Nomination/Governance Committee assesses the effectiveness of our Board Diversity policy as part of its annual review of the composition of our Board of Directors and considers the results of this assessment when evaluating director nominees. Our Board Diversity Policy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303"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backgrounds of the current members of our Board of Directors; (ii) whether the candidate meets the independence standards set forth under applicable laws, regulations and the Nasdaq listing standards; (iii) the balance of management and independent Directors; (iv) the need for Audit Committee expertise; and (v) the evaluation of other prospective nominees.</w:t>
      </w:r>
    </w:p>
    <w:p>
      <w:pPr>
        <w:spacing w:after="0" w:line="313"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will interview prospective nominees. After completing the evaluation and interviews,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305"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33, Boulevard Prince Henri, L-1724 Luxembourg City, Grand Duchy of Luxembourg. Should you recommend a qualified candidate for Director, our Nomination/Governance Committee would evaluate such candidate in the same manner that it evaluates any other candidate. You should provide each proposed</w:t>
      </w:r>
    </w:p>
    <w:p>
      <w:pPr>
        <w:sectPr>
          <w:pgSz w:w="11900" w:h="16838" w:orient="portrait"/>
          <w:cols w:equalWidth="0" w:num="1">
            <w:col w:w="9859"/>
          </w:cols>
          <w:pgMar w:left="600" w:top="97" w:right="1440" w:bottom="608" w:gutter="0" w:footer="0" w:header="0"/>
        </w:sect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608" w:gutter="0" w:footer="0" w:header="0"/>
          <w:type w:val="continuous"/>
        </w:sectPr>
      </w:pPr>
    </w:p>
    <w:bookmarkStart w:id="25" w:name="page26"/>
    <w:bookmarkEnd w:id="2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294640</wp:posOffset>
            </wp:positionV>
            <wp:extent cx="302387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82"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2023 annual meeting of shareholders must be received at our registered office no later than December 5, 2022. Please see the “Shareholder Rights” and “Shareholder Proposals” sections for additional information regarding shareholder proposals.</w:t>
      </w:r>
    </w:p>
    <w:p>
      <w:pPr>
        <w:spacing w:after="0" w:line="112"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Our Nomination/Governance Committee addressed the subject of Board diversity in several meetings during the course of the year and undertook efforts to recruit a diverse director candidate with relevant experience in the mortgage industry. At the recommendation of the Nomination/Governance Committee, in March 2022, the Board of Directors appointed Mary C. Hickok to fill the vacant director position created by the resignation of Scott Burg from our Board.</w:t>
      </w:r>
    </w:p>
    <w:p>
      <w:pPr>
        <w:spacing w:after="0" w:line="306" w:lineRule="exact"/>
        <w:rPr>
          <w:sz w:val="20"/>
          <w:szCs w:val="20"/>
          <w:color w:val="auto"/>
        </w:rPr>
      </w:pPr>
    </w:p>
    <w:p>
      <w:pPr>
        <w:ind w:left="1260" w:right="499"/>
        <w:spacing w:after="0" w:line="212" w:lineRule="exact"/>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generally acts on behalf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during the intervals between meetings of our Board of Directors and otherwise assists the Board in handling matters that, in the opinion of the Chairman of the Board, should not be postponed until the next scheduled meeting of the Board. The members of our Executive Committee during 2021 were Messrs. Shepro and M</w:t>
      </w:r>
      <w:r>
        <w:rPr>
          <w:rFonts w:ascii="MS PGothic" w:cs="MS PGothic" w:eastAsia="MS PGothic" w:hAnsi="MS PGothic"/>
          <w:sz w:val="18"/>
          <w:szCs w:val="18"/>
          <w:color w:val="auto"/>
        </w:rPr>
        <w:t>✔</w:t>
      </w:r>
      <w:r>
        <w:rPr>
          <w:rFonts w:ascii="Arial" w:cs="Arial" w:eastAsia="Arial" w:hAnsi="Arial"/>
          <w:sz w:val="18"/>
          <w:szCs w:val="18"/>
          <w:color w:val="auto"/>
        </w:rPr>
        <w:t>ller-Ineichen, with Mr. M</w:t>
      </w:r>
      <w:r>
        <w:rPr>
          <w:rFonts w:ascii="MS PGothic" w:cs="MS PGothic" w:eastAsia="MS PGothic" w:hAnsi="MS PGothic"/>
          <w:sz w:val="18"/>
          <w:szCs w:val="18"/>
          <w:color w:val="auto"/>
        </w:rPr>
        <w:t>✔</w:t>
      </w:r>
      <w:r>
        <w:rPr>
          <w:rFonts w:ascii="Arial" w:cs="Arial" w:eastAsia="Arial" w:hAnsi="Arial"/>
          <w:sz w:val="18"/>
          <w:szCs w:val="18"/>
          <w:color w:val="auto"/>
        </w:rPr>
        <w:t>ller-Ineichen serving as the Committee Chair.</w:t>
      </w:r>
    </w:p>
    <w:p>
      <w:pPr>
        <w:spacing w:after="0" w:line="302"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Executive Committee reviews and approves its charter and presents any recommendations for amendments to the Board. The Executive Committee also evaluates its performance under its charter and delivers a report to the Board setting forth the results of its evaluation, provided that such performance evaluation shall not be necessary where minimal action was taken during the year. The charter was last reviewed by the Executive Committee in December 2021. The Executive Committee did not meet and took no action pursuant to written consent in 2021.</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Governance Guidelines</w:t>
      </w:r>
    </w:p>
    <w:p>
      <w:pPr>
        <w:spacing w:after="0" w:line="111"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308" w:lineRule="exact"/>
        <w:rPr>
          <w:sz w:val="20"/>
          <w:szCs w:val="20"/>
          <w:color w:val="auto"/>
        </w:rPr>
      </w:pPr>
    </w:p>
    <w:p>
      <w:pPr>
        <w:ind w:left="1260" w:right="739"/>
        <w:spacing w:after="0" w:line="243"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December 2021.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Rights</w:t>
      </w:r>
    </w:p>
    <w:p>
      <w:pPr>
        <w:spacing w:after="0" w:line="111" w:lineRule="exact"/>
        <w:rPr>
          <w:sz w:val="20"/>
          <w:szCs w:val="20"/>
          <w:color w:val="auto"/>
        </w:rPr>
      </w:pPr>
    </w:p>
    <w:p>
      <w:pPr>
        <w:jc w:val="both"/>
        <w:ind w:left="1260" w:right="1079"/>
        <w:spacing w:after="0" w:line="252"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48" w:lineRule="exact"/>
        <w:rPr>
          <w:sz w:val="20"/>
          <w:szCs w:val="20"/>
          <w:color w:val="auto"/>
        </w:rPr>
      </w:pPr>
    </w:p>
    <w:p>
      <w:pPr>
        <w:ind w:left="1800" w:hanging="187"/>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02" w:lineRule="exact"/>
        <w:rPr>
          <w:rFonts w:ascii="Arial" w:cs="Arial" w:eastAsia="Arial" w:hAnsi="Arial"/>
          <w:sz w:val="18"/>
          <w:szCs w:val="18"/>
          <w:color w:val="auto"/>
        </w:rPr>
      </w:pPr>
    </w:p>
    <w:p>
      <w:pPr>
        <w:ind w:left="1800" w:right="1139" w:hanging="187"/>
        <w:spacing w:after="0" w:line="285"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Altisource does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board</w:t>
      </w:r>
    </w:p>
    <w:p>
      <w:pPr>
        <w:spacing w:after="0" w:line="33" w:lineRule="exact"/>
        <w:rPr>
          <w:rFonts w:ascii="Arial" w:cs="Arial" w:eastAsia="Arial" w:hAnsi="Arial"/>
          <w:sz w:val="18"/>
          <w:szCs w:val="18"/>
          <w:color w:val="auto"/>
        </w:rPr>
      </w:pPr>
    </w:p>
    <w:p>
      <w:pPr>
        <w:ind w:left="1800" w:right="519" w:hanging="187"/>
        <w:spacing w:after="0" w:line="258"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Company’s share capital may nominate candidates for election to the Altisource Board of Directors and make other proposals for inclusion in the proxy statement, subject to completing certain formalities. Please see the “Shareholder Proposals” section for additional information</w:t>
      </w:r>
    </w:p>
    <w:p>
      <w:pPr>
        <w:spacing w:after="0" w:line="57" w:lineRule="exact"/>
        <w:rPr>
          <w:rFonts w:ascii="Arial" w:cs="Arial" w:eastAsia="Arial" w:hAnsi="Arial"/>
          <w:sz w:val="18"/>
          <w:szCs w:val="18"/>
          <w:color w:val="auto"/>
        </w:rPr>
      </w:pPr>
    </w:p>
    <w:p>
      <w:pPr>
        <w:ind w:left="1800" w:right="879" w:hanging="187"/>
        <w:spacing w:after="0" w:line="285"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share capital</w:t>
      </w:r>
    </w:p>
    <w:p>
      <w:pPr>
        <w:sectPr>
          <w:pgSz w:w="11900" w:h="16838" w:orient="portrait"/>
          <w:cols w:equalWidth="0" w:num="1">
            <w:col w:w="9859"/>
          </w:cols>
          <w:pgMar w:left="600" w:top="97" w:right="1440" w:bottom="1440" w:gutter="0" w:footer="0" w:header="0"/>
        </w:sect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26" w:name="page27"/>
    <w:bookmarkEnd w:id="2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294640</wp:posOffset>
            </wp:positionV>
            <wp:extent cx="302387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82" w:lineRule="exact"/>
        <w:rPr>
          <w:sz w:val="20"/>
          <w:szCs w:val="20"/>
          <w:color w:val="auto"/>
        </w:rPr>
      </w:pPr>
    </w:p>
    <w:p>
      <w:pPr>
        <w:ind w:left="1800" w:right="879" w:hanging="187"/>
        <w:spacing w:after="0" w:line="285"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Altisource does not maintain a shareholder rights plan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called a “poison pill”)</w:t>
      </w:r>
    </w:p>
    <w:p>
      <w:pPr>
        <w:spacing w:after="0" w:line="87" w:lineRule="exact"/>
        <w:rPr>
          <w:sz w:val="20"/>
          <w:szCs w:val="20"/>
          <w:color w:val="auto"/>
        </w:rPr>
      </w:pPr>
    </w:p>
    <w:p>
      <w:pPr>
        <w:ind w:left="1260" w:right="1119"/>
        <w:spacing w:after="0" w:line="252" w:lineRule="auto"/>
        <w:rPr>
          <w:sz w:val="20"/>
          <w:szCs w:val="20"/>
          <w:color w:val="auto"/>
        </w:rPr>
      </w:pPr>
      <w:r>
        <w:rPr>
          <w:rFonts w:ascii="Arial" w:cs="Arial" w:eastAsia="Arial" w:hAnsi="Arial"/>
          <w:sz w:val="18"/>
          <w:szCs w:val="18"/>
          <w:color w:val="auto"/>
        </w:rPr>
        <w:t>The Board of Directors and its Committees monitor developments in governance best practices to assure that the Board continues to meet its commitment to represent shareholder interests.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Engagement</w:t>
      </w:r>
    </w:p>
    <w:p>
      <w:pPr>
        <w:spacing w:after="0" w:line="111" w:lineRule="exact"/>
        <w:rPr>
          <w:sz w:val="20"/>
          <w:szCs w:val="20"/>
          <w:color w:val="auto"/>
        </w:rPr>
      </w:pPr>
    </w:p>
    <w:p>
      <w:pPr>
        <w:ind w:left="1260" w:right="599"/>
        <w:spacing w:after="0"/>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300" w:lineRule="exact"/>
        <w:rPr>
          <w:sz w:val="20"/>
          <w:szCs w:val="20"/>
          <w:color w:val="auto"/>
        </w:rPr>
      </w:pPr>
    </w:p>
    <w:p>
      <w:pPr>
        <w:ind w:left="1260" w:right="619"/>
        <w:spacing w:after="0"/>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319"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38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Code of Ethics</w:t>
      </w:r>
    </w:p>
    <w:p>
      <w:pPr>
        <w:spacing w:after="0" w:line="111"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 xml:space="preserve">We have a Code of Business Conduct and Ethics that applies to our Directors, officers and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On an annual basis, the Board of Directors reviews and approves the Code of Business Conduct and Ethics and the Code of Ethics for Senior Financial Officers. The Code of Business Conduct and Ethics was last reviewed by the Board of Directors in December 2021 and the Code of Ethics for Senior Financial Officers was last reviewed by the Board of Directors in December 2021. Any amendments to the Code of Business Conduct and Ethics or the Code of Ethics for Senior Financial Officers, as well as any waivers that are required to be disclosed under SEC rules or the Nasdaq listing standards, must be approved by our Board of Directors or the Audit Committee and will be posted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or otherwise disclosed in accordance with such rules.</w:t>
      </w:r>
    </w:p>
    <w:p>
      <w:pPr>
        <w:spacing w:after="0" w:line="200" w:lineRule="exact"/>
        <w:rPr>
          <w:sz w:val="20"/>
          <w:szCs w:val="20"/>
          <w:color w:val="auto"/>
        </w:rPr>
      </w:pPr>
    </w:p>
    <w:p>
      <w:pPr>
        <w:spacing w:after="0" w:line="34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Risk Management and Oversight Process</w:t>
      </w:r>
    </w:p>
    <w:p>
      <w:pPr>
        <w:spacing w:after="0" w:line="111" w:lineRule="exact"/>
        <w:rPr>
          <w:sz w:val="20"/>
          <w:szCs w:val="20"/>
          <w:color w:val="auto"/>
        </w:rPr>
      </w:pPr>
    </w:p>
    <w:p>
      <w:pPr>
        <w:ind w:left="1260" w:right="499"/>
        <w:spacing w:after="0" w:line="285" w:lineRule="auto"/>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87"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90" w:lineRule="exact"/>
        <w:rPr>
          <w:sz w:val="20"/>
          <w:szCs w:val="20"/>
          <w:color w:val="auto"/>
        </w:rPr>
      </w:pPr>
    </w:p>
    <w:p>
      <w:pPr>
        <w:jc w:val="both"/>
        <w:ind w:left="1260" w:right="1179"/>
        <w:spacing w:after="0" w:line="252" w:lineRule="auto"/>
        <w:rPr>
          <w:sz w:val="20"/>
          <w:szCs w:val="20"/>
          <w:color w:val="auto"/>
        </w:rPr>
      </w:pPr>
      <w:r>
        <w:rPr>
          <w:rFonts w:ascii="Arial" w:cs="Arial" w:eastAsia="Arial" w:hAnsi="Arial"/>
          <w:sz w:val="18"/>
          <w:szCs w:val="18"/>
          <w:color w:val="auto"/>
        </w:rPr>
        <w:t>Our Audit Committee annually performs, and reports to the Board of Directors on, an enterprise risk assessment with management to review the principal risks that could adversely affect our business, and to monitor the</w:t>
      </w:r>
    </w:p>
    <w:p>
      <w:pPr>
        <w:sectPr>
          <w:pgSz w:w="11900" w:h="16838" w:orient="portrait"/>
          <w:cols w:equalWidth="0" w:num="1">
            <w:col w:w="9859"/>
          </w:cols>
          <w:pgMar w:left="600" w:top="97" w:right="1440" w:bottom="541"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541" w:gutter="0" w:footer="0" w:header="0"/>
          <w:type w:val="continuous"/>
        </w:sectPr>
      </w:pPr>
    </w:p>
    <w:bookmarkStart w:id="27" w:name="page28"/>
    <w:bookmarkEnd w:id="2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294640</wp:posOffset>
            </wp:positionV>
            <wp:extent cx="302387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82"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steps management is taking to map and mitigate these risks. This enterprise risk assessment reviews: (i) operational risks; (ii) financial risks; (iii) legal and regulatory compliance risks; (iv) reputational risks; (v) technology risks; (vi) privacy risks; (vii) data security (including cybersecurity) risks; (viii) strategic risks; and (ix) other risks that could adversely affect our business.</w:t>
      </w:r>
    </w:p>
    <w:p>
      <w:pPr>
        <w:spacing w:after="0" w:line="331" w:lineRule="exact"/>
        <w:rPr>
          <w:sz w:val="20"/>
          <w:szCs w:val="20"/>
          <w:color w:val="auto"/>
        </w:rPr>
      </w:pPr>
    </w:p>
    <w:p>
      <w:pPr>
        <w:ind w:left="1260" w:right="459"/>
        <w:spacing w:after="0" w:line="258"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98"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10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Hedging</w:t>
      </w:r>
    </w:p>
    <w:p>
      <w:pPr>
        <w:spacing w:after="0" w:line="111" w:lineRule="exact"/>
        <w:rPr>
          <w:sz w:val="20"/>
          <w:szCs w:val="20"/>
          <w:color w:val="auto"/>
        </w:rPr>
      </w:pPr>
    </w:p>
    <w:p>
      <w:pPr>
        <w:ind w:left="1260" w:right="559"/>
        <w:spacing w:after="0" w:line="256" w:lineRule="auto"/>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9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Responsibility, Sustainability and Human Rights</w:t>
      </w:r>
    </w:p>
    <w:p>
      <w:pPr>
        <w:spacing w:after="0" w:line="111"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of Directors oversees the Corporate Responsibility Management Committee and receives regular updates on the effectiveness of our corporate responsibility initiatives.</w:t>
      </w:r>
    </w:p>
    <w:p>
      <w:pPr>
        <w:spacing w:after="0" w:line="115"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At the recommendation of the Corporate Responsibility Management Committee, in December 2021, the Board of Directors established a target of reducing our greenhouse gas emissions by 25% compared to 2019, the last year we were fully operational in our offices.</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28" w:name="page29"/>
    <w:bookmarkEnd w:id="2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Compensation Arrangements for Non-Management Directors</w:t>
      </w:r>
    </w:p>
    <w:p>
      <w:pPr>
        <w:spacing w:after="0" w:line="11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305"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In line with our philosophy that the interests of our Directors should align with the interests of our shareholders, and to encourage active membership, non- 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13" w:lineRule="exact"/>
        <w:rPr>
          <w:sz w:val="20"/>
          <w:szCs w:val="20"/>
          <w:color w:val="auto"/>
        </w:rPr>
      </w:pPr>
    </w:p>
    <w:p>
      <w:pPr>
        <w:ind w:left="1260" w:right="539"/>
        <w:spacing w:after="0" w:line="241" w:lineRule="auto"/>
        <w:rPr>
          <w:sz w:val="20"/>
          <w:szCs w:val="20"/>
          <w:color w:val="auto"/>
        </w:rPr>
      </w:pPr>
      <w:r>
        <w:rPr>
          <w:rFonts w:ascii="Arial" w:cs="Arial" w:eastAsia="Arial" w:hAnsi="Arial"/>
          <w:sz w:val="18"/>
          <w:szCs w:val="18"/>
          <w:color w:val="auto"/>
        </w:rPr>
        <w:t>For the 2020 to 2021 service year, each of our non -management Directors who attended at least seventy- five percent (75%) of all meetings of the Board of Directors and Committees on which they served received 12,786 shares of our common stock at the end of the service year, based on an award value of $120,000 divided by the average of the high and low prices of the common stock as reported on the Nasdaq Global Select Market on May 20, 2020 (the first day of the 2020 to 2021 service year).</w:t>
      </w:r>
    </w:p>
    <w:p>
      <w:pPr>
        <w:spacing w:after="0" w:line="112"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For the 2021 to 2022 service year, our non -management Directors who attend at least seventy-five percent (75%) of all meetings of the Board and Committees on which they serve will receive 17,180 shares of common stock at the end of the service year, based on an award value of $120,000, divided by the average of the high and low prices of the common stock as reported on the Nasdaq Global Select Market on May 19, 2021 (the first day of the 2021 to 2022 service year). Since Mr. Burg attended all of the meetings for the 2021 to 2022 service year while he served on the Board, he will receive 13,462 shares of common stock, based on a prorated award value of $94,030. Because Ms. Hickok has attended all of the meetings since her election to the Board, she will receive 3,718 shares of common stock, based on a prorated award value of $25,970.</w:t>
      </w:r>
    </w:p>
    <w:p>
      <w:pPr>
        <w:spacing w:after="0" w:line="290" w:lineRule="exact"/>
        <w:rPr>
          <w:sz w:val="20"/>
          <w:szCs w:val="20"/>
          <w:color w:val="auto"/>
        </w:rPr>
      </w:pPr>
    </w:p>
    <w:p>
      <w:pPr>
        <w:ind w:left="1260" w:right="679"/>
        <w:spacing w:after="0"/>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2" w:lineRule="exact"/>
        <w:rPr>
          <w:sz w:val="20"/>
          <w:szCs w:val="20"/>
          <w:color w:val="auto"/>
        </w:rPr>
      </w:pPr>
    </w:p>
    <w:p>
      <w:pPr>
        <w:ind w:left="1260" w:right="979" w:hanging="5"/>
        <w:spacing w:after="0" w:line="242" w:lineRule="auto"/>
        <w:tabs>
          <w:tab w:leader="none" w:pos="15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equal installments, with the initial portion vesting on the date of the annual meeting following the award and vesting continuing on the dates of the next three (3) annual meetings.</w:t>
      </w:r>
    </w:p>
    <w:p>
      <w:pPr>
        <w:spacing w:after="0" w:line="318" w:lineRule="exact"/>
        <w:rPr>
          <w:sz w:val="20"/>
          <w:szCs w:val="20"/>
          <w:color w:val="auto"/>
        </w:rPr>
      </w:pPr>
    </w:p>
    <w:p>
      <w:pPr>
        <w:ind w:left="1260" w:right="799"/>
        <w:spacing w:after="0" w:line="252"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61" w:lineRule="exact"/>
        <w:rPr>
          <w:sz w:val="20"/>
          <w:szCs w:val="20"/>
          <w:color w:val="auto"/>
        </w:rPr>
      </w:pPr>
    </w:p>
    <w:p>
      <w:pPr>
        <w:ind w:left="1800" w:hanging="187"/>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88" w:lineRule="exact"/>
        <w:rPr>
          <w:rFonts w:ascii="Arial" w:cs="Arial" w:eastAsia="Arial" w:hAnsi="Arial"/>
          <w:sz w:val="18"/>
          <w:szCs w:val="18"/>
          <w:color w:val="auto"/>
        </w:rPr>
      </w:pPr>
    </w:p>
    <w:p>
      <w:pPr>
        <w:ind w:left="1800" w:right="639" w:hanging="187"/>
        <w:spacing w:after="0" w:line="262"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$100,000 to the Chairman of the Board of Directors,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ind w:left="1800" w:hanging="187"/>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87" w:lineRule="exact"/>
        <w:rPr>
          <w:rFonts w:ascii="Arial" w:cs="Arial" w:eastAsia="Arial" w:hAnsi="Arial"/>
          <w:sz w:val="18"/>
          <w:szCs w:val="18"/>
          <w:color w:val="auto"/>
        </w:rPr>
      </w:pPr>
    </w:p>
    <w:p>
      <w:pPr>
        <w:ind w:left="1800" w:hanging="187"/>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w:t>
      </w:r>
    </w:p>
    <w:p>
      <w:pPr>
        <w:spacing w:after="0" w:line="88" w:lineRule="exact"/>
        <w:rPr>
          <w:rFonts w:ascii="Arial" w:cs="Arial" w:eastAsia="Arial" w:hAnsi="Arial"/>
          <w:sz w:val="18"/>
          <w:szCs w:val="18"/>
          <w:color w:val="auto"/>
        </w:rPr>
      </w:pPr>
    </w:p>
    <w:p>
      <w:pPr>
        <w:ind w:left="1800" w:hanging="187"/>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102" w:lineRule="exact"/>
        <w:rPr>
          <w:rFonts w:ascii="Arial" w:cs="Arial" w:eastAsia="Arial" w:hAnsi="Arial"/>
          <w:sz w:val="18"/>
          <w:szCs w:val="18"/>
          <w:color w:val="auto"/>
        </w:rPr>
      </w:pPr>
    </w:p>
    <w:p>
      <w:pPr>
        <w:ind w:left="1800" w:hanging="187"/>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102" w:lineRule="exact"/>
        <w:rPr>
          <w:rFonts w:ascii="Arial" w:cs="Arial" w:eastAsia="Arial" w:hAnsi="Arial"/>
          <w:sz w:val="18"/>
          <w:szCs w:val="18"/>
          <w:color w:val="auto"/>
        </w:rPr>
      </w:pPr>
    </w:p>
    <w:p>
      <w:pPr>
        <w:ind w:left="1800" w:right="1419" w:hanging="187"/>
        <w:spacing w:after="0" w:line="285"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19" w:lineRule="exact"/>
        <w:rPr>
          <w:rFonts w:ascii="Arial" w:cs="Arial" w:eastAsia="Arial" w:hAnsi="Arial"/>
          <w:sz w:val="18"/>
          <w:szCs w:val="18"/>
          <w:color w:val="auto"/>
        </w:rPr>
      </w:pPr>
    </w:p>
    <w:p>
      <w:pPr>
        <w:ind w:left="1800" w:right="1359" w:hanging="187"/>
        <w:spacing w:after="0" w:line="285"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w:t>
      </w:r>
    </w:p>
    <w:p>
      <w:pPr>
        <w:spacing w:after="0" w:line="33" w:lineRule="exact"/>
        <w:rPr>
          <w:rFonts w:ascii="Arial" w:cs="Arial" w:eastAsia="Arial" w:hAnsi="Arial"/>
          <w:sz w:val="18"/>
          <w:szCs w:val="18"/>
          <w:color w:val="auto"/>
        </w:rPr>
      </w:pPr>
    </w:p>
    <w:p>
      <w:pPr>
        <w:ind w:left="1800" w:right="1239" w:hanging="187"/>
        <w:spacing w:after="0" w:line="285"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199" w:lineRule="exact"/>
        <w:rPr>
          <w:rFonts w:ascii="Arial" w:cs="Arial" w:eastAsia="Arial" w:hAnsi="Arial"/>
          <w:sz w:val="18"/>
          <w:szCs w:val="18"/>
          <w:color w:val="auto"/>
        </w:rPr>
      </w:pPr>
    </w:p>
    <w:p>
      <w:pPr>
        <w:ind w:left="1620" w:right="459" w:hanging="365"/>
        <w:spacing w:after="0" w:line="204" w:lineRule="auto"/>
        <w:tabs>
          <w:tab w:leader="none" w:pos="162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As a management Director, our current Chairman of the Board does not receive an annual retainer or any other additional compensation for his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-339090</wp:posOffset>
            </wp:positionV>
            <wp:extent cx="12299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ectPr>
          <w:pgSz w:w="11900" w:h="16838" w:orient="portrait"/>
          <w:cols w:equalWidth="0" w:num="1">
            <w:col w:w="9859"/>
          </w:cols>
          <w:pgMar w:left="600" w:top="97" w:right="1440" w:bottom="1012"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012" w:gutter="0" w:footer="0" w:header="0"/>
          <w:type w:val="continuous"/>
        </w:sectPr>
      </w:pPr>
    </w:p>
    <w:bookmarkStart w:id="29" w:name="page30"/>
    <w:bookmarkEnd w:id="2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294640</wp:posOffset>
            </wp:positionV>
            <wp:extent cx="220408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0408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314F60"/>
        </w:rPr>
        <w:t>BOARD OF DIRECTORS COMPENSATION</w:t>
      </w:r>
    </w:p>
    <w:p>
      <w:pPr>
        <w:spacing w:after="0" w:line="282" w:lineRule="exact"/>
        <w:rPr>
          <w:sz w:val="20"/>
          <w:szCs w:val="20"/>
          <w:color w:val="auto"/>
        </w:rPr>
      </w:pPr>
    </w:p>
    <w:p>
      <w:pPr>
        <w:ind w:left="1800" w:right="719" w:hanging="187"/>
        <w:spacing w:after="0" w:line="285"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w:t>
      </w:r>
    </w:p>
    <w:p>
      <w:pPr>
        <w:spacing w:after="0" w:line="87"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The Company also pays or reimburses our Directors for their reasonable travel, lodging, food and other expenses related to their attendance at Board, Committee or shareholder meetings or other corporate functions. In response to the impacts of the COVID -19 pandemic, in April 2020 the cash compensation of the independent members of the Board was reduced by 50% for six months; in October 2020, the cash compensation of the independent members of the Board was adjusted to 80% of the pre- reduction cash compensation. Effective December 2021, the cash compensation of the independent members of the Board was adjusted to 100% of the applicable pre-reduction cash compensation.</w:t>
      </w:r>
    </w:p>
    <w:p>
      <w:pPr>
        <w:spacing w:after="0" w:line="319" w:lineRule="exact"/>
        <w:rPr>
          <w:sz w:val="20"/>
          <w:szCs w:val="20"/>
          <w:color w:val="auto"/>
        </w:rPr>
      </w:pPr>
    </w:p>
    <w:p>
      <w:pPr>
        <w:ind w:left="1260" w:right="599"/>
        <w:spacing w:after="0" w:line="258" w:lineRule="auto"/>
        <w:rPr>
          <w:sz w:val="20"/>
          <w:szCs w:val="20"/>
          <w:color w:val="auto"/>
        </w:rPr>
      </w:pPr>
      <w:r>
        <w:rPr>
          <w:rFonts w:ascii="Arial" w:cs="Arial" w:eastAsia="Arial" w:hAnsi="Arial"/>
          <w:sz w:val="18"/>
          <w:szCs w:val="18"/>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Non-Management Director Compensation for 2021</w:t>
      </w:r>
    </w:p>
    <w:p>
      <w:pPr>
        <w:spacing w:after="0" w:line="111" w:lineRule="exact"/>
        <w:rPr>
          <w:sz w:val="20"/>
          <w:szCs w:val="20"/>
          <w:color w:val="auto"/>
        </w:rPr>
      </w:pPr>
    </w:p>
    <w:p>
      <w:pPr>
        <w:ind w:left="1260" w:right="1059"/>
        <w:spacing w:after="0" w:line="260" w:lineRule="auto"/>
        <w:rPr>
          <w:sz w:val="20"/>
          <w:szCs w:val="20"/>
          <w:color w:val="auto"/>
        </w:rPr>
      </w:pPr>
      <w:r>
        <w:rPr>
          <w:rFonts w:ascii="Arial" w:cs="Arial" w:eastAsia="Arial" w:hAnsi="Arial"/>
          <w:sz w:val="18"/>
          <w:szCs w:val="18"/>
          <w:color w:val="auto"/>
        </w:rPr>
        <w:t>The following table summarizes: (i) cash compensation earned in 2021 by each non-management member of our Board of Directors who served as a Director during 2021;</w:t>
      </w:r>
    </w:p>
    <w:p>
      <w:pPr>
        <w:ind w:left="1260" w:right="439" w:hanging="5"/>
        <w:spacing w:after="0" w:line="254" w:lineRule="auto"/>
        <w:tabs>
          <w:tab w:leader="none" w:pos="15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awards made to our non-management Directors in 2021 for their service in the 2020 to 2021 service year; and (iii) any other compensation received in 2021. Mr. Shepro, as a member of the Company’s management, does not receive an annual retainer or any other additional compensation for his service on the Board of Directors.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80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Fees Earned</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1"/>
              </w:rPr>
              <w:t>(1)</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Stock Awards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81"/>
              </w:rPr>
              <w:t>(2)</w:t>
            </w:r>
          </w:p>
        </w:tc>
        <w:tc>
          <w:tcPr>
            <w:tcW w:w="1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All Other</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4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w w:val="97"/>
              </w:rPr>
              <w:t>or Paid in Cash</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00" w:type="dxa"/>
            <w:vAlign w:val="bottom"/>
            <w:tcBorders>
              <w:top w:val="single" w:sz="8" w:color="auto"/>
            </w:tcBorders>
            <w:shd w:val="clear" w:color="auto" w:fill="CCEEFF"/>
          </w:tcPr>
          <w:p>
            <w:pPr>
              <w:spacing w:after="0" w:line="222" w:lineRule="exact"/>
              <w:rPr>
                <w:sz w:val="20"/>
                <w:szCs w:val="20"/>
                <w:color w:val="auto"/>
              </w:rPr>
            </w:pPr>
            <w:r>
              <w:rPr>
                <w:rFonts w:ascii="Arial" w:cs="Arial" w:eastAsia="Arial" w:hAnsi="Arial"/>
                <w:sz w:val="18"/>
                <w:szCs w:val="18"/>
                <w:color w:val="auto"/>
              </w:rPr>
              <w:t>Scott E. Burg</w:t>
            </w:r>
            <w:r>
              <w:rPr>
                <w:rFonts w:ascii="Arial" w:cs="Arial" w:eastAsia="Arial" w:hAnsi="Arial"/>
                <w:sz w:val="23"/>
                <w:szCs w:val="23"/>
                <w:color w:val="auto"/>
                <w:vertAlign w:val="superscript"/>
              </w:rPr>
              <w:t>(3)</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$ 76,767</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$ 84,631</w:t>
            </w: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$161,398</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Joseph L. Morettini</w:t>
            </w:r>
          </w:p>
        </w:tc>
        <w:tc>
          <w:tcPr>
            <w:tcW w:w="144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9"/>
              </w:rPr>
              <w:t>$ 82,892</w:t>
            </w:r>
          </w:p>
        </w:tc>
        <w:tc>
          <w:tcPr>
            <w:tcW w:w="140" w:type="dxa"/>
            <w:vAlign w:val="bottom"/>
          </w:tcPr>
          <w:p>
            <w:pPr>
              <w:spacing w:after="0"/>
              <w:rPr>
                <w:sz w:val="17"/>
                <w:szCs w:val="17"/>
                <w:color w:val="auto"/>
              </w:rPr>
            </w:pPr>
          </w:p>
        </w:tc>
        <w:tc>
          <w:tcPr>
            <w:tcW w:w="132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$ 84,631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$167,523</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Roland M</w:t>
            </w:r>
            <w:r>
              <w:rPr>
                <w:rFonts w:ascii="MS PGothic" w:cs="MS PGothic" w:eastAsia="MS PGothic" w:hAnsi="MS PGothic"/>
                <w:sz w:val="18"/>
                <w:szCs w:val="18"/>
                <w:color w:val="auto"/>
              </w:rPr>
              <w:t>✔</w:t>
            </w:r>
            <w:r>
              <w:rPr>
                <w:rFonts w:ascii="Arial" w:cs="Arial" w:eastAsia="Arial" w:hAnsi="Arial"/>
                <w:sz w:val="18"/>
                <w:szCs w:val="18"/>
                <w:color w:val="auto"/>
              </w:rPr>
              <w:t>ller-Ineichen</w:t>
            </w:r>
            <w:r>
              <w:rPr>
                <w:rFonts w:ascii="Arial" w:cs="Arial" w:eastAsia="Arial" w:hAnsi="Arial"/>
                <w:sz w:val="23"/>
                <w:szCs w:val="23"/>
                <w:color w:val="auto"/>
                <w:vertAlign w:val="superscript"/>
              </w:rPr>
              <w:t>(4)</w:t>
            </w:r>
          </w:p>
        </w:tc>
        <w:tc>
          <w:tcPr>
            <w:tcW w:w="14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$ 82,892</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$ 83,812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$166,704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-426720</wp:posOffset>
            </wp:positionV>
            <wp:extent cx="1022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-426720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-426720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-426720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128270</wp:posOffset>
            </wp:positionV>
            <wp:extent cx="12299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311" w:lineRule="exact"/>
        <w:rPr>
          <w:sz w:val="20"/>
          <w:szCs w:val="20"/>
          <w:color w:val="auto"/>
        </w:rPr>
      </w:pPr>
    </w:p>
    <w:p>
      <w:pPr>
        <w:ind w:left="1620" w:right="479" w:hanging="365"/>
        <w:spacing w:after="0"/>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2021, including amounts earned for service in the fourth quarter of 2021 and paid in the first quarter of 2022.</w:t>
      </w:r>
    </w:p>
    <w:p>
      <w:pPr>
        <w:spacing w:after="0" w:line="231" w:lineRule="exact"/>
        <w:rPr>
          <w:rFonts w:ascii="Arial" w:cs="Arial" w:eastAsia="Arial" w:hAnsi="Arial"/>
          <w:sz w:val="27"/>
          <w:szCs w:val="27"/>
          <w:color w:val="auto"/>
          <w:vertAlign w:val="superscript"/>
        </w:rPr>
      </w:pPr>
    </w:p>
    <w:p>
      <w:pPr>
        <w:ind w:left="1620" w:right="459" w:hanging="365"/>
        <w:spacing w:after="0"/>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Non-management Directors who attended at least seventy-five percent (75%) of all meetings of the Board of Directors and Committees on which they served for the 2020 to 2021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2021.</w:t>
      </w:r>
    </w:p>
    <w:p>
      <w:pPr>
        <w:spacing w:after="0" w:line="223" w:lineRule="exact"/>
        <w:rPr>
          <w:rFonts w:ascii="Arial" w:cs="Arial" w:eastAsia="Arial" w:hAnsi="Arial"/>
          <w:sz w:val="27"/>
          <w:szCs w:val="27"/>
          <w:color w:val="auto"/>
          <w:vertAlign w:val="superscript"/>
        </w:rPr>
      </w:pPr>
    </w:p>
    <w:p>
      <w:pPr>
        <w:ind w:left="1620" w:right="499" w:hanging="365"/>
        <w:spacing w:after="0" w:line="208" w:lineRule="auto"/>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our Board of Directors, Mr. Burg received a one-time grant of 500 shares of common stock. This award was scheduled to vest in four</w:t>
      </w:r>
    </w:p>
    <w:p>
      <w:pPr>
        <w:ind w:left="1620" w:right="45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(4) equal installments beginning on the date of the 2019 annual meeting of shareholders and the final installment vesting on the date of the 2022 annual meeting of shareholders, subject to Mr. Burg’s continued service on the Board. Due to Mr. Burg’s resignation from the Board of Directors on March 1, 2022, the final installment will not vest. All cash compensation related to Mr. Burg’s service as a Director was paid to STS Master Fund, Ltd.</w:t>
      </w:r>
    </w:p>
    <w:p>
      <w:pPr>
        <w:spacing w:after="0" w:line="208" w:lineRule="exact"/>
        <w:rPr>
          <w:rFonts w:ascii="Arial" w:cs="Arial" w:eastAsia="Arial" w:hAnsi="Arial"/>
          <w:sz w:val="27"/>
          <w:szCs w:val="27"/>
          <w:color w:val="auto"/>
          <w:vertAlign w:val="superscript"/>
        </w:rPr>
      </w:pPr>
    </w:p>
    <w:p>
      <w:pPr>
        <w:ind w:left="1620" w:right="439" w:hanging="365"/>
        <w:spacing w:after="0" w:line="222" w:lineRule="exact"/>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Mr. M</w:t>
      </w:r>
      <w:r>
        <w:rPr>
          <w:rFonts w:ascii="MS PGothic" w:cs="MS PGothic" w:eastAsia="MS PGothic" w:hAnsi="MS PGothic"/>
          <w:sz w:val="18"/>
          <w:szCs w:val="18"/>
          <w:color w:val="auto"/>
        </w:rPr>
        <w:t>✔</w:t>
      </w:r>
      <w:r>
        <w:rPr>
          <w:rFonts w:ascii="Arial" w:cs="Arial" w:eastAsia="Arial" w:hAnsi="Arial"/>
          <w:sz w:val="18"/>
          <w:szCs w:val="18"/>
          <w:color w:val="auto"/>
        </w:rPr>
        <w:t>ller-Ineichen’s cash compensation was paid in euros, using the following exchange rates that were in effect on the 15th day of the last month of the quarter for which the payment was made: for the first quarter 2021, an exchange rate of 0.83794 euros to the U.S. dollar; for the second quarter 2021, an exchange rate of 0.82474 euros to the U.S. dollar; for the third quarter 2021, an exchange rate of 0.84642 euros to the U.S. dollar and for the fourth quarter, an exchange rate of 0.88735 euros to the U.S. dollar. The cash amounts reported herein are the U.S. dollar amounts prior to conversion to euros.</w:t>
      </w:r>
    </w:p>
    <w:p>
      <w:pPr>
        <w:sectPr>
          <w:pgSz w:w="11900" w:h="16838" w:orient="portrait"/>
          <w:cols w:equalWidth="0" w:num="1">
            <w:col w:w="9859"/>
          </w:cols>
          <w:pgMar w:left="600" w:top="97" w:right="1440" w:bottom="7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70" w:gutter="0" w:footer="0" w:header="0"/>
          <w:type w:val="continuous"/>
        </w:sectPr>
      </w:pPr>
    </w:p>
    <w:bookmarkStart w:id="30" w:name="page31"/>
    <w:bookmarkEnd w:id="3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294640</wp:posOffset>
            </wp:positionV>
            <wp:extent cx="220408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0408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314F60"/>
        </w:rPr>
        <w:t>BOARD OF DIRECTORS COMPENSATION</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Minimum Stock Ownership Requirements</w:t>
      </w:r>
    </w:p>
    <w:p>
      <w:pPr>
        <w:spacing w:after="0" w:line="111"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either currently meets the applicable minimum stock ownership requirements or is expected to come into compliance with these requirements within the period noted above.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31" w:name="page32"/>
    <w:bookmarkEnd w:id="3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28575</wp:posOffset>
            </wp:positionV>
            <wp:extent cx="51936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1"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2021 but did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 The below named executive officers together with William B. Shepro and Marcello Mastioni are referred to in this document as the “Named Executive Officers”.</w:t>
      </w:r>
    </w:p>
    <w:tbl>
      <w:tblPr>
        <w:tblLayout w:type="fixed"/>
        <w:tblInd w:w="1260" w:type="dxa"/>
        <w:tblCellMar>
          <w:top w:w="0" w:type="dxa"/>
          <w:left w:w="0" w:type="dxa"/>
          <w:bottom w:w="0" w:type="dxa"/>
          <w:right w:w="0" w:type="dxa"/>
        </w:tblCellMar>
      </w:tblPr>
      <w:tr>
        <w:trPr>
          <w:trHeight w:val="361"/>
        </w:trPr>
        <w:tc>
          <w:tcPr>
            <w:tcW w:w="20" w:type="dxa"/>
            <w:vAlign w:val="bottom"/>
          </w:tcPr>
          <w:p>
            <w:pPr>
              <w:spacing w:after="0"/>
              <w:rPr>
                <w:sz w:val="24"/>
                <w:szCs w:val="24"/>
                <w:color w:val="auto"/>
              </w:rPr>
            </w:pPr>
          </w:p>
        </w:tc>
        <w:tc>
          <w:tcPr>
            <w:tcW w:w="3620" w:type="dxa"/>
            <w:vAlign w:val="bottom"/>
          </w:tcPr>
          <w:p>
            <w:pPr>
              <w:ind w:left="1580"/>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3"/>
          </w:tcPr>
          <w:p>
            <w:pPr>
              <w:jc w:val="center"/>
              <w:spacing w:after="0" w:line="361" w:lineRule="exact"/>
              <w:rPr>
                <w:sz w:val="20"/>
                <w:szCs w:val="20"/>
                <w:color w:val="auto"/>
              </w:rPr>
            </w:pPr>
            <w:r>
              <w:rPr>
                <w:rFonts w:ascii="Arial" w:cs="Arial" w:eastAsia="Arial" w:hAnsi="Arial"/>
                <w:sz w:val="32"/>
                <w:szCs w:val="32"/>
                <w:b w:val="1"/>
                <w:bCs w:val="1"/>
                <w:color w:val="auto"/>
                <w:w w:val="79"/>
                <w:vertAlign w:val="subscript"/>
              </w:rPr>
              <w:t>Age</w:t>
            </w:r>
            <w:r>
              <w:rPr>
                <w:rFonts w:ascii="Arial" w:cs="Arial" w:eastAsia="Arial" w:hAnsi="Arial"/>
                <w:sz w:val="10"/>
                <w:szCs w:val="10"/>
                <w:b w:val="1"/>
                <w:bCs w:val="1"/>
                <w:color w:val="auto"/>
                <w:w w:val="79"/>
              </w:rPr>
              <w:t>(1)</w:t>
            </w:r>
          </w:p>
        </w:tc>
        <w:tc>
          <w:tcPr>
            <w:tcW w:w="368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181"/>
        </w:trPr>
        <w:tc>
          <w:tcPr>
            <w:tcW w:w="20" w:type="dxa"/>
            <w:vAlign w:val="bottom"/>
          </w:tcPr>
          <w:p>
            <w:pPr>
              <w:spacing w:after="0"/>
              <w:rPr>
                <w:sz w:val="15"/>
                <w:szCs w:val="15"/>
                <w:color w:val="auto"/>
              </w:rPr>
            </w:pPr>
          </w:p>
        </w:tc>
        <w:tc>
          <w:tcPr>
            <w:tcW w:w="362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rPr>
              <w:t>Michelle D. Esterman</w:t>
            </w:r>
          </w:p>
        </w:tc>
        <w:tc>
          <w:tcPr>
            <w:tcW w:w="220" w:type="dxa"/>
            <w:vAlign w:val="bottom"/>
          </w:tcPr>
          <w:p>
            <w:pPr>
              <w:spacing w:after="0"/>
              <w:rPr>
                <w:sz w:val="15"/>
                <w:szCs w:val="15"/>
                <w:color w:val="auto"/>
              </w:rPr>
            </w:pPr>
          </w:p>
        </w:tc>
        <w:tc>
          <w:tcPr>
            <w:tcW w:w="44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color w:val="auto"/>
              </w:rPr>
              <w:t>49</w:t>
            </w:r>
          </w:p>
        </w:tc>
        <w:tc>
          <w:tcPr>
            <w:tcW w:w="200" w:type="dxa"/>
            <w:vAlign w:val="bottom"/>
          </w:tcPr>
          <w:p>
            <w:pPr>
              <w:spacing w:after="0"/>
              <w:rPr>
                <w:sz w:val="15"/>
                <w:szCs w:val="15"/>
                <w:color w:val="auto"/>
              </w:rPr>
            </w:pPr>
          </w:p>
        </w:tc>
        <w:tc>
          <w:tcPr>
            <w:tcW w:w="36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rPr>
              <w:t>Chief Financial Officer</w:t>
            </w:r>
          </w:p>
        </w:tc>
      </w:tr>
      <w:tr>
        <w:trPr>
          <w:trHeight w:val="214"/>
        </w:trPr>
        <w:tc>
          <w:tcPr>
            <w:tcW w:w="364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660" w:type="dxa"/>
            <w:vAlign w:val="bottom"/>
            <w:gridSpan w:val="2"/>
          </w:tcPr>
          <w:p>
            <w:pPr>
              <w:jc w:val="center"/>
              <w:ind w:left="135"/>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Chief Legal and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112395</wp:posOffset>
            </wp:positionV>
            <wp:extent cx="12299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217" w:lineRule="exact"/>
        <w:rPr>
          <w:sz w:val="20"/>
          <w:szCs w:val="20"/>
          <w:color w:val="auto"/>
        </w:rPr>
      </w:pPr>
    </w:p>
    <w:p>
      <w:pPr>
        <w:ind w:left="1620" w:hanging="365"/>
        <w:spacing w:after="0"/>
        <w:tabs>
          <w:tab w:leader="none" w:pos="162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As of March 25, 2022</w:t>
      </w:r>
    </w:p>
    <w:p>
      <w:pPr>
        <w:spacing w:after="0" w:line="131" w:lineRule="exact"/>
        <w:rPr>
          <w:sz w:val="20"/>
          <w:szCs w:val="20"/>
          <w:color w:val="auto"/>
        </w:rPr>
      </w:pPr>
    </w:p>
    <w:p>
      <w:pPr>
        <w:ind w:left="1260" w:right="439"/>
        <w:spacing w:after="0" w:line="285"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who is not a Director is set forth below.</w:t>
      </w:r>
    </w:p>
    <w:p>
      <w:pPr>
        <w:spacing w:after="0" w:line="7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has served as Chief Financial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337"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b w:val="1"/>
          <w:bCs w:val="1"/>
          <w:i w:val="1"/>
          <w:iCs w:val="1"/>
          <w:color w:val="auto"/>
        </w:rPr>
        <w:t xml:space="preserve">Gregory J. Ritts. </w:t>
      </w:r>
      <w:r>
        <w:rPr>
          <w:rFonts w:ascii="Arial" w:cs="Arial" w:eastAsia="Arial" w:hAnsi="Arial"/>
          <w:sz w:val="18"/>
          <w:szCs w:val="18"/>
          <w:color w:val="auto"/>
        </w:rPr>
        <w:t>Mr. Ritts has served as Chief Legal and Compliance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32" w:name="page33"/>
    <w:bookmarkEnd w:id="3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Beneficial Ownership of Common Stock</w:t>
      </w:r>
    </w:p>
    <w:p>
      <w:pPr>
        <w:spacing w:after="0" w:line="111"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47" w:lineRule="exact"/>
        <w:rPr>
          <w:sz w:val="20"/>
          <w:szCs w:val="20"/>
          <w:color w:val="auto"/>
        </w:rPr>
      </w:pPr>
    </w:p>
    <w:p>
      <w:pPr>
        <w:ind w:left="1800" w:right="719" w:hanging="187"/>
        <w:spacing w:after="0" w:line="285"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59" w:lineRule="exact"/>
        <w:rPr>
          <w:rFonts w:ascii="Arial" w:cs="Arial" w:eastAsia="Arial" w:hAnsi="Arial"/>
          <w:sz w:val="18"/>
          <w:szCs w:val="18"/>
          <w:color w:val="auto"/>
        </w:rPr>
      </w:pPr>
    </w:p>
    <w:p>
      <w:pPr>
        <w:ind w:left="1800" w:hanging="187"/>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15" w:lineRule="exact"/>
        <w:rPr>
          <w:rFonts w:ascii="Arial" w:cs="Arial" w:eastAsia="Arial" w:hAnsi="Arial"/>
          <w:sz w:val="18"/>
          <w:szCs w:val="18"/>
          <w:color w:val="auto"/>
        </w:rPr>
      </w:pPr>
    </w:p>
    <w:p>
      <w:pPr>
        <w:ind w:left="1800" w:hanging="187"/>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56" w:lineRule="exact"/>
        <w:rPr>
          <w:sz w:val="20"/>
          <w:szCs w:val="20"/>
          <w:color w:val="auto"/>
        </w:rPr>
      </w:pPr>
    </w:p>
    <w:p>
      <w:pPr>
        <w:ind w:left="1260" w:right="679"/>
        <w:spacing w:after="0" w:line="258"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“Exchange Act”) and is based on an aggregate of 16,057,359 shares issued and outstanding as of March 25, 2022. Unless otherwise indicated in the footnotes below, the information is provided as of the record date, March 25, 2022.</w:t>
      </w:r>
    </w:p>
    <w:p>
      <w:pPr>
        <w:spacing w:after="0" w:line="98" w:lineRule="exact"/>
        <w:rPr>
          <w:sz w:val="20"/>
          <w:szCs w:val="20"/>
          <w:color w:val="auto"/>
        </w:rPr>
      </w:pPr>
    </w:p>
    <w:p>
      <w:pPr>
        <w:ind w:left="1260" w:right="719"/>
        <w:spacing w:after="0" w:line="267" w:lineRule="auto"/>
        <w:rPr>
          <w:sz w:val="20"/>
          <w:szCs w:val="20"/>
          <w:color w:val="auto"/>
        </w:rPr>
      </w:pPr>
      <w:r>
        <w:rPr>
          <w:rFonts w:ascii="Arial" w:cs="Arial" w:eastAsia="Arial" w:hAnsi="Arial"/>
          <w:sz w:val="18"/>
          <w:szCs w:val="18"/>
          <w:color w:val="auto"/>
        </w:rPr>
        <w:t>Unless otherwise noted, the address for contacting the Directors and Named Executive Officers listed below is: Altisource Portfolio Solutions S.A., 33, Boulevard Prince Henri, L-1724 Luxembourg City, Grand Duchy of Luxembourg.</w:t>
      </w:r>
    </w:p>
    <w:p>
      <w:pPr>
        <w:sectPr>
          <w:pgSz w:w="11900" w:h="16838" w:orient="portrait"/>
          <w:cols w:equalWidth="0" w:num="1">
            <w:col w:w="9859"/>
          </w:cols>
          <w:pgMar w:left="600" w:top="97" w:right="1440" w:bottom="1119" w:gutter="0" w:footer="0" w:header="0"/>
        </w:sectPr>
      </w:pPr>
    </w:p>
    <w:p>
      <w:pPr>
        <w:spacing w:after="0" w:line="67" w:lineRule="exact"/>
        <w:rPr>
          <w:sz w:val="20"/>
          <w:szCs w:val="20"/>
          <w:color w:val="auto"/>
        </w:rPr>
      </w:pPr>
    </w:p>
    <w:p>
      <w:pPr>
        <w:jc w:val="right"/>
        <w:ind w:right="46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6"/>
          <w:szCs w:val="26"/>
          <w:b w:val="1"/>
          <w:bCs w:val="1"/>
          <w:color w:val="auto"/>
          <w:vertAlign w:val="superscript"/>
        </w:rPr>
        <w:t>(1)</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8890</wp:posOffset>
            </wp:positionV>
            <wp:extent cx="5193665" cy="153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93665" cy="153670"/>
                    </a:xfrm>
                    <a:prstGeom prst="rect">
                      <a:avLst/>
                    </a:prstGeom>
                    <a:noFill/>
                  </pic:spPr>
                </pic:pic>
              </a:graphicData>
            </a:graphic>
          </wp:anchor>
        </w:drawing>
      </w:r>
    </w:p>
    <w:p>
      <w:pPr>
        <w:ind w:left="1260"/>
        <w:spacing w:after="0" w:line="234" w:lineRule="auto"/>
        <w:rPr>
          <w:sz w:val="20"/>
          <w:szCs w:val="20"/>
          <w:color w:val="auto"/>
        </w:rPr>
      </w:pPr>
      <w:r>
        <w:rPr>
          <w:rFonts w:ascii="Arial" w:cs="Arial" w:eastAsia="Arial" w:hAnsi="Arial"/>
          <w:sz w:val="18"/>
          <w:szCs w:val="18"/>
          <w:color w:val="auto"/>
        </w:rPr>
        <w:t>William C. Erbey</w:t>
      </w:r>
      <w:r>
        <w:rPr>
          <w:rFonts w:ascii="Arial" w:cs="Arial" w:eastAsia="Arial" w:hAnsi="Arial"/>
          <w:sz w:val="23"/>
          <w:szCs w:val="23"/>
          <w:color w:val="auto"/>
          <w:vertAlign w:val="superscript"/>
        </w:rPr>
        <w:t>(2)</w:t>
      </w:r>
    </w:p>
    <w:p>
      <w:pPr>
        <w:ind w:left="1260"/>
        <w:spacing w:after="0"/>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-23495</wp:posOffset>
            </wp:positionV>
            <wp:extent cx="5193665" cy="196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93665" cy="196215"/>
                    </a:xfrm>
                    <a:prstGeom prst="rect">
                      <a:avLst/>
                    </a:prstGeom>
                    <a:noFill/>
                  </pic:spPr>
                </pic:pic>
              </a:graphicData>
            </a:graphic>
          </wp:anchor>
        </w:drawing>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Directors and Named Executive Officers:</w:t>
      </w:r>
    </w:p>
    <w:p>
      <w:pPr>
        <w:ind w:left="1260"/>
        <w:spacing w:after="0" w:line="209" w:lineRule="auto"/>
        <w:rPr>
          <w:sz w:val="20"/>
          <w:szCs w:val="20"/>
          <w:color w:val="auto"/>
        </w:rPr>
      </w:pPr>
      <w:r>
        <w:rPr>
          <w:rFonts w:ascii="Arial" w:cs="Arial" w:eastAsia="Arial" w:hAnsi="Arial"/>
          <w:sz w:val="18"/>
          <w:szCs w:val="18"/>
          <w:color w:val="auto"/>
        </w:rPr>
        <w:t>Scott E. Burg</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0</wp:posOffset>
            </wp:positionV>
            <wp:extent cx="519366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93665" cy="145415"/>
                    </a:xfrm>
                    <a:prstGeom prst="rect">
                      <a:avLst/>
                    </a:prstGeom>
                    <a:noFill/>
                  </pic:spPr>
                </pic:pic>
              </a:graphicData>
            </a:graphic>
          </wp:anchor>
        </w:drawing>
      </w:r>
    </w:p>
    <w:p>
      <w:pPr>
        <w:ind w:left="1260"/>
        <w:spacing w:after="0" w:line="208" w:lineRule="auto"/>
        <w:rPr>
          <w:sz w:val="20"/>
          <w:szCs w:val="20"/>
          <w:color w:val="auto"/>
        </w:rPr>
      </w:pPr>
      <w:r>
        <w:rPr>
          <w:rFonts w:ascii="Arial" w:cs="Arial" w:eastAsia="Arial" w:hAnsi="Arial"/>
          <w:sz w:val="18"/>
          <w:szCs w:val="18"/>
          <w:color w:val="auto"/>
        </w:rPr>
        <w:t>William B. Shepro</w:t>
      </w:r>
      <w:r>
        <w:rPr>
          <w:rFonts w:ascii="Arial" w:cs="Arial" w:eastAsia="Arial" w:hAnsi="Arial"/>
          <w:sz w:val="23"/>
          <w:szCs w:val="23"/>
          <w:color w:val="auto"/>
          <w:vertAlign w:val="superscript"/>
        </w:rPr>
        <w:t>(4)</w:t>
      </w:r>
    </w:p>
    <w:p>
      <w:pPr>
        <w:ind w:left="1260"/>
        <w:spacing w:after="0" w:line="207" w:lineRule="auto"/>
        <w:rPr>
          <w:sz w:val="20"/>
          <w:szCs w:val="20"/>
          <w:color w:val="auto"/>
        </w:rPr>
      </w:pPr>
      <w:r>
        <w:rPr>
          <w:rFonts w:ascii="Arial" w:cs="Arial" w:eastAsia="Arial" w:hAnsi="Arial"/>
          <w:sz w:val="18"/>
          <w:szCs w:val="18"/>
          <w:color w:val="auto"/>
        </w:rPr>
        <w:t>Michelle D. Esterman</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0</wp:posOffset>
            </wp:positionV>
            <wp:extent cx="519366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93665" cy="145415"/>
                    </a:xfrm>
                    <a:prstGeom prst="rect">
                      <a:avLst/>
                    </a:prstGeom>
                    <a:noFill/>
                  </pic:spPr>
                </pic:pic>
              </a:graphicData>
            </a:graphic>
          </wp:anchor>
        </w:drawing>
      </w:r>
    </w:p>
    <w:p>
      <w:pPr>
        <w:ind w:left="1260"/>
        <w:spacing w:after="0" w:line="213" w:lineRule="auto"/>
        <w:rPr>
          <w:sz w:val="20"/>
          <w:szCs w:val="20"/>
          <w:color w:val="auto"/>
        </w:rPr>
      </w:pPr>
      <w:r>
        <w:rPr>
          <w:rFonts w:ascii="Arial" w:cs="Arial" w:eastAsia="Arial" w:hAnsi="Arial"/>
          <w:sz w:val="18"/>
          <w:szCs w:val="18"/>
          <w:color w:val="auto"/>
        </w:rPr>
        <w:t>Gregory J. Ritts</w:t>
      </w:r>
      <w:r>
        <w:rPr>
          <w:rFonts w:ascii="Arial" w:cs="Arial" w:eastAsia="Arial" w:hAnsi="Arial"/>
          <w:sz w:val="23"/>
          <w:szCs w:val="23"/>
          <w:color w:val="auto"/>
          <w:vertAlign w:val="superscript"/>
        </w:rPr>
        <w:t>(6)</w:t>
      </w:r>
    </w:p>
    <w:p>
      <w:pPr>
        <w:ind w:left="1260"/>
        <w:spacing w:after="0" w:line="207" w:lineRule="exact"/>
        <w:rPr>
          <w:sz w:val="20"/>
          <w:szCs w:val="20"/>
          <w:color w:val="auto"/>
        </w:rPr>
      </w:pPr>
      <w:r>
        <w:rPr>
          <w:rFonts w:ascii="Arial" w:cs="Arial" w:eastAsia="Arial" w:hAnsi="Arial"/>
          <w:sz w:val="18"/>
          <w:szCs w:val="18"/>
          <w:color w:val="auto"/>
        </w:rPr>
        <w:t>Roland M</w:t>
      </w:r>
      <w:r>
        <w:rPr>
          <w:rFonts w:ascii="MS PGothic" w:cs="MS PGothic" w:eastAsia="MS PGothic" w:hAnsi="MS PGothic"/>
          <w:sz w:val="18"/>
          <w:szCs w:val="18"/>
          <w:color w:val="auto"/>
        </w:rPr>
        <w:t>✔</w:t>
      </w:r>
      <w:r>
        <w:rPr>
          <w:rFonts w:ascii="Arial" w:cs="Arial" w:eastAsia="Arial" w:hAnsi="Arial"/>
          <w:sz w:val="18"/>
          <w:szCs w:val="18"/>
          <w:color w:val="auto"/>
        </w:rPr>
        <w:t>ller-Ineichen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-7620</wp:posOffset>
            </wp:positionV>
            <wp:extent cx="5193665"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93665" cy="128270"/>
                    </a:xfrm>
                    <a:prstGeom prst="rect">
                      <a:avLst/>
                    </a:prstGeom>
                    <a:noFill/>
                  </pic:spPr>
                </pic:pic>
              </a:graphicData>
            </a:graphic>
          </wp:anchor>
        </w:drawing>
      </w:r>
    </w:p>
    <w:p>
      <w:pPr>
        <w:ind w:left="1260"/>
        <w:spacing w:after="0" w:line="233" w:lineRule="auto"/>
        <w:rPr>
          <w:sz w:val="20"/>
          <w:szCs w:val="20"/>
          <w:color w:val="auto"/>
        </w:rPr>
      </w:pPr>
      <w:r>
        <w:rPr>
          <w:rFonts w:ascii="Arial" w:cs="Arial" w:eastAsia="Arial" w:hAnsi="Arial"/>
          <w:sz w:val="18"/>
          <w:szCs w:val="18"/>
          <w:color w:val="auto"/>
        </w:rPr>
        <w:t>Joseph L. Morettini</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 Directors and Executive Officers as a Group (6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125095</wp:posOffset>
            </wp:positionV>
            <wp:extent cx="12299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307" w:lineRule="exact"/>
        <w:rPr>
          <w:sz w:val="20"/>
          <w:szCs w:val="20"/>
          <w:color w:val="auto"/>
        </w:rPr>
      </w:pPr>
    </w:p>
    <w:p>
      <w:pPr>
        <w:ind w:left="1620" w:hanging="365"/>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Amount</w:t>
      </w:r>
      <w:r>
        <w:rPr>
          <w:sz w:val="20"/>
          <w:szCs w:val="20"/>
          <w:color w:val="auto"/>
        </w:rPr>
        <w:tab/>
      </w:r>
      <w:r>
        <w:rPr>
          <w:rFonts w:ascii="Arial" w:cs="Arial" w:eastAsia="Arial" w:hAnsi="Arial"/>
          <w:sz w:val="18"/>
          <w:szCs w:val="18"/>
          <w:b w:val="1"/>
          <w:bCs w:val="1"/>
          <w:u w:val="single" w:color="auto"/>
          <w:color w:val="auto"/>
        </w:rPr>
        <w:t>Percent</w:t>
      </w:r>
    </w:p>
    <w:p>
      <w:pPr>
        <w:spacing w:after="0" w:line="49"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6,000,709</w:t>
      </w:r>
      <w:r>
        <w:rPr>
          <w:sz w:val="20"/>
          <w:szCs w:val="20"/>
          <w:color w:val="auto"/>
        </w:rPr>
        <w:tab/>
      </w:r>
      <w:r>
        <w:rPr>
          <w:rFonts w:ascii="Arial" w:cs="Arial" w:eastAsia="Arial" w:hAnsi="Arial"/>
          <w:sz w:val="17"/>
          <w:szCs w:val="17"/>
          <w:color w:val="auto"/>
        </w:rPr>
        <w:t>37.37%</w:t>
      </w:r>
    </w:p>
    <w:p>
      <w:pPr>
        <w:spacing w:after="0" w:line="4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3,758,801</w:t>
      </w:r>
      <w:r>
        <w:rPr>
          <w:sz w:val="20"/>
          <w:szCs w:val="20"/>
          <w:color w:val="auto"/>
        </w:rPr>
        <w:tab/>
      </w:r>
      <w:r>
        <w:rPr>
          <w:rFonts w:ascii="Arial" w:cs="Arial" w:eastAsia="Arial" w:hAnsi="Arial"/>
          <w:sz w:val="17"/>
          <w:szCs w:val="17"/>
          <w:color w:val="auto"/>
        </w:rPr>
        <w:t>23.41%</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3,758,801</w:t>
      </w:r>
      <w:r>
        <w:rPr>
          <w:sz w:val="20"/>
          <w:szCs w:val="20"/>
          <w:color w:val="auto"/>
        </w:rPr>
        <w:tab/>
      </w:r>
      <w:r>
        <w:rPr>
          <w:rFonts w:ascii="Arial" w:cs="Arial" w:eastAsia="Arial" w:hAnsi="Arial"/>
          <w:sz w:val="17"/>
          <w:szCs w:val="17"/>
          <w:color w:val="auto"/>
        </w:rPr>
        <w:t>23.41%</w:t>
      </w:r>
    </w:p>
    <w:p>
      <w:pPr>
        <w:spacing w:after="0" w:line="43" w:lineRule="exact"/>
        <w:rPr>
          <w:sz w:val="20"/>
          <w:szCs w:val="20"/>
          <w:color w:val="auto"/>
        </w:rPr>
      </w:pPr>
    </w:p>
    <w:p>
      <w:pPr>
        <w:ind w:left="160"/>
        <w:spacing w:after="0"/>
        <w:tabs>
          <w:tab w:leader="none" w:pos="1220" w:val="left"/>
        </w:tabs>
        <w:rPr>
          <w:sz w:val="20"/>
          <w:szCs w:val="20"/>
          <w:color w:val="auto"/>
        </w:rPr>
      </w:pPr>
      <w:r>
        <w:rPr>
          <w:rFonts w:ascii="Arial" w:cs="Arial" w:eastAsia="Arial" w:hAnsi="Arial"/>
          <w:sz w:val="17"/>
          <w:szCs w:val="17"/>
          <w:color w:val="auto"/>
        </w:rPr>
        <w:t>764,467</w:t>
      </w:r>
      <w:r>
        <w:rPr>
          <w:sz w:val="20"/>
          <w:szCs w:val="20"/>
          <w:color w:val="auto"/>
        </w:rPr>
        <w:tab/>
      </w:r>
      <w:r>
        <w:rPr>
          <w:rFonts w:ascii="Arial" w:cs="Arial" w:eastAsia="Arial" w:hAnsi="Arial"/>
          <w:sz w:val="17"/>
          <w:szCs w:val="17"/>
          <w:color w:val="auto"/>
        </w:rPr>
        <w:t>4.76%</w:t>
      </w:r>
    </w:p>
    <w:p>
      <w:pPr>
        <w:spacing w:after="0" w:line="33"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95,355</w:t>
      </w:r>
      <w:r>
        <w:rPr>
          <w:sz w:val="20"/>
          <w:szCs w:val="20"/>
          <w:color w:val="auto"/>
        </w:rPr>
        <w:tab/>
      </w:r>
      <w:r>
        <w:rPr>
          <w:rFonts w:ascii="Arial" w:cs="Arial" w:eastAsia="Arial" w:hAnsi="Arial"/>
          <w:sz w:val="18"/>
          <w:szCs w:val="18"/>
          <w:color w:val="auto"/>
        </w:rPr>
        <w:t>*</w:t>
      </w:r>
    </w:p>
    <w:p>
      <w:pPr>
        <w:spacing w:after="0" w:line="22"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62,405</w:t>
      </w:r>
      <w:r>
        <w:rPr>
          <w:sz w:val="20"/>
          <w:szCs w:val="20"/>
          <w:color w:val="auto"/>
        </w:rPr>
        <w:tab/>
      </w:r>
      <w:r>
        <w:rPr>
          <w:rFonts w:ascii="Arial" w:cs="Arial" w:eastAsia="Arial" w:hAnsi="Arial"/>
          <w:sz w:val="18"/>
          <w:szCs w:val="18"/>
          <w:color w:val="auto"/>
        </w:rPr>
        <w:t>*</w:t>
      </w:r>
    </w:p>
    <w:p>
      <w:pPr>
        <w:ind w:left="260"/>
        <w:spacing w:after="0" w:line="237" w:lineRule="auto"/>
        <w:tabs>
          <w:tab w:leader="none" w:pos="1500" w:val="left"/>
        </w:tabs>
        <w:rPr>
          <w:sz w:val="20"/>
          <w:szCs w:val="20"/>
          <w:color w:val="auto"/>
        </w:rPr>
      </w:pPr>
      <w:r>
        <w:rPr>
          <w:rFonts w:ascii="Arial" w:cs="Arial" w:eastAsia="Arial" w:hAnsi="Arial"/>
          <w:sz w:val="18"/>
          <w:szCs w:val="18"/>
          <w:color w:val="auto"/>
        </w:rPr>
        <w:t>51,787</w:t>
      </w:r>
      <w:r>
        <w:rPr>
          <w:sz w:val="20"/>
          <w:szCs w:val="20"/>
          <w:color w:val="auto"/>
        </w:rPr>
        <w:tab/>
      </w:r>
      <w:r>
        <w:rPr>
          <w:rFonts w:ascii="Arial" w:cs="Arial" w:eastAsia="Arial" w:hAnsi="Arial"/>
          <w:sz w:val="18"/>
          <w:szCs w:val="18"/>
          <w:color w:val="auto"/>
        </w:rPr>
        <w:t>*</w:t>
      </w:r>
    </w:p>
    <w:p>
      <w:pPr>
        <w:ind w:left="260"/>
        <w:spacing w:after="0" w:line="234" w:lineRule="auto"/>
        <w:tabs>
          <w:tab w:leader="none" w:pos="1500" w:val="left"/>
        </w:tabs>
        <w:rPr>
          <w:sz w:val="20"/>
          <w:szCs w:val="20"/>
          <w:color w:val="auto"/>
        </w:rPr>
      </w:pPr>
      <w:r>
        <w:rPr>
          <w:rFonts w:ascii="Arial" w:cs="Arial" w:eastAsia="Arial" w:hAnsi="Arial"/>
          <w:sz w:val="18"/>
          <w:szCs w:val="18"/>
          <w:color w:val="auto"/>
        </w:rPr>
        <w:t>28,554</w:t>
      </w:r>
      <w:r>
        <w:rPr>
          <w:sz w:val="20"/>
          <w:szCs w:val="20"/>
          <w:color w:val="auto"/>
        </w:rPr>
        <w:tab/>
      </w:r>
      <w:r>
        <w:rPr>
          <w:rFonts w:ascii="Arial" w:cs="Arial" w:eastAsia="Arial" w:hAnsi="Arial"/>
          <w:sz w:val="18"/>
          <w:szCs w:val="18"/>
          <w:color w:val="auto"/>
        </w:rPr>
        <w:t>*</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4,761,369</w:t>
      </w:r>
      <w:r>
        <w:rPr>
          <w:sz w:val="20"/>
          <w:szCs w:val="20"/>
          <w:color w:val="auto"/>
        </w:rPr>
        <w:tab/>
      </w:r>
      <w:r>
        <w:rPr>
          <w:rFonts w:ascii="Arial" w:cs="Arial" w:eastAsia="Arial" w:hAnsi="Arial"/>
          <w:sz w:val="17"/>
          <w:szCs w:val="17"/>
          <w:b w:val="1"/>
          <w:bCs w:val="1"/>
          <w:color w:val="auto"/>
        </w:rPr>
        <w:t>29.65%</w:t>
      </w:r>
    </w:p>
    <w:p>
      <w:pPr>
        <w:spacing w:after="0" w:line="607" w:lineRule="exact"/>
        <w:rPr>
          <w:sz w:val="20"/>
          <w:szCs w:val="20"/>
          <w:color w:val="auto"/>
        </w:rPr>
      </w:pPr>
    </w:p>
    <w:p>
      <w:pPr>
        <w:sectPr>
          <w:pgSz w:w="11900" w:h="16838" w:orient="portrait"/>
          <w:cols w:equalWidth="0" w:num="2">
            <w:col w:w="7040" w:space="720"/>
            <w:col w:w="2099"/>
          </w:cols>
          <w:pgMar w:left="600" w:top="97" w:right="1440" w:bottom="1119" w:gutter="0" w:footer="0" w:header="0"/>
          <w:type w:val="continuous"/>
        </w:sectPr>
      </w:pPr>
    </w:p>
    <w:p>
      <w:pPr>
        <w:ind w:left="1620" w:right="479" w:hanging="365"/>
        <w:spacing w:after="0"/>
        <w:tabs>
          <w:tab w:leader="none" w:pos="162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25, 2022. Therefore, the table includes options to purchase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256" w:lineRule="exact"/>
        <w:rPr>
          <w:rFonts w:ascii="Arial" w:cs="Arial" w:eastAsia="Arial" w:hAnsi="Arial"/>
          <w:sz w:val="27"/>
          <w:szCs w:val="27"/>
          <w:color w:val="auto"/>
          <w:vertAlign w:val="superscript"/>
        </w:rPr>
      </w:pPr>
    </w:p>
    <w:p>
      <w:pPr>
        <w:ind w:left="1620" w:right="439" w:hanging="365"/>
        <w:spacing w:after="0"/>
        <w:tabs>
          <w:tab w:leader="none" w:pos="162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13D/A filed with the SEC on May 21, 2021,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w:t>
      </w:r>
    </w:p>
    <w:p>
      <w:pPr>
        <w:sectPr>
          <w:pgSz w:w="11900" w:h="16838" w:orient="portrait"/>
          <w:cols w:equalWidth="0" w:num="1">
            <w:col w:w="9859"/>
          </w:cols>
          <w:pgMar w:left="600" w:top="97" w:right="1440" w:bottom="11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119" w:gutter="0" w:footer="0" w:header="0"/>
          <w:type w:val="continuous"/>
        </w:sectPr>
      </w:pPr>
    </w:p>
    <w:bookmarkStart w:id="33" w:name="page34"/>
    <w:bookmarkEnd w:id="3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294640</wp:posOffset>
            </wp:positionV>
            <wp:extent cx="414274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4274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314F60"/>
        </w:rPr>
        <w:t>SECURITY OWNERSHIP OF CERTAIN BENEFICIAL OWNERS AND MANAGEMENT</w:t>
      </w:r>
    </w:p>
    <w:p>
      <w:pPr>
        <w:spacing w:after="0" w:line="282" w:lineRule="exact"/>
        <w:rPr>
          <w:sz w:val="20"/>
          <w:szCs w:val="20"/>
          <w:color w:val="auto"/>
        </w:rPr>
      </w:pPr>
    </w:p>
    <w:p>
      <w:pPr>
        <w:ind w:left="1620" w:right="1000"/>
        <w:spacing w:after="0" w:line="262" w:lineRule="auto"/>
        <w:rPr>
          <w:sz w:val="20"/>
          <w:szCs w:val="20"/>
          <w:color w:val="auto"/>
        </w:rPr>
      </w:pPr>
      <w:r>
        <w:rPr>
          <w:rFonts w:ascii="Arial" w:cs="Arial" w:eastAsia="Arial" w:hAnsi="Arial"/>
          <w:sz w:val="18"/>
          <w:szCs w:val="18"/>
          <w:color w:val="auto"/>
        </w:rPr>
        <w:t>548,220 shares of common stock held by Mrs. Erbey. Mr. and Mrs. Erbey’s business address is P.O. Box 25437, Christiansted, United States Virgin Islands 00824.</w:t>
      </w:r>
    </w:p>
    <w:p>
      <w:pPr>
        <w:spacing w:after="0" w:line="32" w:lineRule="exact"/>
        <w:rPr>
          <w:sz w:val="20"/>
          <w:szCs w:val="20"/>
          <w:color w:val="auto"/>
        </w:rPr>
      </w:pPr>
    </w:p>
    <w:p>
      <w:pPr>
        <w:ind w:left="1620" w:right="580" w:hanging="365"/>
        <w:spacing w:after="0"/>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Form 13F filed with the SEC on February 14, 2022 by Deer Park Road Management Company, LP (“Deer Park”), a limited partnership, on behalf of itself and Deer Park Road Management GP, LLC, Deer Park Road Corporation, Michael David Craig-Scheckman, AgateCreek LLC and Scott Edward Burg (collectively, the “Deer Park Reporting Persons”), Deer Park’s holdings consist of 3,758,801 shares held for the account of STS Master Fund, Ltd., of which the Deer Park Reporting Persons share voting and dispositive power. Deer Park serves as investment adviser to STS Master Fund, Ltd., an exempted company organized under the laws of the Cayman Islands. The total share amount of 3,758,801 listed for Mr. Burg in the table includes the 3,758,801 shares beneficially owned by Deer Park Road Management Company, LP. The business address of the Deer Park Reporting Persons is 1195 Bangtail Way, Steamboat Springs, Colorado 80487.</w:t>
      </w:r>
    </w:p>
    <w:p>
      <w:pPr>
        <w:spacing w:after="0" w:line="256" w:lineRule="exact"/>
        <w:rPr>
          <w:rFonts w:ascii="Arial" w:cs="Arial" w:eastAsia="Arial" w:hAnsi="Arial"/>
          <w:sz w:val="27"/>
          <w:szCs w:val="27"/>
          <w:color w:val="auto"/>
          <w:vertAlign w:val="superscript"/>
        </w:rPr>
      </w:pPr>
    </w:p>
    <w:p>
      <w:pPr>
        <w:jc w:val="both"/>
        <w:ind w:left="1620" w:right="780" w:hanging="365"/>
        <w:spacing w:after="0" w:line="221" w:lineRule="auto"/>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202,400 shares exercisable on or within 60 days after March 25, 2022 and 562,067 shares held by the William B. Shepro Revocable Trust (as to which Mr. and Mrs. Shepro share voting and dispositive power).</w:t>
      </w:r>
    </w:p>
    <w:p>
      <w:pPr>
        <w:spacing w:after="0" w:line="32" w:lineRule="exact"/>
        <w:rPr>
          <w:rFonts w:ascii="Arial" w:cs="Arial" w:eastAsia="Arial" w:hAnsi="Arial"/>
          <w:sz w:val="27"/>
          <w:szCs w:val="27"/>
          <w:color w:val="auto"/>
          <w:vertAlign w:val="superscript"/>
        </w:rPr>
      </w:pPr>
    </w:p>
    <w:p>
      <w:pPr>
        <w:ind w:left="1620" w:right="580" w:hanging="365"/>
        <w:spacing w:after="0"/>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45,138 shares exercisable on or within 60 days after March 25, 2022 and 50,217 shares held jointly by Ms. Esterman and her spouse, Gregory F. Esterman.</w:t>
      </w:r>
    </w:p>
    <w:p>
      <w:pPr>
        <w:spacing w:after="0" w:line="182" w:lineRule="exact"/>
        <w:rPr>
          <w:rFonts w:ascii="Arial" w:cs="Arial" w:eastAsia="Arial" w:hAnsi="Arial"/>
          <w:sz w:val="27"/>
          <w:szCs w:val="27"/>
          <w:color w:val="auto"/>
          <w:vertAlign w:val="superscript"/>
        </w:rPr>
      </w:pPr>
    </w:p>
    <w:p>
      <w:pPr>
        <w:ind w:left="1620" w:right="940" w:hanging="365"/>
        <w:spacing w:after="0" w:line="210" w:lineRule="auto"/>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31,432 shares exercisable on or within 60 days after March 25, 2022 and 30,973 shares held directly by Mr. Ritts.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11" w:lineRule="exact"/>
        <w:rPr>
          <w:sz w:val="20"/>
          <w:szCs w:val="20"/>
          <w:color w:val="auto"/>
        </w:rPr>
      </w:pPr>
    </w:p>
    <w:p>
      <w:pPr>
        <w:jc w:val="both"/>
        <w:ind w:left="1260" w:right="620"/>
        <w:spacing w:after="0" w:line="276"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30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22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to be issued upon</w:t>
            </w:r>
          </w:p>
        </w:tc>
        <w:tc>
          <w:tcPr>
            <w:tcW w:w="192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exercise</w:t>
            </w:r>
          </w:p>
        </w:tc>
        <w:tc>
          <w:tcPr>
            <w:tcW w:w="19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exercise price of</w:t>
            </w:r>
          </w:p>
        </w:tc>
        <w:tc>
          <w:tcPr>
            <w:tcW w:w="2260" w:type="dxa"/>
            <w:vAlign w:val="bottom"/>
          </w:tcPr>
          <w:p>
            <w:pPr>
              <w:jc w:val="center"/>
              <w:ind w:right="10"/>
              <w:spacing w:after="0" w:line="175"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254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Plan category</w:t>
            </w:r>
          </w:p>
        </w:tc>
        <w:tc>
          <w:tcPr>
            <w:tcW w:w="3940" w:type="dxa"/>
            <w:vAlign w:val="bottom"/>
            <w:gridSpan w:val="2"/>
          </w:tcPr>
          <w:p>
            <w:pPr>
              <w:jc w:val="right"/>
              <w:ind w:right="10"/>
              <w:spacing w:after="0" w:line="175" w:lineRule="exact"/>
              <w:rPr>
                <w:sz w:val="20"/>
                <w:szCs w:val="20"/>
                <w:color w:val="auto"/>
              </w:rPr>
            </w:pPr>
            <w:r>
              <w:rPr>
                <w:rFonts w:ascii="Arial" w:cs="Arial" w:eastAsia="Arial" w:hAnsi="Arial"/>
                <w:sz w:val="18"/>
                <w:szCs w:val="18"/>
                <w:b w:val="1"/>
                <w:bCs w:val="1"/>
                <w:color w:val="auto"/>
                <w:w w:val="99"/>
              </w:rPr>
              <w:t>of outstanding options, outstanding options,</w:t>
            </w:r>
          </w:p>
        </w:tc>
        <w:tc>
          <w:tcPr>
            <w:tcW w:w="2260" w:type="dxa"/>
            <w:vAlign w:val="bottom"/>
          </w:tcPr>
          <w:p>
            <w:pPr>
              <w:jc w:val="center"/>
              <w:ind w:right="10"/>
              <w:spacing w:after="0" w:line="175"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5"/>
        </w:trPr>
        <w:tc>
          <w:tcPr>
            <w:tcW w:w="254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warrants and rights</w:t>
            </w:r>
          </w:p>
        </w:tc>
        <w:tc>
          <w:tcPr>
            <w:tcW w:w="4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warrants and rights equity compensation plans</w:t>
            </w:r>
          </w:p>
        </w:tc>
        <w:tc>
          <w:tcPr>
            <w:tcW w:w="0" w:type="dxa"/>
            <w:vAlign w:val="bottom"/>
          </w:tcPr>
          <w:p>
            <w:pPr>
              <w:spacing w:after="0"/>
              <w:rPr>
                <w:sz w:val="1"/>
                <w:szCs w:val="1"/>
                <w:color w:val="auto"/>
              </w:rPr>
            </w:pPr>
          </w:p>
        </w:tc>
      </w:tr>
      <w:tr>
        <w:trPr>
          <w:trHeight w:val="190"/>
        </w:trPr>
        <w:tc>
          <w:tcPr>
            <w:tcW w:w="25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Equity compensation plans</w:t>
            </w:r>
          </w:p>
        </w:tc>
        <w:tc>
          <w:tcPr>
            <w:tcW w:w="20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687,339</w:t>
            </w: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$ 27.99</w:t>
            </w:r>
          </w:p>
        </w:tc>
        <w:tc>
          <w:tcPr>
            <w:tcW w:w="22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2,882,182</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Delinquent Section 16(a) Reports</w:t>
      </w:r>
    </w:p>
    <w:p>
      <w:pPr>
        <w:spacing w:after="0" w:line="111" w:lineRule="exact"/>
        <w:rPr>
          <w:sz w:val="20"/>
          <w:szCs w:val="20"/>
          <w:color w:val="auto"/>
        </w:rPr>
      </w:pPr>
    </w:p>
    <w:p>
      <w:pPr>
        <w:ind w:left="1260" w:right="700"/>
        <w:spacing w:after="0" w:line="256"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1" w:lineRule="exact"/>
        <w:rPr>
          <w:sz w:val="20"/>
          <w:szCs w:val="20"/>
          <w:color w:val="auto"/>
        </w:rPr>
      </w:pPr>
    </w:p>
    <w:p>
      <w:pPr>
        <w:jc w:val="both"/>
        <w:ind w:left="1260" w:right="620"/>
        <w:spacing w:after="0" w:line="254" w:lineRule="auto"/>
        <w:rPr>
          <w:sz w:val="20"/>
          <w:szCs w:val="20"/>
          <w:color w:val="auto"/>
        </w:rPr>
      </w:pPr>
      <w:r>
        <w:rPr>
          <w:rFonts w:ascii="Arial" w:cs="Arial" w:eastAsia="Arial" w:hAnsi="Arial"/>
          <w:sz w:val="18"/>
          <w:szCs w:val="18"/>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2021.</w:t>
      </w:r>
    </w:p>
    <w:p>
      <w:pPr>
        <w:sectPr>
          <w:pgSz w:w="11900" w:h="16838" w:orient="portrait"/>
          <w:cols w:equalWidth="0" w:num="1">
            <w:col w:w="10000"/>
          </w:cols>
          <w:pgMar w:left="60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000"/>
          </w:cols>
          <w:pgMar w:left="600" w:top="97" w:right="1299" w:bottom="1440" w:gutter="0" w:footer="0" w:header="0"/>
          <w:type w:val="continuous"/>
        </w:sectPr>
      </w:pPr>
    </w:p>
    <w:bookmarkStart w:id="34" w:name="page35"/>
    <w:bookmarkEnd w:id="3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Summary Compensation Table</w:t>
      </w:r>
    </w:p>
    <w:p>
      <w:pPr>
        <w:spacing w:after="0" w:line="111" w:lineRule="exact"/>
        <w:rPr>
          <w:sz w:val="20"/>
          <w:szCs w:val="20"/>
          <w:color w:val="auto"/>
        </w:rPr>
      </w:pPr>
    </w:p>
    <w:p>
      <w:pPr>
        <w:ind w:left="1260" w:right="919"/>
        <w:spacing w:after="0" w:line="252"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88" w:lineRule="exact"/>
        <w:rPr>
          <w:sz w:val="20"/>
          <w:szCs w:val="20"/>
          <w:color w:val="auto"/>
        </w:rPr>
      </w:pPr>
    </w:p>
    <w:p>
      <w:pPr>
        <w:ind w:left="1260" w:right="839"/>
        <w:spacing w:after="0" w:line="285" w:lineRule="auto"/>
        <w:rPr>
          <w:sz w:val="20"/>
          <w:szCs w:val="20"/>
          <w:color w:val="auto"/>
        </w:rPr>
      </w:pPr>
      <w:r>
        <w:rPr>
          <w:rFonts w:ascii="Arial" w:cs="Arial" w:eastAsia="Arial" w:hAnsi="Arial"/>
          <w:sz w:val="18"/>
          <w:szCs w:val="18"/>
          <w:color w:val="auto"/>
        </w:rPr>
        <w:t>For the year ended December 31, 2021, our named executive officers were the following individuals:</w:t>
      </w:r>
    </w:p>
    <w:p>
      <w:pPr>
        <w:spacing w:after="0" w:line="47" w:lineRule="exact"/>
        <w:rPr>
          <w:sz w:val="20"/>
          <w:szCs w:val="20"/>
          <w:color w:val="auto"/>
        </w:rPr>
      </w:pPr>
    </w:p>
    <w:p>
      <w:pPr>
        <w:ind w:left="1800" w:hanging="187"/>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15" w:lineRule="exact"/>
        <w:rPr>
          <w:rFonts w:ascii="Arial" w:cs="Arial" w:eastAsia="Arial" w:hAnsi="Arial"/>
          <w:sz w:val="18"/>
          <w:szCs w:val="18"/>
          <w:color w:val="auto"/>
        </w:rPr>
      </w:pPr>
    </w:p>
    <w:p>
      <w:pPr>
        <w:ind w:left="1800" w:hanging="187"/>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02" w:lineRule="exact"/>
        <w:rPr>
          <w:rFonts w:ascii="Arial" w:cs="Arial" w:eastAsia="Arial" w:hAnsi="Arial"/>
          <w:sz w:val="18"/>
          <w:szCs w:val="18"/>
          <w:color w:val="auto"/>
        </w:rPr>
      </w:pPr>
    </w:p>
    <w:p>
      <w:pPr>
        <w:ind w:left="1800" w:right="519" w:hanging="187"/>
        <w:spacing w:after="0" w:line="285"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Marcello Mastioni, former Chief Operating Officer (Mr. Mastioni’s employment with the Company ended in May 2021)</w:t>
      </w:r>
    </w:p>
    <w:p>
      <w:pPr>
        <w:spacing w:after="0" w:line="46" w:lineRule="exact"/>
        <w:rPr>
          <w:rFonts w:ascii="Arial" w:cs="Arial" w:eastAsia="Arial" w:hAnsi="Arial"/>
          <w:sz w:val="18"/>
          <w:szCs w:val="18"/>
          <w:color w:val="auto"/>
        </w:rPr>
      </w:pPr>
    </w:p>
    <w:p>
      <w:pPr>
        <w:ind w:left="1800" w:hanging="187"/>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56" w:lineRule="exact"/>
        <w:rPr>
          <w:sz w:val="20"/>
          <w:szCs w:val="20"/>
          <w:color w:val="auto"/>
        </w:rPr>
      </w:pPr>
    </w:p>
    <w:p>
      <w:pPr>
        <w:ind w:left="1260" w:right="519"/>
        <w:spacing w:after="0" w:line="285" w:lineRule="auto"/>
        <w:rPr>
          <w:sz w:val="20"/>
          <w:szCs w:val="20"/>
          <w:color w:val="auto"/>
        </w:rPr>
      </w:pPr>
      <w:r>
        <w:rPr>
          <w:rFonts w:ascii="Arial" w:cs="Arial" w:eastAsia="Arial" w:hAnsi="Arial"/>
          <w:sz w:val="18"/>
          <w:szCs w:val="18"/>
          <w:color w:val="auto"/>
        </w:rPr>
        <w:t>The following table discloses compensation of our Named Executive Officers for fiscal years 2020 and 2021.</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1880" w:type="dxa"/>
            <w:vAlign w:val="bottom"/>
            <w:gridSpan w:val="2"/>
          </w:tcPr>
          <w:p>
            <w:pPr>
              <w:ind w:left="560"/>
              <w:spacing w:after="0"/>
              <w:rPr>
                <w:sz w:val="20"/>
                <w:szCs w:val="20"/>
                <w:color w:val="auto"/>
              </w:rPr>
            </w:pPr>
            <w:r>
              <w:rPr>
                <w:rFonts w:ascii="Arial" w:cs="Arial" w:eastAsia="Arial" w:hAnsi="Arial"/>
                <w:sz w:val="14"/>
                <w:szCs w:val="14"/>
                <w:b w:val="1"/>
                <w:bCs w:val="1"/>
                <w:color w:val="auto"/>
              </w:rPr>
              <w:t>Name and</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4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8"/>
        </w:trPr>
        <w:tc>
          <w:tcPr>
            <w:tcW w:w="1840" w:type="dxa"/>
            <w:vAlign w:val="bottom"/>
          </w:tcPr>
          <w:p>
            <w:pPr>
              <w:ind w:left="300"/>
              <w:spacing w:after="0"/>
              <w:rPr>
                <w:sz w:val="20"/>
                <w:szCs w:val="20"/>
                <w:color w:val="auto"/>
              </w:rPr>
            </w:pPr>
            <w:r>
              <w:rPr>
                <w:rFonts w:ascii="Arial" w:cs="Arial" w:eastAsia="Arial" w:hAnsi="Arial"/>
                <w:sz w:val="14"/>
                <w:szCs w:val="14"/>
                <w:b w:val="1"/>
                <w:bCs w:val="1"/>
                <w:color w:val="auto"/>
              </w:rPr>
              <w:t>Principal Position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7"/>
                <w:szCs w:val="17"/>
                <w:b w:val="1"/>
                <w:bCs w:val="1"/>
                <w:color w:val="auto"/>
                <w:vertAlign w:val="superscript"/>
              </w:rPr>
              <w:t>(1)</w:t>
            </w:r>
          </w:p>
        </w:tc>
        <w:tc>
          <w:tcPr>
            <w:tcW w:w="16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(3)</w:t>
            </w: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(4)</w:t>
            </w:r>
          </w:p>
        </w:tc>
        <w:tc>
          <w:tcPr>
            <w:tcW w:w="120" w:type="dxa"/>
            <w:vAlign w:val="bottom"/>
          </w:tcPr>
          <w:p>
            <w:pPr>
              <w:spacing w:after="0"/>
              <w:rPr>
                <w:sz w:val="17"/>
                <w:szCs w:val="17"/>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21"/>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William B. Shepro</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$669,432</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1,797,814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356,401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2,823,646</w:t>
            </w:r>
          </w:p>
        </w:tc>
      </w:tr>
      <w:tr>
        <w:trPr>
          <w:trHeight w:val="297"/>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$591,830</w:t>
            </w:r>
            <w:r>
              <w:rPr>
                <w:rFonts w:ascii="Arial" w:cs="Arial" w:eastAsia="Arial" w:hAnsi="Arial"/>
                <w:sz w:val="19"/>
                <w:szCs w:val="19"/>
                <w:color w:val="auto"/>
                <w:vertAlign w:val="superscript"/>
              </w:rPr>
              <w:t>(5)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465,961</w:t>
            </w:r>
          </w:p>
        </w:tc>
        <w:tc>
          <w:tcPr>
            <w:tcW w:w="122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$ 619,037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5"/>
              </w:rPr>
              <w:t>484,845</w:t>
            </w:r>
            <w:r>
              <w:rPr>
                <w:rFonts w:ascii="Arial" w:cs="Arial" w:eastAsia="Arial" w:hAnsi="Arial"/>
                <w:sz w:val="19"/>
                <w:szCs w:val="19"/>
                <w:color w:val="auto"/>
                <w:w w:val="95"/>
                <w:vertAlign w:val="superscript"/>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2,161,673</w:t>
            </w:r>
          </w:p>
        </w:tc>
      </w:tr>
      <w:tr>
        <w:trPr>
          <w:trHeight w:val="228"/>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Michelle D. Esterman</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$380,827</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687,026</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1,067,853</w:t>
            </w:r>
          </w:p>
        </w:tc>
      </w:tr>
      <w:tr>
        <w:trPr>
          <w:trHeight w:val="297"/>
        </w:trPr>
        <w:tc>
          <w:tcPr>
            <w:tcW w:w="188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6"/>
                <w:szCs w:val="16"/>
                <w:color w:val="auto"/>
              </w:rPr>
              <w:t>$382,814</w:t>
            </w:r>
            <w:r>
              <w:rPr>
                <w:rFonts w:ascii="Arial" w:cs="Arial" w:eastAsia="Arial" w:hAnsi="Arial"/>
                <w:sz w:val="19"/>
                <w:szCs w:val="19"/>
                <w:color w:val="auto"/>
                <w:vertAlign w:val="superscript"/>
              </w:rPr>
              <w:t>(7)</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241,066</w:t>
            </w:r>
          </w:p>
        </w:tc>
        <w:tc>
          <w:tcPr>
            <w:tcW w:w="1220" w:type="dxa"/>
            <w:vAlign w:val="bottom"/>
            <w:gridSpan w:val="2"/>
          </w:tcPr>
          <w:p>
            <w:pPr>
              <w:jc w:val="right"/>
              <w:ind w:right="123"/>
              <w:spacing w:after="0"/>
              <w:rPr>
                <w:sz w:val="20"/>
                <w:szCs w:val="20"/>
                <w:color w:val="auto"/>
              </w:rPr>
            </w:pPr>
            <w:r>
              <w:rPr>
                <w:rFonts w:ascii="Arial" w:cs="Arial" w:eastAsia="Arial" w:hAnsi="Arial"/>
                <w:sz w:val="16"/>
                <w:szCs w:val="16"/>
                <w:color w:val="auto"/>
              </w:rPr>
              <w:t>$ 140,383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764,263</w:t>
            </w:r>
          </w:p>
        </w:tc>
      </w:tr>
      <w:tr>
        <w:trPr>
          <w:trHeight w:val="228"/>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Marcello Mastioni</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6"/>
                <w:szCs w:val="16"/>
                <w:color w:val="auto"/>
              </w:rPr>
              <w:t>$514,507</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822,190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84,361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1,421,059</w:t>
            </w:r>
          </w:p>
        </w:tc>
      </w:tr>
      <w:tr>
        <w:trPr>
          <w:trHeight w:val="229"/>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Former Chief</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$254,685</w:t>
            </w:r>
            <w:r>
              <w:rPr>
                <w:rFonts w:ascii="Arial" w:cs="Arial" w:eastAsia="Arial" w:hAnsi="Arial"/>
                <w:sz w:val="19"/>
                <w:szCs w:val="19"/>
                <w:color w:val="auto"/>
                <w:vertAlign w:val="superscript"/>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5"/>
              </w:rPr>
              <w:t>661,903</w:t>
            </w:r>
            <w:r>
              <w:rPr>
                <w:rFonts w:ascii="Arial" w:cs="Arial" w:eastAsia="Arial" w:hAnsi="Arial"/>
                <w:sz w:val="19"/>
                <w:szCs w:val="19"/>
                <w:color w:val="auto"/>
                <w:w w:val="95"/>
                <w:vertAlign w:val="superscript"/>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1,009,520</w:t>
            </w:r>
          </w:p>
        </w:tc>
      </w:tr>
      <w:tr>
        <w:trPr>
          <w:trHeight w:val="188"/>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Officer</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28"/>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Gregory J. Ritts</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$457,677</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$671,834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562,622</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104,841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796,974</w:t>
            </w:r>
          </w:p>
        </w:tc>
      </w:tr>
      <w:tr>
        <w:trPr>
          <w:trHeight w:val="243"/>
        </w:trPr>
        <w:tc>
          <w:tcPr>
            <w:tcW w:w="1880" w:type="dxa"/>
            <w:vAlign w:val="bottom"/>
            <w:gridSpan w:val="2"/>
          </w:tcPr>
          <w:p>
            <w:pPr>
              <w:spacing w:after="0"/>
              <w:rPr>
                <w:sz w:val="20"/>
                <w:szCs w:val="20"/>
                <w:color w:val="auto"/>
              </w:rPr>
            </w:pPr>
            <w:r>
              <w:rPr>
                <w:rFonts w:ascii="Arial" w:cs="Arial" w:eastAsia="Arial" w:hAnsi="Arial"/>
                <w:sz w:val="16"/>
                <w:szCs w:val="16"/>
                <w:color w:val="auto"/>
              </w:rPr>
              <w:t>Chief Legal and</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6"/>
                <w:szCs w:val="16"/>
                <w:color w:val="auto"/>
                <w:w w:val="94"/>
              </w:rPr>
              <w:t>$460,537</w:t>
            </w:r>
            <w:r>
              <w:rPr>
                <w:rFonts w:ascii="Arial" w:cs="Arial" w:eastAsia="Arial" w:hAnsi="Arial"/>
                <w:sz w:val="19"/>
                <w:szCs w:val="19"/>
                <w:color w:val="auto"/>
                <w:w w:val="94"/>
                <w:vertAlign w:val="superscript"/>
              </w:rPr>
              <w:t>(10)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158,134</w:t>
            </w:r>
          </w:p>
        </w:tc>
        <w:tc>
          <w:tcPr>
            <w:tcW w:w="1220" w:type="dxa"/>
            <w:vAlign w:val="bottom"/>
            <w:gridSpan w:val="2"/>
          </w:tcPr>
          <w:p>
            <w:pPr>
              <w:jc w:val="right"/>
              <w:ind w:right="123"/>
              <w:spacing w:after="0"/>
              <w:rPr>
                <w:sz w:val="20"/>
                <w:szCs w:val="20"/>
                <w:color w:val="auto"/>
              </w:rPr>
            </w:pPr>
            <w:r>
              <w:rPr>
                <w:rFonts w:ascii="Arial" w:cs="Arial" w:eastAsia="Arial" w:hAnsi="Arial"/>
                <w:sz w:val="16"/>
                <w:szCs w:val="16"/>
                <w:color w:val="auto"/>
              </w:rPr>
              <w:t>$ 123,968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85,811</w:t>
            </w:r>
            <w:r>
              <w:rPr>
                <w:rFonts w:ascii="Arial" w:cs="Arial" w:eastAsia="Arial" w:hAnsi="Arial"/>
                <w:sz w:val="19"/>
                <w:szCs w:val="19"/>
                <w:color w:val="auto"/>
                <w:vertAlign w:val="superscript"/>
              </w:rPr>
              <w:t>(11)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828,450</w:t>
            </w:r>
          </w:p>
        </w:tc>
      </w:tr>
      <w:tr>
        <w:trPr>
          <w:trHeight w:val="214"/>
        </w:trPr>
        <w:tc>
          <w:tcPr>
            <w:tcW w:w="1880" w:type="dxa"/>
            <w:vAlign w:val="bottom"/>
            <w:gridSpan w:val="2"/>
          </w:tcPr>
          <w:p>
            <w:pPr>
              <w:spacing w:after="0"/>
              <w:rPr>
                <w:sz w:val="20"/>
                <w:szCs w:val="20"/>
                <w:color w:val="auto"/>
              </w:rPr>
            </w:pPr>
            <w:r>
              <w:rPr>
                <w:rFonts w:ascii="Arial" w:cs="Arial" w:eastAsia="Arial" w:hAnsi="Arial"/>
                <w:sz w:val="16"/>
                <w:szCs w:val="16"/>
                <w:color w:val="auto"/>
              </w:rPr>
              <w:t>Compliance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5533390</wp:posOffset>
            </wp:positionH>
            <wp:positionV relativeFrom="paragraph">
              <wp:posOffset>-1518920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-1518920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-1518920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-1518920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-1518920</wp:posOffset>
            </wp:positionV>
            <wp:extent cx="1022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-1518920</wp:posOffset>
            </wp:positionV>
            <wp:extent cx="1022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-1518920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1620" w:hanging="365"/>
        <w:spacing w:after="0"/>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Represents amounts earned in corresponding year.</w:t>
      </w:r>
    </w:p>
    <w:p>
      <w:pPr>
        <w:spacing w:after="0" w:line="48" w:lineRule="exact"/>
        <w:rPr>
          <w:rFonts w:ascii="Arial" w:cs="Arial" w:eastAsia="Arial" w:hAnsi="Arial"/>
          <w:sz w:val="27"/>
          <w:szCs w:val="27"/>
          <w:color w:val="auto"/>
          <w:vertAlign w:val="superscript"/>
        </w:rPr>
      </w:pPr>
    </w:p>
    <w:p>
      <w:pPr>
        <w:ind w:left="1620" w:right="519" w:hanging="365"/>
        <w:spacing w:after="0" w:line="223"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restricted share awards granted during each year presented. The value was determined by using the grant date fair value per award multiplied by the shares or RSUs granted, as per the grant date.</w:t>
      </w:r>
    </w:p>
    <w:p>
      <w:pPr>
        <w:spacing w:after="0" w:line="31" w:lineRule="exact"/>
        <w:rPr>
          <w:rFonts w:ascii="Arial" w:cs="Arial" w:eastAsia="Arial" w:hAnsi="Arial"/>
          <w:sz w:val="27"/>
          <w:szCs w:val="27"/>
          <w:color w:val="auto"/>
          <w:vertAlign w:val="superscript"/>
        </w:rPr>
      </w:pPr>
    </w:p>
    <w:p>
      <w:pPr>
        <w:ind w:left="1620" w:right="499" w:hanging="365"/>
        <w:spacing w:after="0" w:line="210"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31" w:lineRule="exact"/>
        <w:rPr>
          <w:rFonts w:ascii="Arial" w:cs="Arial" w:eastAsia="Arial" w:hAnsi="Arial"/>
          <w:sz w:val="27"/>
          <w:szCs w:val="27"/>
          <w:color w:val="auto"/>
          <w:vertAlign w:val="superscript"/>
        </w:rPr>
      </w:pPr>
    </w:p>
    <w:p>
      <w:pPr>
        <w:ind w:left="1620" w:right="479" w:hanging="365"/>
        <w:spacing w:after="0" w:line="221"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relocation/expatriate plans, as detailed in the applicable footnotes.</w:t>
      </w:r>
    </w:p>
    <w:p>
      <w:pPr>
        <w:spacing w:after="0" w:line="18" w:lineRule="exact"/>
        <w:rPr>
          <w:rFonts w:ascii="Arial" w:cs="Arial" w:eastAsia="Arial" w:hAnsi="Arial"/>
          <w:sz w:val="27"/>
          <w:szCs w:val="27"/>
          <w:color w:val="auto"/>
          <w:vertAlign w:val="superscript"/>
        </w:rPr>
      </w:pPr>
    </w:p>
    <w:p>
      <w:pPr>
        <w:ind w:left="1620" w:right="759" w:hanging="365"/>
        <w:spacing w:after="0" w:line="233"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In response to the anticipated impact to the Company’s revenue and cash flow from government and servicer measures to assist borrowers in response to the COVID-19 pandemic,</w:t>
      </w:r>
    </w:p>
    <w:p>
      <w:pPr>
        <w:spacing w:after="0" w:line="3" w:lineRule="exact"/>
        <w:rPr>
          <w:rFonts w:ascii="Arial" w:cs="Arial" w:eastAsia="Arial" w:hAnsi="Arial"/>
          <w:sz w:val="27"/>
          <w:szCs w:val="27"/>
          <w:color w:val="auto"/>
          <w:vertAlign w:val="superscript"/>
        </w:rPr>
      </w:pPr>
    </w:p>
    <w:p>
      <w:pPr>
        <w:ind w:left="1620" w:right="839"/>
        <w:spacing w:after="0" w:line="258" w:lineRule="auto"/>
        <w:rPr>
          <w:rFonts w:ascii="Arial" w:cs="Arial" w:eastAsia="Arial" w:hAnsi="Arial"/>
          <w:sz w:val="27"/>
          <w:szCs w:val="27"/>
          <w:color w:val="auto"/>
          <w:vertAlign w:val="superscript"/>
        </w:rPr>
      </w:pPr>
      <w:r>
        <w:rPr>
          <w:rFonts w:ascii="Arial" w:cs="Arial" w:eastAsia="Arial" w:hAnsi="Arial"/>
          <w:sz w:val="18"/>
          <w:szCs w:val="18"/>
          <w:color w:val="auto"/>
        </w:rPr>
        <w:t>Mr. Shepro agreed to forgo 40% of his base salary effective March 1, 2021; his base salary was reinstated effective December 1, 2021.</w:t>
      </w:r>
    </w:p>
    <w:p>
      <w:pPr>
        <w:spacing w:after="0" w:line="21" w:lineRule="exact"/>
        <w:rPr>
          <w:rFonts w:ascii="Arial" w:cs="Arial" w:eastAsia="Arial" w:hAnsi="Arial"/>
          <w:sz w:val="27"/>
          <w:szCs w:val="27"/>
          <w:color w:val="auto"/>
          <w:vertAlign w:val="superscript"/>
        </w:rPr>
      </w:pPr>
    </w:p>
    <w:p>
      <w:pPr>
        <w:ind w:left="1620" w:right="599" w:hanging="365"/>
        <w:spacing w:after="0" w:line="219"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Includes a housing allowance, personal use of a company car, an education allowance, a goods and services allowance, a travel allowance, medical benefits, $126,624 for income tax normalization and $218,826 tax gross-up payments on perquisites.</w:t>
      </w:r>
    </w:p>
    <w:p>
      <w:pPr>
        <w:spacing w:after="0" w:line="2" w:lineRule="exact"/>
        <w:rPr>
          <w:rFonts w:ascii="Arial" w:cs="Arial" w:eastAsia="Arial" w:hAnsi="Arial"/>
          <w:sz w:val="27"/>
          <w:szCs w:val="27"/>
          <w:color w:val="auto"/>
          <w:vertAlign w:val="superscript"/>
        </w:rPr>
      </w:pPr>
    </w:p>
    <w:p>
      <w:pPr>
        <w:ind w:left="1620" w:right="7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Mr. Shepro’s other compensation includes benefits paid in euros and, for purposes of the table, is converted into U.S. dollars based on the OANDA one-year average exchange rate ending on December 31, 2021 of 0.8457 euros to the U.S. dollar. In response to the anticipated impact to the Company’s revenue and cash flow from government and servicer measures to assist borrowers in response to the COVID-19 pandemic, Mr. Shepro agreed to waive on a permanent basis his housing allowance, effective March 1, 2021, and the use of one company-leased vehicle effective June 1, 2021.</w:t>
      </w:r>
    </w:p>
    <w:p>
      <w:pPr>
        <w:sectPr>
          <w:pgSz w:w="11900" w:h="16838" w:orient="portrait"/>
          <w:cols w:equalWidth="0" w:num="1">
            <w:col w:w="9859"/>
          </w:cols>
          <w:pgMar w:left="600" w:top="97" w:right="1440" w:bottom="622"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622" w:gutter="0" w:footer="0" w:header="0"/>
          <w:type w:val="continuous"/>
        </w:sectPr>
      </w:pPr>
    </w:p>
    <w:bookmarkStart w:id="35" w:name="page36"/>
    <w:bookmarkEnd w:id="3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82" w:lineRule="exact"/>
        <w:rPr>
          <w:sz w:val="20"/>
          <w:szCs w:val="20"/>
          <w:color w:val="auto"/>
        </w:rPr>
      </w:pPr>
    </w:p>
    <w:p>
      <w:pPr>
        <w:ind w:left="1620" w:right="819" w:hanging="365"/>
        <w:spacing w:after="0" w:line="227"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In response to the anticipated impact to the Company’s revenue and cash flow from government and servicer measures to assist borrowers in response to the COVID-19 pandemic, Ms. Esterman agreed to forgo 15% of her base salary effective March 1, 2021; her base salary was reinstated effective December 1, 2021.</w:t>
      </w:r>
    </w:p>
    <w:p>
      <w:pPr>
        <w:spacing w:after="0" w:line="33" w:lineRule="exact"/>
        <w:rPr>
          <w:rFonts w:ascii="Arial" w:cs="Arial" w:eastAsia="Arial" w:hAnsi="Arial"/>
          <w:sz w:val="27"/>
          <w:szCs w:val="27"/>
          <w:color w:val="auto"/>
          <w:vertAlign w:val="superscript"/>
        </w:rPr>
      </w:pPr>
    </w:p>
    <w:p>
      <w:pPr>
        <w:ind w:left="1620" w:right="479" w:hanging="365"/>
        <w:spacing w:after="0" w:line="227"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Mr. Mastioni’s base salary was set in euros and paid in euros. For purposes of the table, Mr. Mastioni’s base salary is converted into U.S. dollars based on the OANDA one-year average exchange rate ending on December 31, 2021 of 0.8457 euros to the U.S. dollar. Mr. Mastioni’s employment with the Company ended in May 2021.</w:t>
      </w:r>
    </w:p>
    <w:p>
      <w:pPr>
        <w:spacing w:after="0" w:line="33" w:lineRule="exact"/>
        <w:rPr>
          <w:rFonts w:ascii="Arial" w:cs="Arial" w:eastAsia="Arial" w:hAnsi="Arial"/>
          <w:sz w:val="27"/>
          <w:szCs w:val="27"/>
          <w:color w:val="auto"/>
          <w:vertAlign w:val="superscript"/>
        </w:rPr>
      </w:pPr>
    </w:p>
    <w:p>
      <w:pPr>
        <w:ind w:left="1620" w:right="459" w:hanging="365"/>
        <w:spacing w:after="0"/>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Includes a housing allowance, personal use of a company car, a goods and services allowance, a relocation bonus, unused leave balance and $596,338 for minimum guaranteed compensation upon termination of employment. Mr. Mastioni’s compensation was paid in euros and, for purposes of the table, is converted into U.S. dollars based on the OANDA one-year average exchange rate ending on December 31, 2021 of 0.8457 euros to the U.S. dollar.</w:t>
      </w:r>
    </w:p>
    <w:p>
      <w:pPr>
        <w:spacing w:after="0" w:line="206" w:lineRule="exact"/>
        <w:rPr>
          <w:rFonts w:ascii="Arial" w:cs="Arial" w:eastAsia="Arial" w:hAnsi="Arial"/>
          <w:sz w:val="27"/>
          <w:szCs w:val="27"/>
          <w:color w:val="auto"/>
          <w:vertAlign w:val="superscript"/>
        </w:rPr>
      </w:pPr>
    </w:p>
    <w:p>
      <w:pPr>
        <w:ind w:left="1620" w:right="519" w:hanging="365"/>
        <w:spacing w:after="0" w:line="227"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33" w:lineRule="exact"/>
        <w:rPr>
          <w:rFonts w:ascii="Arial" w:cs="Arial" w:eastAsia="Arial" w:hAnsi="Arial"/>
          <w:sz w:val="27"/>
          <w:szCs w:val="27"/>
          <w:color w:val="auto"/>
          <w:vertAlign w:val="superscript"/>
        </w:rPr>
      </w:pPr>
    </w:p>
    <w:p>
      <w:pPr>
        <w:ind w:left="1620" w:right="1039" w:hanging="365"/>
        <w:spacing w:after="0" w:line="231"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Includes a travel allowance, $28,380 for housing allowance, $28,213 for medical benefits and $25,218 tax gross-up payments made on perquisites. Mr. Ritts’ other compensation includes benefits paid in euros and, for purposes of the table, is converted into U.S. dollars based on the OANDA one-year average exchange rate ending on December 31, 2021 of 0.8457 euros to the U.S. dollar.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11" w:lineRule="exact"/>
        <w:rPr>
          <w:sz w:val="20"/>
          <w:szCs w:val="20"/>
          <w:color w:val="auto"/>
        </w:rPr>
      </w:pPr>
    </w:p>
    <w:p>
      <w:pPr>
        <w:ind w:left="1260" w:right="439"/>
        <w:spacing w:after="0" w:line="264" w:lineRule="auto"/>
        <w:rPr>
          <w:sz w:val="20"/>
          <w:szCs w:val="20"/>
          <w:color w:val="auto"/>
        </w:rPr>
      </w:pPr>
      <w:r>
        <w:rPr>
          <w:rFonts w:ascii="Arial" w:cs="Arial" w:eastAsia="Arial" w:hAnsi="Arial"/>
          <w:sz w:val="18"/>
          <w:szCs w:val="18"/>
          <w:color w:val="auto"/>
        </w:rPr>
        <w:t>For the year ended December 31, 2021, the compensation program for our Named Executive Officers consisted of base salary, annual incentive compensation, equity awards, other benefits, as well as certain relocation and foreign living allowances for the Luxembourg-based Named Executive Officers.</w:t>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Base Salary</w:t>
      </w:r>
    </w:p>
    <w:p>
      <w:pPr>
        <w:spacing w:after="0" w:line="143" w:lineRule="exact"/>
        <w:rPr>
          <w:sz w:val="20"/>
          <w:szCs w:val="20"/>
          <w:color w:val="auto"/>
        </w:rPr>
      </w:pPr>
    </w:p>
    <w:p>
      <w:pPr>
        <w:ind w:left="1260" w:right="999"/>
        <w:spacing w:after="0" w:line="285"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87"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 In addition, compensation of the Luxembourg- based Named Executive Officers may be subject to inflationary adjustments from time to time as required by applicable Luxembourg law.</w:t>
      </w:r>
    </w:p>
    <w:p>
      <w:pPr>
        <w:spacing w:after="0" w:line="115" w:lineRule="exact"/>
        <w:rPr>
          <w:sz w:val="20"/>
          <w:szCs w:val="20"/>
          <w:color w:val="auto"/>
        </w:rPr>
      </w:pPr>
    </w:p>
    <w:p>
      <w:pPr>
        <w:ind w:left="1260" w:right="719"/>
        <w:spacing w:after="0" w:line="267"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 and Mr. Mastioni, whose salary was set and paid in euros).</w:t>
      </w:r>
    </w:p>
    <w:p>
      <w:pPr>
        <w:spacing w:after="0" w:line="89"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In response to the anticipated impact to the Company’s revenue and cash flow from government and servicer measures to assist borrowers in response to the COVID -19 pandemic, Mr. Shepro agreed to forgo 40% of his base salary, and Ms. Esterman 15% of her base salary, effective March 1, 2021; their base salaries were reinstated effective as of December 1, 2021.</w:t>
      </w:r>
    </w:p>
    <w:p>
      <w:pPr>
        <w:spacing w:after="0" w:line="33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Annual Incentive Compensation</w:t>
      </w:r>
    </w:p>
    <w:p>
      <w:pPr>
        <w:spacing w:after="0" w:line="156"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auto"/>
        </w:rPr>
        <w:t>The amounts reported in the Non-Equity Incentive Plan Compensation column of the Summary Compensation Table reflect the cash portion of the bonuses earned by the Named Executive Officers under the annual incentive plan for the fiscal year ended December 31, 2021. Mr. Mastioni was not eligible to receive a payment pursuant to this plan because his employment with us ended in May 2021.</w:t>
      </w:r>
    </w:p>
    <w:p>
      <w:pPr>
        <w:sectPr>
          <w:pgSz w:w="11900" w:h="16838" w:orient="portrait"/>
          <w:cols w:equalWidth="0" w:num="1">
            <w:col w:w="9859"/>
          </w:cols>
          <w:pgMar w:left="600" w:top="97"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36" w:name="page37"/>
    <w:bookmarkEnd w:id="3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82" w:lineRule="exact"/>
        <w:rPr>
          <w:sz w:val="20"/>
          <w:szCs w:val="20"/>
          <w:color w:val="auto"/>
        </w:rPr>
      </w:pPr>
    </w:p>
    <w:p>
      <w:pPr>
        <w:ind w:left="1260" w:right="559"/>
        <w:spacing w:after="0" w:line="258" w:lineRule="auto"/>
        <w:rPr>
          <w:sz w:val="20"/>
          <w:szCs w:val="20"/>
          <w:color w:val="auto"/>
        </w:rPr>
      </w:pPr>
      <w:r>
        <w:rPr>
          <w:rFonts w:ascii="Arial" w:cs="Arial" w:eastAsia="Arial" w:hAnsi="Arial"/>
          <w:sz w:val="18"/>
          <w:szCs w:val="18"/>
          <w:color w:val="auto"/>
        </w:rPr>
        <w:t>For the year ended December 31, 2021, Mr. Shepro, Ms. Esterman and Mr. Ritts had the following target annual bonus amounts: Mr. Shepro—$ 1,267,900, Ms. Esterman—$280,000, and Mr. Ritts—$246,000. The performance metrics for the annual bonus for the year ended December 31, 2021 consisted of: (i) a service revenue goal; (ii) an adjusted EBITDA goal; and (iii) a goal related to support function costs for Ms. Esterman and Mr. Ritts.</w:t>
      </w:r>
    </w:p>
    <w:p>
      <w:pPr>
        <w:spacing w:after="0" w:line="112"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In the first quarter of 2021, the Compensation Committee approved a revised payout methodology for our Named Executive Officers’ 2021 annual incentive awards, with 40% of the award to be paid in RSUs and 60% to be paid in cash, with the actual percentage of RSUs and cash to be determined at the discretion of the Board of Directors. The number of RSUs to be awarded was based on the average closing price of 30 trading days preceding the date of grant. In March 2022, the Board of Directors determined that the 2021 annual incentive award would be paid 50% in RSUs and 50% in cash. The table below summarizes the cash component of the annual bonus that was included in the Summary Compensation Table for 2021.</w:t>
      </w:r>
    </w:p>
    <w:p>
      <w:pPr>
        <w:spacing w:after="0" w:line="31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Target Annual Bonus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8"/>
              </w:rPr>
              <w:t>Overall Attainment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Actual Cash Bonus</w:t>
            </w:r>
          </w:p>
        </w:tc>
        <w:tc>
          <w:tcPr>
            <w:tcW w:w="0" w:type="dxa"/>
            <w:vAlign w:val="bottom"/>
          </w:tcPr>
          <w:p>
            <w:pPr>
              <w:spacing w:after="0"/>
              <w:rPr>
                <w:sz w:val="1"/>
                <w:szCs w:val="1"/>
                <w:color w:val="auto"/>
              </w:rPr>
            </w:pPr>
          </w:p>
        </w:tc>
      </w:tr>
      <w:tr>
        <w:trPr>
          <w:trHeight w:val="215"/>
        </w:trPr>
        <w:tc>
          <w:tcPr>
            <w:tcW w:w="18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Percentage</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 (50% of Awarded Bonus)</w:t>
            </w:r>
          </w:p>
        </w:tc>
        <w:tc>
          <w:tcPr>
            <w:tcW w:w="0" w:type="dxa"/>
            <w:vAlign w:val="bottom"/>
          </w:tcPr>
          <w:p>
            <w:pPr>
              <w:spacing w:after="0"/>
              <w:rPr>
                <w:sz w:val="1"/>
                <w:szCs w:val="1"/>
                <w:color w:val="auto"/>
              </w:rPr>
            </w:pPr>
          </w:p>
        </w:tc>
      </w:tr>
      <w:tr>
        <w:trPr>
          <w:trHeight w:val="195"/>
        </w:trPr>
        <w:tc>
          <w:tcPr>
            <w:tcW w:w="1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William B. Shepro</w:t>
            </w:r>
          </w:p>
        </w:tc>
        <w:tc>
          <w:tcPr>
            <w:tcW w:w="5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0"/>
              <w:spacing w:after="0" w:line="195" w:lineRule="exact"/>
              <w:rPr>
                <w:sz w:val="20"/>
                <w:szCs w:val="20"/>
                <w:color w:val="auto"/>
              </w:rPr>
            </w:pPr>
            <w:r>
              <w:rPr>
                <w:rFonts w:ascii="Arial" w:cs="Arial" w:eastAsia="Arial" w:hAnsi="Arial"/>
                <w:sz w:val="18"/>
                <w:szCs w:val="18"/>
                <w:color w:val="auto"/>
              </w:rPr>
              <w:t>1,267,900</w:t>
            </w:r>
          </w:p>
        </w:tc>
        <w:tc>
          <w:tcPr>
            <w:tcW w:w="1620" w:type="dxa"/>
            <w:vAlign w:val="bottom"/>
            <w:shd w:val="clear" w:color="auto" w:fill="CCEEFF"/>
          </w:tcPr>
          <w:p>
            <w:pPr>
              <w:jc w:val="right"/>
              <w:ind w:right="310"/>
              <w:spacing w:after="0" w:line="195" w:lineRule="exact"/>
              <w:rPr>
                <w:sz w:val="20"/>
                <w:szCs w:val="20"/>
                <w:color w:val="auto"/>
              </w:rPr>
            </w:pPr>
            <w:r>
              <w:rPr>
                <w:rFonts w:ascii="Arial" w:cs="Arial" w:eastAsia="Arial" w:hAnsi="Arial"/>
                <w:sz w:val="18"/>
                <w:szCs w:val="18"/>
                <w:color w:val="auto"/>
              </w:rPr>
              <w:t>97.6%</w:t>
            </w:r>
          </w:p>
        </w:tc>
        <w:tc>
          <w:tcPr>
            <w:tcW w:w="28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$ 619,037</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Michelle D. Esterman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280,000</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100.3%</w:t>
            </w:r>
          </w:p>
        </w:tc>
        <w:tc>
          <w:tcPr>
            <w:tcW w:w="2880" w:type="dxa"/>
            <w:vAlign w:val="bottom"/>
          </w:tcPr>
          <w:p>
            <w:pPr>
              <w:jc w:val="center"/>
              <w:spacing w:after="0"/>
              <w:rPr>
                <w:sz w:val="20"/>
                <w:szCs w:val="20"/>
                <w:color w:val="auto"/>
              </w:rPr>
            </w:pPr>
            <w:r>
              <w:rPr>
                <w:rFonts w:ascii="Arial" w:cs="Arial" w:eastAsia="Arial" w:hAnsi="Arial"/>
                <w:sz w:val="18"/>
                <w:szCs w:val="18"/>
                <w:color w:val="auto"/>
              </w:rPr>
              <w:t>$ 140,383</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246,000</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100.8%</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$ 123,968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-409575</wp:posOffset>
            </wp:positionV>
            <wp:extent cx="11957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37" w:name="page38"/>
    <w:bookmarkEnd w:id="3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11" w:lineRule="exact"/>
        <w:rPr>
          <w:sz w:val="20"/>
          <w:szCs w:val="20"/>
          <w:color w:val="auto"/>
        </w:rPr>
      </w:pPr>
    </w:p>
    <w:p>
      <w:pPr>
        <w:ind w:left="1260" w:right="1600"/>
        <w:spacing w:after="0" w:line="285" w:lineRule="auto"/>
        <w:rPr>
          <w:sz w:val="20"/>
          <w:szCs w:val="20"/>
          <w:color w:val="auto"/>
        </w:rPr>
      </w:pPr>
      <w:r>
        <w:rPr>
          <w:rFonts w:ascii="Arial" w:cs="Arial" w:eastAsia="Arial" w:hAnsi="Arial"/>
          <w:sz w:val="18"/>
          <w:szCs w:val="18"/>
          <w:color w:val="auto"/>
        </w:rPr>
        <w:t>The following table provides information regarding outstanding equity awards as of December 31, 2021 for the individuals named in the Summary Compensation Table.</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Incentive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Plan Awards: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rPr>
              <w:t>Plan Awards:</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Number</w:t>
            </w:r>
          </w:p>
        </w:tc>
        <w:tc>
          <w:tcPr>
            <w:tcW w:w="7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Number of</w:t>
            </w: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of</w:t>
            </w:r>
          </w:p>
        </w:tc>
        <w:tc>
          <w:tcPr>
            <w:tcW w:w="7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Option</w:t>
            </w: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2"/>
                <w:szCs w:val="12"/>
                <w:color w:val="auto"/>
              </w:rPr>
            </w:pP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Securities</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2"/>
                <w:szCs w:val="12"/>
                <w:color w:val="auto"/>
              </w:rPr>
            </w:pPr>
          </w:p>
        </w:tc>
        <w:tc>
          <w:tcPr>
            <w:tcW w:w="10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48"/>
        </w:trPr>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1540" w:type="dxa"/>
            <w:vAlign w:val="bottom"/>
            <w:gridSpan w:val="5"/>
          </w:tcPr>
          <w:p>
            <w:pPr>
              <w:jc w:val="right"/>
              <w:ind w:right="100"/>
              <w:spacing w:after="0" w:line="148" w:lineRule="exact"/>
              <w:rPr>
                <w:sz w:val="20"/>
                <w:szCs w:val="20"/>
                <w:color w:val="auto"/>
              </w:rPr>
            </w:pPr>
            <w:r>
              <w:rPr>
                <w:rFonts w:ascii="Arial" w:cs="Arial" w:eastAsia="Arial" w:hAnsi="Arial"/>
                <w:sz w:val="14"/>
                <w:szCs w:val="14"/>
                <w:b w:val="1"/>
                <w:bCs w:val="1"/>
                <w:color w:val="auto"/>
              </w:rPr>
              <w:t>Exercise Expiration</w:t>
            </w:r>
          </w:p>
        </w:tc>
        <w:tc>
          <w:tcPr>
            <w:tcW w:w="10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That Have</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That Have</w:t>
            </w: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600" w:type="dxa"/>
            <w:vAlign w:val="bottom"/>
          </w:tcPr>
          <w:p>
            <w:pPr>
              <w:jc w:val="center"/>
              <w:ind w:right="88"/>
              <w:spacing w:after="0" w:line="148"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84"/>
        </w:trPr>
        <w:tc>
          <w:tcPr>
            <w:tcW w:w="1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17"/>
                <w:szCs w:val="17"/>
                <w:b w:val="1"/>
                <w:bCs w:val="1"/>
                <w:color w:val="auto"/>
                <w:w w:val="99"/>
                <w:vertAlign w:val="superscript"/>
              </w:rPr>
              <w:t>(1)</w:t>
            </w: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ind w:left="100"/>
              <w:spacing w:after="0" w:line="185" w:lineRule="exact"/>
              <w:rPr>
                <w:sz w:val="20"/>
                <w:szCs w:val="20"/>
                <w:color w:val="auto"/>
              </w:rPr>
            </w:pPr>
            <w:r>
              <w:rPr>
                <w:rFonts w:ascii="Arial" w:cs="Arial" w:eastAsia="Arial" w:hAnsi="Arial"/>
                <w:sz w:val="14"/>
                <w:szCs w:val="14"/>
                <w:b w:val="1"/>
                <w:bCs w:val="1"/>
                <w:color w:val="auto"/>
              </w:rPr>
              <w:t>Price</w:t>
            </w:r>
            <w:r>
              <w:rPr>
                <w:rFonts w:ascii="Arial" w:cs="Arial" w:eastAsia="Arial" w:hAnsi="Arial"/>
                <w:sz w:val="17"/>
                <w:szCs w:val="17"/>
                <w:b w:val="1"/>
                <w:bCs w:val="1"/>
                <w:color w:val="auto"/>
                <w:vertAlign w:val="superscript"/>
              </w:rPr>
              <w:t>(3)</w:t>
            </w: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8"/>
              </w:rPr>
              <w:t>Not Vested</w:t>
            </w:r>
            <w:r>
              <w:rPr>
                <w:rFonts w:ascii="Arial" w:cs="Arial" w:eastAsia="Arial" w:hAnsi="Arial"/>
                <w:sz w:val="17"/>
                <w:szCs w:val="17"/>
                <w:b w:val="1"/>
                <w:bCs w:val="1"/>
                <w:color w:val="auto"/>
                <w:w w:val="98"/>
                <w:vertAlign w:val="superscript"/>
              </w:rPr>
              <w:t>(4)</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 Vested</w:t>
            </w:r>
          </w:p>
        </w:tc>
        <w:tc>
          <w:tcPr>
            <w:tcW w:w="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5"/>
              </w:rPr>
              <w:t>Shares</w:t>
            </w:r>
            <w:r>
              <w:rPr>
                <w:rFonts w:ascii="Arial" w:cs="Arial" w:eastAsia="Arial" w:hAnsi="Arial"/>
                <w:sz w:val="17"/>
                <w:szCs w:val="17"/>
                <w:b w:val="1"/>
                <w:bCs w:val="1"/>
                <w:color w:val="auto"/>
                <w:w w:val="95"/>
                <w:vertAlign w:val="superscript"/>
              </w:rPr>
              <w:t>(5)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09"/>
        </w:trPr>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William B. Shepro</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52,400</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$ 18.79</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150,000</w:t>
            </w:r>
          </w:p>
        </w:tc>
        <w:tc>
          <w:tcPr>
            <w:tcW w:w="114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50,000</w:t>
            </w:r>
            <w:r>
              <w:rPr>
                <w:rFonts w:ascii="Arial" w:cs="Arial" w:eastAsia="Arial" w:hAnsi="Arial"/>
                <w:sz w:val="17"/>
                <w:szCs w:val="17"/>
                <w:color w:val="auto"/>
                <w:vertAlign w:val="superscript"/>
              </w:rPr>
              <w:t>(7)</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$ 24.82</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2/12/2028</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24,548</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275,429</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8,183</w:t>
            </w:r>
            <w:r>
              <w:rPr>
                <w:rFonts w:ascii="Arial" w:cs="Arial" w:eastAsia="Arial" w:hAnsi="Arial"/>
                <w:sz w:val="17"/>
                <w:szCs w:val="17"/>
                <w:color w:val="auto"/>
                <w:vertAlign w:val="superscript"/>
              </w:rPr>
              <w:t>(9)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91,813</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w:t>
            </w:r>
            <w:r>
              <w:rPr>
                <w:rFonts w:ascii="Arial" w:cs="Arial" w:eastAsia="Arial" w:hAnsi="Arial"/>
                <w:sz w:val="17"/>
                <w:szCs w:val="17"/>
                <w:color w:val="auto"/>
                <w:vertAlign w:val="superscript"/>
              </w:rPr>
              <w:t>(10)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$ 98,321</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21,920</w:t>
            </w:r>
            <w:r>
              <w:rPr>
                <w:rFonts w:ascii="Arial" w:cs="Arial" w:eastAsia="Arial" w:hAnsi="Arial"/>
                <w:sz w:val="17"/>
                <w:szCs w:val="17"/>
                <w:color w:val="auto"/>
                <w:vertAlign w:val="superscript"/>
              </w:rPr>
              <w:t>(11)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245,942</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32,880</w:t>
            </w:r>
            <w:r>
              <w:rPr>
                <w:rFonts w:ascii="Arial" w:cs="Arial" w:eastAsia="Arial" w:hAnsi="Arial"/>
                <w:sz w:val="17"/>
                <w:szCs w:val="17"/>
                <w:color w:val="auto"/>
                <w:vertAlign w:val="superscript"/>
              </w:rPr>
              <w:t>(12)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368,914</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r>
              <w:rPr>
                <w:rFonts w:ascii="Arial" w:cs="Arial" w:eastAsia="Arial" w:hAnsi="Arial"/>
                <w:sz w:val="17"/>
                <w:szCs w:val="17"/>
                <w:color w:val="auto"/>
                <w:vertAlign w:val="superscript"/>
              </w:rPr>
              <w:t>(13)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448,800</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w:t>
            </w:r>
            <w:r>
              <w:rPr>
                <w:rFonts w:ascii="Arial" w:cs="Arial" w:eastAsia="Arial" w:hAnsi="Arial"/>
                <w:sz w:val="17"/>
                <w:szCs w:val="17"/>
                <w:color w:val="auto"/>
                <w:vertAlign w:val="superscript"/>
              </w:rPr>
              <w:t>(14)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$ 74,804</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12,600</w:t>
            </w:r>
            <w:r>
              <w:rPr>
                <w:rFonts w:ascii="Arial" w:cs="Arial" w:eastAsia="Arial" w:hAnsi="Arial"/>
                <w:sz w:val="17"/>
                <w:szCs w:val="17"/>
                <w:color w:val="auto"/>
                <w:vertAlign w:val="superscript"/>
              </w:rPr>
              <w:t>(27)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141,372</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12,599</w:t>
            </w:r>
            <w:r>
              <w:rPr>
                <w:rFonts w:ascii="Arial" w:cs="Arial" w:eastAsia="Arial" w:hAnsi="Arial"/>
                <w:sz w:val="17"/>
                <w:szCs w:val="17"/>
                <w:color w:val="auto"/>
                <w:vertAlign w:val="superscript"/>
              </w:rPr>
              <w:t>(28)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141,361</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23,999</w:t>
            </w:r>
            <w:r>
              <w:rPr>
                <w:rFonts w:ascii="Arial" w:cs="Arial" w:eastAsia="Arial" w:hAnsi="Arial"/>
                <w:sz w:val="17"/>
                <w:szCs w:val="17"/>
                <w:color w:val="auto"/>
                <w:vertAlign w:val="superscript"/>
              </w:rPr>
              <w:t>(26)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$269,269</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520" w:type="dxa"/>
            <w:vAlign w:val="bottom"/>
            <w:gridSpan w:val="2"/>
          </w:tcPr>
          <w:p>
            <w:pPr>
              <w:spacing w:after="0"/>
              <w:rPr>
                <w:sz w:val="20"/>
                <w:szCs w:val="20"/>
                <w:color w:val="auto"/>
              </w:rPr>
            </w:pPr>
            <w:r>
              <w:rPr>
                <w:rFonts w:ascii="Arial" w:cs="Arial" w:eastAsia="Arial" w:hAnsi="Arial"/>
                <w:sz w:val="14"/>
                <w:szCs w:val="14"/>
                <w:color w:val="auto"/>
              </w:rPr>
              <w:t>Michelle D. Esterman</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29,250</w:t>
            </w:r>
          </w:p>
        </w:tc>
        <w:tc>
          <w:tcPr>
            <w:tcW w:w="60" w:type="dxa"/>
            <w:vAlign w:val="bottom"/>
          </w:tcPr>
          <w:p>
            <w:pPr>
              <w:spacing w:after="0"/>
              <w:rPr>
                <w:sz w:val="19"/>
                <w:szCs w:val="19"/>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$ 60.76</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3/12/2022</w:t>
            </w:r>
          </w:p>
        </w:tc>
        <w:tc>
          <w:tcPr>
            <w:tcW w:w="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14,625</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$ 60.76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3/12/2022</w:t>
            </w:r>
          </w:p>
        </w:tc>
        <w:tc>
          <w:tcPr>
            <w:tcW w:w="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14,625</w:t>
            </w:r>
            <w:r>
              <w:rPr>
                <w:rFonts w:ascii="Arial" w:cs="Arial" w:eastAsia="Arial" w:hAnsi="Arial"/>
                <w:sz w:val="17"/>
                <w:szCs w:val="17"/>
                <w:color w:val="auto"/>
                <w:vertAlign w:val="superscript"/>
              </w:rPr>
              <w:t>(15)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$ 60.76</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3/12/2022</w:t>
            </w:r>
          </w:p>
        </w:tc>
        <w:tc>
          <w:tcPr>
            <w:tcW w:w="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6,250</w:t>
            </w:r>
          </w:p>
        </w:tc>
        <w:tc>
          <w:tcPr>
            <w:tcW w:w="60" w:type="dxa"/>
            <w:vAlign w:val="bottom"/>
          </w:tcPr>
          <w:p>
            <w:pPr>
              <w:spacing w:after="0"/>
              <w:rPr>
                <w:sz w:val="16"/>
                <w:szCs w:val="16"/>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p>
        </w:tc>
        <w:tc>
          <w:tcPr>
            <w:tcW w:w="6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12,500</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p>
        </w:tc>
        <w:tc>
          <w:tcPr>
            <w:tcW w:w="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6,250</w:t>
            </w:r>
            <w:r>
              <w:rPr>
                <w:rFonts w:ascii="Arial" w:cs="Arial" w:eastAsia="Arial" w:hAnsi="Arial"/>
                <w:sz w:val="17"/>
                <w:szCs w:val="17"/>
                <w:color w:val="auto"/>
                <w:vertAlign w:val="superscript"/>
              </w:rPr>
              <w:t>(16)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p>
        </w:tc>
        <w:tc>
          <w:tcPr>
            <w:tcW w:w="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13,400</w:t>
            </w:r>
          </w:p>
        </w:tc>
        <w:tc>
          <w:tcPr>
            <w:tcW w:w="60" w:type="dxa"/>
            <w:vAlign w:val="bottom"/>
          </w:tcPr>
          <w:p>
            <w:pPr>
              <w:spacing w:after="0"/>
              <w:rPr>
                <w:sz w:val="16"/>
                <w:szCs w:val="16"/>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$ 18.79</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4/15/2025</w:t>
            </w:r>
          </w:p>
        </w:tc>
        <w:tc>
          <w:tcPr>
            <w:tcW w:w="6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12,988</w:t>
            </w:r>
          </w:p>
        </w:tc>
        <w:tc>
          <w:tcPr>
            <w:tcW w:w="1140" w:type="dxa"/>
            <w:vAlign w:val="bottom"/>
            <w:gridSpan w:val="3"/>
          </w:tcPr>
          <w:p>
            <w:pPr>
              <w:jc w:val="right"/>
              <w:ind w:right="128"/>
              <w:spacing w:after="0"/>
              <w:rPr>
                <w:sz w:val="20"/>
                <w:szCs w:val="20"/>
                <w:color w:val="auto"/>
              </w:rPr>
            </w:pPr>
            <w:r>
              <w:rPr>
                <w:rFonts w:ascii="Arial" w:cs="Arial" w:eastAsia="Arial" w:hAnsi="Arial"/>
                <w:sz w:val="14"/>
                <w:szCs w:val="14"/>
                <w:color w:val="auto"/>
              </w:rPr>
              <w:t>4,328</w:t>
            </w:r>
            <w:r>
              <w:rPr>
                <w:rFonts w:ascii="Arial" w:cs="Arial" w:eastAsia="Arial" w:hAnsi="Arial"/>
                <w:sz w:val="17"/>
                <w:szCs w:val="17"/>
                <w:color w:val="auto"/>
                <w:vertAlign w:val="superscript"/>
              </w:rPr>
              <w:t>(7)</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$ 24.82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2/12/2028</w:t>
            </w:r>
          </w:p>
        </w:tc>
        <w:tc>
          <w:tcPr>
            <w:tcW w:w="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5,592</w:t>
            </w:r>
            <w:r>
              <w:rPr>
                <w:rFonts w:ascii="Arial" w:cs="Arial" w:eastAsia="Arial" w:hAnsi="Arial"/>
                <w:sz w:val="17"/>
                <w:szCs w:val="17"/>
                <w:color w:val="auto"/>
                <w:vertAlign w:val="superscript"/>
              </w:rPr>
              <w:t>(8)</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62,742</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1,864</w:t>
            </w:r>
            <w:r>
              <w:rPr>
                <w:rFonts w:ascii="Arial" w:cs="Arial" w:eastAsia="Arial" w:hAnsi="Arial"/>
                <w:sz w:val="17"/>
                <w:szCs w:val="17"/>
                <w:color w:val="auto"/>
                <w:vertAlign w:val="superscript"/>
              </w:rPr>
              <w:t>(9)</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20,914</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7,369</w:t>
            </w:r>
            <w:r>
              <w:rPr>
                <w:rFonts w:ascii="Arial" w:cs="Arial" w:eastAsia="Arial" w:hAnsi="Arial"/>
                <w:sz w:val="17"/>
                <w:szCs w:val="17"/>
                <w:color w:val="auto"/>
                <w:vertAlign w:val="superscript"/>
              </w:rPr>
              <w:t>(17)</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82,680</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4,913</w:t>
            </w:r>
            <w:r>
              <w:rPr>
                <w:rFonts w:ascii="Arial" w:cs="Arial" w:eastAsia="Arial" w:hAnsi="Arial"/>
                <w:sz w:val="17"/>
                <w:szCs w:val="17"/>
                <w:color w:val="auto"/>
                <w:vertAlign w:val="superscript"/>
              </w:rPr>
              <w:t>(18)</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55,124</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4,000</w:t>
            </w:r>
            <w:r>
              <w:rPr>
                <w:rFonts w:ascii="Arial" w:cs="Arial" w:eastAsia="Arial" w:hAnsi="Arial"/>
                <w:sz w:val="17"/>
                <w:szCs w:val="17"/>
                <w:color w:val="auto"/>
                <w:vertAlign w:val="superscript"/>
              </w:rPr>
              <w:t>(19)</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$ 44,880</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1,749</w:t>
            </w:r>
            <w:r>
              <w:rPr>
                <w:rFonts w:ascii="Arial" w:cs="Arial" w:eastAsia="Arial" w:hAnsi="Arial"/>
                <w:sz w:val="17"/>
                <w:szCs w:val="17"/>
                <w:color w:val="auto"/>
                <w:vertAlign w:val="superscript"/>
              </w:rPr>
              <w:t>(10)</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$ 19,624</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19,000</w:t>
            </w:r>
            <w:r>
              <w:rPr>
                <w:rFonts w:ascii="Arial" w:cs="Arial" w:eastAsia="Arial" w:hAnsi="Arial"/>
                <w:sz w:val="17"/>
                <w:szCs w:val="17"/>
                <w:color w:val="auto"/>
                <w:vertAlign w:val="superscript"/>
              </w:rPr>
              <w:t>(13)</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213,180</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3,167</w:t>
            </w:r>
            <w:r>
              <w:rPr>
                <w:rFonts w:ascii="Arial" w:cs="Arial" w:eastAsia="Arial" w:hAnsi="Arial"/>
                <w:sz w:val="17"/>
                <w:szCs w:val="17"/>
                <w:color w:val="auto"/>
                <w:vertAlign w:val="superscript"/>
              </w:rPr>
              <w:t>(14)</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$ 35,534</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9,334</w:t>
            </w:r>
            <w:r>
              <w:rPr>
                <w:rFonts w:ascii="Arial" w:cs="Arial" w:eastAsia="Arial" w:hAnsi="Arial"/>
                <w:sz w:val="17"/>
                <w:szCs w:val="17"/>
                <w:color w:val="auto"/>
                <w:vertAlign w:val="superscript"/>
              </w:rPr>
              <w:t>(27)</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104,727</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9,333</w:t>
            </w:r>
            <w:r>
              <w:rPr>
                <w:rFonts w:ascii="Arial" w:cs="Arial" w:eastAsia="Arial" w:hAnsi="Arial"/>
                <w:sz w:val="17"/>
                <w:szCs w:val="17"/>
                <w:color w:val="auto"/>
                <w:vertAlign w:val="superscript"/>
              </w:rPr>
              <w:t>(28)</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104,716</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6,667</w:t>
            </w:r>
            <w:r>
              <w:rPr>
                <w:rFonts w:ascii="Arial" w:cs="Arial" w:eastAsia="Arial" w:hAnsi="Arial"/>
                <w:sz w:val="17"/>
                <w:szCs w:val="17"/>
                <w:color w:val="auto"/>
                <w:vertAlign w:val="superscript"/>
              </w:rPr>
              <w:t>(26)</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$ 74,804</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Marcello Mastioni</w:t>
            </w: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7,649</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85,822</w:t>
            </w:r>
          </w:p>
        </w:tc>
        <w:tc>
          <w:tcPr>
            <w:tcW w:w="0" w:type="dxa"/>
            <w:vAlign w:val="bottom"/>
          </w:tcPr>
          <w:p>
            <w:pPr>
              <w:spacing w:after="0"/>
              <w:rPr>
                <w:sz w:val="1"/>
                <w:szCs w:val="1"/>
                <w:color w:val="auto"/>
              </w:rPr>
            </w:pPr>
          </w:p>
        </w:tc>
      </w:tr>
      <w:tr>
        <w:trPr>
          <w:trHeight w:val="39"/>
        </w:trPr>
        <w:tc>
          <w:tcPr>
            <w:tcW w:w="1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-4176395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-4176395</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-4176395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-4176395</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-4176395</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-4176395</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-4176395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-4176395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-4176395</wp:posOffset>
            </wp:positionV>
            <wp:extent cx="25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200"/>
          </w:cols>
          <w:pgMar w:left="600" w:top="97" w:right="1099" w:bottom="1440" w:gutter="0" w:footer="0" w:header="0"/>
        </w:sectPr>
      </w:pPr>
    </w:p>
    <w:bookmarkStart w:id="38" w:name="page39"/>
    <w:bookmarkEnd w:id="3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334"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Incentive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Plan Awards: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rPr>
              <w:t>Plan Awards:</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Number</w:t>
            </w:r>
          </w:p>
        </w:tc>
        <w:tc>
          <w:tcPr>
            <w:tcW w:w="7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of</w:t>
            </w:r>
          </w:p>
        </w:tc>
        <w:tc>
          <w:tcPr>
            <w:tcW w:w="7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vMerge w:val="continue"/>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Value of</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Securities</w:t>
            </w: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48"/>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Name</w:t>
            </w:r>
          </w:p>
        </w:tc>
        <w:tc>
          <w:tcPr>
            <w:tcW w:w="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80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Expiration</w:t>
            </w: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That Have</w:t>
            </w: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That Have</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600" w:type="dxa"/>
            <w:vAlign w:val="bottom"/>
          </w:tcPr>
          <w:p>
            <w:pPr>
              <w:jc w:val="center"/>
              <w:ind w:right="88"/>
              <w:spacing w:after="0" w:line="148"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84"/>
        </w:trPr>
        <w:tc>
          <w:tcPr>
            <w:tcW w:w="1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17"/>
                <w:szCs w:val="17"/>
                <w:b w:val="1"/>
                <w:bCs w:val="1"/>
                <w:color w:val="auto"/>
                <w:w w:val="99"/>
                <w:vertAlign w:val="superscript"/>
              </w:rPr>
              <w:t>(1)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7"/>
                <w:szCs w:val="17"/>
                <w:b w:val="1"/>
                <w:bCs w:val="1"/>
                <w:color w:val="auto"/>
                <w:w w:val="95"/>
                <w:vertAlign w:val="superscript"/>
              </w:rPr>
              <w:t>(3)</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6"/>
              </w:rPr>
              <w:t>Not Vested</w:t>
            </w:r>
            <w:r>
              <w:rPr>
                <w:rFonts w:ascii="Arial" w:cs="Arial" w:eastAsia="Arial" w:hAnsi="Arial"/>
                <w:sz w:val="17"/>
                <w:szCs w:val="17"/>
                <w:b w:val="1"/>
                <w:bCs w:val="1"/>
                <w:color w:val="auto"/>
                <w:w w:val="96"/>
                <w:vertAlign w:val="superscript"/>
              </w:rPr>
              <w:t>(4)</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5"/>
              </w:rPr>
              <w:t>Shares</w:t>
            </w:r>
            <w:r>
              <w:rPr>
                <w:rFonts w:ascii="Arial" w:cs="Arial" w:eastAsia="Arial" w:hAnsi="Arial"/>
                <w:sz w:val="17"/>
                <w:szCs w:val="17"/>
                <w:b w:val="1"/>
                <w:bCs w:val="1"/>
                <w:color w:val="auto"/>
                <w:w w:val="95"/>
                <w:vertAlign w:val="superscript"/>
              </w:rPr>
              <w:t>(5)</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95"/>
        </w:trPr>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Gregory J. Ritts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$ 96.87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15,000</w:t>
            </w:r>
            <w:r>
              <w:rPr>
                <w:rFonts w:ascii="Arial" w:cs="Arial" w:eastAsia="Arial" w:hAnsi="Arial"/>
                <w:sz w:val="17"/>
                <w:szCs w:val="17"/>
                <w:color w:val="auto"/>
                <w:vertAlign w:val="superscript"/>
              </w:rPr>
              <w:t>(20)</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$ 96.87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7,500</w:t>
            </w:r>
            <w:r>
              <w:rPr>
                <w:rFonts w:ascii="Arial" w:cs="Arial" w:eastAsia="Arial" w:hAnsi="Arial"/>
                <w:sz w:val="17"/>
                <w:szCs w:val="17"/>
                <w:color w:val="auto"/>
                <w:vertAlign w:val="superscript"/>
              </w:rPr>
              <w:t>(21)</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$ 96.87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$ 18.79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$ 32.64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3,333</w:t>
            </w:r>
            <w:r>
              <w:rPr>
                <w:rFonts w:ascii="Arial" w:cs="Arial" w:eastAsia="Arial" w:hAnsi="Arial"/>
                <w:sz w:val="17"/>
                <w:szCs w:val="17"/>
                <w:color w:val="auto"/>
                <w:vertAlign w:val="superscript"/>
              </w:rPr>
              <w:t>(23)</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$ 32.64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1,667</w:t>
            </w:r>
            <w:r>
              <w:rPr>
                <w:rFonts w:ascii="Arial" w:cs="Arial" w:eastAsia="Arial" w:hAnsi="Arial"/>
                <w:sz w:val="17"/>
                <w:szCs w:val="17"/>
                <w:color w:val="auto"/>
                <w:vertAlign w:val="superscript"/>
              </w:rPr>
              <w:t>(22)</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$ 32.64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3,333</w:t>
            </w:r>
            <w:r>
              <w:rPr>
                <w:rFonts w:ascii="Arial" w:cs="Arial" w:eastAsia="Arial" w:hAnsi="Arial"/>
                <w:sz w:val="17"/>
                <w:szCs w:val="17"/>
                <w:color w:val="auto"/>
                <w:vertAlign w:val="superscript"/>
              </w:rPr>
              <w:t>(25)</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$ 27.65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7/27/2027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62"/>
              <w:spacing w:after="0"/>
              <w:rPr>
                <w:sz w:val="20"/>
                <w:szCs w:val="20"/>
                <w:color w:val="auto"/>
              </w:rPr>
            </w:pPr>
            <w:r>
              <w:rPr>
                <w:rFonts w:ascii="Arial" w:cs="Arial" w:eastAsia="Arial" w:hAnsi="Arial"/>
                <w:sz w:val="9"/>
                <w:szCs w:val="9"/>
                <w:color w:val="auto"/>
                <w:w w:val="72"/>
              </w:rPr>
              <w:t>(7)</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1,667</w:t>
            </w:r>
            <w:r>
              <w:rPr>
                <w:rFonts w:ascii="Arial" w:cs="Arial" w:eastAsia="Arial" w:hAnsi="Arial"/>
                <w:sz w:val="17"/>
                <w:szCs w:val="17"/>
                <w:color w:val="auto"/>
                <w:vertAlign w:val="superscript"/>
              </w:rPr>
              <w:t>(24)</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$ 27.65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7/27/2027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11,132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$ 24.82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2/12/2028</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4,793</w:t>
            </w:r>
            <w:r>
              <w:rPr>
                <w:rFonts w:ascii="Arial" w:cs="Arial" w:eastAsia="Arial" w:hAnsi="Arial"/>
                <w:sz w:val="17"/>
                <w:szCs w:val="17"/>
                <w:color w:val="auto"/>
                <w:vertAlign w:val="superscript"/>
              </w:rPr>
              <w:t>(8)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53,777</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1,598</w:t>
            </w:r>
            <w:r>
              <w:rPr>
                <w:rFonts w:ascii="Arial" w:cs="Arial" w:eastAsia="Arial" w:hAnsi="Arial"/>
                <w:sz w:val="17"/>
                <w:szCs w:val="17"/>
                <w:color w:val="auto"/>
                <w:vertAlign w:val="superscript"/>
              </w:rPr>
              <w:t>(9)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17,930</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6,316</w:t>
            </w:r>
            <w:r>
              <w:rPr>
                <w:rFonts w:ascii="Arial" w:cs="Arial" w:eastAsia="Arial" w:hAnsi="Arial"/>
                <w:sz w:val="17"/>
                <w:szCs w:val="17"/>
                <w:color w:val="auto"/>
                <w:vertAlign w:val="superscript"/>
              </w:rPr>
              <w:t>(17)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70,866</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4,211</w:t>
            </w:r>
            <w:r>
              <w:rPr>
                <w:rFonts w:ascii="Arial" w:cs="Arial" w:eastAsia="Arial" w:hAnsi="Arial"/>
                <w:sz w:val="17"/>
                <w:szCs w:val="17"/>
                <w:color w:val="auto"/>
                <w:vertAlign w:val="superscript"/>
              </w:rPr>
              <w:t>(18)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47,247</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2,186</w:t>
            </w:r>
            <w:r>
              <w:rPr>
                <w:rFonts w:ascii="Arial" w:cs="Arial" w:eastAsia="Arial" w:hAnsi="Arial"/>
                <w:sz w:val="17"/>
                <w:szCs w:val="17"/>
                <w:color w:val="auto"/>
                <w:vertAlign w:val="superscript"/>
              </w:rPr>
              <w:t>(10)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24,527</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19,000</w:t>
            </w:r>
            <w:r>
              <w:rPr>
                <w:rFonts w:ascii="Arial" w:cs="Arial" w:eastAsia="Arial" w:hAnsi="Arial"/>
                <w:sz w:val="17"/>
                <w:szCs w:val="17"/>
                <w:color w:val="auto"/>
                <w:vertAlign w:val="superscript"/>
              </w:rPr>
              <w:t>(13)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213,180</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3,167</w:t>
            </w:r>
            <w:r>
              <w:rPr>
                <w:rFonts w:ascii="Arial" w:cs="Arial" w:eastAsia="Arial" w:hAnsi="Arial"/>
                <w:sz w:val="17"/>
                <w:szCs w:val="17"/>
                <w:color w:val="auto"/>
                <w:vertAlign w:val="superscript"/>
              </w:rPr>
              <w:t>(14)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35,534</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8,200</w:t>
            </w:r>
            <w:r>
              <w:rPr>
                <w:rFonts w:ascii="Arial" w:cs="Arial" w:eastAsia="Arial" w:hAnsi="Arial"/>
                <w:sz w:val="17"/>
                <w:szCs w:val="17"/>
                <w:color w:val="auto"/>
                <w:vertAlign w:val="superscript"/>
              </w:rPr>
              <w:t>(27)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92,004</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8,200</w:t>
            </w:r>
            <w:r>
              <w:rPr>
                <w:rFonts w:ascii="Arial" w:cs="Arial" w:eastAsia="Arial" w:hAnsi="Arial"/>
                <w:sz w:val="17"/>
                <w:szCs w:val="17"/>
                <w:color w:val="auto"/>
                <w:vertAlign w:val="superscript"/>
              </w:rPr>
              <w:t>(28)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92,004</w:t>
            </w:r>
          </w:p>
        </w:tc>
        <w:tc>
          <w:tcPr>
            <w:tcW w:w="0" w:type="dxa"/>
            <w:vAlign w:val="bottom"/>
          </w:tcPr>
          <w:p>
            <w:pPr>
              <w:spacing w:after="0"/>
              <w:rPr>
                <w:sz w:val="1"/>
                <w:szCs w:val="1"/>
                <w:color w:val="auto"/>
              </w:rPr>
            </w:pPr>
          </w:p>
        </w:tc>
      </w:tr>
      <w:tr>
        <w:trPr>
          <w:trHeight w:val="296"/>
        </w:trPr>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line="296" w:lineRule="exact"/>
              <w:rPr>
                <w:sz w:val="20"/>
                <w:szCs w:val="20"/>
                <w:color w:val="auto"/>
              </w:rPr>
            </w:pPr>
            <w:r>
              <w:rPr>
                <w:rFonts w:ascii="Arial" w:cs="Arial" w:eastAsia="Arial" w:hAnsi="Arial"/>
                <w:sz w:val="28"/>
                <w:szCs w:val="28"/>
                <w:color w:val="auto"/>
                <w:vertAlign w:val="subscript"/>
              </w:rPr>
              <w:t>131</w:t>
            </w:r>
            <w:r>
              <w:rPr>
                <w:rFonts w:ascii="Arial" w:cs="Arial" w:eastAsia="Arial" w:hAnsi="Arial"/>
                <w:sz w:val="9"/>
                <w:szCs w:val="9"/>
                <w:color w:val="auto"/>
              </w:rPr>
              <w:t>(26)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-2630170</wp:posOffset>
            </wp:positionV>
            <wp:extent cx="136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-2630170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-2630170</wp:posOffset>
            </wp:positionV>
            <wp:extent cx="136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-2630170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-2630170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-2630170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-2630170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-2630170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-2630170</wp:posOffset>
            </wp:positionV>
            <wp:extent cx="42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6" w:lineRule="exact"/>
        <w:rPr>
          <w:sz w:val="20"/>
          <w:szCs w:val="20"/>
          <w:color w:val="auto"/>
        </w:rPr>
      </w:pPr>
    </w:p>
    <w:p>
      <w:pPr>
        <w:ind w:left="1620" w:right="1220" w:hanging="365"/>
        <w:spacing w:after="0" w:line="210"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been achieved but remain subject to additional service-based criteria.</w:t>
      </w:r>
    </w:p>
    <w:p>
      <w:pPr>
        <w:ind w:left="1620" w:hanging="365"/>
        <w:spacing w:after="0" w:line="207"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not been achieved.</w:t>
      </w:r>
    </w:p>
    <w:p>
      <w:pPr>
        <w:spacing w:after="0" w:line="63" w:lineRule="exact"/>
        <w:rPr>
          <w:rFonts w:ascii="Arial" w:cs="Arial" w:eastAsia="Arial" w:hAnsi="Arial"/>
          <w:sz w:val="27"/>
          <w:szCs w:val="27"/>
          <w:color w:val="auto"/>
          <w:vertAlign w:val="superscript"/>
        </w:rPr>
      </w:pPr>
    </w:p>
    <w:p>
      <w:pPr>
        <w:ind w:left="1620" w:hanging="365"/>
        <w:spacing w:after="0" w:line="187" w:lineRule="auto"/>
        <w:tabs>
          <w:tab w:leader="none" w:pos="1620" w:val="left"/>
        </w:tabs>
        <w:numPr>
          <w:ilvl w:val="0"/>
          <w:numId w:val="37"/>
        </w:numPr>
        <w:rPr>
          <w:rFonts w:ascii="Arial" w:cs="Arial" w:eastAsia="Arial" w:hAnsi="Arial"/>
          <w:sz w:val="24"/>
          <w:szCs w:val="24"/>
          <w:color w:val="auto"/>
          <w:vertAlign w:val="superscript"/>
        </w:rPr>
      </w:pPr>
      <w:r>
        <w:rPr>
          <w:rFonts w:ascii="Arial" w:cs="Arial" w:eastAsia="Arial" w:hAnsi="Arial"/>
          <w:sz w:val="16"/>
          <w:szCs w:val="16"/>
          <w:color w:val="auto"/>
        </w:rPr>
        <w:t>The exercise price of each outstanding stock option awarded prior to December 21,</w:t>
      </w:r>
    </w:p>
    <w:p>
      <w:pPr>
        <w:ind w:left="1620" w:right="940"/>
        <w:spacing w:after="0" w:line="256" w:lineRule="auto"/>
        <w:rPr>
          <w:rFonts w:ascii="Arial" w:cs="Arial" w:eastAsia="Arial" w:hAnsi="Arial"/>
          <w:sz w:val="24"/>
          <w:szCs w:val="24"/>
          <w:color w:val="auto"/>
          <w:vertAlign w:val="superscript"/>
        </w:rPr>
      </w:pPr>
      <w:r>
        <w:rPr>
          <w:rFonts w:ascii="Arial" w:cs="Arial" w:eastAsia="Arial" w:hAnsi="Arial"/>
          <w:sz w:val="18"/>
          <w:szCs w:val="18"/>
          <w:color w:val="auto"/>
        </w:rPr>
        <w:t>2012 was adjusted to reflect the value of Altisource Asset Management Corporation (“AAMC”) and Front Yard Residential Corporation ("RESI") common stock distributed to Altisource shareholders in connection with the spin-off transactions completed on December 21, 2012.</w:t>
      </w:r>
    </w:p>
    <w:p>
      <w:pPr>
        <w:spacing w:after="0" w:line="234" w:lineRule="exact"/>
        <w:rPr>
          <w:rFonts w:ascii="Arial" w:cs="Arial" w:eastAsia="Arial" w:hAnsi="Arial"/>
          <w:sz w:val="24"/>
          <w:szCs w:val="24"/>
          <w:color w:val="auto"/>
          <w:vertAlign w:val="superscript"/>
        </w:rPr>
      </w:pPr>
    </w:p>
    <w:p>
      <w:pPr>
        <w:ind w:left="1620" w:right="1180" w:hanging="365"/>
        <w:spacing w:after="0" w:line="210"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but remain subject to additional service-based vesting criteria.</w:t>
      </w:r>
    </w:p>
    <w:p>
      <w:pPr>
        <w:spacing w:after="0" w:line="44" w:lineRule="exact"/>
        <w:rPr>
          <w:rFonts w:ascii="Arial" w:cs="Arial" w:eastAsia="Arial" w:hAnsi="Arial"/>
          <w:sz w:val="27"/>
          <w:szCs w:val="27"/>
          <w:color w:val="auto"/>
          <w:vertAlign w:val="superscript"/>
        </w:rPr>
      </w:pPr>
    </w:p>
    <w:p>
      <w:pPr>
        <w:ind w:left="1620" w:right="920" w:hanging="365"/>
        <w:spacing w:after="0" w:line="210"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for which the performance hurdles have not been achieved.</w:t>
      </w:r>
    </w:p>
    <w:p>
      <w:pPr>
        <w:spacing w:after="0" w:line="31" w:lineRule="exact"/>
        <w:rPr>
          <w:rFonts w:ascii="Arial" w:cs="Arial" w:eastAsia="Arial" w:hAnsi="Arial"/>
          <w:sz w:val="27"/>
          <w:szCs w:val="27"/>
          <w:color w:val="auto"/>
          <w:vertAlign w:val="superscript"/>
        </w:rPr>
      </w:pPr>
    </w:p>
    <w:p>
      <w:pPr>
        <w:ind w:left="1620" w:right="920" w:hanging="365"/>
        <w:spacing w:after="0" w:line="210"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All award values set forth herein have been calculated using the closing common share price of $11.22 for Altisource as of December 31, 2021.</w:t>
      </w:r>
    </w:p>
    <w:p>
      <w:pPr>
        <w:spacing w:after="0" w:line="31" w:lineRule="exact"/>
        <w:rPr>
          <w:rFonts w:ascii="Arial" w:cs="Arial" w:eastAsia="Arial" w:hAnsi="Arial"/>
          <w:sz w:val="27"/>
          <w:szCs w:val="27"/>
          <w:color w:val="auto"/>
          <w:vertAlign w:val="superscript"/>
        </w:rPr>
      </w:pPr>
    </w:p>
    <w:p>
      <w:pPr>
        <w:ind w:left="1620" w:right="800" w:hanging="365"/>
        <w:spacing w:after="0"/>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three (3) equal annual installments that started on February 12, 2020.</w:t>
      </w:r>
    </w:p>
    <w:p>
      <w:pPr>
        <w:spacing w:after="0" w:line="215" w:lineRule="exact"/>
        <w:rPr>
          <w:rFonts w:ascii="Arial" w:cs="Arial" w:eastAsia="Arial" w:hAnsi="Arial"/>
          <w:sz w:val="27"/>
          <w:szCs w:val="27"/>
          <w:color w:val="auto"/>
          <w:vertAlign w:val="superscript"/>
        </w:rPr>
      </w:pPr>
    </w:p>
    <w:p>
      <w:pPr>
        <w:ind w:left="1620" w:right="820" w:hanging="365"/>
        <w:spacing w:after="0" w:line="238"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the March 21, 2019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ind w:left="1620" w:hanging="365"/>
        <w:spacing w:after="0" w:line="204"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the March 21, 2019 award of performance-based RSUs, which vest in two</w:t>
      </w: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(2) equal installments</w:t>
      </w:r>
    </w:p>
    <w:p>
      <w:pPr>
        <w:sectPr>
          <w:pgSz w:w="11900" w:h="16838" w:orient="portrait"/>
          <w:cols w:equalWidth="0" w:num="1">
            <w:col w:w="10200"/>
          </w:cols>
          <w:pgMar w:left="600" w:top="97" w:right="1099" w:bottom="1440" w:gutter="0" w:footer="0" w:header="0"/>
        </w:sectPr>
      </w:pPr>
    </w:p>
    <w:p>
      <w:pPr>
        <w:spacing w:after="0" w:line="38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200"/>
          </w:cols>
          <w:pgMar w:left="600" w:top="97" w:right="1099" w:bottom="1440" w:gutter="0" w:footer="0" w:header="0"/>
          <w:type w:val="continuous"/>
        </w:sectPr>
      </w:pPr>
    </w:p>
    <w:bookmarkStart w:id="39" w:name="page40"/>
    <w:bookmarkEnd w:id="3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82" w:lineRule="exact"/>
        <w:rPr>
          <w:sz w:val="20"/>
          <w:szCs w:val="20"/>
          <w:color w:val="auto"/>
        </w:rPr>
      </w:pPr>
    </w:p>
    <w:p>
      <w:pPr>
        <w:ind w:left="1620" w:right="1059"/>
        <w:spacing w:after="0" w:line="262" w:lineRule="auto"/>
        <w:rPr>
          <w:sz w:val="20"/>
          <w:szCs w:val="20"/>
          <w:color w:val="auto"/>
        </w:rPr>
      </w:pPr>
      <w:r>
        <w:rPr>
          <w:rFonts w:ascii="Arial" w:cs="Arial" w:eastAsia="Arial" w:hAnsi="Arial"/>
          <w:sz w:val="18"/>
          <w:szCs w:val="18"/>
          <w:color w:val="auto"/>
        </w:rPr>
        <w:t>on March 21, 2021 and March 21, 2022, subject each year to the executive officer meeting a minimum performance level of fifty percent (50%) on his or her annual scorecard for the 2020 and 2021 service years.</w:t>
      </w:r>
    </w:p>
    <w:p>
      <w:pPr>
        <w:ind w:left="1620" w:hanging="365"/>
        <w:spacing w:after="0" w:line="20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RSUs vest in two (2) equal installments on February 26, 2021 and February 26, 2022.</w:t>
      </w:r>
    </w:p>
    <w:p>
      <w:pPr>
        <w:spacing w:after="0" w:line="76" w:lineRule="exact"/>
        <w:rPr>
          <w:rFonts w:ascii="Arial" w:cs="Arial" w:eastAsia="Arial" w:hAnsi="Arial"/>
          <w:sz w:val="27"/>
          <w:szCs w:val="27"/>
          <w:color w:val="auto"/>
          <w:vertAlign w:val="superscript"/>
        </w:rPr>
      </w:pPr>
    </w:p>
    <w:p>
      <w:pPr>
        <w:ind w:left="1620" w:right="459" w:hanging="365"/>
        <w:spacing w:after="0" w:line="235"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27,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35" w:lineRule="exact"/>
        <w:rPr>
          <w:rFonts w:ascii="Arial" w:cs="Arial" w:eastAsia="Arial" w:hAnsi="Arial"/>
          <w:sz w:val="27"/>
          <w:szCs w:val="27"/>
          <w:color w:val="auto"/>
          <w:vertAlign w:val="superscript"/>
        </w:rPr>
      </w:pPr>
    </w:p>
    <w:p>
      <w:pPr>
        <w:ind w:left="1620" w:right="439" w:hanging="365"/>
        <w:spacing w:after="0" w:line="226"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27, 2020 award of performance-based RSUs, which vest in three (3) equal installments on February 27, 2021, February 27, 2022 and February 27, 2023, subject each year to the executive officer meeting a minimum performance level of fifty percent (50%) on his or her annual scorecard for the 2020,2021 and 2022</w:t>
      </w:r>
    </w:p>
    <w:p>
      <w:pPr>
        <w:spacing w:after="0" w:line="1"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service years</w:t>
      </w:r>
    </w:p>
    <w:p>
      <w:pPr>
        <w:spacing w:after="0" w:line="57" w:lineRule="exact"/>
        <w:rPr>
          <w:rFonts w:ascii="Arial" w:cs="Arial" w:eastAsia="Arial" w:hAnsi="Arial"/>
          <w:sz w:val="27"/>
          <w:szCs w:val="27"/>
          <w:color w:val="auto"/>
          <w:vertAlign w:val="superscript"/>
        </w:rPr>
      </w:pPr>
    </w:p>
    <w:p>
      <w:pPr>
        <w:ind w:left="1620" w:right="739" w:hanging="365"/>
        <w:spacing w:after="0" w:line="21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Granted pursuant to our 2009 Equity Incentive Plan. Performance-based RSU awards are scheduled to vest as follows:</w:t>
      </w:r>
    </w:p>
    <w:p>
      <w:pPr>
        <w:spacing w:after="0" w:line="85" w:lineRule="exact"/>
        <w:rPr>
          <w:rFonts w:ascii="Arial" w:cs="Arial" w:eastAsia="Arial" w:hAnsi="Arial"/>
          <w:sz w:val="27"/>
          <w:szCs w:val="27"/>
          <w:color w:val="auto"/>
          <w:vertAlign w:val="superscript"/>
        </w:rPr>
      </w:pPr>
    </w:p>
    <w:p>
      <w:pPr>
        <w:ind w:left="1800" w:right="699" w:hanging="187"/>
        <w:spacing w:after="0" w:line="285"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10% of the award will start to vest when the average closing price of ASPS common stock over a period of 30 calendar days is equal to or greater than $20</w:t>
      </w:r>
    </w:p>
    <w:p>
      <w:pPr>
        <w:spacing w:after="0" w:line="46" w:lineRule="exact"/>
        <w:rPr>
          <w:rFonts w:ascii="Arial" w:cs="Arial" w:eastAsia="Arial" w:hAnsi="Arial"/>
          <w:sz w:val="18"/>
          <w:szCs w:val="18"/>
          <w:color w:val="auto"/>
        </w:rPr>
      </w:pPr>
    </w:p>
    <w:p>
      <w:pPr>
        <w:ind w:left="1800" w:right="699" w:hanging="187"/>
        <w:spacing w:after="0" w:line="285"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30% of the award will start to vest when the average closing price of ASPS common stock over a period of 30 calendar days is equal to or greater than $25</w:t>
      </w:r>
    </w:p>
    <w:p>
      <w:pPr>
        <w:spacing w:after="0" w:line="59" w:lineRule="exact"/>
        <w:rPr>
          <w:rFonts w:ascii="Arial" w:cs="Arial" w:eastAsia="Arial" w:hAnsi="Arial"/>
          <w:sz w:val="18"/>
          <w:szCs w:val="18"/>
          <w:color w:val="auto"/>
        </w:rPr>
      </w:pPr>
    </w:p>
    <w:p>
      <w:pPr>
        <w:ind w:left="1800" w:right="699" w:hanging="187"/>
        <w:spacing w:after="0" w:line="268"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40% of the award will start to vest when the average closing price of ASPS common stock over a period of 30 calendar days is equal to or greater than $35</w:t>
      </w:r>
    </w:p>
    <w:p>
      <w:pPr>
        <w:spacing w:after="0" w:line="22" w:lineRule="exact"/>
        <w:rPr>
          <w:rFonts w:ascii="Arial" w:cs="Arial" w:eastAsia="Arial" w:hAnsi="Arial"/>
          <w:sz w:val="18"/>
          <w:szCs w:val="18"/>
          <w:color w:val="auto"/>
        </w:rPr>
      </w:pPr>
    </w:p>
    <w:p>
      <w:pPr>
        <w:ind w:left="1620" w:right="1159" w:hanging="365"/>
        <w:spacing w:after="0" w:line="21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October 1, 2021, October 1, 2022 and October 1, 2023.</w:t>
      </w:r>
    </w:p>
    <w:p>
      <w:pPr>
        <w:spacing w:after="0" w:line="44" w:lineRule="exact"/>
        <w:rPr>
          <w:rFonts w:ascii="Arial" w:cs="Arial" w:eastAsia="Arial" w:hAnsi="Arial"/>
          <w:sz w:val="27"/>
          <w:szCs w:val="27"/>
          <w:color w:val="auto"/>
          <w:vertAlign w:val="superscript"/>
        </w:rPr>
      </w:pPr>
    </w:p>
    <w:p>
      <w:pPr>
        <w:ind w:left="1620" w:right="619" w:hanging="365"/>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 $190.29 and an annual rate of return of twenty-five percent (25%) over the exercise price, with the balance vesting twenty-five percent (25%) each subsequent anniversary thereof.</w:t>
      </w:r>
    </w:p>
    <w:p>
      <w:pPr>
        <w:spacing w:after="0" w:line="159" w:lineRule="exact"/>
        <w:rPr>
          <w:rFonts w:ascii="Arial" w:cs="Arial" w:eastAsia="Arial" w:hAnsi="Arial"/>
          <w:sz w:val="27"/>
          <w:szCs w:val="27"/>
          <w:color w:val="auto"/>
          <w:vertAlign w:val="superscript"/>
        </w:rPr>
      </w:pPr>
    </w:p>
    <w:p>
      <w:pPr>
        <w:ind w:left="1620" w:hanging="365"/>
        <w:spacing w:after="0" w:line="204"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w:t>
      </w:r>
    </w:p>
    <w:p>
      <w:pPr>
        <w:ind w:left="1620" w:right="519"/>
        <w:spacing w:after="0" w:line="263" w:lineRule="auto"/>
        <w:rPr>
          <w:rFonts w:ascii="Arial" w:cs="Arial" w:eastAsia="Arial" w:hAnsi="Arial"/>
          <w:sz w:val="27"/>
          <w:szCs w:val="27"/>
          <w:color w:val="auto"/>
          <w:vertAlign w:val="superscript"/>
        </w:rPr>
      </w:pPr>
      <w:r>
        <w:rPr>
          <w:rFonts w:ascii="Arial" w:cs="Arial" w:eastAsia="Arial" w:hAnsi="Arial"/>
          <w:sz w:val="18"/>
          <w:szCs w:val="18"/>
          <w:color w:val="auto"/>
        </w:rPr>
        <w:t>$65.67 and an annual rate of return of twenty-five percent (25%) over the exercise price with the balance vesting twenty-five percent (25%) each subsequent anniversary thereof.</w:t>
      </w:r>
    </w:p>
    <w:p>
      <w:pPr>
        <w:spacing w:after="0" w:line="227" w:lineRule="exact"/>
        <w:rPr>
          <w:rFonts w:ascii="Arial" w:cs="Arial" w:eastAsia="Arial" w:hAnsi="Arial"/>
          <w:sz w:val="27"/>
          <w:szCs w:val="27"/>
          <w:color w:val="auto"/>
          <w:vertAlign w:val="superscript"/>
        </w:rPr>
      </w:pPr>
    </w:p>
    <w:p>
      <w:pPr>
        <w:ind w:left="1620" w:right="479" w:hanging="365"/>
        <w:spacing w:after="0" w:line="238"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January 24,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44" w:lineRule="exact"/>
        <w:rPr>
          <w:rFonts w:ascii="Arial" w:cs="Arial" w:eastAsia="Arial" w:hAnsi="Arial"/>
          <w:sz w:val="27"/>
          <w:szCs w:val="27"/>
          <w:color w:val="auto"/>
          <w:vertAlign w:val="superscript"/>
        </w:rPr>
      </w:pPr>
    </w:p>
    <w:p>
      <w:pPr>
        <w:ind w:left="1620" w:right="439" w:hanging="365"/>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January 24, 2020 award of performance-based RSUs, which vest in three (3) equal installments on January 24, 2021, January 24, 2022 and January 24, 2023, subject each year to the executive officer meeting a minimum performance level of fifty percent (50%) on his or her annual scorecard for the 2020, 2021 and 2022 service years.</w:t>
      </w:r>
    </w:p>
    <w:p>
      <w:pPr>
        <w:spacing w:after="0" w:line="198" w:lineRule="exact"/>
        <w:rPr>
          <w:rFonts w:ascii="Arial" w:cs="Arial" w:eastAsia="Arial" w:hAnsi="Arial"/>
          <w:sz w:val="27"/>
          <w:szCs w:val="27"/>
          <w:color w:val="auto"/>
          <w:vertAlign w:val="superscript"/>
        </w:rPr>
      </w:pPr>
    </w:p>
    <w:p>
      <w:pPr>
        <w:ind w:left="1620" w:right="1159" w:hanging="365"/>
        <w:spacing w:after="0" w:line="21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February 26, 2021, February 26, 2022 and February 26, 2023.</w:t>
      </w:r>
    </w:p>
    <w:p>
      <w:pPr>
        <w:spacing w:after="0" w:line="31" w:lineRule="exact"/>
        <w:rPr>
          <w:rFonts w:ascii="Arial" w:cs="Arial" w:eastAsia="Arial" w:hAnsi="Arial"/>
          <w:sz w:val="27"/>
          <w:szCs w:val="27"/>
          <w:color w:val="auto"/>
          <w:vertAlign w:val="superscript"/>
        </w:rPr>
      </w:pPr>
    </w:p>
    <w:p>
      <w:pPr>
        <w:ind w:left="1620" w:right="799" w:hanging="365"/>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190" w:lineRule="exact"/>
        <w:rPr>
          <w:rFonts w:ascii="Arial" w:cs="Arial" w:eastAsia="Arial" w:hAnsi="Arial"/>
          <w:sz w:val="27"/>
          <w:szCs w:val="27"/>
          <w:color w:val="auto"/>
          <w:vertAlign w:val="superscript"/>
        </w:rPr>
      </w:pPr>
    </w:p>
    <w:p>
      <w:pPr>
        <w:ind w:left="1620" w:right="799" w:hanging="365"/>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ectPr>
          <w:pgSz w:w="11900" w:h="16838" w:orient="portrait"/>
          <w:cols w:equalWidth="0" w:num="1">
            <w:col w:w="9859"/>
          </w:cols>
          <w:pgMar w:left="600" w:top="97" w:right="1440" w:bottom="931" w:gutter="0" w:footer="0" w:header="0"/>
        </w:sect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931" w:gutter="0" w:footer="0" w:header="0"/>
          <w:type w:val="continuous"/>
        </w:sectPr>
      </w:pPr>
    </w:p>
    <w:bookmarkStart w:id="40" w:name="page41"/>
    <w:bookmarkEnd w:id="4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82" w:lineRule="exact"/>
        <w:rPr>
          <w:sz w:val="20"/>
          <w:szCs w:val="20"/>
          <w:color w:val="auto"/>
        </w:rPr>
      </w:pPr>
    </w:p>
    <w:p>
      <w:pPr>
        <w:ind w:left="1620" w:right="1019" w:hanging="365"/>
        <w:spacing w:after="0" w:line="221"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32" w:lineRule="exact"/>
        <w:rPr>
          <w:rFonts w:ascii="Arial" w:cs="Arial" w:eastAsia="Arial" w:hAnsi="Arial"/>
          <w:sz w:val="27"/>
          <w:szCs w:val="27"/>
          <w:color w:val="auto"/>
          <w:vertAlign w:val="superscript"/>
        </w:rPr>
      </w:pPr>
    </w:p>
    <w:p>
      <w:pPr>
        <w:ind w:left="1620" w:right="719" w:hanging="365"/>
        <w:spacing w:after="0" w:line="221"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$65.28 and an annual rate of return of twenty percent (20%) over the exercise price with the balance vesting one-third each subsequent anniversary thereof.</w:t>
      </w:r>
    </w:p>
    <w:p>
      <w:pPr>
        <w:spacing w:after="0" w:line="32" w:lineRule="exact"/>
        <w:rPr>
          <w:rFonts w:ascii="Arial" w:cs="Arial" w:eastAsia="Arial" w:hAnsi="Arial"/>
          <w:sz w:val="27"/>
          <w:szCs w:val="27"/>
          <w:color w:val="auto"/>
          <w:vertAlign w:val="superscript"/>
        </w:rPr>
      </w:pPr>
    </w:p>
    <w:p>
      <w:pPr>
        <w:ind w:left="1620" w:right="1019" w:hanging="365"/>
        <w:spacing w:after="0" w:line="221"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32" w:lineRule="exact"/>
        <w:rPr>
          <w:rFonts w:ascii="Arial" w:cs="Arial" w:eastAsia="Arial" w:hAnsi="Arial"/>
          <w:sz w:val="27"/>
          <w:szCs w:val="27"/>
          <w:color w:val="auto"/>
          <w:vertAlign w:val="superscript"/>
        </w:rPr>
      </w:pPr>
    </w:p>
    <w:p>
      <w:pPr>
        <w:ind w:left="1620" w:right="719" w:hanging="365"/>
        <w:spacing w:after="0" w:line="221"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 w:lineRule="exact"/>
        <w:rPr>
          <w:rFonts w:ascii="Arial" w:cs="Arial" w:eastAsia="Arial" w:hAnsi="Arial"/>
          <w:sz w:val="27"/>
          <w:szCs w:val="27"/>
          <w:color w:val="auto"/>
          <w:vertAlign w:val="superscript"/>
        </w:rPr>
      </w:pPr>
    </w:p>
    <w:p>
      <w:pPr>
        <w:ind w:left="1620" w:hanging="365"/>
        <w:spacing w:after="0" w:line="207"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RSUs vest in two (2) installments on March 21, 2022 and March 21, 2023.</w:t>
      </w:r>
    </w:p>
    <w:p>
      <w:pPr>
        <w:spacing w:after="0" w:line="63" w:lineRule="exact"/>
        <w:rPr>
          <w:rFonts w:ascii="Arial" w:cs="Arial" w:eastAsia="Arial" w:hAnsi="Arial"/>
          <w:sz w:val="27"/>
          <w:szCs w:val="27"/>
          <w:color w:val="auto"/>
          <w:vertAlign w:val="superscript"/>
        </w:rPr>
      </w:pPr>
    </w:p>
    <w:p>
      <w:pPr>
        <w:ind w:left="1620" w:hanging="365"/>
        <w:spacing w:after="0" w:line="187" w:lineRule="auto"/>
        <w:tabs>
          <w:tab w:leader="none" w:pos="162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Represents the March 9, 2021 award of performance-based RSUs, which vest in two</w:t>
      </w:r>
    </w:p>
    <w:p>
      <w:pPr>
        <w:jc w:val="both"/>
        <w:ind w:left="1620" w:right="479"/>
        <w:spacing w:after="0" w:line="251" w:lineRule="auto"/>
        <w:rPr>
          <w:rFonts w:ascii="Arial" w:cs="Arial" w:eastAsia="Arial" w:hAnsi="Arial"/>
          <w:sz w:val="24"/>
          <w:szCs w:val="24"/>
          <w:color w:val="auto"/>
          <w:vertAlign w:val="superscript"/>
        </w:rPr>
      </w:pPr>
      <w:r>
        <w:rPr>
          <w:rFonts w:ascii="Arial" w:cs="Arial" w:eastAsia="Arial" w:hAnsi="Arial"/>
          <w:sz w:val="18"/>
          <w:szCs w:val="18"/>
          <w:color w:val="auto"/>
        </w:rPr>
        <w:t>(3) equal installments on March 9, 2022, March 9, 2023 and March 9, 2024 subject each year to the executive officer meeting a minimum performance level of fifty percent (50%) on his or her annual scorecard for the 2021, 2022 and 2023 service years.</w:t>
      </w:r>
    </w:p>
    <w:p>
      <w:pPr>
        <w:spacing w:after="0" w:line="32" w:lineRule="exact"/>
        <w:rPr>
          <w:rFonts w:ascii="Arial" w:cs="Arial" w:eastAsia="Arial" w:hAnsi="Arial"/>
          <w:sz w:val="24"/>
          <w:szCs w:val="24"/>
          <w:color w:val="auto"/>
          <w:vertAlign w:val="superscript"/>
        </w:rPr>
      </w:pPr>
    </w:p>
    <w:p>
      <w:pPr>
        <w:ind w:left="1620" w:right="459" w:hanging="365"/>
        <w:spacing w:after="0" w:line="236"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Represents the March 9, 2021 award of performance-based RSUs, which cliff vest on the third anniversary of the grant date if certain financial measures are achieved. The number of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is below a certain threshold, the award is cancelled.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Employment Agreements</w:t>
      </w:r>
    </w:p>
    <w:p>
      <w:pPr>
        <w:spacing w:after="0" w:line="71"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265"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provided, however, in the event of termination by the Company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w:t>
      </w:r>
    </w:p>
    <w:p>
      <w:pPr>
        <w:spacing w:after="0" w:line="252"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260" w:right="459" w:hanging="5"/>
        <w:spacing w:after="0" w:line="256" w:lineRule="auto"/>
        <w:tabs>
          <w:tab w:leader="none" w:pos="15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41" w:name="page42"/>
    <w:bookmarkEnd w:id="4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71"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As discussed above, Messrs. Shepro and Ritts have entered into employment agreements with the Company. Under these agreements, if employment is terminated as a result of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the case of Mr. Shepro, if he terminates his employment for “Good Reason” (as defined in his employment agreement), the Company shall make a cash payment of twelve (12) months’ base salary (in the case of Mr. Shepro) and four (4) months’ base salary (in the case of Mr. Ritts), in addition to certain notice and additional payments as may be required under articles L.124-1 and L.124-7 of the Luxembourg Labor Code. In the case of</w:t>
      </w:r>
    </w:p>
    <w:p>
      <w:pPr>
        <w:spacing w:after="0" w:line="16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Mr. Shepro, the Company shall also pay at least one (1) 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 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 articles L.124-1 and L.124 -7 of the Luxembourg Labor Code, notwithstanding the third sentence of this paragraph. If one of the foregoing Named Executive Officers is terminated by the Company for “Cause,” the Company may terminate without notice and with no liability to make any further payment to such executive, other than amounts accrued and unpaid at the date of termination.</w:t>
      </w:r>
    </w:p>
    <w:p>
      <w:pPr>
        <w:spacing w:after="0" w:line="176"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With respect to stock options, typically, upon termination of a Named Executive Officer’s employment other than for “Cause,” as defined by the applicable stock option agreement, or by reason of resignation, the Named Executive Officer will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227"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Named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398"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w:t>
      </w:r>
    </w:p>
    <w:p>
      <w:pPr>
        <w:sectPr>
          <w:pgSz w:w="11900" w:h="16838" w:orient="portrait"/>
          <w:cols w:equalWidth="0" w:num="1">
            <w:col w:w="9859"/>
          </w:cols>
          <w:pgMar w:left="600" w:top="97" w:right="1440" w:bottom="1039" w:gutter="0" w:footer="0" w:header="0"/>
        </w:sect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039" w:gutter="0" w:footer="0" w:header="0"/>
          <w:type w:val="continuous"/>
        </w:sectPr>
      </w:pPr>
    </w:p>
    <w:bookmarkStart w:id="42" w:name="page43"/>
    <w:bookmarkEnd w:id="4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294640</wp:posOffset>
            </wp:positionV>
            <wp:extent cx="1614805"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82"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applicable award agreement, certain unvested restricted shares and RSUs will vest after thirty (30) days of such termination. In addition, certain restricted share and RSU awards provide for the vesting of unvested restricted shares and RSUs in the event of a Transaction.</w:t>
      </w:r>
    </w:p>
    <w:p>
      <w:pPr>
        <w:spacing w:after="0" w:line="103" w:lineRule="exact"/>
        <w:rPr>
          <w:sz w:val="20"/>
          <w:szCs w:val="20"/>
          <w:color w:val="auto"/>
        </w:rPr>
      </w:pPr>
    </w:p>
    <w:p>
      <w:pPr>
        <w:ind w:left="1260" w:right="899"/>
        <w:spacing w:after="0" w:line="276"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43" w:name="page44"/>
    <w:bookmarkEnd w:id="4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1339"/>
        <w:spacing w:after="0" w:line="271" w:lineRule="auto"/>
        <w:rPr>
          <w:sz w:val="20"/>
          <w:szCs w:val="20"/>
          <w:color w:val="auto"/>
        </w:rPr>
      </w:pPr>
      <w:r>
        <w:rPr>
          <w:rFonts w:ascii="Arial" w:cs="Arial" w:eastAsia="Arial" w:hAnsi="Arial"/>
          <w:sz w:val="22"/>
          <w:szCs w:val="22"/>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-10795</wp:posOffset>
            </wp:positionV>
            <wp:extent cx="51936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18" w:lineRule="exact"/>
        <w:rPr>
          <w:sz w:val="20"/>
          <w:szCs w:val="20"/>
          <w:color w:val="auto"/>
        </w:rPr>
      </w:pPr>
    </w:p>
    <w:p>
      <w:pPr>
        <w:ind w:left="1260" w:right="459"/>
        <w:spacing w:after="0" w:line="258" w:lineRule="auto"/>
        <w:rPr>
          <w:sz w:val="20"/>
          <w:szCs w:val="20"/>
          <w:color w:val="auto"/>
        </w:rPr>
      </w:pPr>
      <w:r>
        <w:rPr>
          <w:rFonts w:ascii="Arial" w:cs="Arial" w:eastAsia="Arial" w:hAnsi="Arial"/>
          <w:sz w:val="18"/>
          <w:szCs w:val="18"/>
          <w:color w:val="auto"/>
        </w:rPr>
        <w:t>The Audit Committee of our Board of Directors has approved the appointment of Mayer Hoffman McCann P.C. (“Mayer Hoffman”) as our independent registered certified public accounting firm for the year ending December 31, 2022,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statutory accounts as required by Luxembourg law for the same period.</w:t>
      </w:r>
    </w:p>
    <w:p>
      <w:pPr>
        <w:spacing w:after="0" w:line="112" w:lineRule="exact"/>
        <w:rPr>
          <w:sz w:val="20"/>
          <w:szCs w:val="20"/>
          <w:color w:val="auto"/>
        </w:rPr>
      </w:pPr>
    </w:p>
    <w:p>
      <w:pPr>
        <w:ind w:left="1260" w:right="1219"/>
        <w:spacing w:after="0" w:line="285" w:lineRule="auto"/>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73" w:lineRule="exact"/>
        <w:rPr>
          <w:sz w:val="20"/>
          <w:szCs w:val="20"/>
          <w:color w:val="auto"/>
        </w:rPr>
      </w:pPr>
    </w:p>
    <w:p>
      <w:pPr>
        <w:ind w:left="1260" w:right="719"/>
        <w:spacing w:after="0" w:line="267" w:lineRule="auto"/>
        <w:rPr>
          <w:sz w:val="20"/>
          <w:szCs w:val="20"/>
          <w:color w:val="auto"/>
        </w:rPr>
      </w:pPr>
      <w:r>
        <w:rPr>
          <w:rFonts w:ascii="Arial" w:cs="Arial" w:eastAsia="Arial" w:hAnsi="Arial"/>
          <w:sz w:val="18"/>
          <w:szCs w:val="18"/>
          <w:color w:val="auto"/>
        </w:rPr>
        <w:t>Mayer Hoffman and Atwell will be offered the opportunity to be present at the Annual Meeting and to make any statements they deem appropriate. At this time, we don’t expect representatives of such firms to attend or join the Annual Meeting.</w:t>
      </w:r>
    </w:p>
    <w:p>
      <w:pPr>
        <w:spacing w:after="0" w:line="278" w:lineRule="exact"/>
        <w:rPr>
          <w:sz w:val="20"/>
          <w:szCs w:val="20"/>
          <w:color w:val="auto"/>
        </w:rPr>
      </w:pPr>
    </w:p>
    <w:p>
      <w:pPr>
        <w:jc w:val="center"/>
        <w:ind w:left="1860" w:right="180"/>
        <w:spacing w:after="0" w:line="256"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MAYER HOFFMAN MCCANN P.C. AS OUR INDEPENDENT REGISTERED CERTIFIED</w:t>
      </w:r>
    </w:p>
    <w:p>
      <w:pPr>
        <w:spacing w:after="0" w:line="1"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PUBLIC ACCOUNTING FIRM FOR 2022 AND ATWELL S.À R.L. AS OUR CERTIFIED</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AUDITOR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44" w:name="page45"/>
    <w:bookmarkEnd w:id="4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28575</wp:posOffset>
            </wp:positionV>
            <wp:extent cx="51936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337"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 xml:space="preserve">In connection with these responsibilities, the Audit Committee met with management and the independent registered certified public accounting firm to review and discuss the December 31, 2021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The Audit Committee has also received written disclosures from the Company’s independent registered certified public accounting firm, as required by the applicable requirements of the PCAOB, and discussed with the independent registered certified public accounting firm that firm’s independence.</w:t>
      </w:r>
    </w:p>
    <w:p>
      <w:pPr>
        <w:spacing w:after="0" w:line="337" w:lineRule="exact"/>
        <w:rPr>
          <w:sz w:val="20"/>
          <w:szCs w:val="20"/>
          <w:color w:val="auto"/>
        </w:rPr>
      </w:pPr>
    </w:p>
    <w:p>
      <w:pPr>
        <w:ind w:left="1260" w:right="499"/>
        <w:spacing w:after="0" w:line="258" w:lineRule="auto"/>
        <w:rPr>
          <w:sz w:val="20"/>
          <w:szCs w:val="20"/>
          <w:color w:val="auto"/>
        </w:rPr>
      </w:pPr>
      <w:r>
        <w:rPr>
          <w:rFonts w:ascii="Arial" w:cs="Arial" w:eastAsia="Arial" w:hAnsi="Arial"/>
          <w:sz w:val="18"/>
          <w:szCs w:val="18"/>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2021 audited consolidated financial statements in Altisource’s Annual Report on Form 10-K for the year ended December 31, 2021.</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Audit Committee:</w:t>
      </w:r>
    </w:p>
    <w:p>
      <w:pPr>
        <w:spacing w:after="0" w:line="22" w:lineRule="exact"/>
        <w:rPr>
          <w:sz w:val="20"/>
          <w:szCs w:val="20"/>
          <w:color w:val="auto"/>
        </w:rPr>
      </w:pPr>
    </w:p>
    <w:p>
      <w:pPr>
        <w:ind w:left="5560"/>
        <w:spacing w:after="0" w:line="207" w:lineRule="exact"/>
        <w:rPr>
          <w:sz w:val="20"/>
          <w:szCs w:val="20"/>
          <w:color w:val="auto"/>
        </w:rPr>
      </w:pPr>
      <w:r>
        <w:rPr>
          <w:rFonts w:ascii="Arial" w:cs="Arial" w:eastAsia="Arial" w:hAnsi="Arial"/>
          <w:sz w:val="18"/>
          <w:szCs w:val="18"/>
          <w:color w:val="auto"/>
        </w:rPr>
        <w:t>Roland M</w:t>
      </w:r>
      <w:r>
        <w:rPr>
          <w:rFonts w:ascii="MS PGothic" w:cs="MS PGothic" w:eastAsia="MS PGothic" w:hAnsi="MS PGothic"/>
          <w:sz w:val="18"/>
          <w:szCs w:val="18"/>
          <w:color w:val="auto"/>
        </w:rPr>
        <w:t>✔</w:t>
      </w:r>
      <w:r>
        <w:rPr>
          <w:rFonts w:ascii="Arial" w:cs="Arial" w:eastAsia="Arial" w:hAnsi="Arial"/>
          <w:sz w:val="18"/>
          <w:szCs w:val="18"/>
          <w:color w:val="auto"/>
        </w:rPr>
        <w:t>ller-Ineichen, Chair</w:t>
      </w:r>
    </w:p>
    <w:p>
      <w:pPr>
        <w:spacing w:after="0" w:line="1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Mary C. Hickok, Director</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Joseph L. Morettini, Director</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4, 2022</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45" w:name="page46"/>
    <w:bookmarkEnd w:id="4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28575</wp:posOffset>
            </wp:positionV>
            <wp:extent cx="51936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shows the aggregate fees billed to Altisource for professional services by</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Mayer Hoffman and Atwell in fiscal years 2020 and 2021:</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221"/>
        </w:trPr>
        <w:tc>
          <w:tcPr>
            <w:tcW w:w="4680" w:type="dxa"/>
            <w:vAlign w:val="bottom"/>
            <w:gridSpan w:val="3"/>
          </w:tcPr>
          <w:p>
            <w:pPr>
              <w:ind w:left="1820"/>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Audit Fees</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1,124,535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$1,807,142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All Other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22"/>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1,182,395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$1,807,142</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-153035</wp:posOffset>
            </wp:positionV>
            <wp:extent cx="36988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887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4806950</wp:posOffset>
            </wp:positionH>
            <wp:positionV relativeFrom="paragraph">
              <wp:posOffset>-682625</wp:posOffset>
            </wp:positionV>
            <wp:extent cx="136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-682625</wp:posOffset>
            </wp:positionV>
            <wp:extent cx="136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128270</wp:posOffset>
            </wp:positionV>
            <wp:extent cx="12299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271" w:lineRule="exact"/>
        <w:rPr>
          <w:sz w:val="20"/>
          <w:szCs w:val="20"/>
          <w:color w:val="auto"/>
        </w:rPr>
      </w:pPr>
    </w:p>
    <w:p>
      <w:pPr>
        <w:ind w:left="2340" w:right="579" w:hanging="368"/>
        <w:spacing w:after="0" w:line="267" w:lineRule="auto"/>
        <w:tabs>
          <w:tab w:leader="none" w:pos="2340" w:val="left"/>
        </w:tabs>
        <w:numPr>
          <w:ilvl w:val="0"/>
          <w:numId w:val="41"/>
        </w:numPr>
        <w:rPr>
          <w:rFonts w:ascii="Arial" w:cs="Arial" w:eastAsia="Arial" w:hAnsi="Arial"/>
          <w:sz w:val="11"/>
          <w:szCs w:val="11"/>
          <w:color w:val="auto"/>
        </w:rPr>
      </w:pPr>
      <w:r>
        <w:rPr>
          <w:rFonts w:ascii="Arial" w:cs="Arial" w:eastAsia="Arial" w:hAnsi="Arial"/>
          <w:sz w:val="18"/>
          <w:szCs w:val="18"/>
          <w:color w:val="auto"/>
        </w:rPr>
        <w:t>Represents $1,596,494 billed by Mayer Hoffman for audit fees and $210,648 billed by Atwell for audit fees. Fees billed by Mayer Hoffman and Atwell include statutory audits required for regulatory compliance purposes.</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Fees</w:t>
      </w:r>
    </w:p>
    <w:p>
      <w:pPr>
        <w:spacing w:after="0" w:line="111"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This category includes the aggregate fees and expenses billed for professional services rendered for the audits of Altisource’s consolidated financial statements for fiscal years 2020 and 2021, for the reviews of the financial statements included in Altisource’s quarterly reports on Form 10-Q during fiscal years 2020 and 2021 and for services that are normally provided by the independent registered certified public accounting firm and affiliates in connection with statutory and regulatory filings or engagements for the relevant fiscal year.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Audit-Related Fees</w:t>
      </w:r>
    </w:p>
    <w:p>
      <w:pPr>
        <w:spacing w:after="0" w:line="111"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color w:val="auto"/>
        </w:rPr>
        <w:t>This category includes the aggregate fees billed by the independent registered certified public accounting firm for fiscal years 2020 and 2021 for audit- 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Tax Fees</w:t>
      </w:r>
    </w:p>
    <w:p>
      <w:pPr>
        <w:spacing w:after="0" w:line="111"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This category includes the aggregate fees billed for fiscal years 2020 and 2021 for professional services rendered by the independent registered certified public accounting firm for tax compliance, tax planning and tax advice.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Other Fees</w:t>
      </w:r>
    </w:p>
    <w:p>
      <w:pPr>
        <w:spacing w:after="0" w:line="111" w:lineRule="exact"/>
        <w:rPr>
          <w:sz w:val="20"/>
          <w:szCs w:val="20"/>
          <w:color w:val="auto"/>
        </w:rPr>
      </w:pPr>
    </w:p>
    <w:p>
      <w:pPr>
        <w:jc w:val="both"/>
        <w:ind w:left="1260" w:right="499"/>
        <w:spacing w:after="0" w:line="252" w:lineRule="auto"/>
        <w:rPr>
          <w:sz w:val="20"/>
          <w:szCs w:val="20"/>
          <w:color w:val="auto"/>
        </w:rPr>
      </w:pPr>
      <w:r>
        <w:rPr>
          <w:rFonts w:ascii="Arial" w:cs="Arial" w:eastAsia="Arial" w:hAnsi="Arial"/>
          <w:sz w:val="18"/>
          <w:szCs w:val="18"/>
          <w:color w:val="auto"/>
        </w:rPr>
        <w:t>This category includes the aggregate fees billed for fiscal years 2020 and 2021 for products and services provided by the independent registered certified public accounting firm that are not reported above under “Audit Fees,” “Audit-Related Fees” or “Tax Fees.”</w:t>
      </w:r>
    </w:p>
    <w:p>
      <w:pPr>
        <w:spacing w:after="0" w:line="101"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The Audit Committee considered the compatibility of the non- audit-related services provided by, and fees paid to, Mayer Hoffman in fiscal years 2020 and 2021, as applicable, and determined that such services and fees are compatible with their independence.</w:t>
      </w:r>
    </w:p>
    <w:p>
      <w:pPr>
        <w:spacing w:after="0" w:line="101"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The Audit Committee is required to pre -approve the audit and non-audit services performed by the independent registered certified public accounting firm in order to assure that the provision of such services does not impair the independent registered certified public accounting firm’s independence. In fiscal years 2020 and 2021, all services associated with the independent registered certified public accounting firm were pre-approved by the Audit Committee or by the Audit Committee Chair pursuant to authority delegated to him as described below.</w:t>
      </w:r>
    </w:p>
    <w:p>
      <w:pPr>
        <w:spacing w:after="0" w:line="305" w:lineRule="exact"/>
        <w:rPr>
          <w:sz w:val="20"/>
          <w:szCs w:val="20"/>
          <w:color w:val="auto"/>
        </w:rPr>
      </w:pPr>
    </w:p>
    <w:p>
      <w:pPr>
        <w:ind w:left="1260" w:right="539"/>
        <w:spacing w:after="0" w:line="270" w:lineRule="auto"/>
        <w:rPr>
          <w:sz w:val="20"/>
          <w:szCs w:val="20"/>
          <w:color w:val="auto"/>
        </w:rPr>
      </w:pPr>
      <w:r>
        <w:rPr>
          <w:rFonts w:ascii="Arial" w:cs="Arial" w:eastAsia="Arial" w:hAnsi="Arial"/>
          <w:sz w:val="18"/>
          <w:szCs w:val="18"/>
          <w:color w:val="auto"/>
        </w:rPr>
        <w:t>Substantially all of Mayer Hoffman personnel, who work under the control of Mayer Hoffman shareholders, are sourced from wholly-owned subsidiaries of CBIZ, Inc.</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Committee Pre-Approval Policy</w:t>
      </w:r>
    </w:p>
    <w:p>
      <w:pPr>
        <w:spacing w:after="0" w:line="11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The Audit Committee has pre-approved certain audit services, audit-related services and non-audit services to be performed by the independent auditors in its Pre-Approval Policy. Except for the services pre-approved</w:t>
      </w:r>
    </w:p>
    <w:p>
      <w:pPr>
        <w:sectPr>
          <w:pgSz w:w="11900" w:h="16838" w:orient="portrait"/>
          <w:cols w:equalWidth="0" w:num="1">
            <w:col w:w="9859"/>
          </w:cols>
          <w:pgMar w:left="60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46" w:name="page47"/>
    <w:bookmarkEnd w:id="4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4482465</wp:posOffset>
            </wp:positionH>
            <wp:positionV relativeFrom="paragraph">
              <wp:posOffset>294640</wp:posOffset>
            </wp:positionV>
            <wp:extent cx="150368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0368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579"/>
        <w:spacing w:after="0"/>
        <w:rPr>
          <w:sz w:val="20"/>
          <w:szCs w:val="20"/>
          <w:color w:val="auto"/>
        </w:rPr>
      </w:pPr>
      <w:r>
        <w:rPr>
          <w:rFonts w:ascii="Arial" w:cs="Arial" w:eastAsia="Arial" w:hAnsi="Arial"/>
          <w:sz w:val="16"/>
          <w:szCs w:val="16"/>
          <w:b w:val="1"/>
          <w:bCs w:val="1"/>
          <w:color w:val="314F60"/>
        </w:rPr>
        <w:t>EXTERNAL AUDITOR FEES</w:t>
      </w:r>
    </w:p>
    <w:p>
      <w:pPr>
        <w:spacing w:after="0" w:line="282"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pursuant to this policy, all permissible audit, audit-related, tax and non -audit services must be separately pre-approved by the Audit Committee or any member of the Audit Committee to whom such authority is delegated. The Audit Committee has delegated authority to the Audit Committee Chair to pre -approve all such services, except services related to the independent auditor’s annual audit of the Company, which is subject to the specific pre-approval of the Audit Committee. The Audit Committee Chair reports any pre-approval decisions to the Audit Committee for their ratification.</w:t>
      </w:r>
    </w:p>
    <w:p>
      <w:pPr>
        <w:spacing w:after="0" w:line="115"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47" w:name="page48"/>
    <w:bookmarkEnd w:id="4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294640</wp:posOffset>
            </wp:positionV>
            <wp:extent cx="111887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8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314F60"/>
        </w:rPr>
        <w:t>PROPOSAL THREE</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Three: Approval of the Company’s Luxembourg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ind w:left="1260" w:right="1099"/>
        <w:spacing w:after="0" w:line="267" w:lineRule="auto"/>
        <w:rPr>
          <w:sz w:val="20"/>
          <w:szCs w:val="20"/>
          <w:color w:val="auto"/>
        </w:rPr>
      </w:pPr>
      <w:r>
        <w:rPr>
          <w:rFonts w:ascii="Arial" w:cs="Arial" w:eastAsia="Arial" w:hAnsi="Arial"/>
          <w:sz w:val="18"/>
          <w:szCs w:val="18"/>
          <w:color w:val="auto"/>
        </w:rPr>
        <w:t>Pursuant to Luxembourg law, the Luxembourg Annual Accounts and the Consolidated Accounts (the “Luxembourg Statutory Accounts”) must be submitted each year to shareholders for approval at the Annual Meeting.</w:t>
      </w:r>
    </w:p>
    <w:p>
      <w:pPr>
        <w:spacing w:after="0" w:line="89"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2021 reflect total assets of $1,140.9 million and a loss for the year then ended of $11.0 million.</w:t>
      </w:r>
    </w:p>
    <w:p>
      <w:pPr>
        <w:spacing w:after="0" w:line="337"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2021, the Consolidated Accounts reflect total deficit of $68.5 million and net income for the year then ended of $10.8 million.</w:t>
      </w:r>
    </w:p>
    <w:p>
      <w:pPr>
        <w:spacing w:after="0" w:line="115"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95"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Altisource’s Luxembourg Statutory Accounts will be available to shareholders at Altisource’s registered office, during business hours, by appointment, subject to sanitary limitations that may be imposed by the Luxembourg government, from May 3, 2022 until the conclusion of the Annual Meeting.</w:t>
      </w:r>
    </w:p>
    <w:p>
      <w:pPr>
        <w:spacing w:after="0" w:line="17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48" w:name="page49"/>
    <w:bookmarkEnd w:id="4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294640</wp:posOffset>
            </wp:positionV>
            <wp:extent cx="106807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680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314F60"/>
        </w:rPr>
        <w:t>PROPOSAL FOUR</w:t>
      </w:r>
    </w:p>
    <w:p>
      <w:pPr>
        <w:spacing w:after="0" w:line="273" w:lineRule="exact"/>
        <w:rPr>
          <w:sz w:val="20"/>
          <w:szCs w:val="20"/>
          <w:color w:val="auto"/>
        </w:rPr>
      </w:pPr>
    </w:p>
    <w:p>
      <w:pPr>
        <w:ind w:left="1260" w:right="1019"/>
        <w:spacing w:after="0" w:line="250" w:lineRule="auto"/>
        <w:rPr>
          <w:sz w:val="20"/>
          <w:szCs w:val="20"/>
          <w:color w:val="auto"/>
        </w:rPr>
      </w:pPr>
      <w:r>
        <w:rPr>
          <w:rFonts w:ascii="Arial" w:cs="Arial" w:eastAsia="Arial" w:hAnsi="Arial"/>
          <w:sz w:val="22"/>
          <w:szCs w:val="22"/>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3175</wp:posOffset>
            </wp:positionV>
            <wp:extent cx="51936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41" w:lineRule="exact"/>
        <w:rPr>
          <w:sz w:val="20"/>
          <w:szCs w:val="20"/>
          <w:color w:val="auto"/>
        </w:rPr>
      </w:pPr>
    </w:p>
    <w:p>
      <w:pPr>
        <w:ind w:left="1260" w:right="599"/>
        <w:spacing w:after="0" w:line="258"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98"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Luxembourg law also requires the Company’s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to provide an annual report confirming that the Company’s Luxembourg Annual Accounts agree with the accounting records and documents of the Company.</w:t>
      </w:r>
    </w:p>
    <w:p>
      <w:pPr>
        <w:spacing w:after="0" w:line="103"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color w:val="auto"/>
        </w:rPr>
        <w:t>The Directors’ Reports for the year ended December 31, 2021 and the report of the supervisory auditor for the Luxembourg Annual Accounts for the same period will be available to shareholders at Altisource’s registered office, during business hours, by appointment, subject to sanitary limitations that may be imposed by the Luxembourg government, from May 3, 2022 until the conclusion of the Annual Meeting. Following shareholder approval of the Luxembourg Statutory Accounts, these reports will be filed with the Luxembourg trade registry as public documents.</w:t>
      </w:r>
    </w:p>
    <w:p>
      <w:pPr>
        <w:spacing w:after="0" w:line="39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6"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THAT YOU VOTE “FOR” THE RECEIPT AND APPROVAL OF THE DIRECTORS’ REPORTS FOR</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LUXEMBOURG STATUTORY ACCOUNTS FOR THE YEAR ENDED DECEMBER 31, 2021 AND</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RECEIPT</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 xml:space="preserve">OF THE REPORT OF THE SUPERVISORY AUDITOR </w:t>
      </w:r>
      <w:r>
        <w:rPr>
          <w:rFonts w:ascii="Arial" w:cs="Arial" w:eastAsia="Arial" w:hAnsi="Arial"/>
          <w:sz w:val="17"/>
          <w:szCs w:val="17"/>
          <w:b w:val="1"/>
          <w:bCs w:val="1"/>
          <w:i w:val="1"/>
          <w:iCs w:val="1"/>
          <w:color w:val="auto"/>
        </w:rPr>
        <w:t>(COMMISSAIRE AUX COMPTES)</w:t>
      </w:r>
      <w:r>
        <w:rPr>
          <w:rFonts w:ascii="Arial" w:cs="Arial" w:eastAsia="Arial" w:hAnsi="Arial"/>
          <w:sz w:val="17"/>
          <w:szCs w:val="17"/>
          <w:b w:val="1"/>
          <w:bCs w:val="1"/>
          <w:color w:val="auto"/>
        </w:rPr>
        <w:t xml:space="preserve"> FOR THE</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LUXEMBOURG</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ACCOUNTS FOR THE SAME PERIOD</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49" w:name="page50"/>
    <w:bookmarkEnd w:id="4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294640</wp:posOffset>
            </wp:positionV>
            <wp:extent cx="99949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FIVE</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89"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2021, no such allocation is required.</w:t>
      </w:r>
    </w:p>
    <w:p>
      <w:pPr>
        <w:spacing w:after="0" w:line="115" w:lineRule="exact"/>
        <w:rPr>
          <w:sz w:val="20"/>
          <w:szCs w:val="20"/>
          <w:color w:val="auto"/>
        </w:rPr>
      </w:pPr>
    </w:p>
    <w:p>
      <w:pPr>
        <w:ind w:left="1260" w:right="719"/>
        <w:spacing w:after="0" w:line="258" w:lineRule="auto"/>
        <w:rPr>
          <w:sz w:val="20"/>
          <w:szCs w:val="20"/>
          <w:color w:val="auto"/>
        </w:rPr>
      </w:pPr>
      <w:r>
        <w:rPr>
          <w:rFonts w:ascii="Arial" w:cs="Arial" w:eastAsia="Arial" w:hAnsi="Arial"/>
          <w:sz w:val="18"/>
          <w:szCs w:val="18"/>
          <w:color w:val="auto"/>
        </w:rPr>
        <w:t>As of December 31, 2021, the Luxembourg Annual Accounts for Altisource reflect total assets of $1,140.9 million and a loss for the year then ended of $11.0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12" w:lineRule="exact"/>
        <w:rPr>
          <w:sz w:val="20"/>
          <w:szCs w:val="20"/>
          <w:color w:val="auto"/>
        </w:rPr>
      </w:pPr>
    </w:p>
    <w:p>
      <w:pPr>
        <w:ind w:left="1260" w:right="1239"/>
        <w:spacing w:after="0" w:line="285" w:lineRule="auto"/>
        <w:rPr>
          <w:sz w:val="20"/>
          <w:szCs w:val="20"/>
          <w:color w:val="auto"/>
        </w:rPr>
      </w:pPr>
      <w:r>
        <w:rPr>
          <w:rFonts w:ascii="Arial" w:cs="Arial" w:eastAsia="Arial" w:hAnsi="Arial"/>
          <w:sz w:val="18"/>
          <w:szCs w:val="18"/>
          <w:color w:val="auto"/>
        </w:rPr>
        <w:t>The Board of Directors proposes to allocate the loss of $11.0 million reflected in the Luxembourg Annual Accounts to reduce profit brought forward.</w:t>
      </w:r>
    </w:p>
    <w:p>
      <w:pPr>
        <w:spacing w:after="0" w:line="15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THAT YOU VOTE “FOR” THE ALLOCATION OF THE RESULTS IN THE LUXEMBOURG</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ACCOUNTS FOR THE YEAR ENDED DECEMBER 31, 2021</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0" w:name="page51"/>
    <w:bookmarkEnd w:id="5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294640</wp:posOffset>
            </wp:positionV>
            <wp:extent cx="93980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314F60"/>
        </w:rPr>
        <w:t>PROPOSAL SIX</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Three above), shareholders must vote on whether to discharge Altisource’s Directors for the performance of their mandate for the year ended December 31, 2021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2021, Altisource believes no such instances have occurred.</w:t>
      </w:r>
    </w:p>
    <w:p>
      <w:pPr>
        <w:spacing w:after="0" w:line="200" w:lineRule="exact"/>
        <w:rPr>
          <w:sz w:val="20"/>
          <w:szCs w:val="20"/>
          <w:color w:val="auto"/>
        </w:rPr>
      </w:pPr>
    </w:p>
    <w:p>
      <w:pPr>
        <w:spacing w:after="0" w:line="20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THAT YOU VOTE “FOR” THE DISCHARGE OF EACH OF THE DIRECTORS OF ALTISOURCE</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PORTFOLIO</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SOLUTIONS S.A. FOR THE PERFORMANCE OF THEIR MANDATE FOR THE YEAR ENDED</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 xml:space="preserve">DECEMBER 31, 2021 AND THE DISCHARGE OF THE SUPERVISORY AUDITOR </w:t>
      </w:r>
      <w:r>
        <w:rPr>
          <w:rFonts w:ascii="Arial" w:cs="Arial" w:eastAsia="Arial" w:hAnsi="Arial"/>
          <w:sz w:val="17"/>
          <w:szCs w:val="17"/>
          <w:b w:val="1"/>
          <w:bCs w:val="1"/>
          <w:i w:val="1"/>
          <w:iCs w:val="1"/>
          <w:color w:val="auto"/>
        </w:rPr>
        <w:t>(COMMISSAIRE</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i w:val="1"/>
          <w:iCs w:val="1"/>
          <w:color w:val="auto"/>
        </w:rPr>
        <w:t xml:space="preserve">AUX COMPTES) </w:t>
      </w:r>
      <w:r>
        <w:rPr>
          <w:rFonts w:ascii="Arial" w:cs="Arial" w:eastAsia="Arial" w:hAnsi="Arial"/>
          <w:sz w:val="18"/>
          <w:szCs w:val="18"/>
          <w:b w:val="1"/>
          <w:bCs w:val="1"/>
          <w:color w:val="auto"/>
        </w:rPr>
        <w:t>FOR THE</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PERFORMANCE OF HER MANDATE FOR THE SAME PERIOD</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1" w:name="page52"/>
    <w:bookmarkEnd w:id="5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294640</wp:posOffset>
            </wp:positionV>
            <wp:extent cx="111887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887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314F60"/>
        </w:rPr>
        <w:t>PROPOSAL SEVEN</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ind w:left="1260" w:right="719"/>
        <w:spacing w:after="0" w:line="285" w:lineRule="auto"/>
        <w:rPr>
          <w:sz w:val="20"/>
          <w:szCs w:val="20"/>
          <w:color w:val="auto"/>
        </w:rPr>
      </w:pPr>
      <w:r>
        <w:rPr>
          <w:rFonts w:ascii="Arial" w:cs="Arial" w:eastAsia="Arial" w:hAnsi="Arial"/>
          <w:sz w:val="18"/>
          <w:szCs w:val="18"/>
          <w:color w:val="auto"/>
        </w:rPr>
        <w:t>At our 2017 annual meeting of shareholders, our shareholders voted in favor of an annual frequency for advisory votes with respect to our executive compensation.</w:t>
      </w:r>
    </w:p>
    <w:p>
      <w:pPr>
        <w:spacing w:after="0" w:line="73"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w:t>
      </w:r>
    </w:p>
    <w:p>
      <w:pPr>
        <w:spacing w:after="0" w:line="109"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w:t>
      </w:r>
    </w:p>
    <w:p>
      <w:pPr>
        <w:spacing w:after="0" w:line="109" w:lineRule="exact"/>
        <w:rPr>
          <w:sz w:val="20"/>
          <w:szCs w:val="20"/>
          <w:color w:val="auto"/>
        </w:rPr>
      </w:pPr>
    </w:p>
    <w:p>
      <w:pPr>
        <w:ind w:left="1260" w:right="879"/>
        <w:spacing w:after="0" w:line="285"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73" w:lineRule="exact"/>
        <w:rPr>
          <w:sz w:val="20"/>
          <w:szCs w:val="20"/>
          <w:color w:val="auto"/>
        </w:rPr>
      </w:pPr>
    </w:p>
    <w:p>
      <w:pPr>
        <w:jc w:val="both"/>
        <w:ind w:left="1260" w:right="859"/>
        <w:spacing w:after="0" w:line="267"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Summary Compensation Table and accompanying compensation tables and related information contained in the proxy statement.</w:t>
      </w:r>
    </w:p>
    <w:p>
      <w:pPr>
        <w:spacing w:after="0" w:line="17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THAT YOU VOTE “FOR” THE PROPOSAL TO APPROVE, ON AN ADVISORY (NON-BINDING)</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BASIS,</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COMPENSATION OF THE NAMED EXECUTIVE OFFICERS, AS DISCLOSED IN THE</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COMPANY’S</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PROXY STATEMENT FOR THE 2022 ANNUAL MEETING OF SHAREHOLDERS PURSUANT TO</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 DISCLOSURE RULES OF THE SEC, INCLUDING THE SUMMARY</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COMPENSATION TABLE AND</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ACCOMPANYING COMPENSATION TABLES AND RELATED INFORMATION</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2" w:name="page53"/>
    <w:bookmarkEnd w:id="5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60" w:right="1539"/>
        <w:spacing w:after="0" w:line="280" w:lineRule="auto"/>
        <w:rPr>
          <w:sz w:val="20"/>
          <w:szCs w:val="20"/>
          <w:color w:val="auto"/>
        </w:rPr>
      </w:pPr>
      <w:r>
        <w:rPr>
          <w:rFonts w:ascii="Arial" w:cs="Arial" w:eastAsia="Arial" w:hAnsi="Arial"/>
          <w:sz w:val="20"/>
          <w:szCs w:val="20"/>
          <w:b w:val="1"/>
          <w:bCs w:val="1"/>
          <w:color w:val="auto"/>
        </w:rPr>
        <w:t>PROPOSALS TO BE CONSIDERED AT THE EXTRAORDINARY MEETING OF SHAREHOLDERS</w:t>
      </w:r>
    </w:p>
    <w:p>
      <w:pPr>
        <w:spacing w:after="0" w:line="145" w:lineRule="exact"/>
        <w:rPr>
          <w:sz w:val="20"/>
          <w:szCs w:val="20"/>
          <w:color w:val="auto"/>
        </w:rPr>
      </w:pPr>
    </w:p>
    <w:p>
      <w:pPr>
        <w:ind w:left="1260" w:right="439"/>
        <w:spacing w:after="0" w:line="256" w:lineRule="auto"/>
        <w:rPr>
          <w:sz w:val="20"/>
          <w:szCs w:val="20"/>
          <w:color w:val="auto"/>
        </w:rPr>
      </w:pPr>
      <w:r>
        <w:rPr>
          <w:rFonts w:ascii="Arial" w:cs="Arial" w:eastAsia="Arial" w:hAnsi="Arial"/>
          <w:sz w:val="22"/>
          <w:szCs w:val="22"/>
          <w:b w:val="1"/>
          <w:bCs w:val="1"/>
          <w:color w:val="auto"/>
        </w:rPr>
        <w:t>Proposal One: Approve an Amendment to the Company’s Articles of Incorporation to Renew and Extend the Current Authorization of the Board of Directors to Issue Shares of the Company’s Common Stock, within the Limits of the Company’s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7620</wp:posOffset>
            </wp:positionV>
            <wp:extent cx="51936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48"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color w:val="auto"/>
        </w:rPr>
        <w:t>Pursuant to Article 5 of the Company’s Articles of Incorporation, the Company’s authorized share capital is set at one hundred million dollars ($100,000,000) divided into one hundred million (100,000,000) shares with a par value of one dollar ($1) per share, each with the same rights attached as the existing shares.</w:t>
      </w:r>
    </w:p>
    <w:p>
      <w:pPr>
        <w:spacing w:after="0" w:line="95"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Additionally, pursuant to Article 5, of the Company’s Articles of Incorporation, our shareholders delegated to the Board of Directors, for a period ending on June 13, 2022, the authority to: (i) realize one or more increases of the issued share capital within the limits of the authorized share capital, by the issuance of new shares, against payment in cash or in-kind, by conversion of claims, by the increase of the par value of existing shares or in any other manner; (ii) determine the terms and conditions of any such increase and, more specifically, but not limited to, the place and date of the issuance or the successive issuances, the issue price, the amount of new shares to be issued, whether the new shares are to be issued and subscribed, with or without an issue premium and the terms and conditions of the subscription of and paying up of the new shares (in cash or in-kind); and</w:t>
      </w:r>
    </w:p>
    <w:p>
      <w:pPr>
        <w:spacing w:after="0" w:line="207" w:lineRule="exact"/>
        <w:rPr>
          <w:sz w:val="20"/>
          <w:szCs w:val="20"/>
          <w:color w:val="auto"/>
        </w:rPr>
      </w:pPr>
    </w:p>
    <w:p>
      <w:pPr>
        <w:ind w:left="1260" w:right="1559" w:hanging="5"/>
        <w:spacing w:after="0" w:line="264" w:lineRule="auto"/>
        <w:tabs>
          <w:tab w:leader="none" w:pos="16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or waive the preferential subscription right reserved to the then-existing shareholder(s) in case of issuance of shares against payment in cash.</w:t>
      </w:r>
    </w:p>
    <w:p>
      <w:pPr>
        <w:spacing w:after="0" w:line="105"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The Board of Directors believes that it is in the best interests of the Company to have the flexibility to issue shares of its common stock within the limits of the authorized share capital in order to be able to timely react to circumstances supporting the issuance of such shares (directly or indirectly) at such time or times as the Board of Directors in its discretion deems advisable, including, by way of example, in connection with capital raising, financing and acquisition transactions. The Directors’ report concerning the proposed authorizations will be available for inspection from May 3, 2022 until the conclusion of the Extraordinary Meeting in accordance with article 420-22 (5) of the Luxembourg Company Law.</w:t>
      </w:r>
    </w:p>
    <w:p>
      <w:pPr>
        <w:spacing w:after="0" w:line="117"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The Board of Directors also considers it to be in the best interests of the Company to renew the Board of Directors’ current authority to limit or waive any of the preferential rights of shareholders of the Company in connection with the issuance of shares of common stock.</w:t>
      </w:r>
    </w:p>
    <w:p>
      <w:pPr>
        <w:spacing w:after="0" w:line="89"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Therefore, the Board of Directors is seeking approval to amend the Company’s Articles of Incorporation to renew and extend its authorization to issue shares of the Company’s common stock within the limits of the Company’s authorized share capital and related authorizations for a period of five (5) years. We are not seeking your approval of a specific issuance of shares. Approval of this proposal will only grant the Board of Directors the authority to issue shares that are already authorized under our Articles of Incorporation upon the terms described above.</w:t>
      </w:r>
    </w:p>
    <w:p>
      <w:pPr>
        <w:spacing w:after="0" w:line="330" w:lineRule="exact"/>
        <w:rPr>
          <w:sz w:val="20"/>
          <w:szCs w:val="20"/>
          <w:color w:val="auto"/>
        </w:rPr>
      </w:pPr>
    </w:p>
    <w:p>
      <w:pPr>
        <w:ind w:left="1260" w:right="599"/>
        <w:spacing w:after="0" w:line="258" w:lineRule="auto"/>
        <w:rPr>
          <w:sz w:val="20"/>
          <w:szCs w:val="20"/>
          <w:color w:val="auto"/>
        </w:rPr>
      </w:pPr>
      <w:r>
        <w:rPr>
          <w:rFonts w:ascii="Arial" w:cs="Arial" w:eastAsia="Arial" w:hAnsi="Arial"/>
          <w:sz w:val="18"/>
          <w:szCs w:val="18"/>
          <w:color w:val="auto"/>
        </w:rPr>
        <w:t xml:space="preserve">The proposed amendment is incorporated in Article 6 of the amended provisions of the Articles of Incorporation,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marked to show the proposed amendment. The above description of the amendment is qualified in its entirety by reference to </w:t>
      </w:r>
      <w:r>
        <w:rPr>
          <w:rFonts w:ascii="Arial" w:cs="Arial" w:eastAsia="Arial" w:hAnsi="Arial"/>
          <w:sz w:val="18"/>
          <w:szCs w:val="18"/>
          <w:u w:val="single" w:color="auto"/>
          <w:color w:val="auto"/>
        </w:rPr>
        <w:t>Appendix A</w:t>
      </w:r>
      <w:r>
        <w:rPr>
          <w:rFonts w:ascii="Arial" w:cs="Arial" w:eastAsia="Arial" w:hAnsi="Arial"/>
          <w:sz w:val="18"/>
          <w:szCs w:val="18"/>
          <w:color w:val="auto"/>
        </w:rPr>
        <w:t>. We encourage you to carefully read the amended provisions of the Articles of Incorporation in their entirety.</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 xml:space="preserve">Under Luxembourg law, amendments to the articles of incorporation of a company require an extraordinary meeting of shareholders. As such, the amended provisions of the Articles of Incorporation will be adopted if approved by holders of two-thirds of the shares validly voted provided that a quorum of half of the issued and outstanding shares of common stock able to be voted is reached. If approved by our shareholders at this Extraordinary Meeting, the minutes of the Extraordinary Meeting and the amended provisions of the Articles of Incorporation will be filed with the Luxembourg trade registry ( </w:t>
      </w:r>
      <w:r>
        <w:rPr>
          <w:rFonts w:ascii="Arial" w:cs="Arial" w:eastAsia="Arial" w:hAnsi="Arial"/>
          <w:sz w:val="18"/>
          <w:szCs w:val="18"/>
          <w:i w:val="1"/>
          <w:iCs w:val="1"/>
          <w:color w:val="auto"/>
        </w:rPr>
        <w:t>Registre de Commerce et des</w:t>
      </w:r>
      <w:r>
        <w:rPr>
          <w:rFonts w:ascii="Arial" w:cs="Arial" w:eastAsia="Arial" w:hAnsi="Arial"/>
          <w:sz w:val="18"/>
          <w:szCs w:val="18"/>
          <w:color w:val="auto"/>
        </w:rPr>
        <w:t xml:space="preserve"> </w:t>
      </w:r>
      <w:r>
        <w:rPr>
          <w:rFonts w:ascii="Arial" w:cs="Arial" w:eastAsia="Arial" w:hAnsi="Arial"/>
          <w:sz w:val="18"/>
          <w:szCs w:val="18"/>
          <w:i w:val="1"/>
          <w:iCs w:val="1"/>
          <w:color w:val="auto"/>
        </w:rPr>
        <w:t>Sociétés</w:t>
      </w:r>
      <w:r>
        <w:rPr>
          <w:rFonts w:ascii="Arial" w:cs="Arial" w:eastAsia="Arial" w:hAnsi="Arial"/>
          <w:sz w:val="18"/>
          <w:szCs w:val="18"/>
          <w:color w:val="auto"/>
        </w:rPr>
        <w:t>) as public documents and will take effect immediately upon publication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notarial deed recording the minutes of the Extraordinary Meeting in the Luxembourg Official Gazette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The authorizations described herein will end on the fifth anniversary of the date of such publication.</w:t>
      </w:r>
    </w:p>
    <w:p>
      <w:pPr>
        <w:sectPr>
          <w:pgSz w:w="11900" w:h="16838" w:orient="portrait"/>
          <w:cols w:equalWidth="0" w:num="1">
            <w:col w:w="9859"/>
          </w:cols>
          <w:pgMar w:left="600" w:top="97" w:right="1440" w:bottom="904"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904" w:gutter="0" w:footer="0" w:header="0"/>
          <w:type w:val="continuous"/>
        </w:sectPr>
      </w:pPr>
    </w:p>
    <w:bookmarkStart w:id="53" w:name="page54"/>
    <w:bookmarkEnd w:id="5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294640</wp:posOffset>
            </wp:positionV>
            <wp:extent cx="47066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06620" cy="1454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314F60"/>
        </w:rPr>
        <w:t>PROPOSALS TO BE CONSIDERED AT THE EXTRAORDINARY MEETING OF SHAREHOLDERS</w:t>
      </w:r>
    </w:p>
    <w:p>
      <w:pPr>
        <w:spacing w:after="0" w:line="282" w:lineRule="exact"/>
        <w:rPr>
          <w:sz w:val="20"/>
          <w:szCs w:val="20"/>
          <w:color w:val="auto"/>
        </w:rPr>
      </w:pPr>
    </w:p>
    <w:p>
      <w:pPr>
        <w:jc w:val="center"/>
        <w:ind w:left="1860"/>
        <w:spacing w:after="0" w:line="254" w:lineRule="auto"/>
        <w:rPr>
          <w:sz w:val="20"/>
          <w:szCs w:val="20"/>
          <w:color w:val="auto"/>
        </w:rPr>
      </w:pPr>
      <w:r>
        <w:rPr>
          <w:rFonts w:ascii="Arial" w:cs="Arial" w:eastAsia="Arial" w:hAnsi="Arial"/>
          <w:sz w:val="18"/>
          <w:szCs w:val="18"/>
          <w:b w:val="1"/>
          <w:bCs w:val="1"/>
          <w:color w:val="auto"/>
        </w:rPr>
        <w:t>OUR BOARD OF DIRECTORS UNANIMOUSLY RECOMMENDS THAT YOU VOTE “FOR” THE PROPOSAL TO: (I) AMEND THE COMPANY’S ARTICLES OF INCORPORATION TO RENEW AND EXTEND THE CURRENT AUTHORIZATION OF THE BOARD OF DIRECTORS TO ISSUE SHARES OF THE COMPANY’S COMMON STOCK, WITHIN THE LIMITS OF THE COMPANY’S AUTHORIZED SHARE CAPITAL OF ONE HUNDRED MILLION DOLLARS ($100,000,000) WHICH INCLUDES THE CURRENT AUTHORIZATION AND, IN CONNECTION WITH ANY SUCH ISSUANCE, TO LIMIT OR CANCEL THE PREFERENTIAL SUBSCRIPTION RIGHTS OF SHAREHOLDERS, EACH FOR A PERIOD OF FIVE (5) YEARS, AS SET FORTH IN THE AMENDED PROVISIONS OF THE ARTICLES OF INCORPORATION ATTACHED AS APPENDIX A TO THIS PROXY STATEMENT; AND (II) RECEIVE THE REPORT ISSUED BY THE BOARD OF DIRECTORS PURSUANT TO ARTICLE 420-26 (5) OF THE LUXEMBOURG COMPANY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79958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54" w:name="page55"/>
    <w:bookmarkEnd w:id="5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539"/>
        <w:spacing w:after="0" w:line="275" w:lineRule="auto"/>
        <w:rPr>
          <w:sz w:val="20"/>
          <w:szCs w:val="20"/>
          <w:color w:val="auto"/>
        </w:rPr>
      </w:pPr>
      <w:r>
        <w:rPr>
          <w:rFonts w:ascii="Arial" w:cs="Arial" w:eastAsia="Arial" w:hAnsi="Arial"/>
          <w:sz w:val="20"/>
          <w:szCs w:val="20"/>
          <w:b w:val="1"/>
          <w:bCs w:val="1"/>
          <w:color w:val="auto"/>
        </w:rPr>
        <w:t>Proposal Two: Amend the Relevant Provisions of the Company’s Articles of Incorporation to Effectuate Recent Changes in the Luxembourg Company Law, in Particular Further to the Luxembourg Regulation dated 5 December 2017 Coordinating Such Act, and Make Certain Other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-18415</wp:posOffset>
            </wp:positionV>
            <wp:extent cx="51936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06" w:lineRule="exact"/>
        <w:rPr>
          <w:sz w:val="20"/>
          <w:szCs w:val="20"/>
          <w:color w:val="auto"/>
        </w:rPr>
      </w:pPr>
    </w:p>
    <w:p>
      <w:pPr>
        <w:ind w:left="1260" w:right="619"/>
        <w:spacing w:after="0" w:line="264" w:lineRule="auto"/>
        <w:rPr>
          <w:sz w:val="20"/>
          <w:szCs w:val="20"/>
          <w:color w:val="auto"/>
        </w:rPr>
      </w:pPr>
      <w:r>
        <w:rPr>
          <w:rFonts w:ascii="Arial" w:cs="Arial" w:eastAsia="Arial" w:hAnsi="Arial"/>
          <w:sz w:val="18"/>
          <w:szCs w:val="18"/>
          <w:color w:val="auto"/>
        </w:rPr>
        <w:t>The Board of Directors recommends that our shareholders approve the amendments to our Articles of Incorporation described below. The proposed amendments are recommended in view of the Luxembourg regulation dated 5 December 2017 coordinating the Luxembourg Company Law.</w:t>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proposed amendments are incorporated in Appendix A attached to the proxy statement.</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encourage you to carefully read the amended provisions of the Articles of Incorporation.</w:t>
      </w:r>
    </w:p>
    <w:p>
      <w:pPr>
        <w:spacing w:after="0" w:line="138" w:lineRule="exact"/>
        <w:rPr>
          <w:sz w:val="20"/>
          <w:szCs w:val="20"/>
          <w:color w:val="auto"/>
        </w:rPr>
      </w:pPr>
    </w:p>
    <w:p>
      <w:pPr>
        <w:jc w:val="both"/>
        <w:ind w:left="1260" w:right="599"/>
        <w:spacing w:after="0" w:line="267" w:lineRule="auto"/>
        <w:rPr>
          <w:sz w:val="20"/>
          <w:szCs w:val="20"/>
          <w:color w:val="auto"/>
        </w:rPr>
      </w:pPr>
      <w:r>
        <w:rPr>
          <w:rFonts w:ascii="Arial" w:cs="Arial" w:eastAsia="Arial" w:hAnsi="Arial"/>
          <w:sz w:val="18"/>
          <w:szCs w:val="18"/>
          <w:color w:val="auto"/>
        </w:rPr>
        <w:t>The Board of Directors believes that the adoption of the amended provisions of the Articles of Incorporation will align the Articles of Incorporation with applicable law and is in the best interest of Altisource and its shareholders.</w:t>
      </w:r>
    </w:p>
    <w:p>
      <w:pPr>
        <w:spacing w:after="0" w:line="89"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Under Luxembourg law, amendments to the articles of incorporation of a company require an extraordinary meeting of shareholders. As such, the amended provisions of the Articles of Incorporation will be adopted by holders of two-thirds of the shares validly voted provided that a quorum of half of the issued share capital of the Company is reached or such applicable quorum if such meeting is adjourned. If approved by our shareholders at this Extraordinary Meeting, the minutes of the Extraordinary Meeting will be filed with the Luxembourg trade registry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as public documents and will take effect immediately upon publication of the notarial deed recording the minutes of the Extraordinary Meeting in the Luxembourg Official Gazette (</w:t>
      </w:r>
      <w:r>
        <w:rPr>
          <w:rFonts w:ascii="Arial" w:cs="Arial" w:eastAsia="Arial" w:hAnsi="Arial"/>
          <w:sz w:val="18"/>
          <w:szCs w:val="18"/>
          <w:i w:val="1"/>
          <w:iCs w:val="1"/>
          <w:color w:val="auto"/>
        </w:rPr>
        <w:t>Recueil Electronique des</w:t>
      </w:r>
      <w:r>
        <w:rPr>
          <w:rFonts w:ascii="Arial" w:cs="Arial" w:eastAsia="Arial" w:hAnsi="Arial"/>
          <w:sz w:val="18"/>
          <w:szCs w:val="18"/>
          <w:color w:val="auto"/>
        </w:rPr>
        <w:t xml:space="preserve"> </w:t>
      </w:r>
      <w:r>
        <w:rPr>
          <w:rFonts w:ascii="Arial" w:cs="Arial" w:eastAsia="Arial" w:hAnsi="Arial"/>
          <w:sz w:val="18"/>
          <w:szCs w:val="18"/>
          <w:i w:val="1"/>
          <w:iCs w:val="1"/>
          <w:color w:val="auto"/>
        </w:rPr>
        <w:t>Sociétés et Associations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left="1860"/>
        <w:spacing w:after="0" w:line="279" w:lineRule="auto"/>
        <w:rPr>
          <w:sz w:val="20"/>
          <w:szCs w:val="20"/>
          <w:color w:val="auto"/>
        </w:rPr>
      </w:pPr>
      <w:r>
        <w:rPr>
          <w:rFonts w:ascii="Arial" w:cs="Arial" w:eastAsia="Arial" w:hAnsi="Arial"/>
          <w:sz w:val="17"/>
          <w:szCs w:val="17"/>
          <w:b w:val="1"/>
          <w:bCs w:val="1"/>
          <w:color w:val="auto"/>
        </w:rPr>
        <w:t>OUR BOARD OF DIRECTORS UNANIMOUSLY RECOMMENDS THAT YOU VOTE “FOR” THE PROPOSAL TO AMEND THE RELEVANT PROVISIONS OF THE COMPANY’S ARTICLES OF INCORPORATION TO EFFECTUATE RECENT CHANGES IN THE LUXEMBOURG COMPANY LAW, IN PARTICULAR FURTHER TO THE LUXEMBOURG REGULATION DATED 5 DECEMBER 2017 COORDINATING SUCH ACT, AND TO MAKE CERTAIN OTHER ADMINISTRATIVE CHANGES</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5" w:name="page56"/>
    <w:bookmarkEnd w:id="5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28575</wp:posOffset>
            </wp:positionV>
            <wp:extent cx="51936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1"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Audit Committee Chair, as appropriate, if any such situation requires Board of Directors or Audit Committee review.</w:t>
      </w:r>
    </w:p>
    <w:p>
      <w:pPr>
        <w:spacing w:after="0" w:line="333" w:lineRule="exact"/>
        <w:rPr>
          <w:sz w:val="20"/>
          <w:szCs w:val="20"/>
          <w:color w:val="auto"/>
        </w:rPr>
      </w:pPr>
    </w:p>
    <w:p>
      <w:pPr>
        <w:jc w:val="both"/>
        <w:ind w:left="1260" w:right="519"/>
        <w:spacing w:after="0" w:line="228" w:lineRule="exact"/>
        <w:rPr>
          <w:sz w:val="20"/>
          <w:szCs w:val="20"/>
          <w:color w:val="auto"/>
        </w:rPr>
      </w:pPr>
      <w:r>
        <w:rPr>
          <w:rFonts w:ascii="Arial" w:cs="Arial" w:eastAsia="Arial" w:hAnsi="Arial"/>
          <w:sz w:val="18"/>
          <w:szCs w:val="18"/>
          <w:color w:val="auto"/>
        </w:rPr>
        <w:t>The Audit Committee of the Board of Directors has adopted written policies and procedures to govern the review and approval of transactions involving Altisource and a Related Person (as defined by SEC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1"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We provided certain services to RESI; RESI was managed by AAMC. Our largest shareholder, William C. Erbey, owns or controls common stock in AAMC. Mr. Erbey and Deer Park, of which our former Director Scott E. Burg is Chief Investment Officer and Managing Partner, owned or controlled common stock of RESI during 2020.</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December 31, 2021, based on public filings, Mr. Erbey reported beneficially owning or</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controlling approximately thirty-eight percent (38%) of the common stock of Altisource and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approximately thirty-nine percent (39%) of the common stock of AAMC. In addition, as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 Deer Park reported beneficially owning or controlling approximately</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twenty-four percent (24%) of the common stock of Altisource. As of December 31, 2020,</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Erbey and Deer Park reported owning or controlling approximately five percent (5%) and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twelve percent (12%) respectively of the common stock of RESI. As a result of these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ownership interests in RESI and AAMC, and because AAMC was RESI’s external manager in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we are making required disclosures of our transactions with these entities.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RESI</w:t>
      </w:r>
    </w:p>
    <w:p>
      <w:pPr>
        <w:spacing w:after="0" w:line="111"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The Company generated $0.1 million and $0.4 million from RESI for the years ended December 31, 2021 and December 31, 2020, respectively. Services provided to RESI during such period included REO sales, property preservation and inspection services, title and closing services and rental property management.</w:t>
      </w:r>
    </w:p>
    <w:p>
      <w:pPr>
        <w:spacing w:after="0" w:line="1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In August 2018, Altisource entered into an omnibus amendment to its agreements with RESI to sell Altisource’s rental property management business to RESI and permit RESI to internalize certain services that had been provided by Altisource (the “Omnibus Amendment”). The proceeds from the transaction totaled $18.0 million, payable in two installments. The first installment of $15.0 million was received on the closing date of August 8, 2018. The second installment of $3.0 million was to be received on the earlier of a RESI change of control or on August 8, 2023. On October 19, 2020, RESI announced that it had entered into a definitive merger agreement to sell RESI. The merger closed on January 11, 2021 and the Company subsequently received the $3.0 million payment.</w:t>
      </w:r>
    </w:p>
    <w:p>
      <w:pPr>
        <w:spacing w:after="0" w:line="333"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Altisource serves as RESI’s exclusive provider of title insurance and escrow services for the four years following the date of the Omnibus Amendment. In addition to continuing to provide REO brokerage, auction and related services on any REO related to RESI’s remaining legacy loan portfolio, under the terms of the Omnibus Amendment, Altisource will manage the disposition of certain rental assets from RESI’s leased portfolio, including the referral of listings to local agents and coordinating the repair of rental properties to rent-ready condition.</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6" w:name="page57"/>
    <w:bookmarkEnd w:id="5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28575</wp:posOffset>
            </wp:positionV>
            <wp:extent cx="51936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2023 annual meeting of shareholders must be received at our registered office no later than December 5, 2022. In addition to any shareholders’ rights under the Luxembourg Company Law and the Company’s Articles of Incorporation, for any proposal that is not submitted for inclusion in the proxy statement for the 2023 annual meeting of shareholders, but is instead sought to be presented directly at the 2023 annual meeting of shareholders, SEC rules permit the persons appointed as proxies to vote shares represented by valid proxies in their discretion if we: (i) receive the proposal no later than February 18, 2023 and advise shareholders in the 2023 proxy statement about the nature of the matter and how the persons appointed as proxies intend to vote on such matter; or (ii) receive notice of the proposal after February 18, 2023.</w:t>
      </w:r>
    </w:p>
    <w:p>
      <w:pPr>
        <w:spacing w:after="0" w:line="334"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Notice of intent to present a proposal at the 2023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36830</wp:posOffset>
            </wp:positionV>
            <wp:extent cx="51936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94"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2021 was made available to shareholders on March 3, 2022.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2021, that we are required to file with the SEC under the Exchange Act. Such requests should be directed to Investor Relations, Altisource Portfolio Solutions S.A., 33, Boulevard Prince Henri, L-1724 Luxembourg City, Grand Duchy of Luxembourg.</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7" w:name="page58"/>
    <w:bookmarkEnd w:id="5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28575</wp:posOffset>
            </wp:positionV>
            <wp:extent cx="51936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1"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2021 and this joint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331" w:lineRule="exact"/>
        <w:rPr>
          <w:sz w:val="20"/>
          <w:szCs w:val="20"/>
          <w:color w:val="auto"/>
        </w:rPr>
      </w:pPr>
    </w:p>
    <w:p>
      <w:pPr>
        <w:ind w:left="1260" w:right="579"/>
        <w:spacing w:after="0" w:line="255"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joint proxy statement and “FOR” Proposal Two through Proposal Seven, inclusive; and each proxy received for the Extraordinary Meeting will be voted “FOR” the proposals identified in the agenda for the Extraordinary Meeting. Should any matter not described above be properly presented at either meeting, the persons appointed as proxies will vote according to their discretion.</w:t>
      </w:r>
    </w:p>
    <w:p>
      <w:pPr>
        <w:spacing w:after="0" w:line="330"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 xml:space="preserve">If you are the beneficial owner, but not the record holder of shares of our common stock and have requested a copy of this joint proxy statement, your bank or broker may only deliver one (1) copy of this joint proxy statement and our 2021 annual report to multiple shareholders who share an address unless the bank or broker has received contrary instructions from one (1) or more of the shareholders. Shareholders at an address to which a single copy of this joint proxy statement and our 2021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327"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 xml:space="preserve">This joint proxy statement and our 2021 annual report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addition, this joint proxy statement and our 2021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8" w:name="page59"/>
    <w:bookmarkEnd w:id="5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128270</wp:posOffset>
            </wp:positionV>
            <wp:extent cx="5193665" cy="8540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93665" cy="8540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620" w:right="2919" w:hanging="914"/>
        <w:spacing w:after="0" w:line="260" w:lineRule="auto"/>
        <w:tabs>
          <w:tab w:leader="none" w:pos="3848"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Altisource Portfolio Solutions S.A. » </w:t>
      </w:r>
      <w:r>
        <w:rPr>
          <w:rFonts w:ascii="Arial" w:cs="Arial" w:eastAsia="Arial" w:hAnsi="Arial"/>
          <w:sz w:val="18"/>
          <w:szCs w:val="18"/>
          <w:i w:val="1"/>
          <w:iCs w:val="1"/>
          <w:color w:val="auto"/>
        </w:rPr>
        <w:t>Société anonyme</w:t>
      </w:r>
    </w:p>
    <w:p>
      <w:pPr>
        <w:jc w:val="right"/>
        <w:ind w:right="3259"/>
        <w:spacing w:after="0"/>
        <w:rPr>
          <w:sz w:val="20"/>
          <w:szCs w:val="20"/>
          <w:color w:val="auto"/>
        </w:rPr>
      </w:pPr>
      <w:r>
        <w:rPr>
          <w:rFonts w:ascii="Arial" w:cs="Arial" w:eastAsia="Arial" w:hAnsi="Arial"/>
          <w:sz w:val="18"/>
          <w:szCs w:val="18"/>
          <w:color w:val="auto"/>
        </w:rPr>
        <w:t>Grand-Duché de Luxembourg</w:t>
      </w:r>
    </w:p>
    <w:p>
      <w:pPr>
        <w:spacing w:after="0" w:line="8"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color w:val="auto"/>
        </w:rPr>
        <w:t>R.C.S. Luxembourg: B 72 391</w:t>
      </w:r>
    </w:p>
    <w:p>
      <w:pPr>
        <w:spacing w:after="0" w:line="200" w:lineRule="exact"/>
        <w:rPr>
          <w:sz w:val="20"/>
          <w:szCs w:val="20"/>
          <w:color w:val="auto"/>
        </w:rPr>
      </w:pPr>
    </w:p>
    <w:p>
      <w:pPr>
        <w:spacing w:after="0" w:line="3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u w:val="single" w:color="auto"/>
          <w:color w:val="auto"/>
        </w:rPr>
        <w:t>AMENDED AND RESTATED ARTICLES OF INCORPORATION</w:t>
      </w: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Chapter I. Form, Corporate Name, Registered Office, Object, Duration</w:t>
      </w:r>
    </w:p>
    <w:p>
      <w:pPr>
        <w:spacing w:after="0" w:line="111"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b w:val="1"/>
          <w:bCs w:val="1"/>
          <w:color w:val="auto"/>
        </w:rPr>
        <w:t xml:space="preserve">Art. 1. Form, Corporate Name. </w:t>
      </w:r>
      <w:r>
        <w:rPr>
          <w:rFonts w:ascii="Arial" w:cs="Arial" w:eastAsia="Arial" w:hAnsi="Arial"/>
          <w:sz w:val="18"/>
          <w:szCs w:val="18"/>
          <w:color w:val="auto"/>
        </w:rPr>
        <w:t>There is established among the subscriber(s), and all those</w:t>
      </w:r>
      <w:r>
        <w:rPr>
          <w:rFonts w:ascii="Arial" w:cs="Arial" w:eastAsia="Arial" w:hAnsi="Arial"/>
          <w:sz w:val="18"/>
          <w:szCs w:val="18"/>
          <w:b w:val="1"/>
          <w:bCs w:val="1"/>
          <w:color w:val="auto"/>
        </w:rPr>
        <w:t xml:space="preserve"> </w:t>
      </w:r>
      <w:r>
        <w:rPr>
          <w:rFonts w:ascii="Arial" w:cs="Arial" w:eastAsia="Arial" w:hAnsi="Arial"/>
          <w:sz w:val="18"/>
          <w:szCs w:val="18"/>
          <w:color w:val="auto"/>
        </w:rPr>
        <w:t>who may become owners of the shares of the company hereafter issued, a company in the form of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which will be governed by the laws of the Grand-Duchy of Luxembourg, in particular the law of 10 August 1915 on commercial companies, as amended (the “</w:t>
      </w:r>
      <w:r>
        <w:rPr>
          <w:rFonts w:ascii="Arial" w:cs="Arial" w:eastAsia="Arial" w:hAnsi="Arial"/>
          <w:sz w:val="18"/>
          <w:szCs w:val="18"/>
          <w:b w:val="1"/>
          <w:bCs w:val="1"/>
          <w:color w:val="auto"/>
        </w:rPr>
        <w:t>Law</w:t>
      </w:r>
      <w:r>
        <w:rPr>
          <w:rFonts w:ascii="Arial" w:cs="Arial" w:eastAsia="Arial" w:hAnsi="Arial"/>
          <w:sz w:val="18"/>
          <w:szCs w:val="18"/>
          <w:color w:val="auto"/>
        </w:rPr>
        <w:t>”), Article 1832 of the Luxembourg Civil Code, as amended (the “</w:t>
      </w:r>
      <w:r>
        <w:rPr>
          <w:rFonts w:ascii="Arial" w:cs="Arial" w:eastAsia="Arial" w:hAnsi="Arial"/>
          <w:sz w:val="18"/>
          <w:szCs w:val="18"/>
          <w:b w:val="1"/>
          <w:bCs w:val="1"/>
          <w:color w:val="auto"/>
        </w:rPr>
        <w:t>Civil Code</w:t>
      </w:r>
      <w:r>
        <w:rPr>
          <w:rFonts w:ascii="Arial" w:cs="Arial" w:eastAsia="Arial" w:hAnsi="Arial"/>
          <w:sz w:val="18"/>
          <w:szCs w:val="18"/>
          <w:color w:val="auto"/>
        </w:rPr>
        <w:t>”), and by the present articles of incorporation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Company will exist under the name of “</w:t>
      </w:r>
      <w:r>
        <w:rPr>
          <w:rFonts w:ascii="Arial" w:cs="Arial" w:eastAsia="Arial" w:hAnsi="Arial"/>
          <w:sz w:val="18"/>
          <w:szCs w:val="18"/>
          <w:b w:val="1"/>
          <w:bCs w:val="1"/>
          <w:color w:val="auto"/>
        </w:rPr>
        <w:t>Altisource Portfolio Solutions S.A.</w:t>
      </w:r>
      <w:r>
        <w:rPr>
          <w:rFonts w:ascii="Arial" w:cs="Arial" w:eastAsia="Arial" w:hAnsi="Arial"/>
          <w:sz w:val="18"/>
          <w:szCs w:val="18"/>
          <w:color w:val="auto"/>
        </w:rPr>
        <w:t>”</w:t>
      </w:r>
    </w:p>
    <w:p>
      <w:pPr>
        <w:spacing w:after="0" w:line="156" w:lineRule="exact"/>
        <w:rPr>
          <w:sz w:val="20"/>
          <w:szCs w:val="20"/>
          <w:color w:val="auto"/>
        </w:rPr>
      </w:pPr>
    </w:p>
    <w:p>
      <w:pPr>
        <w:ind w:left="1260" w:right="619"/>
        <w:spacing w:after="0" w:line="246" w:lineRule="auto"/>
        <w:rPr>
          <w:sz w:val="20"/>
          <w:szCs w:val="20"/>
          <w:color w:val="auto"/>
        </w:rPr>
      </w:pPr>
      <w:r>
        <w:rPr>
          <w:rFonts w:ascii="Arial" w:cs="Arial" w:eastAsia="Arial" w:hAnsi="Arial"/>
          <w:sz w:val="18"/>
          <w:szCs w:val="18"/>
          <w:b w:val="1"/>
          <w:bCs w:val="1"/>
          <w:color w:val="auto"/>
        </w:rPr>
        <w:t xml:space="preserve">Art. 2. Registered Office. </w:t>
      </w:r>
      <w:r>
        <w:rPr>
          <w:rFonts w:ascii="Arial" w:cs="Arial" w:eastAsia="Arial" w:hAnsi="Arial"/>
          <w:sz w:val="18"/>
          <w:szCs w:val="18"/>
          <w:color w:val="auto"/>
        </w:rPr>
        <w:t>The Company has its registered office in the city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(as defined in Article 11) is authorized to change the address of the Company’s registered office within the Grand-Duchy of Luxembourg and amend these Articles accordingly.</w:t>
      </w:r>
    </w:p>
    <w:p>
      <w:pPr>
        <w:spacing w:after="0" w:line="305"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Branches or other offices may be established either in the Grand-Duchy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 -Duchy of Luxembourg. Such temporary measures will be taken and notified to any interested parties by one of the bodies or persons entrusted with the daily management of the Company.</w:t>
      </w:r>
    </w:p>
    <w:p>
      <w:pPr>
        <w:spacing w:after="0" w:line="298"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b w:val="1"/>
          <w:bCs w:val="1"/>
          <w:color w:val="auto"/>
        </w:rPr>
        <w:t xml:space="preserve">Art. 3. Corporate Object. </w:t>
      </w:r>
      <w:r>
        <w:rPr>
          <w:rFonts w:ascii="Arial" w:cs="Arial" w:eastAsia="Arial" w:hAnsi="Arial"/>
          <w:sz w:val="18"/>
          <w:szCs w:val="18"/>
          <w:color w:val="auto"/>
        </w:rPr>
        <w:t>The object of the Company is the acquisition, the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the sale of participating interests, in any form whatsoever, in Luxembourg and in foreign undertakings, in particular in the areas of outsourcing,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112"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290"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319" w:lineRule="exact"/>
        <w:rPr>
          <w:sz w:val="20"/>
          <w:szCs w:val="20"/>
          <w:color w:val="auto"/>
        </w:rPr>
      </w:pPr>
    </w:p>
    <w:p>
      <w:pPr>
        <w:ind w:left="1260" w:right="799"/>
        <w:spacing w:after="0" w:line="252" w:lineRule="auto"/>
        <w:rPr>
          <w:sz w:val="20"/>
          <w:szCs w:val="20"/>
          <w:color w:val="auto"/>
        </w:rPr>
      </w:pPr>
      <w:r>
        <w:rPr>
          <w:rFonts w:ascii="Arial" w:cs="Arial" w:eastAsia="Arial" w:hAnsi="Arial"/>
          <w:sz w:val="18"/>
          <w:szCs w:val="18"/>
          <w:color w:val="auto"/>
        </w:rPr>
        <w:t>The Company may also provide any financial assistance to the undertakings in which the Company has a participating interest or which form a part of the group of companies to which the Company belongs, including,</w:t>
      </w:r>
    </w:p>
    <w:p>
      <w:pPr>
        <w:sectPr>
          <w:pgSz w:w="11900" w:h="16838" w:orient="portrait"/>
          <w:cols w:equalWidth="0" w:num="1">
            <w:col w:w="9859"/>
          </w:cols>
          <w:pgMar w:left="600" w:top="97" w:right="1440" w:bottom="1440" w:gutter="0" w:footer="0" w:header="0"/>
        </w:sect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59" w:name="page60"/>
    <w:bookmarkEnd w:id="5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60" w:right="539"/>
        <w:spacing w:after="0" w:line="276" w:lineRule="auto"/>
        <w:rPr>
          <w:sz w:val="20"/>
          <w:szCs w:val="20"/>
          <w:color w:val="auto"/>
        </w:rPr>
      </w:pPr>
      <w:r>
        <w:rPr>
          <w:rFonts w:ascii="Arial" w:cs="Arial" w:eastAsia="Arial" w:hAnsi="Arial"/>
          <w:sz w:val="18"/>
          <w:szCs w:val="18"/>
          <w:color w:val="auto"/>
        </w:rPr>
        <w:t>but not limited to, the granting of loans and the providing of guarantees or securities in any form. The Company may pledge, transfer, encumber or otherwise create security over some or all of its assets.</w:t>
      </w:r>
    </w:p>
    <w:p>
      <w:pPr>
        <w:spacing w:after="0" w:line="304"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330" w:lineRule="exact"/>
        <w:rPr>
          <w:sz w:val="20"/>
          <w:szCs w:val="20"/>
          <w:color w:val="auto"/>
        </w:rPr>
      </w:pPr>
    </w:p>
    <w:p>
      <w:pPr>
        <w:ind w:left="1260" w:right="559"/>
        <w:spacing w:after="0" w:line="264" w:lineRule="auto"/>
        <w:rPr>
          <w:sz w:val="20"/>
          <w:szCs w:val="20"/>
          <w:color w:val="auto"/>
        </w:rPr>
      </w:pPr>
      <w:r>
        <w:rPr>
          <w:rFonts w:ascii="Arial" w:cs="Arial" w:eastAsia="Arial" w:hAnsi="Arial"/>
          <w:sz w:val="18"/>
          <w:szCs w:val="18"/>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Art. 4. Duration. </w:t>
      </w:r>
      <w:r>
        <w:rPr>
          <w:rFonts w:ascii="Arial" w:cs="Arial" w:eastAsia="Arial" w:hAnsi="Arial"/>
          <w:sz w:val="18"/>
          <w:szCs w:val="18"/>
          <w:color w:val="auto"/>
        </w:rPr>
        <w:t>The Company is formed for an unlimited duration.</w:t>
      </w:r>
    </w:p>
    <w:p>
      <w:pPr>
        <w:spacing w:after="0" w:line="219"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auto"/>
        </w:rPr>
        <w:t>Chapter II. Share Capital, Shares</w:t>
      </w:r>
    </w:p>
    <w:p>
      <w:pPr>
        <w:spacing w:after="0" w:line="111"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b w:val="1"/>
          <w:bCs w:val="1"/>
          <w:color w:val="auto"/>
        </w:rPr>
        <w:t xml:space="preserve">Art. 5. Share Capital. </w:t>
      </w:r>
      <w:r>
        <w:rPr>
          <w:rFonts w:ascii="Arial" w:cs="Arial" w:eastAsia="Arial" w:hAnsi="Arial"/>
          <w:sz w:val="18"/>
          <w:szCs w:val="18"/>
          <w:color w:val="auto"/>
        </w:rPr>
        <w:t>The share capital of the Company is set at thirty million seven hundred</w:t>
      </w:r>
      <w:r>
        <w:rPr>
          <w:rFonts w:ascii="Arial" w:cs="Arial" w:eastAsia="Arial" w:hAnsi="Arial"/>
          <w:sz w:val="18"/>
          <w:szCs w:val="18"/>
          <w:b w:val="1"/>
          <w:bCs w:val="1"/>
          <w:color w:val="auto"/>
        </w:rPr>
        <w:t xml:space="preserve"> </w:t>
      </w:r>
      <w:r>
        <w:rPr>
          <w:rFonts w:ascii="Arial" w:cs="Arial" w:eastAsia="Arial" w:hAnsi="Arial"/>
          <w:sz w:val="18"/>
          <w:szCs w:val="18"/>
          <w:color w:val="auto"/>
        </w:rPr>
        <w:t>eighty four thousand nine hundred and seven United States Dollars (USD 30,784,907.-), divided into thirty million seven hundred eighty four thousand nine hundred and seven (30,784,907) shares of the Company’s common stock with a par value of one United States Dollar (USD 1.-) each. As used in the present Articles, “Shares” means shares of the Company’s common stock with a par value of one United States Dollar (USD 1.-)</w:t>
      </w:r>
    </w:p>
    <w:p>
      <w:pPr>
        <w:spacing w:after="0" w:line="101"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In addition to the share capital, share premium accounts into which any premium paid on any Share in addition to its par value may be transferred and capital contribution accounts (</w:t>
      </w:r>
      <w:r>
        <w:rPr>
          <w:rFonts w:ascii="Arial" w:cs="Arial" w:eastAsia="Arial" w:hAnsi="Arial"/>
          <w:sz w:val="18"/>
          <w:szCs w:val="18"/>
          <w:i w:val="1"/>
          <w:iCs w:val="1"/>
          <w:color w:val="auto"/>
        </w:rPr>
        <w:t>compte 115, “Apport en capitaux propres non rémunéré par des titres</w:t>
      </w:r>
      <w:r>
        <w:rPr>
          <w:rFonts w:ascii="Arial" w:cs="Arial" w:eastAsia="Arial" w:hAnsi="Arial"/>
          <w:sz w:val="18"/>
          <w:szCs w:val="18"/>
          <w:color w:val="auto"/>
        </w:rPr>
        <w:t>”)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88" w:lineRule="exact"/>
        <w:rPr>
          <w:sz w:val="20"/>
          <w:szCs w:val="20"/>
          <w:color w:val="auto"/>
        </w:rPr>
      </w:pPr>
    </w:p>
    <w:p>
      <w:pPr>
        <w:ind w:left="1800" w:right="1019" w:hanging="187"/>
        <w:spacing w:after="0" w:line="285"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distributable reserve to be used for distributions of any kind to be made by the Company;</w:t>
      </w:r>
    </w:p>
    <w:p>
      <w:pPr>
        <w:spacing w:after="0" w:line="46" w:lineRule="exact"/>
        <w:rPr>
          <w:rFonts w:ascii="Arial" w:cs="Arial" w:eastAsia="Arial" w:hAnsi="Arial"/>
          <w:sz w:val="18"/>
          <w:szCs w:val="18"/>
          <w:color w:val="auto"/>
        </w:rPr>
      </w:pPr>
    </w:p>
    <w:p>
      <w:pPr>
        <w:ind w:left="1800" w:right="719" w:hanging="187"/>
        <w:spacing w:after="0" w:line="262"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special reserve as foreseen by Articles 4</w:t>
      </w:r>
      <w:r>
        <w:rPr>
          <w:rFonts w:ascii="Arial" w:cs="Arial" w:eastAsia="Arial" w:hAnsi="Arial"/>
          <w:sz w:val="18"/>
          <w:szCs w:val="18"/>
          <w:b w:val="1"/>
          <w:bCs w:val="1"/>
          <w:u w:val="single" w:color="auto"/>
          <w:color w:val="0000FF"/>
        </w:rPr>
        <w:t>30-18</w:t>
      </w:r>
      <w:r>
        <w:rPr>
          <w:rFonts w:ascii="Arial" w:cs="Arial" w:eastAsia="Arial" w:hAnsi="Arial"/>
          <w:sz w:val="18"/>
          <w:szCs w:val="18"/>
          <w:b w:val="1"/>
          <w:bCs w:val="1"/>
          <w:color w:val="FF0000"/>
          <w:strike w:val="1"/>
        </w:rPr>
        <w:t>9-5</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49-8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430-22</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0000FF"/>
        </w:rPr>
        <w:t>461-2</w:t>
      </w:r>
      <w:r>
        <w:rPr>
          <w:rFonts w:ascii="Arial" w:cs="Arial" w:eastAsia="Arial" w:hAnsi="Arial"/>
          <w:sz w:val="18"/>
          <w:szCs w:val="18"/>
          <w:b w:val="1"/>
          <w:bCs w:val="1"/>
          <w:color w:val="FF0000"/>
          <w:strike w:val="1"/>
        </w:rPr>
        <w:t>72-1</w:t>
      </w:r>
      <w:r>
        <w:rPr>
          <w:rFonts w:ascii="Arial" w:cs="Arial" w:eastAsia="Arial" w:hAnsi="Arial"/>
          <w:sz w:val="18"/>
          <w:szCs w:val="18"/>
          <w:color w:val="auto"/>
        </w:rPr>
        <w:t xml:space="preserve"> of the Law.</w:t>
      </w: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Art. 6. Authorized Share Capital. </w:t>
      </w:r>
      <w:r>
        <w:rPr>
          <w:rFonts w:ascii="Arial" w:cs="Arial" w:eastAsia="Arial" w:hAnsi="Arial"/>
          <w:sz w:val="18"/>
          <w:szCs w:val="18"/>
          <w:color w:val="auto"/>
        </w:rPr>
        <w:t>The authorized share capital is set at one hundred million</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 States Dollars (USD 100,000,000.-), divided into one hundred million (100,000,000)</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with a par value of one United States Dollar (USD 1.-) each.</w:t>
      </w:r>
    </w:p>
    <w:p>
      <w:pPr>
        <w:spacing w:after="0" w:line="125" w:lineRule="exact"/>
        <w:rPr>
          <w:sz w:val="20"/>
          <w:szCs w:val="20"/>
          <w:color w:val="auto"/>
        </w:rPr>
      </w:pPr>
    </w:p>
    <w:p>
      <w:pPr>
        <w:jc w:val="both"/>
        <w:ind w:left="1260" w:right="559"/>
        <w:spacing w:after="0" w:line="267" w:lineRule="auto"/>
        <w:rPr>
          <w:sz w:val="20"/>
          <w:szCs w:val="20"/>
          <w:color w:val="auto"/>
        </w:rPr>
      </w:pPr>
      <w:r>
        <w:rPr>
          <w:rFonts w:ascii="Arial" w:cs="Arial" w:eastAsia="Arial" w:hAnsi="Arial"/>
          <w:sz w:val="18"/>
          <w:szCs w:val="18"/>
          <w:color w:val="auto"/>
        </w:rPr>
        <w:t>The Board of Directors is authorized, during a period ending five (5) years after the date of publication of this delegation of authority or the renewal of such delegation in the electronic gazette RESA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to:</w:t>
      </w:r>
    </w:p>
    <w:p>
      <w:pPr>
        <w:spacing w:after="0" w:line="76" w:lineRule="exact"/>
        <w:rPr>
          <w:sz w:val="20"/>
          <w:szCs w:val="20"/>
          <w:color w:val="auto"/>
        </w:rPr>
      </w:pPr>
    </w:p>
    <w:p>
      <w:pPr>
        <w:ind w:left="1800" w:right="499" w:hanging="187"/>
        <w:spacing w:after="0" w:line="256"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hundred million United States Dollars (USD 100,000,000.-).</w:t>
      </w:r>
    </w:p>
    <w:p>
      <w:pPr>
        <w:spacing w:after="0" w:line="289" w:lineRule="exact"/>
        <w:rPr>
          <w:rFonts w:ascii="Arial" w:cs="Arial" w:eastAsia="Arial" w:hAnsi="Arial"/>
          <w:sz w:val="18"/>
          <w:szCs w:val="18"/>
          <w:color w:val="auto"/>
        </w:rPr>
      </w:pPr>
    </w:p>
    <w:p>
      <w:pPr>
        <w:ind w:left="1800" w:right="439" w:hanging="187"/>
        <w:spacing w:after="0" w:line="25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w:t>
      </w:r>
      <w:r>
        <w:rPr>
          <w:rFonts w:ascii="Arial" w:cs="Arial" w:eastAsia="Arial" w:hAnsi="Arial"/>
          <w:sz w:val="18"/>
          <w:szCs w:val="18"/>
          <w:i w:val="1"/>
          <w:iCs w:val="1"/>
          <w:color w:val="auto"/>
        </w:rPr>
        <w:t>compte 115 “Apport en capitaux propres non rémunéré par des titres”</w:t>
      </w:r>
      <w:r>
        <w:rPr>
          <w:rFonts w:ascii="Arial" w:cs="Arial" w:eastAsia="Arial" w:hAnsi="Arial"/>
          <w:sz w:val="18"/>
          <w:szCs w:val="18"/>
          <w:color w:val="auto"/>
        </w:rPr>
        <w:t>), share premium account or retained earnings). If the consideration payable to the Company for newly issued Shares exceeds the par value of those Shares, the excess is to be treated as share premium in respect of the Shares in the books of the Company.</w:t>
      </w:r>
    </w:p>
    <w:p>
      <w:pPr>
        <w:sectPr>
          <w:pgSz w:w="11900" w:h="16838" w:orient="portrait"/>
          <w:cols w:equalWidth="0" w:num="1">
            <w:col w:w="9859"/>
          </w:cols>
          <w:pgMar w:left="600" w:top="97" w:right="1440" w:bottom="729"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729" w:gutter="0" w:footer="0" w:header="0"/>
          <w:type w:val="continuous"/>
        </w:sectPr>
      </w:pPr>
    </w:p>
    <w:bookmarkStart w:id="60" w:name="page61"/>
    <w:bookmarkEnd w:id="6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right="599" w:hanging="187"/>
        <w:spacing w:after="0" w:line="258"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57" w:lineRule="exact"/>
        <w:rPr>
          <w:rFonts w:ascii="Arial" w:cs="Arial" w:eastAsia="Arial" w:hAnsi="Arial"/>
          <w:sz w:val="18"/>
          <w:szCs w:val="18"/>
          <w:color w:val="auto"/>
        </w:rPr>
      </w:pPr>
    </w:p>
    <w:p>
      <w:pPr>
        <w:ind w:left="1800" w:right="499" w:hanging="187"/>
        <w:spacing w:after="0" w:line="25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337" w:lineRule="exact"/>
        <w:rPr>
          <w:sz w:val="20"/>
          <w:szCs w:val="20"/>
          <w:color w:val="auto"/>
        </w:rPr>
      </w:pPr>
    </w:p>
    <w:p>
      <w:pPr>
        <w:ind w:left="1260" w:right="619"/>
        <w:spacing w:after="0" w:line="252" w:lineRule="auto"/>
        <w:rPr>
          <w:sz w:val="20"/>
          <w:szCs w:val="20"/>
          <w:color w:val="auto"/>
        </w:rPr>
      </w:pPr>
      <w:r>
        <w:rPr>
          <w:rFonts w:ascii="Arial" w:cs="Arial" w:eastAsia="Arial" w:hAnsi="Arial"/>
          <w:sz w:val="18"/>
          <w:szCs w:val="18"/>
          <w:color w:val="auto"/>
        </w:rPr>
        <w:t>After each increase of the issued share capital according to the above, the present Articles shall be amended to reflect such increase without requiring further approval from the Company’s shareholders.</w:t>
      </w:r>
    </w:p>
    <w:p>
      <w:pPr>
        <w:spacing w:after="0" w:line="101" w:lineRule="exact"/>
        <w:rPr>
          <w:sz w:val="20"/>
          <w:szCs w:val="20"/>
          <w:color w:val="auto"/>
        </w:rPr>
      </w:pPr>
    </w:p>
    <w:p>
      <w:pPr>
        <w:ind w:left="1260" w:right="479"/>
        <w:spacing w:after="0" w:line="270" w:lineRule="auto"/>
        <w:rPr>
          <w:sz w:val="20"/>
          <w:szCs w:val="20"/>
          <w:color w:val="auto"/>
        </w:rPr>
      </w:pPr>
      <w:r>
        <w:rPr>
          <w:rFonts w:ascii="Arial" w:cs="Arial" w:eastAsia="Arial" w:hAnsi="Arial"/>
          <w:sz w:val="18"/>
          <w:szCs w:val="18"/>
          <w:b w:val="1"/>
          <w:bCs w:val="1"/>
          <w:color w:val="auto"/>
        </w:rPr>
        <w:t xml:space="preserve">Art. 7. Shares. </w:t>
      </w:r>
      <w:r>
        <w:rPr>
          <w:rFonts w:ascii="Arial" w:cs="Arial" w:eastAsia="Arial" w:hAnsi="Arial"/>
          <w:sz w:val="18"/>
          <w:szCs w:val="18"/>
          <w:color w:val="auto"/>
        </w:rPr>
        <w:t>The Shares will take the form of registered shares. The shareholders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ask for the conversion of Shares into bearer shares.</w:t>
      </w:r>
    </w:p>
    <w:p>
      <w:pPr>
        <w:spacing w:after="0" w:line="72"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 xml:space="preserve">A shareholders’ register will be available for inspection by the Company’s shareholders at the Company’s registered office subject to the provisions of Article </w:t>
      </w:r>
      <w:r>
        <w:rPr>
          <w:rFonts w:ascii="Arial" w:cs="Arial" w:eastAsia="Arial" w:hAnsi="Arial"/>
          <w:sz w:val="18"/>
          <w:szCs w:val="18"/>
          <w:b w:val="1"/>
          <w:bCs w:val="1"/>
          <w:color w:val="FF0000"/>
          <w:strike w:val="1"/>
        </w:rPr>
        <w:t>39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430-3</w:t>
      </w:r>
      <w:r>
        <w:rPr>
          <w:rFonts w:ascii="Arial" w:cs="Arial" w:eastAsia="Arial" w:hAnsi="Arial"/>
          <w:sz w:val="18"/>
          <w:szCs w:val="18"/>
          <w:color w:val="auto"/>
        </w:rPr>
        <w:t xml:space="preserve">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112"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Any person who is required to report ownership of Shares on Schedule 13D or 13G pursuant to Rule 13d -1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319"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Any transfer of Shares shall be recorded in the share register in accordance with applicable law. The Board of Directors may delegate its powers with respect to the recording of such transfers in the share register.</w:t>
      </w:r>
    </w:p>
    <w:p>
      <w:pPr>
        <w:spacing w:after="0" w:line="88"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color w:val="auto"/>
        </w:rPr>
        <w:t xml:space="preserve">Each Share is indivisible. In case of holding of a Share by more than one person, the Company has the right to suspend the rights attaching thereto (except for the information rights provided for by Article </w:t>
      </w:r>
      <w:r>
        <w:rPr>
          <w:rFonts w:ascii="Arial" w:cs="Arial" w:eastAsia="Arial" w:hAnsi="Arial"/>
          <w:sz w:val="18"/>
          <w:szCs w:val="18"/>
          <w:b w:val="1"/>
          <w:bCs w:val="1"/>
          <w:u w:val="single" w:color="auto"/>
          <w:color w:val="0000FF"/>
        </w:rPr>
        <w:t>461-6</w:t>
      </w:r>
      <w:r>
        <w:rPr>
          <w:rFonts w:ascii="Arial" w:cs="Arial" w:eastAsia="Arial" w:hAnsi="Arial"/>
          <w:sz w:val="18"/>
          <w:szCs w:val="18"/>
          <w:b w:val="1"/>
          <w:bCs w:val="1"/>
          <w:color w:val="FF0000"/>
          <w:strike w:val="1"/>
        </w:rPr>
        <w:t>73</w:t>
      </w:r>
      <w:r>
        <w:rPr>
          <w:rFonts w:ascii="Arial" w:cs="Arial" w:eastAsia="Arial" w:hAnsi="Arial"/>
          <w:sz w:val="18"/>
          <w:szCs w:val="18"/>
          <w:color w:val="auto"/>
        </w:rPr>
        <w:t xml:space="preserve"> of the Law) until one sole person has been designated as being the holder thereof towards the Company.</w:t>
      </w:r>
    </w:p>
    <w:p>
      <w:pPr>
        <w:spacing w:after="0" w:line="106"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8"/>
          <w:szCs w:val="18"/>
          <w:b w:val="1"/>
          <w:bCs w:val="1"/>
          <w:color w:val="auto"/>
        </w:rPr>
        <w:t>Depositories</w:t>
      </w:r>
      <w:r>
        <w:rPr>
          <w:rFonts w:ascii="Arial" w:cs="Arial" w:eastAsia="Arial" w:hAnsi="Arial"/>
          <w:sz w:val="18"/>
          <w:szCs w:val="18"/>
          <w:color w:val="auto"/>
        </w:rPr>
        <w:t>” and each</w:t>
      </w:r>
    </w:p>
    <w:p>
      <w:pPr>
        <w:spacing w:after="0" w:line="1" w:lineRule="exact"/>
        <w:rPr>
          <w:sz w:val="20"/>
          <w:szCs w:val="20"/>
          <w:color w:val="auto"/>
        </w:rPr>
      </w:pPr>
    </w:p>
    <w:p>
      <w:pPr>
        <w:ind w:left="1260" w:right="539" w:hanging="5"/>
        <w:spacing w:after="0"/>
        <w:tabs>
          <w:tab w:leader="none" w:pos="14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Depository</w:t>
      </w:r>
      <w:r>
        <w:rPr>
          <w:rFonts w:ascii="Arial" w:cs="Arial" w:eastAsia="Arial" w:hAnsi="Arial"/>
          <w:sz w:val="18"/>
          <w:szCs w:val="18"/>
          <w:color w:val="auto"/>
        </w:rPr>
        <w:t>”) or of a sub-depository designated by one or more Depositories (the “</w:t>
      </w:r>
      <w:r>
        <w:rPr>
          <w:rFonts w:ascii="Arial" w:cs="Arial" w:eastAsia="Arial" w:hAnsi="Arial"/>
          <w:sz w:val="18"/>
          <w:szCs w:val="18"/>
          <w:b w:val="1"/>
          <w:bCs w:val="1"/>
          <w:color w:val="auto"/>
        </w:rPr>
        <w:t>Indirect</w:t>
      </w:r>
      <w:r>
        <w:rPr>
          <w:rFonts w:ascii="Arial" w:cs="Arial" w:eastAsia="Arial" w:hAnsi="Arial"/>
          <w:sz w:val="18"/>
          <w:szCs w:val="18"/>
          <w:color w:val="auto"/>
        </w:rPr>
        <w:t xml:space="preserve"> </w:t>
      </w:r>
      <w:r>
        <w:rPr>
          <w:rFonts w:ascii="Arial" w:cs="Arial" w:eastAsia="Arial" w:hAnsi="Arial"/>
          <w:sz w:val="18"/>
          <w:szCs w:val="18"/>
          <w:b w:val="1"/>
          <w:bCs w:val="1"/>
          <w:color w:val="auto"/>
        </w:rPr>
        <w:t>Holders</w:t>
      </w:r>
      <w:r>
        <w:rPr>
          <w:rFonts w:ascii="Arial" w:cs="Arial" w:eastAsia="Arial" w:hAnsi="Arial"/>
          <w:sz w:val="18"/>
          <w:szCs w:val="18"/>
          <w:color w:val="auto"/>
        </w:rPr>
        <w:t>”), the Company, subject to its having received from the Depository with which those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301"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305"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b w:val="1"/>
          <w:bCs w:val="1"/>
          <w:color w:val="auto"/>
        </w:rPr>
        <w:t xml:space="preserve">Art. 8. Payment of Shares. </w:t>
      </w:r>
      <w:r>
        <w:rPr>
          <w:rFonts w:ascii="Arial" w:cs="Arial" w:eastAsia="Arial" w:hAnsi="Arial"/>
          <w:sz w:val="18"/>
          <w:szCs w:val="18"/>
          <w:color w:val="auto"/>
        </w:rPr>
        <w:t>Payments on Shares not fully paid up at the time of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made at the time and upon conditions which the Board of Directors shall from time to time determine subject to the Law. Any amount called up on Shares will be charged equally on all outstanding Shares which are not fully paid up.</w:t>
      </w:r>
    </w:p>
    <w:p>
      <w:pPr>
        <w:sectPr>
          <w:pgSz w:w="11900" w:h="16838" w:orient="portrait"/>
          <w:cols w:equalWidth="0" w:num="1">
            <w:col w:w="9859"/>
          </w:cols>
          <w:pgMar w:left="600" w:top="97" w:right="1440" w:bottom="527" w:gutter="0" w:footer="0" w:header="0"/>
        </w:sect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679958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527" w:gutter="0" w:footer="0" w:header="0"/>
          <w:type w:val="continuous"/>
        </w:sectPr>
      </w:pPr>
    </w:p>
    <w:bookmarkStart w:id="61" w:name="page62"/>
    <w:bookmarkEnd w:id="6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479"/>
        <w:spacing w:after="0"/>
        <w:rPr>
          <w:sz w:val="20"/>
          <w:szCs w:val="20"/>
          <w:color w:val="auto"/>
        </w:rPr>
      </w:pPr>
      <w:r>
        <w:rPr>
          <w:rFonts w:ascii="Arial" w:cs="Arial" w:eastAsia="Arial" w:hAnsi="Arial"/>
          <w:sz w:val="18"/>
          <w:szCs w:val="18"/>
          <w:b w:val="1"/>
          <w:bCs w:val="1"/>
          <w:color w:val="auto"/>
        </w:rPr>
        <w:t xml:space="preserve">Art. 9. Increase and Reduction of the Share Capital. </w:t>
      </w:r>
      <w:r>
        <w:rPr>
          <w:rFonts w:ascii="Arial" w:cs="Arial" w:eastAsia="Arial" w:hAnsi="Arial"/>
          <w:sz w:val="18"/>
          <w:szCs w:val="18"/>
          <w:color w:val="auto"/>
        </w:rPr>
        <w:t>The issued share capital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284"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106"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106" w:lineRule="exact"/>
        <w:rPr>
          <w:sz w:val="20"/>
          <w:szCs w:val="20"/>
          <w:color w:val="auto"/>
        </w:rPr>
      </w:pPr>
    </w:p>
    <w:p>
      <w:pPr>
        <w:ind w:left="1260" w:right="899"/>
        <w:spacing w:after="0" w:line="270" w:lineRule="auto"/>
        <w:rPr>
          <w:sz w:val="20"/>
          <w:szCs w:val="20"/>
          <w:color w:val="auto"/>
        </w:rPr>
      </w:pPr>
      <w:r>
        <w:rPr>
          <w:rFonts w:ascii="Arial" w:cs="Arial" w:eastAsia="Arial" w:hAnsi="Arial"/>
          <w:sz w:val="18"/>
          <w:szCs w:val="18"/>
          <w:color w:val="auto"/>
        </w:rPr>
        <w:t>The preferred subscription right is not applicable when the share capital is increased by means of contributions in kind.</w:t>
      </w:r>
    </w:p>
    <w:p>
      <w:pPr>
        <w:spacing w:after="0" w:line="72"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color w:val="auto"/>
        </w:rPr>
        <w:t>Art. 10. Acquisition or Redemption of Own Shares</w:t>
      </w:r>
      <w:r>
        <w:rPr>
          <w:rFonts w:ascii="Arial" w:cs="Arial" w:eastAsia="Arial" w:hAnsi="Arial"/>
          <w:sz w:val="18"/>
          <w:szCs w:val="18"/>
          <w:color w:val="auto"/>
        </w:rPr>
        <w:t>. The Company may acquire or redeem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Shares in accordance with the provisions of the Law. It may hold the Shares so acquired or redeemed. As used in this Article 10, “Own Shares” means Shares acquired or redeemed and held by the Company.</w:t>
      </w:r>
    </w:p>
    <w:p>
      <w:pPr>
        <w:spacing w:after="0" w:line="106" w:lineRule="exact"/>
        <w:rPr>
          <w:sz w:val="20"/>
          <w:szCs w:val="20"/>
          <w:color w:val="auto"/>
        </w:rPr>
      </w:pPr>
    </w:p>
    <w:p>
      <w:pPr>
        <w:ind w:left="1260" w:right="459"/>
        <w:spacing w:after="0" w:line="245" w:lineRule="auto"/>
        <w:rPr>
          <w:sz w:val="20"/>
          <w:szCs w:val="20"/>
          <w:color w:val="auto"/>
        </w:rPr>
      </w:pPr>
      <w:r>
        <w:rPr>
          <w:rFonts w:ascii="Arial" w:cs="Arial" w:eastAsia="Arial" w:hAnsi="Arial"/>
          <w:sz w:val="18"/>
          <w:szCs w:val="18"/>
          <w:color w:val="auto"/>
        </w:rPr>
        <w:t xml:space="preserve">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w:t>
      </w:r>
      <w:r>
        <w:rPr>
          <w:rFonts w:ascii="Arial" w:cs="Arial" w:eastAsia="Arial" w:hAnsi="Arial"/>
          <w:sz w:val="18"/>
          <w:szCs w:val="18"/>
          <w:b w:val="1"/>
          <w:bCs w:val="1"/>
          <w:color w:val="FF0000"/>
          <w:strike w:val="1"/>
        </w:rPr>
        <w:t>49-5</w:t>
      </w:r>
      <w:r>
        <w:rPr>
          <w:rFonts w:ascii="Arial" w:cs="Arial" w:eastAsia="Arial" w:hAnsi="Arial"/>
          <w:sz w:val="18"/>
          <w:szCs w:val="18"/>
          <w:b w:val="1"/>
          <w:bCs w:val="1"/>
          <w:u w:val="single" w:color="auto"/>
          <w:color w:val="0000FF"/>
        </w:rPr>
        <w:t>430-18</w:t>
      </w:r>
      <w:r>
        <w:rPr>
          <w:rFonts w:ascii="Arial" w:cs="Arial" w:eastAsia="Arial" w:hAnsi="Arial"/>
          <w:sz w:val="18"/>
          <w:szCs w:val="18"/>
          <w:color w:val="auto"/>
        </w:rPr>
        <w:t xml:space="preserve"> of the Law.</w:t>
      </w:r>
    </w:p>
    <w:p>
      <w:pPr>
        <w:spacing w:after="0" w:line="374"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Chapter III. Directors, Board of Directors, Statutory Auditors</w:t>
      </w:r>
    </w:p>
    <w:p>
      <w:pPr>
        <w:spacing w:after="0" w:line="111" w:lineRule="exact"/>
        <w:rPr>
          <w:sz w:val="20"/>
          <w:szCs w:val="20"/>
          <w:color w:val="auto"/>
        </w:rPr>
      </w:pPr>
    </w:p>
    <w:p>
      <w:pPr>
        <w:ind w:left="1260" w:right="719"/>
        <w:spacing w:after="0" w:line="256" w:lineRule="auto"/>
        <w:rPr>
          <w:sz w:val="20"/>
          <w:szCs w:val="20"/>
          <w:color w:val="auto"/>
        </w:rPr>
      </w:pPr>
      <w:r>
        <w:rPr>
          <w:rFonts w:ascii="Arial" w:cs="Arial" w:eastAsia="Arial" w:hAnsi="Arial"/>
          <w:sz w:val="18"/>
          <w:szCs w:val="18"/>
          <w:b w:val="1"/>
          <w:bCs w:val="1"/>
          <w:color w:val="auto"/>
        </w:rPr>
        <w:t>Art. 11. Board of Directors.</w:t>
      </w:r>
      <w:r>
        <w:rPr>
          <w:rFonts w:ascii="Arial" w:cs="Arial" w:eastAsia="Arial" w:hAnsi="Arial"/>
          <w:sz w:val="18"/>
          <w:szCs w:val="18"/>
          <w:color w:val="auto"/>
        </w:rPr>
        <w:t>The Company is managed by a board of directors (the “</w:t>
      </w:r>
      <w:r>
        <w:rPr>
          <w:rFonts w:ascii="Arial" w:cs="Arial" w:eastAsia="Arial" w:hAnsi="Arial"/>
          <w:sz w:val="18"/>
          <w:szCs w:val="18"/>
          <w:b w:val="1"/>
          <w:bCs w:val="1"/>
          <w:color w:val="auto"/>
        </w:rPr>
        <w:t>Board of Directors</w:t>
      </w:r>
      <w:r>
        <w:rPr>
          <w:rFonts w:ascii="Arial" w:cs="Arial" w:eastAsia="Arial" w:hAnsi="Arial"/>
          <w:sz w:val="18"/>
          <w:szCs w:val="18"/>
          <w:color w:val="auto"/>
        </w:rPr>
        <w:t>”) composed of at least three (3) and of maximum seven (7) members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who need not be shareholders.</w:t>
      </w:r>
    </w:p>
    <w:p>
      <w:pPr>
        <w:spacing w:after="0" w:line="9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96"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 xml:space="preserve">If a corporate entity is appointed as Director, it shall designate a natural person as its permanent representative, who will represent the corporate entity as a member of the Board of Directors, in accordance with Article </w:t>
      </w:r>
      <w:r>
        <w:rPr>
          <w:rFonts w:ascii="Arial" w:cs="Arial" w:eastAsia="Arial" w:hAnsi="Arial"/>
          <w:sz w:val="18"/>
          <w:szCs w:val="18"/>
          <w:b w:val="1"/>
          <w:bCs w:val="1"/>
          <w:color w:val="FF0000"/>
          <w:strike w:val="1"/>
        </w:rPr>
        <w:t>5bis</w:t>
      </w:r>
      <w:r>
        <w:rPr>
          <w:rFonts w:ascii="Arial" w:cs="Arial" w:eastAsia="Arial" w:hAnsi="Arial"/>
          <w:sz w:val="18"/>
          <w:szCs w:val="18"/>
          <w:b w:val="1"/>
          <w:bCs w:val="1"/>
          <w:u w:val="single" w:color="auto"/>
          <w:color w:val="0000FF"/>
        </w:rPr>
        <w:t>441-3</w:t>
      </w:r>
      <w:r>
        <w:rPr>
          <w:rFonts w:ascii="Arial" w:cs="Arial" w:eastAsia="Arial" w:hAnsi="Arial"/>
          <w:sz w:val="18"/>
          <w:szCs w:val="18"/>
          <w:color w:val="auto"/>
        </w:rPr>
        <w:t xml:space="preserve"> of the Law. In the event of a vacancy on the Board of Directors, if applicable, the remaining Director(s) may meet and may elect a director to fill such vacancy on a provisional basis until the next meeting of shareholders.</w:t>
      </w:r>
    </w:p>
    <w:p>
      <w:pPr>
        <w:spacing w:after="0" w:line="109"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b w:val="1"/>
          <w:bCs w:val="1"/>
          <w:color w:val="auto"/>
        </w:rPr>
        <w:t xml:space="preserve">Art. 12. Meetings of the Board of Directors. </w:t>
      </w:r>
      <w:r>
        <w:rPr>
          <w:rFonts w:ascii="Arial" w:cs="Arial" w:eastAsia="Arial" w:hAnsi="Arial"/>
          <w:sz w:val="18"/>
          <w:szCs w:val="18"/>
          <w:color w:val="auto"/>
        </w:rPr>
        <w:t>The Board of Directors will appoint from among its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a chairman (the “</w:t>
      </w:r>
      <w:r>
        <w:rPr>
          <w:rFonts w:ascii="Arial" w:cs="Arial" w:eastAsia="Arial" w:hAnsi="Arial"/>
          <w:sz w:val="18"/>
          <w:szCs w:val="18"/>
          <w:b w:val="1"/>
          <w:bCs w:val="1"/>
          <w:color w:val="auto"/>
        </w:rPr>
        <w:t>Chairman</w:t>
      </w:r>
      <w:r>
        <w:rPr>
          <w:rFonts w:ascii="Arial" w:cs="Arial" w:eastAsia="Arial" w:hAnsi="Arial"/>
          <w:sz w:val="18"/>
          <w:szCs w:val="18"/>
          <w:color w:val="auto"/>
        </w:rPr>
        <w:t>”). It may also appoint a corporate secretary, who need not be a Director and who will be responsible for keeping the minutes of the meetings of the Board of Directors and of the shareholder(s) (the “</w:t>
      </w:r>
      <w:r>
        <w:rPr>
          <w:rFonts w:ascii="Arial" w:cs="Arial" w:eastAsia="Arial" w:hAnsi="Arial"/>
          <w:sz w:val="18"/>
          <w:szCs w:val="18"/>
          <w:b w:val="1"/>
          <w:bCs w:val="1"/>
          <w:color w:val="auto"/>
        </w:rPr>
        <w:t>Secretary</w:t>
      </w:r>
      <w:r>
        <w:rPr>
          <w:rFonts w:ascii="Arial" w:cs="Arial" w:eastAsia="Arial" w:hAnsi="Arial"/>
          <w:sz w:val="18"/>
          <w:szCs w:val="18"/>
          <w:color w:val="auto"/>
        </w:rPr>
        <w:t>”). If the Secretary is not a Director, such person shall observe the confidentiality provisions as set forth in Article 15 under the responsibility of the Board of Directors.</w:t>
      </w:r>
    </w:p>
    <w:p>
      <w:pPr>
        <w:spacing w:after="0" w:line="112" w:lineRule="exact"/>
        <w:rPr>
          <w:sz w:val="20"/>
          <w:szCs w:val="20"/>
          <w:color w:val="auto"/>
        </w:rPr>
      </w:pPr>
    </w:p>
    <w:p>
      <w:pPr>
        <w:ind w:left="1260" w:right="1039"/>
        <w:spacing w:after="0" w:line="270" w:lineRule="auto"/>
        <w:rPr>
          <w:sz w:val="20"/>
          <w:szCs w:val="20"/>
          <w:color w:val="auto"/>
        </w:rPr>
      </w:pPr>
      <w:r>
        <w:rPr>
          <w:rFonts w:ascii="Arial" w:cs="Arial" w:eastAsia="Arial" w:hAnsi="Arial"/>
          <w:sz w:val="18"/>
          <w:szCs w:val="18"/>
          <w:color w:val="auto"/>
        </w:rPr>
        <w:t>The Board of Directors will meet upon call by the Chairman. A meeting of the Board of Directors must be convened if any two Directors so require.</w:t>
      </w:r>
    </w:p>
    <w:p>
      <w:pPr>
        <w:spacing w:after="0" w:line="72"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The Chairman will preside at all meetings of the Board of Directors and of the shareholders, except that in his or her absence the Board of Directors may appoint another Director and the general meeting of shareholders may appoint any other person as chairman pro tempore by vote of the majority present or represented at such meeting.</w:t>
      </w:r>
    </w:p>
    <w:p>
      <w:pPr>
        <w:sectPr>
          <w:pgSz w:w="11900" w:h="16838" w:orient="portrait"/>
          <w:cols w:equalWidth="0" w:num="1">
            <w:col w:w="9859"/>
          </w:cols>
          <w:pgMar w:left="60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62" w:name="page63"/>
    <w:bookmarkEnd w:id="6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Except in cases of urgency or with the prior consent of all those entitled to attend, at least twenty- four (24) hours written notice of board meetings shall be given. Any such notice shall specify the place, the date and time of the meeting as well as the agenda and the nature of the business to be transacted.</w:t>
      </w:r>
    </w:p>
    <w:p>
      <w:pPr>
        <w:spacing w:after="0" w:line="93"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101" w:lineRule="exact"/>
        <w:rPr>
          <w:sz w:val="20"/>
          <w:szCs w:val="20"/>
          <w:color w:val="auto"/>
        </w:rPr>
      </w:pPr>
    </w:p>
    <w:p>
      <w:pPr>
        <w:ind w:left="1260" w:right="879"/>
        <w:spacing w:after="0" w:line="262" w:lineRule="auto"/>
        <w:rPr>
          <w:sz w:val="20"/>
          <w:szCs w:val="20"/>
          <w:color w:val="auto"/>
        </w:rPr>
      </w:pPr>
      <w:r>
        <w:rPr>
          <w:rFonts w:ascii="Arial" w:cs="Arial" w:eastAsia="Arial" w:hAnsi="Arial"/>
          <w:sz w:val="18"/>
          <w:szCs w:val="18"/>
          <w:color w:val="auto"/>
        </w:rPr>
        <w:t>Meetings of the Board of Directors shall be held in the location indicated in the notice of meeting.</w:t>
      </w:r>
    </w:p>
    <w:p>
      <w:pPr>
        <w:spacing w:after="0" w:line="352" w:lineRule="exact"/>
        <w:rPr>
          <w:sz w:val="20"/>
          <w:szCs w:val="20"/>
          <w:color w:val="auto"/>
        </w:rPr>
      </w:pPr>
    </w:p>
    <w:p>
      <w:pPr>
        <w:ind w:left="1260" w:right="1079"/>
        <w:spacing w:after="0" w:line="270" w:lineRule="auto"/>
        <w:rPr>
          <w:sz w:val="20"/>
          <w:szCs w:val="20"/>
          <w:color w:val="auto"/>
        </w:rPr>
      </w:pPr>
      <w:r>
        <w:rPr>
          <w:rFonts w:ascii="Arial" w:cs="Arial" w:eastAsia="Arial" w:hAnsi="Arial"/>
          <w:sz w:val="18"/>
          <w:szCs w:val="18"/>
          <w:color w:val="auto"/>
        </w:rPr>
        <w:t>Any Director may act at any meeting of the Board of Directors by appointing in writing another Director as his or her proxy.</w:t>
      </w:r>
    </w:p>
    <w:p>
      <w:pPr>
        <w:spacing w:after="0" w:line="72"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 (2) members of the Board of Directors or Committee, as applicable, shall be required).</w:t>
      </w:r>
    </w:p>
    <w:p>
      <w:pPr>
        <w:spacing w:after="0" w:line="319" w:lineRule="exact"/>
        <w:rPr>
          <w:sz w:val="20"/>
          <w:szCs w:val="20"/>
          <w:color w:val="auto"/>
        </w:rPr>
      </w:pPr>
    </w:p>
    <w:p>
      <w:pPr>
        <w:ind w:left="1260" w:right="599"/>
        <w:spacing w:after="0" w:line="270" w:lineRule="auto"/>
        <w:rPr>
          <w:sz w:val="20"/>
          <w:szCs w:val="20"/>
          <w:color w:val="auto"/>
        </w:rPr>
      </w:pPr>
      <w:r>
        <w:rPr>
          <w:rFonts w:ascii="Arial" w:cs="Arial" w:eastAsia="Arial" w:hAnsi="Arial"/>
          <w:sz w:val="18"/>
          <w:szCs w:val="18"/>
          <w:color w:val="auto"/>
        </w:rPr>
        <w:t>Decisions will be taken by a majority of the votes of the Directors present or represented at such meeting. In case of a voting tie, the Chairman shall have the deciding vote.</w:t>
      </w:r>
    </w:p>
    <w:p>
      <w:pPr>
        <w:spacing w:after="0" w:line="86"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93"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319" w:lineRule="exact"/>
        <w:rPr>
          <w:sz w:val="20"/>
          <w:szCs w:val="20"/>
          <w:color w:val="auto"/>
        </w:rPr>
      </w:pPr>
    </w:p>
    <w:p>
      <w:pPr>
        <w:ind w:left="1260" w:right="679"/>
        <w:spacing w:after="0" w:line="270" w:lineRule="auto"/>
        <w:rPr>
          <w:sz w:val="20"/>
          <w:szCs w:val="20"/>
          <w:color w:val="auto"/>
        </w:rPr>
      </w:pPr>
      <w:r>
        <w:rPr>
          <w:rFonts w:ascii="Arial" w:cs="Arial" w:eastAsia="Arial" w:hAnsi="Arial"/>
          <w:sz w:val="18"/>
          <w:szCs w:val="18"/>
          <w:color w:val="auto"/>
        </w:rPr>
        <w:t>The Directors assume, pursuant to their mandate, no personal liability for any commitment validly made by them in the name of the Company.</w:t>
      </w:r>
    </w:p>
    <w:p>
      <w:pPr>
        <w:spacing w:after="0" w:line="86"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b w:val="1"/>
          <w:bCs w:val="1"/>
          <w:color w:val="auto"/>
        </w:rPr>
        <w:t xml:space="preserve">Art. 13. Minutes of Meetings of the Board of Directors. </w:t>
      </w:r>
      <w:r>
        <w:rPr>
          <w:rFonts w:ascii="Arial" w:cs="Arial" w:eastAsia="Arial" w:hAnsi="Arial"/>
          <w:sz w:val="18"/>
          <w:szCs w:val="18"/>
          <w:color w:val="auto"/>
        </w:rPr>
        <w:t>The minutes of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shall be signed by all Directors present and able to vote at the meeting. Any proxies will remain attached thereto.</w:t>
      </w:r>
    </w:p>
    <w:p>
      <w:pPr>
        <w:spacing w:after="0" w:line="88" w:lineRule="exact"/>
        <w:rPr>
          <w:sz w:val="20"/>
          <w:szCs w:val="20"/>
          <w:color w:val="auto"/>
        </w:rPr>
      </w:pPr>
    </w:p>
    <w:p>
      <w:pPr>
        <w:ind w:left="1260" w:right="959"/>
        <w:spacing w:after="0" w:line="285" w:lineRule="auto"/>
        <w:rPr>
          <w:sz w:val="20"/>
          <w:szCs w:val="20"/>
          <w:color w:val="auto"/>
        </w:rPr>
      </w:pPr>
      <w:r>
        <w:rPr>
          <w:rFonts w:ascii="Arial" w:cs="Arial" w:eastAsia="Arial" w:hAnsi="Arial"/>
          <w:sz w:val="18"/>
          <w:szCs w:val="18"/>
          <w:color w:val="auto"/>
        </w:rPr>
        <w:t>Copies or extracts thereof shall be certified by the Secretary appointed by the Board of Directors.</w:t>
      </w:r>
    </w:p>
    <w:p>
      <w:pPr>
        <w:spacing w:after="0" w:line="87"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b w:val="1"/>
          <w:bCs w:val="1"/>
          <w:color w:val="auto"/>
        </w:rPr>
        <w:t xml:space="preserve">Art. 14. General Powers of the Board of Directors. </w:t>
      </w:r>
      <w:r>
        <w:rPr>
          <w:rFonts w:ascii="Arial" w:cs="Arial" w:eastAsia="Arial" w:hAnsi="Arial"/>
          <w:sz w:val="18"/>
          <w:szCs w:val="18"/>
          <w:color w:val="auto"/>
        </w:rPr>
        <w:t>The Board of Directors is vested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broadest powers to act on 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109"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The Board of Directors may freely decide to reimburse any share premium account or any available reserves or funds available on the capital contribution account (</w:t>
      </w:r>
      <w:r>
        <w:rPr>
          <w:rFonts w:ascii="Arial" w:cs="Arial" w:eastAsia="Arial" w:hAnsi="Arial"/>
          <w:sz w:val="18"/>
          <w:szCs w:val="18"/>
          <w:i w:val="1"/>
          <w:iCs w:val="1"/>
          <w:color w:val="auto"/>
        </w:rPr>
        <w:t>compte 115, “Apport</w:t>
      </w:r>
      <w:r>
        <w:rPr>
          <w:rFonts w:ascii="Arial" w:cs="Arial" w:eastAsia="Arial" w:hAnsi="Arial"/>
          <w:sz w:val="18"/>
          <w:szCs w:val="18"/>
          <w:color w:val="auto"/>
        </w:rPr>
        <w:t xml:space="preserve"> </w:t>
      </w:r>
      <w:r>
        <w:rPr>
          <w:rFonts w:ascii="Arial" w:cs="Arial" w:eastAsia="Arial" w:hAnsi="Arial"/>
          <w:sz w:val="18"/>
          <w:szCs w:val="18"/>
          <w:i w:val="1"/>
          <w:iCs w:val="1"/>
          <w:color w:val="auto"/>
        </w:rPr>
        <w:t>en capitaux propres non rémunéré par des titres</w:t>
      </w:r>
      <w:r>
        <w:rPr>
          <w:rFonts w:ascii="Arial" w:cs="Arial" w:eastAsia="Arial" w:hAnsi="Arial"/>
          <w:sz w:val="18"/>
          <w:szCs w:val="18"/>
          <w:color w:val="auto"/>
        </w:rPr>
        <w:t>”)of the Company to its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provisions of the Law.</w:t>
      </w:r>
    </w:p>
    <w:p>
      <w:pPr>
        <w:spacing w:after="0" w:line="93" w:lineRule="exact"/>
        <w:rPr>
          <w:sz w:val="20"/>
          <w:szCs w:val="20"/>
          <w:color w:val="auto"/>
        </w:rPr>
      </w:pPr>
    </w:p>
    <w:p>
      <w:pPr>
        <w:ind w:left="1260" w:right="679"/>
        <w:spacing w:after="0" w:line="249" w:lineRule="auto"/>
        <w:rPr>
          <w:sz w:val="20"/>
          <w:szCs w:val="20"/>
          <w:color w:val="auto"/>
        </w:rPr>
      </w:pPr>
      <w:r>
        <w:rPr>
          <w:rFonts w:ascii="Arial" w:cs="Arial" w:eastAsia="Arial" w:hAnsi="Arial"/>
          <w:sz w:val="18"/>
          <w:szCs w:val="18"/>
          <w:b w:val="1"/>
          <w:bCs w:val="1"/>
          <w:color w:val="auto"/>
        </w:rPr>
        <w:t xml:space="preserve">Art. 15. Confidentiality. </w:t>
      </w:r>
      <w:r>
        <w:rPr>
          <w:rFonts w:ascii="Arial" w:cs="Arial" w:eastAsia="Arial" w:hAnsi="Arial"/>
          <w:sz w:val="18"/>
          <w:szCs w:val="18"/>
          <w:color w:val="auto"/>
        </w:rPr>
        <w:t>Even after the end of their term of office, the Directors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 information about the Company which could be detrimental to the Company’s interests, except when disclosure is required by law, in accordance with and subject to the provisions of Article </w:t>
      </w:r>
      <w:r>
        <w:rPr>
          <w:rFonts w:ascii="Arial" w:cs="Arial" w:eastAsia="Arial" w:hAnsi="Arial"/>
          <w:sz w:val="18"/>
          <w:szCs w:val="18"/>
          <w:b w:val="1"/>
          <w:bCs w:val="1"/>
          <w:color w:val="FF0000"/>
          <w:strike w:val="1"/>
        </w:rPr>
        <w:t>66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444-6</w:t>
      </w:r>
      <w:r>
        <w:rPr>
          <w:rFonts w:ascii="Arial" w:cs="Arial" w:eastAsia="Arial" w:hAnsi="Arial"/>
          <w:sz w:val="18"/>
          <w:szCs w:val="18"/>
          <w:color w:val="auto"/>
        </w:rPr>
        <w:t xml:space="preserve"> of the Law.</w:t>
      </w:r>
    </w:p>
    <w:p>
      <w:pPr>
        <w:spacing w:after="0" w:line="96"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b w:val="1"/>
          <w:bCs w:val="1"/>
          <w:color w:val="auto"/>
        </w:rPr>
        <w:t xml:space="preserve">Art. 16. Committees, Delegation of Powers. </w:t>
      </w:r>
      <w:r>
        <w:rPr>
          <w:rFonts w:ascii="Arial" w:cs="Arial" w:eastAsia="Arial" w:hAnsi="Arial"/>
          <w:sz w:val="18"/>
          <w:szCs w:val="18"/>
          <w:color w:val="auto"/>
        </w:rPr>
        <w:t>The Board of Directors may appoint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an Executive Committee, an Audit Committee, a Nomination and Governance Committee, a Compliance Committee and a Compensation Committee (each a “Committee” and collectively, the “Committees”). The Board of Directors will determine each such committee’s composition and purpose in accordance with applicable law, rules and regulations.</w:t>
      </w:r>
    </w:p>
    <w:p>
      <w:pPr>
        <w:spacing w:after="0" w:line="31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Board of Directors may delegate its powers to conduct the daily management and affairs of the Company and the representation of the Company for such daily management and affairs to any member or members of the</w:t>
      </w:r>
    </w:p>
    <w:p>
      <w:pPr>
        <w:sectPr>
          <w:pgSz w:w="11900" w:h="16838" w:orient="portrait"/>
          <w:cols w:equalWidth="0" w:num="1">
            <w:col w:w="9859"/>
          </w:cols>
          <w:pgMar w:left="600" w:top="97" w:right="1440" w:bottom="716" w:gutter="0" w:footer="0" w:header="0"/>
        </w:sect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716" w:gutter="0" w:footer="0" w:header="0"/>
          <w:type w:val="continuous"/>
        </w:sectPr>
      </w:pPr>
    </w:p>
    <w:bookmarkStart w:id="63" w:name="page64"/>
    <w:bookmarkEnd w:id="6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679"/>
        <w:spacing w:after="0" w:line="267" w:lineRule="auto"/>
        <w:rPr>
          <w:sz w:val="20"/>
          <w:szCs w:val="20"/>
          <w:color w:val="auto"/>
        </w:rPr>
      </w:pPr>
      <w:r>
        <w:rPr>
          <w:rFonts w:ascii="Arial" w:cs="Arial" w:eastAsia="Arial" w:hAnsi="Arial"/>
          <w:sz w:val="18"/>
          <w:szCs w:val="18"/>
          <w:color w:val="auto"/>
        </w:rPr>
        <w:t>Board of Directors, managers or other officers who need not be shareholders of the Company, including under the form of an Executive Committee, under such terms and with such powers as the Board of Directors shall determine.</w:t>
      </w:r>
    </w:p>
    <w:p>
      <w:pPr>
        <w:spacing w:after="0" w:line="89"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 xml:space="preserve">The Board of Directors may also delegate its powers to conduct daily management to a management committee or a </w:t>
      </w:r>
      <w:r>
        <w:rPr>
          <w:rFonts w:ascii="Arial" w:cs="Arial" w:eastAsia="Arial" w:hAnsi="Arial"/>
          <w:sz w:val="18"/>
          <w:szCs w:val="18"/>
          <w:b w:val="1"/>
          <w:bCs w:val="1"/>
          <w:color w:val="FF0000"/>
          <w:strike w:val="1"/>
        </w:rPr>
        <w:t>management director</w:t>
      </w:r>
      <w:r>
        <w:rPr>
          <w:rFonts w:ascii="Arial" w:cs="Arial" w:eastAsia="Arial" w:hAnsi="Arial"/>
          <w:sz w:val="18"/>
          <w:szCs w:val="18"/>
          <w:b w:val="1"/>
          <w:bCs w:val="1"/>
          <w:u w:val="single" w:color="auto"/>
          <w:color w:val="0000FF"/>
        </w:rPr>
        <w:t>managing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directeur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général) </w:t>
      </w:r>
      <w:r>
        <w:rPr>
          <w:rFonts w:ascii="Arial" w:cs="Arial" w:eastAsia="Arial" w:hAnsi="Arial"/>
          <w:sz w:val="18"/>
          <w:szCs w:val="18"/>
          <w:color w:val="auto"/>
        </w:rPr>
        <w:t>in accordance with and subject to the provisions of Article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FF0000"/>
          <w:strike w:val="1"/>
        </w:rPr>
        <w:t>60-1</w:t>
      </w:r>
      <w:r>
        <w:rPr>
          <w:rFonts w:ascii="Arial" w:cs="Arial" w:eastAsia="Arial" w:hAnsi="Arial"/>
          <w:sz w:val="18"/>
          <w:szCs w:val="18"/>
          <w:b w:val="1"/>
          <w:bCs w:val="1"/>
          <w:u w:val="single" w:color="auto"/>
          <w:color w:val="0000FF"/>
        </w:rPr>
        <w:t>441-11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Law.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Board of Directors is authorized to determine the conditions of their appointment, removal, remuneration (if any), duration of mandate and decision -making process. The Board of Directors shall supervise the management committee, if any, and the management director, if any. The members of the management committee and management director, if any, shall comply with the conflicts of interest procedure provided for by Article </w:t>
      </w:r>
      <w:r>
        <w:rPr>
          <w:rFonts w:ascii="Arial" w:cs="Arial" w:eastAsia="Arial" w:hAnsi="Arial"/>
          <w:sz w:val="18"/>
          <w:szCs w:val="18"/>
          <w:b w:val="1"/>
          <w:bCs w:val="1"/>
          <w:u w:val="single" w:color="auto"/>
          <w:color w:val="0000FF"/>
        </w:rPr>
        <w:t>441-12</w:t>
      </w:r>
      <w:r>
        <w:rPr>
          <w:rFonts w:ascii="Arial" w:cs="Arial" w:eastAsia="Arial" w:hAnsi="Arial"/>
          <w:sz w:val="18"/>
          <w:szCs w:val="18"/>
          <w:b w:val="1"/>
          <w:bCs w:val="1"/>
          <w:color w:val="FF0000"/>
          <w:strike w:val="1"/>
        </w:rPr>
        <w:t>60-2</w:t>
      </w:r>
      <w:r>
        <w:rPr>
          <w:rFonts w:ascii="Arial" w:cs="Arial" w:eastAsia="Arial" w:hAnsi="Arial"/>
          <w:sz w:val="18"/>
          <w:szCs w:val="18"/>
          <w:color w:val="auto"/>
        </w:rPr>
        <w:t xml:space="preserve"> of the Law as well as with the confidentiality obligations provided for by Article </w:t>
      </w:r>
      <w:r>
        <w:rPr>
          <w:rFonts w:ascii="Arial" w:cs="Arial" w:eastAsia="Arial" w:hAnsi="Arial"/>
          <w:sz w:val="18"/>
          <w:szCs w:val="18"/>
          <w:b w:val="1"/>
          <w:bCs w:val="1"/>
          <w:u w:val="single" w:color="auto"/>
          <w:color w:val="0000FF"/>
        </w:rPr>
        <w:t>444-6</w:t>
      </w:r>
      <w:r>
        <w:rPr>
          <w:rFonts w:ascii="Arial" w:cs="Arial" w:eastAsia="Arial" w:hAnsi="Arial"/>
          <w:sz w:val="18"/>
          <w:szCs w:val="18"/>
          <w:b w:val="1"/>
          <w:bCs w:val="1"/>
          <w:color w:val="FF0000"/>
          <w:strike w:val="1"/>
        </w:rPr>
        <w:t>66</w:t>
      </w:r>
      <w:r>
        <w:rPr>
          <w:rFonts w:ascii="Arial" w:cs="Arial" w:eastAsia="Arial" w:hAnsi="Arial"/>
          <w:sz w:val="18"/>
          <w:szCs w:val="18"/>
          <w:color w:val="auto"/>
        </w:rPr>
        <w:t xml:space="preserve"> of the Law.</w:t>
      </w:r>
    </w:p>
    <w:p>
      <w:pPr>
        <w:spacing w:after="0" w:line="337" w:lineRule="exact"/>
        <w:rPr>
          <w:sz w:val="20"/>
          <w:szCs w:val="20"/>
          <w:color w:val="auto"/>
        </w:rPr>
      </w:pPr>
    </w:p>
    <w:p>
      <w:pPr>
        <w:jc w:val="both"/>
        <w:ind w:left="1260" w:right="539"/>
        <w:spacing w:after="0" w:line="267" w:lineRule="auto"/>
        <w:rPr>
          <w:sz w:val="20"/>
          <w:szCs w:val="20"/>
          <w:color w:val="auto"/>
        </w:rPr>
      </w:pPr>
      <w:r>
        <w:rPr>
          <w:rFonts w:ascii="Arial" w:cs="Arial" w:eastAsia="Arial" w:hAnsi="Arial"/>
          <w:sz w:val="18"/>
          <w:szCs w:val="18"/>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103"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 17. Representation of the Company.</w:t>
      </w:r>
      <w:r>
        <w:rPr>
          <w:rFonts w:ascii="Arial" w:cs="Arial" w:eastAsia="Arial" w:hAnsi="Arial"/>
          <w:sz w:val="18"/>
          <w:szCs w:val="18"/>
          <w:color w:val="auto"/>
        </w:rPr>
        <w:t>The Company will be bound towards third parties by:</w:t>
      </w:r>
    </w:p>
    <w:p>
      <w:pPr>
        <w:spacing w:after="0" w:line="116" w:lineRule="exact"/>
        <w:rPr>
          <w:sz w:val="20"/>
          <w:szCs w:val="20"/>
          <w:color w:val="auto"/>
        </w:rPr>
      </w:pPr>
    </w:p>
    <w:p>
      <w:pPr>
        <w:ind w:left="1800" w:hanging="187"/>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joint signature of any two Directors;</w:t>
      </w:r>
    </w:p>
    <w:p>
      <w:pPr>
        <w:spacing w:after="0" w:line="129" w:lineRule="exact"/>
        <w:rPr>
          <w:rFonts w:ascii="Arial" w:cs="Arial" w:eastAsia="Arial" w:hAnsi="Arial"/>
          <w:sz w:val="18"/>
          <w:szCs w:val="18"/>
          <w:color w:val="auto"/>
        </w:rPr>
      </w:pPr>
    </w:p>
    <w:p>
      <w:pPr>
        <w:ind w:left="1800" w:right="1139" w:hanging="187"/>
        <w:spacing w:after="0" w:line="285"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individual signature of the member(s) of a management committee, if such committee has been formed by the Board of Directors; and</w:t>
      </w:r>
    </w:p>
    <w:p>
      <w:pPr>
        <w:spacing w:after="0" w:line="46" w:lineRule="exact"/>
        <w:rPr>
          <w:rFonts w:ascii="Arial" w:cs="Arial" w:eastAsia="Arial" w:hAnsi="Arial"/>
          <w:sz w:val="18"/>
          <w:szCs w:val="18"/>
          <w:color w:val="auto"/>
        </w:rPr>
      </w:pPr>
    </w:p>
    <w:p>
      <w:pPr>
        <w:ind w:left="1800" w:right="739" w:hanging="187"/>
        <w:spacing w:after="0" w:line="285"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signature of a management director, if one has been appointed by the Board of Directors;</w:t>
      </w:r>
    </w:p>
    <w:p>
      <w:pPr>
        <w:spacing w:after="0" w:line="46" w:lineRule="exact"/>
        <w:rPr>
          <w:rFonts w:ascii="Arial" w:cs="Arial" w:eastAsia="Arial" w:hAnsi="Arial"/>
          <w:sz w:val="18"/>
          <w:szCs w:val="18"/>
          <w:color w:val="auto"/>
        </w:rPr>
      </w:pPr>
    </w:p>
    <w:p>
      <w:pPr>
        <w:ind w:left="1800" w:right="439" w:hanging="187"/>
        <w:spacing w:after="0" w:line="26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individual signature of any other person to whom the Board has delegated the daily management of the Company in accordance with this Article, and then only within the scope of the daily management.</w:t>
      </w:r>
    </w:p>
    <w:p>
      <w:pPr>
        <w:spacing w:after="0" w:line="62" w:lineRule="exact"/>
        <w:rPr>
          <w:rFonts w:ascii="Arial" w:cs="Arial" w:eastAsia="Arial" w:hAnsi="Arial"/>
          <w:sz w:val="18"/>
          <w:szCs w:val="18"/>
          <w:color w:val="auto"/>
        </w:rPr>
      </w:pPr>
    </w:p>
    <w:p>
      <w:pPr>
        <w:ind w:left="1800" w:right="1279" w:hanging="187"/>
        <w:spacing w:after="0" w:line="285"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individual signature of any person(s) to whom signing authority has been delegated by the Board of Directors;</w:t>
      </w:r>
    </w:p>
    <w:p>
      <w:pPr>
        <w:spacing w:after="0" w:line="87"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b w:val="1"/>
          <w:bCs w:val="1"/>
          <w:color w:val="auto"/>
        </w:rPr>
        <w:t xml:space="preserve">Art. 18. Conflict of Interests. </w:t>
      </w:r>
      <w:r>
        <w:rPr>
          <w:rFonts w:ascii="Arial" w:cs="Arial" w:eastAsia="Arial" w:hAnsi="Arial"/>
          <w:sz w:val="18"/>
          <w:szCs w:val="18"/>
          <w:color w:val="auto"/>
        </w:rPr>
        <w:t>No contract or other transaction between the Company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319" w:lineRule="exact"/>
        <w:rPr>
          <w:sz w:val="20"/>
          <w:szCs w:val="20"/>
          <w:color w:val="auto"/>
        </w:rPr>
      </w:pPr>
    </w:p>
    <w:p>
      <w:pPr>
        <w:ind w:left="1260" w:right="559"/>
        <w:spacing w:after="0" w:line="256" w:lineRule="auto"/>
        <w:rPr>
          <w:sz w:val="20"/>
          <w:szCs w:val="20"/>
          <w:color w:val="auto"/>
        </w:rPr>
      </w:pPr>
      <w:r>
        <w:rPr>
          <w:rFonts w:ascii="Arial" w:cs="Arial" w:eastAsia="Arial" w:hAnsi="Arial"/>
          <w:sz w:val="18"/>
          <w:szCs w:val="18"/>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330"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 liable for gross negligence or willful misconduct; in the event of a settlement, indemnification shall be provided only in connection with such matters covered by the settlement as to which the Company is</w:t>
      </w:r>
    </w:p>
    <w:p>
      <w:pPr>
        <w:sectPr>
          <w:pgSz w:w="11900" w:h="16838" w:orient="portrait"/>
          <w:cols w:equalWidth="0" w:num="1">
            <w:col w:w="9859"/>
          </w:cols>
          <w:pgMar w:left="600" w:top="97" w:right="1440" w:bottom="823"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823" w:gutter="0" w:footer="0" w:header="0"/>
          <w:type w:val="continuous"/>
        </w:sectPr>
      </w:pPr>
    </w:p>
    <w:bookmarkStart w:id="64" w:name="page65"/>
    <w:bookmarkEnd w:id="6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advised by its legal counsel that the person to be indemnified did not commit such a breach of duty. The foregoing right of indemnification shall not exclude other rights to which he or she may be entitled.</w:t>
      </w:r>
    </w:p>
    <w:p>
      <w:pPr>
        <w:spacing w:after="0" w:line="89"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b w:val="1"/>
          <w:bCs w:val="1"/>
          <w:color w:val="auto"/>
        </w:rPr>
        <w:t xml:space="preserve">Art. 19. Auditors. </w:t>
      </w:r>
      <w:r>
        <w:rPr>
          <w:rFonts w:ascii="Arial" w:cs="Arial" w:eastAsia="Arial" w:hAnsi="Arial"/>
          <w:sz w:val="18"/>
          <w:szCs w:val="18"/>
          <w:color w:val="auto"/>
        </w:rPr>
        <w:t>The Company’s operations will be overseen by one or more supervisory</w:t>
      </w:r>
      <w:r>
        <w:rPr>
          <w:rFonts w:ascii="Arial" w:cs="Arial" w:eastAsia="Arial" w:hAnsi="Arial"/>
          <w:sz w:val="18"/>
          <w:szCs w:val="18"/>
          <w:b w:val="1"/>
          <w:bCs w:val="1"/>
          <w:color w:val="auto"/>
        </w:rPr>
        <w:t xml:space="preserve"> </w:t>
      </w:r>
      <w:r>
        <w:rPr>
          <w:rFonts w:ascii="Arial" w:cs="Arial" w:eastAsia="Arial" w:hAnsi="Arial"/>
          <w:sz w:val="18"/>
          <w:szCs w:val="18"/>
          <w:color w:val="auto"/>
        </w:rPr>
        <w:t>auditors (</w:t>
      </w:r>
      <w:r>
        <w:rPr>
          <w:rFonts w:ascii="Arial" w:cs="Arial" w:eastAsia="Arial" w:hAnsi="Arial"/>
          <w:sz w:val="18"/>
          <w:szCs w:val="18"/>
          <w:i w:val="1"/>
          <w:iCs w:val="1"/>
          <w:color w:val="auto"/>
        </w:rPr>
        <w:t>commissaire(s) aux comptes</w:t>
      </w:r>
      <w:r>
        <w:rPr>
          <w:rFonts w:ascii="Arial" w:cs="Arial" w:eastAsia="Arial" w:hAnsi="Arial"/>
          <w:sz w:val="18"/>
          <w:szCs w:val="18"/>
          <w:color w:val="auto"/>
        </w:rPr>
        <w:t>) and, to the extent required by applicable law, rules and regulations, by one or more independent statutory auditors (</w:t>
      </w:r>
      <w:r>
        <w:rPr>
          <w:rFonts w:ascii="Arial" w:cs="Arial" w:eastAsia="Arial" w:hAnsi="Arial"/>
          <w:sz w:val="18"/>
          <w:szCs w:val="18"/>
          <w:i w:val="1"/>
          <w:iCs w:val="1"/>
          <w:color w:val="auto"/>
        </w:rPr>
        <w:t>réviseur(s) d’entreprises</w:t>
      </w:r>
      <w:r>
        <w:rPr>
          <w:rFonts w:ascii="Arial" w:cs="Arial" w:eastAsia="Arial" w:hAnsi="Arial"/>
          <w:sz w:val="18"/>
          <w:szCs w:val="18"/>
          <w:color w:val="auto"/>
        </w:rPr>
        <w:t>).</w:t>
      </w:r>
    </w:p>
    <w:p>
      <w:pPr>
        <w:spacing w:after="0" w:line="103" w:lineRule="exact"/>
        <w:rPr>
          <w:sz w:val="20"/>
          <w:szCs w:val="20"/>
          <w:color w:val="auto"/>
        </w:rPr>
      </w:pPr>
    </w:p>
    <w:p>
      <w:pPr>
        <w:ind w:left="1260" w:right="559"/>
        <w:spacing w:after="0" w:line="258" w:lineRule="auto"/>
        <w:rPr>
          <w:sz w:val="20"/>
          <w:szCs w:val="20"/>
          <w:color w:val="auto"/>
        </w:rPr>
      </w:pPr>
      <w:r>
        <w:rPr>
          <w:rFonts w:ascii="Arial" w:cs="Arial" w:eastAsia="Arial" w:hAnsi="Arial"/>
          <w:sz w:val="18"/>
          <w:szCs w:val="18"/>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174"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Chapter IV. Meetings of Shareholders</w:t>
      </w:r>
    </w:p>
    <w:p>
      <w:pPr>
        <w:spacing w:after="0" w:line="111"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color w:val="auto"/>
        </w:rPr>
        <w:t xml:space="preserve">Art. 20. Annual General Meeting. </w:t>
      </w:r>
      <w:r>
        <w:rPr>
          <w:rFonts w:ascii="Arial" w:cs="Arial" w:eastAsia="Arial" w:hAnsi="Arial"/>
          <w:sz w:val="18"/>
          <w:szCs w:val="18"/>
          <w:color w:val="auto"/>
        </w:rPr>
        <w:t>The annual general meeting will be held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Article </w:t>
      </w:r>
      <w:r>
        <w:rPr>
          <w:rFonts w:ascii="Arial" w:cs="Arial" w:eastAsia="Arial" w:hAnsi="Arial"/>
          <w:sz w:val="18"/>
          <w:szCs w:val="18"/>
          <w:b w:val="1"/>
          <w:bCs w:val="1"/>
          <w:u w:val="single" w:color="auto"/>
          <w:color w:val="0000FF"/>
        </w:rPr>
        <w:t>450-8</w:t>
      </w:r>
      <w:r>
        <w:rPr>
          <w:rFonts w:ascii="Arial" w:cs="Arial" w:eastAsia="Arial" w:hAnsi="Arial"/>
          <w:sz w:val="18"/>
          <w:szCs w:val="18"/>
          <w:b w:val="1"/>
          <w:bCs w:val="1"/>
          <w:color w:val="FF0000"/>
          <w:strike w:val="1"/>
        </w:rPr>
        <w:t>70</w:t>
      </w:r>
      <w:r>
        <w:rPr>
          <w:rFonts w:ascii="Arial" w:cs="Arial" w:eastAsia="Arial" w:hAnsi="Arial"/>
          <w:sz w:val="18"/>
          <w:szCs w:val="18"/>
          <w:color w:val="auto"/>
        </w:rPr>
        <w:t xml:space="preserve"> of the Law at the registered office of the Company or at such other place as may be specified in the convening notice and at such time as specified in the convening notice of the meeting.</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such day is a public holiday, the meeting will be held on the next following business day.</w:t>
      </w:r>
    </w:p>
    <w:p>
      <w:pPr>
        <w:spacing w:after="0" w:line="14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b w:val="1"/>
          <w:bCs w:val="1"/>
          <w:color w:val="auto"/>
        </w:rPr>
        <w:t xml:space="preserve">Art. 21. Other General Meetings of Shareholders. </w:t>
      </w:r>
      <w:r>
        <w:rPr>
          <w:rFonts w:ascii="Arial" w:cs="Arial" w:eastAsia="Arial" w:hAnsi="Arial"/>
          <w:sz w:val="18"/>
          <w:szCs w:val="18"/>
          <w:color w:val="auto"/>
        </w:rPr>
        <w:t>The Board of Directors may convene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337" w:lineRule="exact"/>
        <w:rPr>
          <w:sz w:val="20"/>
          <w:szCs w:val="20"/>
          <w:color w:val="auto"/>
        </w:rPr>
      </w:pPr>
    </w:p>
    <w:p>
      <w:pPr>
        <w:ind w:left="1260" w:right="639"/>
        <w:spacing w:after="0" w:line="285" w:lineRule="auto"/>
        <w:rPr>
          <w:sz w:val="20"/>
          <w:szCs w:val="20"/>
          <w:color w:val="auto"/>
        </w:rPr>
      </w:pPr>
      <w:r>
        <w:rPr>
          <w:rFonts w:ascii="Arial" w:cs="Arial" w:eastAsia="Arial" w:hAnsi="Arial"/>
          <w:sz w:val="18"/>
          <w:szCs w:val="18"/>
          <w:b w:val="1"/>
          <w:bCs w:val="1"/>
          <w:color w:val="auto"/>
        </w:rPr>
        <w:t xml:space="preserve">Art. 22. Powers of the Meeting of Shareholders. </w:t>
      </w:r>
      <w:r>
        <w:rPr>
          <w:rFonts w:ascii="Arial" w:cs="Arial" w:eastAsia="Arial" w:hAnsi="Arial"/>
          <w:sz w:val="18"/>
          <w:szCs w:val="18"/>
          <w:color w:val="auto"/>
        </w:rPr>
        <w:t>Any regularly constituted general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the Company represents the entire body of shareholders.</w:t>
      </w:r>
    </w:p>
    <w:p>
      <w:pPr>
        <w:spacing w:after="0" w:line="87"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Subject to all the other powers reserved to the Board of Directors or by the Law or the Articles, the general meeting of shareholders has the broadest powers to adopt, carry out or ratify any act relating to the operations of the Company.</w:t>
      </w:r>
    </w:p>
    <w:p>
      <w:pPr>
        <w:spacing w:after="0" w:line="89" w:lineRule="exact"/>
        <w:rPr>
          <w:sz w:val="20"/>
          <w:szCs w:val="20"/>
          <w:color w:val="auto"/>
        </w:rPr>
      </w:pPr>
    </w:p>
    <w:p>
      <w:pPr>
        <w:ind w:left="1260" w:right="1079"/>
        <w:spacing w:after="0" w:line="285" w:lineRule="auto"/>
        <w:rPr>
          <w:sz w:val="20"/>
          <w:szCs w:val="20"/>
          <w:color w:val="auto"/>
        </w:rPr>
      </w:pPr>
      <w:r>
        <w:rPr>
          <w:rFonts w:ascii="Arial" w:cs="Arial" w:eastAsia="Arial" w:hAnsi="Arial"/>
          <w:sz w:val="18"/>
          <w:szCs w:val="18"/>
          <w:color w:val="auto"/>
        </w:rPr>
        <w:t>The shareholders shall neither participate in nor interfere with the management of the Company.</w:t>
      </w:r>
    </w:p>
    <w:p>
      <w:pPr>
        <w:spacing w:after="0" w:line="87" w:lineRule="exact"/>
        <w:rPr>
          <w:sz w:val="20"/>
          <w:szCs w:val="20"/>
          <w:color w:val="auto"/>
        </w:rPr>
      </w:pPr>
    </w:p>
    <w:p>
      <w:pPr>
        <w:jc w:val="both"/>
        <w:ind w:left="1260" w:right="599"/>
        <w:spacing w:after="0" w:line="261" w:lineRule="auto"/>
        <w:rPr>
          <w:sz w:val="20"/>
          <w:szCs w:val="20"/>
          <w:color w:val="auto"/>
        </w:rPr>
      </w:pPr>
      <w:r>
        <w:rPr>
          <w:rFonts w:ascii="Arial" w:cs="Arial" w:eastAsia="Arial" w:hAnsi="Arial"/>
          <w:sz w:val="18"/>
          <w:szCs w:val="18"/>
          <w:color w:val="auto"/>
        </w:rPr>
        <w:t xml:space="preserve">In accordance with the provisions of Article </w:t>
      </w:r>
      <w:r>
        <w:rPr>
          <w:rFonts w:ascii="Arial" w:cs="Arial" w:eastAsia="Arial" w:hAnsi="Arial"/>
          <w:sz w:val="18"/>
          <w:szCs w:val="18"/>
          <w:b w:val="1"/>
          <w:bCs w:val="1"/>
          <w:u w:val="single" w:color="auto"/>
          <w:color w:val="0000FF"/>
        </w:rPr>
        <w:t>450-1</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67</w:t>
      </w:r>
      <w:r>
        <w:rPr>
          <w:rFonts w:ascii="Arial" w:cs="Arial" w:eastAsia="Arial" w:hAnsi="Arial"/>
          <w:sz w:val="18"/>
          <w:szCs w:val="18"/>
          <w:color w:val="auto"/>
        </w:rPr>
        <w:t xml:space="preserve">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109" w:lineRule="exact"/>
        <w:rPr>
          <w:sz w:val="20"/>
          <w:szCs w:val="20"/>
          <w:color w:val="auto"/>
        </w:rPr>
      </w:pPr>
    </w:p>
    <w:p>
      <w:pPr>
        <w:ind w:left="1260" w:right="939"/>
        <w:spacing w:after="0" w:line="267" w:lineRule="auto"/>
        <w:rPr>
          <w:sz w:val="20"/>
          <w:szCs w:val="20"/>
          <w:color w:val="auto"/>
        </w:rPr>
      </w:pPr>
      <w:r>
        <w:rPr>
          <w:rFonts w:ascii="Arial" w:cs="Arial" w:eastAsia="Arial" w:hAnsi="Arial"/>
          <w:sz w:val="18"/>
          <w:szCs w:val="18"/>
          <w:b w:val="1"/>
          <w:bCs w:val="1"/>
          <w:color w:val="auto"/>
        </w:rPr>
        <w:t xml:space="preserve">Art. 23. Procedure, Vote. </w:t>
      </w:r>
      <w:r>
        <w:rPr>
          <w:rFonts w:ascii="Arial" w:cs="Arial" w:eastAsia="Arial" w:hAnsi="Arial"/>
          <w:sz w:val="18"/>
          <w:szCs w:val="18"/>
          <w:color w:val="auto"/>
        </w:rPr>
        <w:t>The general meeting of shareholders will meet upon call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or the auditor(s) made in compliance with Luxembourg law and the present Articles.</w:t>
      </w:r>
    </w:p>
    <w:p>
      <w:pPr>
        <w:spacing w:after="0" w:line="89" w:lineRule="exact"/>
        <w:rPr>
          <w:sz w:val="20"/>
          <w:szCs w:val="20"/>
          <w:color w:val="auto"/>
        </w:rPr>
      </w:pPr>
    </w:p>
    <w:p>
      <w:pPr>
        <w:ind w:left="1260" w:right="599"/>
        <w:spacing w:after="0" w:line="295" w:lineRule="auto"/>
        <w:rPr>
          <w:sz w:val="20"/>
          <w:szCs w:val="20"/>
          <w:color w:val="auto"/>
        </w:rPr>
      </w:pPr>
      <w:r>
        <w:rPr>
          <w:rFonts w:ascii="Arial" w:cs="Arial" w:eastAsia="Arial" w:hAnsi="Arial"/>
          <w:sz w:val="18"/>
          <w:szCs w:val="18"/>
          <w:color w:val="auto"/>
        </w:rPr>
        <w:t>The record date for general meetings shall be set by the Board of Directors before the date of the general meeting (the “</w:t>
      </w:r>
      <w:r>
        <w:rPr>
          <w:rFonts w:ascii="Arial" w:cs="Arial" w:eastAsia="Arial" w:hAnsi="Arial"/>
          <w:sz w:val="18"/>
          <w:szCs w:val="18"/>
          <w:b w:val="1"/>
          <w:bCs w:val="1"/>
          <w:color w:val="auto"/>
        </w:rPr>
        <w:t>Record Date</w:t>
      </w:r>
      <w:r>
        <w:rPr>
          <w:rFonts w:ascii="Arial" w:cs="Arial" w:eastAsia="Arial" w:hAnsi="Arial"/>
          <w:sz w:val="18"/>
          <w:szCs w:val="18"/>
          <w:color w:val="auto"/>
        </w:rPr>
        <w:t>”).</w:t>
      </w:r>
    </w:p>
    <w:p>
      <w:pPr>
        <w:spacing w:after="0" w:line="70"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109" w:lineRule="exact"/>
        <w:rPr>
          <w:sz w:val="20"/>
          <w:szCs w:val="20"/>
          <w:color w:val="auto"/>
        </w:rPr>
      </w:pPr>
    </w:p>
    <w:p>
      <w:pPr>
        <w:jc w:val="both"/>
        <w:ind w:left="1260" w:right="599"/>
        <w:spacing w:after="0" w:line="267" w:lineRule="auto"/>
        <w:rPr>
          <w:sz w:val="20"/>
          <w:szCs w:val="20"/>
          <w:color w:val="auto"/>
        </w:rPr>
      </w:pPr>
      <w:r>
        <w:rPr>
          <w:rFonts w:ascii="Arial" w:cs="Arial" w:eastAsia="Arial" w:hAnsi="Arial"/>
          <w:sz w:val="18"/>
          <w:szCs w:val="18"/>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ectPr>
          <w:pgSz w:w="11900" w:h="16838" w:orient="portrait"/>
          <w:cols w:equalWidth="0" w:num="1">
            <w:col w:w="9859"/>
          </w:cols>
          <w:pgMar w:left="60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65" w:name="page66"/>
    <w:bookmarkEnd w:id="6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60" w:right="719"/>
        <w:spacing w:after="0" w:line="256" w:lineRule="auto"/>
        <w:rPr>
          <w:sz w:val="20"/>
          <w:szCs w:val="20"/>
          <w:color w:val="auto"/>
        </w:rPr>
      </w:pPr>
      <w:r>
        <w:rPr>
          <w:rFonts w:ascii="Arial" w:cs="Arial" w:eastAsia="Arial" w:hAnsi="Arial"/>
          <w:sz w:val="18"/>
          <w:szCs w:val="18"/>
          <w:color w:val="auto"/>
        </w:rPr>
        <w:t>The convening notice sent to the shareholders in accordance with the Law will specify the time and place of the meeting as well as the agenda and the nature of the business to be transacted.</w:t>
      </w:r>
    </w:p>
    <w:p>
      <w:pPr>
        <w:spacing w:after="0" w:line="298"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106" w:lineRule="exact"/>
        <w:rPr>
          <w:sz w:val="20"/>
          <w:szCs w:val="20"/>
          <w:color w:val="auto"/>
        </w:rPr>
      </w:pPr>
    </w:p>
    <w:p>
      <w:pPr>
        <w:ind w:left="1260" w:right="699"/>
        <w:spacing w:after="0" w:line="270" w:lineRule="auto"/>
        <w:rPr>
          <w:sz w:val="20"/>
          <w:szCs w:val="20"/>
          <w:color w:val="auto"/>
        </w:rPr>
      </w:pPr>
      <w:r>
        <w:rPr>
          <w:rFonts w:ascii="Arial" w:cs="Arial" w:eastAsia="Arial" w:hAnsi="Arial"/>
          <w:sz w:val="18"/>
          <w:szCs w:val="18"/>
          <w:color w:val="auto"/>
        </w:rPr>
        <w:t>The Board of Directors may determine all other conditions that must be fulfilled in order to take part in a general meeting of shareholders.</w:t>
      </w:r>
    </w:p>
    <w:p>
      <w:pPr>
        <w:spacing w:after="0" w:line="86"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Except as otherwise required by the Law or by the present Articles, all other resolutions will be taken by a simple majority of votes irrespective of the number of Shares present or represented at the meeting.</w:t>
      </w:r>
    </w:p>
    <w:p>
      <w:pPr>
        <w:spacing w:after="0" w:line="88"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auto"/>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319"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The Board of Directors may also determine that shareholders may vote from a remote location by correspondence, by completing a voting form provided by the Company which includes the following information:</w:t>
      </w:r>
    </w:p>
    <w:p>
      <w:pPr>
        <w:spacing w:after="0" w:line="61" w:lineRule="exact"/>
        <w:rPr>
          <w:sz w:val="20"/>
          <w:szCs w:val="20"/>
          <w:color w:val="auto"/>
        </w:rPr>
      </w:pPr>
    </w:p>
    <w:p>
      <w:pPr>
        <w:ind w:left="1800" w:hanging="187"/>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 address and any other pertinent information concerning the shareholder.</w:t>
      </w:r>
    </w:p>
    <w:p>
      <w:pPr>
        <w:spacing w:after="0" w:line="88" w:lineRule="exact"/>
        <w:rPr>
          <w:rFonts w:ascii="Arial" w:cs="Arial" w:eastAsia="Arial" w:hAnsi="Arial"/>
          <w:sz w:val="18"/>
          <w:szCs w:val="18"/>
          <w:color w:val="auto"/>
        </w:rPr>
      </w:pPr>
    </w:p>
    <w:p>
      <w:pPr>
        <w:ind w:left="1800" w:right="579" w:hanging="187"/>
        <w:spacing w:after="0" w:line="285"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votes the shareholder wishes to cast, the direction of his or her votes, or his or her abstention.</w:t>
      </w:r>
    </w:p>
    <w:p>
      <w:pPr>
        <w:spacing w:after="0" w:line="19" w:lineRule="exact"/>
        <w:rPr>
          <w:rFonts w:ascii="Arial" w:cs="Arial" w:eastAsia="Arial" w:hAnsi="Arial"/>
          <w:sz w:val="18"/>
          <w:szCs w:val="18"/>
          <w:color w:val="auto"/>
        </w:rPr>
      </w:pPr>
    </w:p>
    <w:p>
      <w:pPr>
        <w:ind w:left="1800" w:hanging="187"/>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agenda of the meeting including the draft of resolutions.</w:t>
      </w:r>
    </w:p>
    <w:p>
      <w:pPr>
        <w:spacing w:after="0" w:line="102" w:lineRule="exact"/>
        <w:rPr>
          <w:rFonts w:ascii="Arial" w:cs="Arial" w:eastAsia="Arial" w:hAnsi="Arial"/>
          <w:sz w:val="18"/>
          <w:szCs w:val="18"/>
          <w:color w:val="auto"/>
        </w:rPr>
      </w:pPr>
    </w:p>
    <w:p>
      <w:pPr>
        <w:ind w:left="1800" w:right="1359" w:hanging="187"/>
        <w:spacing w:after="0" w:line="26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to vote by proxy for any new resolution or any modification of the resolutions properly submitted to the general meeting between the date the shareholder submits his or her form through the meeting date.</w:t>
      </w:r>
    </w:p>
    <w:p>
      <w:pPr>
        <w:spacing w:after="0" w:line="35" w:lineRule="exact"/>
        <w:rPr>
          <w:rFonts w:ascii="Arial" w:cs="Arial" w:eastAsia="Arial" w:hAnsi="Arial"/>
          <w:sz w:val="18"/>
          <w:szCs w:val="18"/>
          <w:color w:val="auto"/>
        </w:rPr>
      </w:pPr>
    </w:p>
    <w:p>
      <w:pPr>
        <w:ind w:left="1800" w:hanging="187"/>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signature of the shareholder.</w:t>
      </w:r>
    </w:p>
    <w:p>
      <w:pPr>
        <w:spacing w:after="0" w:line="156"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313" w:lineRule="exact"/>
        <w:rPr>
          <w:sz w:val="20"/>
          <w:szCs w:val="20"/>
          <w:color w:val="auto"/>
        </w:rPr>
      </w:pPr>
    </w:p>
    <w:p>
      <w:pPr>
        <w:ind w:left="1260" w:right="839"/>
        <w:spacing w:after="0" w:line="252" w:lineRule="auto"/>
        <w:rPr>
          <w:sz w:val="20"/>
          <w:szCs w:val="20"/>
          <w:color w:val="auto"/>
        </w:rPr>
      </w:pPr>
      <w:r>
        <w:rPr>
          <w:rFonts w:ascii="Arial" w:cs="Arial" w:eastAsia="Arial" w:hAnsi="Arial"/>
          <w:sz w:val="18"/>
          <w:szCs w:val="18"/>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88" w:lineRule="exact"/>
        <w:rPr>
          <w:sz w:val="20"/>
          <w:szCs w:val="20"/>
          <w:color w:val="auto"/>
        </w:rPr>
      </w:pPr>
    </w:p>
    <w:p>
      <w:pPr>
        <w:ind w:left="1260" w:right="619"/>
        <w:spacing w:after="0" w:line="246" w:lineRule="auto"/>
        <w:rPr>
          <w:sz w:val="20"/>
          <w:szCs w:val="20"/>
          <w:color w:val="auto"/>
        </w:rPr>
      </w:pPr>
      <w:r>
        <w:rPr>
          <w:rFonts w:ascii="Arial" w:cs="Arial" w:eastAsia="Arial" w:hAnsi="Arial"/>
          <w:sz w:val="18"/>
          <w:szCs w:val="18"/>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319" w:lineRule="exact"/>
        <w:rPr>
          <w:sz w:val="20"/>
          <w:szCs w:val="20"/>
          <w:color w:val="auto"/>
        </w:rPr>
      </w:pPr>
    </w:p>
    <w:p>
      <w:pPr>
        <w:jc w:val="both"/>
        <w:ind w:left="1260" w:right="579"/>
        <w:spacing w:after="0" w:line="246" w:lineRule="auto"/>
        <w:rPr>
          <w:sz w:val="20"/>
          <w:szCs w:val="20"/>
          <w:color w:val="auto"/>
        </w:rPr>
      </w:pPr>
      <w:r>
        <w:rPr>
          <w:rFonts w:ascii="Arial" w:cs="Arial" w:eastAsia="Arial" w:hAnsi="Arial"/>
          <w:sz w:val="18"/>
          <w:szCs w:val="18"/>
          <w:color w:val="auto"/>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106" w:lineRule="exact"/>
        <w:rPr>
          <w:sz w:val="20"/>
          <w:szCs w:val="20"/>
          <w:color w:val="auto"/>
        </w:rPr>
      </w:pPr>
    </w:p>
    <w:p>
      <w:pPr>
        <w:ind w:left="1260" w:right="499"/>
        <w:spacing w:after="0" w:line="285" w:lineRule="auto"/>
        <w:rPr>
          <w:sz w:val="20"/>
          <w:szCs w:val="20"/>
          <w:color w:val="auto"/>
        </w:rPr>
      </w:pPr>
      <w:r>
        <w:rPr>
          <w:rFonts w:ascii="Arial" w:cs="Arial" w:eastAsia="Arial" w:hAnsi="Arial"/>
          <w:sz w:val="18"/>
          <w:szCs w:val="18"/>
          <w:color w:val="auto"/>
        </w:rPr>
        <w:t>The commitments of the shareholders may be increased only with the unanimous consent of the shareholders.</w:t>
      </w:r>
    </w:p>
    <w:p>
      <w:pPr>
        <w:spacing w:after="0" w:line="73"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ectPr>
          <w:pgSz w:w="11900" w:h="16838" w:orient="portrait"/>
          <w:cols w:equalWidth="0" w:num="1">
            <w:col w:w="9859"/>
          </w:cols>
          <w:pgMar w:left="60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66" w:name="page67"/>
    <w:bookmarkEnd w:id="6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60" w:right="499"/>
        <w:spacing w:after="0" w:line="267" w:lineRule="auto"/>
        <w:rPr>
          <w:sz w:val="20"/>
          <w:szCs w:val="20"/>
          <w:color w:val="auto"/>
        </w:rPr>
      </w:pPr>
      <w:r>
        <w:rPr>
          <w:rFonts w:ascii="Arial" w:cs="Arial" w:eastAsia="Arial" w:hAnsi="Arial"/>
          <w:sz w:val="18"/>
          <w:szCs w:val="18"/>
          <w:color w:val="auto"/>
        </w:rPr>
        <w:t>If all the shareholders are present or represented at a general meeting of shareholders and if they state that they have been informed of the agenda of the meeting, the meeting may be held without prior notice. One vote is attached to each Share.</w:t>
      </w:r>
    </w:p>
    <w:p>
      <w:pPr>
        <w:spacing w:after="0" w:line="89" w:lineRule="exact"/>
        <w:rPr>
          <w:sz w:val="20"/>
          <w:szCs w:val="20"/>
          <w:color w:val="auto"/>
        </w:rPr>
      </w:pPr>
    </w:p>
    <w:p>
      <w:pPr>
        <w:ind w:left="1260" w:right="1119"/>
        <w:spacing w:after="0" w:line="285" w:lineRule="auto"/>
        <w:rPr>
          <w:sz w:val="20"/>
          <w:szCs w:val="20"/>
          <w:color w:val="auto"/>
        </w:rPr>
      </w:pPr>
      <w:r>
        <w:rPr>
          <w:rFonts w:ascii="Arial" w:cs="Arial" w:eastAsia="Arial" w:hAnsi="Arial"/>
          <w:sz w:val="18"/>
          <w:szCs w:val="18"/>
          <w:color w:val="auto"/>
        </w:rPr>
        <w:t>Copies or extracts of the minutes of the resolutions passed by the general meeting of shareholders shall be certified by the Chairman or by the Secretary.</w:t>
      </w:r>
    </w:p>
    <w:p>
      <w:pPr>
        <w:spacing w:after="0" w:line="149"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Chapter V. Financial Year, Distribution of Profits</w:t>
      </w:r>
    </w:p>
    <w:p>
      <w:pPr>
        <w:spacing w:after="0" w:line="111" w:lineRule="exact"/>
        <w:rPr>
          <w:sz w:val="20"/>
          <w:szCs w:val="20"/>
          <w:color w:val="auto"/>
        </w:rPr>
      </w:pPr>
    </w:p>
    <w:p>
      <w:pPr>
        <w:ind w:left="1260" w:right="639"/>
        <w:spacing w:after="0" w:line="285" w:lineRule="auto"/>
        <w:rPr>
          <w:sz w:val="20"/>
          <w:szCs w:val="20"/>
          <w:color w:val="auto"/>
        </w:rPr>
      </w:pPr>
      <w:r>
        <w:rPr>
          <w:rFonts w:ascii="Arial" w:cs="Arial" w:eastAsia="Arial" w:hAnsi="Arial"/>
          <w:sz w:val="18"/>
          <w:szCs w:val="18"/>
          <w:b w:val="1"/>
          <w:bCs w:val="1"/>
          <w:color w:val="auto"/>
        </w:rPr>
        <w:t xml:space="preserve">Art. 24. Financial Year. </w:t>
      </w:r>
      <w:r>
        <w:rPr>
          <w:rFonts w:ascii="Arial" w:cs="Arial" w:eastAsia="Arial" w:hAnsi="Arial"/>
          <w:sz w:val="18"/>
          <w:szCs w:val="18"/>
          <w:color w:val="auto"/>
        </w:rPr>
        <w:t>The Company’s financial year begins on the first day of the month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and ends on the last day of the month of December every year.</w:t>
      </w:r>
    </w:p>
    <w:p>
      <w:pPr>
        <w:spacing w:after="0" w:line="87"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b w:val="1"/>
          <w:bCs w:val="1"/>
          <w:color w:val="auto"/>
        </w:rPr>
        <w:t xml:space="preserve">Art. 25. Adoption of Financial Statements. </w:t>
      </w:r>
      <w:r>
        <w:rPr>
          <w:rFonts w:ascii="Arial" w:cs="Arial" w:eastAsia="Arial" w:hAnsi="Arial"/>
          <w:sz w:val="18"/>
          <w:szCs w:val="18"/>
          <w:color w:val="auto"/>
        </w:rPr>
        <w:t>At the end of each financial year, the accounts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closed and the Board of Directors draws up an inventory of assets and liabilities, the balance sheet and the profit and loss account, in accordance with the Law.</w:t>
      </w:r>
    </w:p>
    <w:p>
      <w:pPr>
        <w:spacing w:after="0" w:line="103" w:lineRule="exact"/>
        <w:rPr>
          <w:sz w:val="20"/>
          <w:szCs w:val="20"/>
          <w:color w:val="auto"/>
        </w:rPr>
      </w:pPr>
    </w:p>
    <w:p>
      <w:pPr>
        <w:ind w:left="1260" w:right="679"/>
        <w:spacing w:after="0" w:line="285" w:lineRule="auto"/>
        <w:rPr>
          <w:sz w:val="20"/>
          <w:szCs w:val="20"/>
          <w:color w:val="auto"/>
        </w:rPr>
      </w:pPr>
      <w:r>
        <w:rPr>
          <w:rFonts w:ascii="Arial" w:cs="Arial" w:eastAsia="Arial" w:hAnsi="Arial"/>
          <w:sz w:val="18"/>
          <w:szCs w:val="18"/>
          <w:color w:val="auto"/>
        </w:rPr>
        <w:t>The balance sheet and the profit and loss account are submitted to the general meeting of shareholders for approval.</w:t>
      </w:r>
    </w:p>
    <w:p>
      <w:pPr>
        <w:spacing w:after="0" w:line="73"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color w:val="auto"/>
        </w:rPr>
        <w:t xml:space="preserve">Art. 26. Appropriation of Profits. </w:t>
      </w:r>
      <w:r>
        <w:rPr>
          <w:rFonts w:ascii="Arial" w:cs="Arial" w:eastAsia="Arial" w:hAnsi="Arial"/>
          <w:sz w:val="18"/>
          <w:szCs w:val="18"/>
          <w:color w:val="auto"/>
        </w:rPr>
        <w:t>From the annual net profits of the Company, five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(5%) shall be allocated to the reserve required by the Law. That allocation will cease to be required as soon and as long as such reserve amounts to ten percent (10%) of the issued share capital of the Company.</w:t>
      </w:r>
    </w:p>
    <w:p>
      <w:pPr>
        <w:spacing w:after="0" w:line="109"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331"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394"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auto"/>
        </w:rPr>
        <w:t>Chapter VI. Dissolution, Liquidation of the Company</w:t>
      </w:r>
    </w:p>
    <w:p>
      <w:pPr>
        <w:spacing w:after="0" w:line="111"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color w:val="auto"/>
        </w:rPr>
        <w:t xml:space="preserve">Art. 27. Dissolution, Liquidation. </w:t>
      </w:r>
      <w:r>
        <w:rPr>
          <w:rFonts w:ascii="Arial" w:cs="Arial" w:eastAsia="Arial" w:hAnsi="Arial"/>
          <w:sz w:val="18"/>
          <w:szCs w:val="18"/>
          <w:color w:val="auto"/>
        </w:rPr>
        <w:t>Upon the affirmative proposal of the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be dissolved by a decision of the general meeting of shareholders voting with the same quorum and majority as for the amendment of these Articles, unless otherwise provided by the Law.</w:t>
      </w:r>
    </w:p>
    <w:p>
      <w:pPr>
        <w:spacing w:after="0" w:line="95"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103" w:lineRule="exact"/>
        <w:rPr>
          <w:sz w:val="20"/>
          <w:szCs w:val="20"/>
          <w:color w:val="auto"/>
        </w:rPr>
      </w:pPr>
    </w:p>
    <w:p>
      <w:pPr>
        <w:ind w:left="1260" w:right="639"/>
        <w:spacing w:after="0" w:line="267" w:lineRule="auto"/>
        <w:rPr>
          <w:sz w:val="20"/>
          <w:szCs w:val="20"/>
          <w:color w:val="auto"/>
        </w:rPr>
      </w:pPr>
      <w:r>
        <w:rPr>
          <w:rFonts w:ascii="Arial" w:cs="Arial" w:eastAsia="Arial" w:hAnsi="Arial"/>
          <w:sz w:val="18"/>
          <w:szCs w:val="18"/>
          <w:color w:val="auto"/>
        </w:rPr>
        <w:t>After payment of all the debts of and charges against the Company and of the expenses of liquidation, the net assets shall be distributed equally to the shareholders pro rata to the number of the Shares held by them.</w:t>
      </w:r>
    </w:p>
    <w:p>
      <w:pPr>
        <w:spacing w:after="0" w:line="103" w:lineRule="exact"/>
        <w:rPr>
          <w:sz w:val="20"/>
          <w:szCs w:val="20"/>
          <w:color w:val="auto"/>
        </w:rPr>
      </w:pPr>
    </w:p>
    <w:p>
      <w:pPr>
        <w:ind w:left="1260" w:right="479"/>
        <w:spacing w:after="0" w:line="264" w:lineRule="auto"/>
        <w:rPr>
          <w:sz w:val="20"/>
          <w:szCs w:val="20"/>
          <w:color w:val="auto"/>
        </w:rPr>
      </w:pPr>
      <w:r>
        <w:rPr>
          <w:rFonts w:ascii="Arial" w:cs="Arial" w:eastAsia="Arial" w:hAnsi="Arial"/>
          <w:sz w:val="18"/>
          <w:szCs w:val="18"/>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31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Chapter VII. Applicable Law</w:t>
      </w:r>
    </w:p>
    <w:p>
      <w:pPr>
        <w:spacing w:after="0" w:line="156" w:lineRule="exact"/>
        <w:rPr>
          <w:sz w:val="20"/>
          <w:szCs w:val="20"/>
          <w:color w:val="auto"/>
        </w:rPr>
      </w:pPr>
    </w:p>
    <w:p>
      <w:pPr>
        <w:ind w:left="1260" w:right="859"/>
        <w:spacing w:after="0" w:line="285" w:lineRule="auto"/>
        <w:rPr>
          <w:sz w:val="20"/>
          <w:szCs w:val="20"/>
          <w:color w:val="auto"/>
        </w:rPr>
      </w:pPr>
      <w:r>
        <w:rPr>
          <w:rFonts w:ascii="Arial" w:cs="Arial" w:eastAsia="Arial" w:hAnsi="Arial"/>
          <w:sz w:val="18"/>
          <w:szCs w:val="18"/>
          <w:b w:val="1"/>
          <w:bCs w:val="1"/>
          <w:color w:val="auto"/>
        </w:rPr>
        <w:t xml:space="preserve">Art. 28. Applicable Law. </w:t>
      </w:r>
      <w:r>
        <w:rPr>
          <w:rFonts w:ascii="Arial" w:cs="Arial" w:eastAsia="Arial" w:hAnsi="Arial"/>
          <w:sz w:val="18"/>
          <w:szCs w:val="18"/>
          <w:color w:val="auto"/>
        </w:rPr>
        <w:t>All matters not governed by these Articles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Luxembourg Law.</w:t>
      </w:r>
    </w:p>
    <w:p>
      <w:pPr>
        <w:sectPr>
          <w:pgSz w:w="11900" w:h="16838" w:orient="portrait"/>
          <w:cols w:equalWidth="0" w:num="1">
            <w:col w:w="9859"/>
          </w:cols>
          <w:pgMar w:left="600" w:top="97"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259715</wp:posOffset>
            </wp:positionV>
            <wp:extent cx="679958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type w:val="continuous"/>
        </w:sectPr>
      </w:pPr>
    </w:p>
    <w:bookmarkStart w:id="67" w:name="page68"/>
    <w:bookmarkEnd w:id="6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799580" cy="8435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99580" cy="8435340"/>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68" w:name="page69"/>
    <w:bookmarkEnd w:id="6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799580" cy="8435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99580" cy="8435340"/>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69" w:name="page70"/>
    <w:bookmarkEnd w:id="6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799580" cy="8401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99580" cy="8401050"/>
                    </a:xfrm>
                    <a:prstGeom prst="rect">
                      <a:avLst/>
                    </a:prstGeom>
                    <a:noFill/>
                  </pic:spPr>
                </pic:pic>
              </a:graphicData>
            </a:graphic>
          </wp:anchor>
        </w:drawing>
      </w:r>
    </w:p>
    <w:p>
      <w:pPr>
        <w:sectPr>
          <w:pgSz w:w="11900" w:h="16838" w:orient="portrait"/>
          <w:cols w:equalWidth="0" w:num="1">
            <w:col w:w="9859"/>
          </w:cols>
          <w:pgMar w:left="600" w:top="97" w:right="1440" w:bottom="1440" w:gutter="0" w:footer="0" w:header="0"/>
        </w:sectPr>
      </w:pPr>
    </w:p>
    <w:bookmarkStart w:id="70" w:name="page71"/>
    <w:bookmarkEnd w:id="7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799580" cy="8401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9580" cy="8401050"/>
                    </a:xfrm>
                    <a:prstGeom prst="rect">
                      <a:avLst/>
                    </a:prstGeom>
                    <a:noFill/>
                  </pic:spPr>
                </pic:pic>
              </a:graphicData>
            </a:graphic>
          </wp:anchor>
        </w:drawing>
      </w:r>
    </w:p>
    <w:sectPr>
      <w:pgSz w:w="11900" w:h="16838" w:orient="portrait"/>
      <w:cols w:equalWidth="0" w:num="1">
        <w:col w:w="9859"/>
      </w:cols>
      <w:pgMar w:left="60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2"/>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lowerRoman"/>
      <w:start w:val="5"/>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4"/>
    </w:lvl>
  </w:abstractNum>
  <w:abstractNum w:abstractNumId="24">
    <w:nsid w:val="77465F01"/>
    <w:multiLevelType w:val="hybridMultilevel"/>
    <w:lvl w:ilvl="0">
      <w:lvlJc w:val="left"/>
      <w:lvlText w:val="(%1)"/>
      <w:numFmt w:val="decimal"/>
    </w:lvl>
    <w:lvl w:ilvl="1">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Roman"/>
      <w:start w:val="2"/>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7"/>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0"/>
    </w:lvl>
    <w:lvl w:ilvl="1">
      <w:lvlJc w:val="left"/>
      <w:lvlText w:val="•"/>
      <w:numFmt w:val="bullet"/>
      <w:start w:val="1"/>
    </w:lvl>
  </w:abstractNum>
  <w:abstractNum w:abstractNumId="38">
    <w:nsid w:val="725A06FB"/>
    <w:multiLevelType w:val="hybridMultilevel"/>
    <w:lvl w:ilvl="0">
      <w:lvlJc w:val="left"/>
      <w:lvlText w:val="(%1)"/>
      <w:numFmt w:val="decimal"/>
      <w:start w:val="22"/>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lowerRoman"/>
      <w:start w:val="3"/>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a"/>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2022-04-04T09:03:40Z</dcterms:created>
  <dcterms:modified xsi:type="dcterms:W3CDTF">2022-04-04T09:03:40Z</dcterms:modified>
</cp:coreProperties>
</file>