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113665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7"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June 30, 2022</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165735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125095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8"/>
        </w:trPr>
        <w:tc>
          <w:tcPr>
            <w:tcW w:w="7260" w:type="dxa"/>
            <w:vAlign w:val="bottom"/>
            <w:gridSpan w:val="6"/>
          </w:tcPr>
          <w:p>
            <w:pPr>
              <w:jc w:val="center"/>
              <w:ind w:right="16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980" w:type="dxa"/>
            <w:vAlign w:val="bottom"/>
          </w:tcPr>
          <w:p>
            <w:pPr>
              <w:jc w:val="center"/>
              <w:ind w:right="162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6"/>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33, Boulevard Prince Henri</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L-1724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tc>
        <w:tc>
          <w:tcPr>
            <w:tcW w:w="3980" w:type="dxa"/>
            <w:vAlign w:val="bottom"/>
          </w:tcPr>
          <w:p>
            <w:pPr>
              <w:spacing w:after="0"/>
              <w:rPr>
                <w:sz w:val="18"/>
                <w:szCs w:val="18"/>
                <w:color w:val="auto"/>
              </w:rPr>
            </w:pPr>
          </w:p>
        </w:tc>
      </w:tr>
      <w:tr>
        <w:trPr>
          <w:trHeight w:val="188"/>
        </w:trPr>
        <w:tc>
          <w:tcPr>
            <w:tcW w:w="3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980" w:type="dxa"/>
            <w:vAlign w:val="bottom"/>
          </w:tcPr>
          <w:p>
            <w:pPr>
              <w:spacing w:after="0"/>
              <w:rPr>
                <w:sz w:val="16"/>
                <w:szCs w:val="16"/>
                <w:color w:val="auto"/>
              </w:rPr>
            </w:pPr>
          </w:p>
        </w:tc>
      </w:tr>
      <w:tr>
        <w:trPr>
          <w:trHeight w:val="311"/>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Times New Roman" w:cs="Times New Roman" w:eastAsia="Times New Roman" w:hAnsi="Times New Roman"/>
                <w:sz w:val="18"/>
                <w:szCs w:val="18"/>
                <w:b w:val="1"/>
                <w:bCs w:val="1"/>
                <w:color w:val="auto"/>
                <w:w w:val="99"/>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8"/>
        </w:trPr>
        <w:tc>
          <w:tcPr>
            <w:tcW w:w="3720" w:type="dxa"/>
            <w:vAlign w:val="bottom"/>
          </w:tcPr>
          <w:p>
            <w:pPr>
              <w:spacing w:after="0"/>
              <w:rPr>
                <w:sz w:val="16"/>
                <w:szCs w:val="16"/>
                <w:color w:val="auto"/>
              </w:rPr>
            </w:pPr>
          </w:p>
        </w:tc>
        <w:tc>
          <w:tcPr>
            <w:tcW w:w="3540" w:type="dxa"/>
            <w:vAlign w:val="bottom"/>
            <w:gridSpan w:val="5"/>
          </w:tcPr>
          <w:p>
            <w:pPr>
              <w:jc w:val="center"/>
              <w:ind w:lef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6"/>
                <w:szCs w:val="16"/>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10"/>
        </w:trPr>
        <w:tc>
          <w:tcPr>
            <w:tcW w:w="3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80" w:type="dxa"/>
            <w:vAlign w:val="bottom"/>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r>
      <w:tr>
        <w:trPr>
          <w:trHeight w:val="182"/>
        </w:trPr>
        <w:tc>
          <w:tcPr>
            <w:tcW w:w="37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97" w:right="339" w:bottom="1440" w:gutter="0" w:footer="0" w:header="0"/>
        </w:sectPr>
      </w:pPr>
    </w:p>
    <w:p>
      <w:pPr>
        <w:spacing w:after="0" w:line="94" w:lineRule="exact"/>
        <w:rPr>
          <w:sz w:val="24"/>
          <w:szCs w:val="24"/>
          <w:color w:val="auto"/>
        </w:rPr>
      </w:pPr>
    </w:p>
    <w:p>
      <w:pPr>
        <w:ind w:left="140"/>
        <w:spacing w:after="0" w:line="34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40" w:space="340"/>
            <w:col w:w="5520" w:space="720"/>
            <w:col w:w="1580" w:space="480"/>
            <w:col w:w="1160"/>
          </w:cols>
          <w:pgMar w:left="320" w:top="1397" w:right="339" w:bottom="1440" w:gutter="0" w:footer="0" w:header="0"/>
          <w:type w:val="continuous"/>
        </w:sectPr>
      </w:pPr>
    </w:p>
    <w:p>
      <w:pPr>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22, 2022, there were 16,111,907 outstanding shares of the registrant’s common stock (excluding 9,300,841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1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12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4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0000FF"/>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40" w:type="dxa"/>
            <w:vAlign w:val="bottom"/>
          </w:tcPr>
          <w:p>
            <w:pPr>
              <w:spacing w:after="0"/>
              <w:rPr>
                <w:sz w:val="22"/>
                <w:szCs w:val="22"/>
                <w:color w:val="auto"/>
              </w:rPr>
            </w:pP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40" w:type="dxa"/>
            <w:vAlign w:val="bottom"/>
          </w:tcPr>
          <w:p>
            <w:pPr>
              <w:spacing w:after="0"/>
              <w:rPr>
                <w:sz w:val="22"/>
                <w:szCs w:val="22"/>
                <w:color w:val="auto"/>
              </w:rPr>
            </w:pP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16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20" w:type="dxa"/>
            <w:vAlign w:val="bottom"/>
            <w:gridSpan w:val="14"/>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138,004</w:t>
            </w: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r>
      <w:tr>
        <w:trPr>
          <w:trHeight w:val="142"/>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LIABILITIES AND EQUITY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54,747</w:t>
            </w: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contingencies and regulatory matters (Note 21)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($1.00 par value; 100,000 shares authorized, 25,413 issued and 16,111 outstanding as of</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June 30, 2022; 15,911 outstanding as of December 31, 2021)</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186,592</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(9,302 shares as of June 30, 2022 and 9,502 shares as of December 31, 2021)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(426,445)</w:t>
            </w:r>
          </w:p>
        </w:tc>
      </w:tr>
      <w:tr>
        <w:trPr>
          <w:trHeight w:val="22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Altisource deficit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(70,142)</w:t>
            </w:r>
          </w:p>
        </w:tc>
      </w:tr>
      <w:tr>
        <w:trPr>
          <w:trHeight w:val="162"/>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deficit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(68,870)</w:t>
            </w:r>
          </w:p>
        </w:tc>
      </w:tr>
      <w:tr>
        <w:trPr>
          <w:trHeight w:val="142"/>
        </w:trPr>
        <w:tc>
          <w:tcPr>
            <w:tcW w:w="8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257,808</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94,195</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35,442</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(39,142)</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(40,569)</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(40,477)</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15,774</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7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(82,556)</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(105,258)</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(68,870)</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(80,887)</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94"/>
        </w:trPr>
        <w:tc>
          <w:tcPr>
            <w:tcW w:w="8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w:t>
            </w:r>
          </w:p>
        </w:tc>
      </w:tr>
      <w:tr>
        <w:trPr>
          <w:trHeight w:val="22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(22,775)</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the sale of business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convertible debt payable to related parties (Note 1)</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of tax withholding on issuance of restricted share units and restricted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62,096</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right-of-use assets with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of right-of-use assets from operating lease modifications or reassessments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payables for purchases of premises and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 See Note 22 for a description of our business segments.</w:t>
      </w:r>
    </w:p>
    <w:p>
      <w:pPr>
        <w:spacing w:after="0" w:line="1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2022, Lenders One had total assets of $1.7 million and total liabilities of $1.4 million. As of December 31, 2021, Lenders One had total assets of $2.2 million and total liabilities of $1.4 million.</w:t>
      </w:r>
    </w:p>
    <w:p>
      <w:pPr>
        <w:spacing w:after="0" w:line="1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2019, Altisource created Pointillist, Inc. (“Pointillist”) and contributed the Pointillist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customer journey analytics business and $8.5 million to it. On May 27, 2021, Pointillist issued $1.3 million in principal of convertible notes to related parties with a maturity date of January 1, 2023. The notes bore interest at a rate of 7% per annum. The principal and unpaid accrued interest then outstanding under the notes (1) would automatically convert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On December 1, 2021, the notes were converted to Pointillist equity and Altisource and other shareholders of Pointillist sold all of the equity interests in Pointillist (See Note 3 for additional information). Prior to the sale, Pointillist was owned by Altisource and management of Pointillist, with management of Pointillist owning a non-controlling interest representing 12.1% of the outstanding equity of Pointillist. Through December 1, 2021, Pointillist is presented in the accompanying condensed consolidated financial statements on a consolidated basis and the portion of Pointillist owned by Pointillist management is reported as non-controlling interests.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2021, as filed with the SEC on March 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and in January 2021, the FASB issued ASU No.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This standard applies only to contracts, hedging relationships, and other transactions that reference the London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Ocwen was our largest customer, accounting for 37% of our total revenue for the six months ended June 30, 2022 (40% of our revenue for the second quarter of 2022).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six months ended June 30, 2022 and 2021, we recognized revenue from Ocwen of $29.9 million and $31.2 million, respectively ($16.2 million and $14.2 million for the second quarter of 2022 and 2021, respectively). Revenue from Ocwen as a percentage of segment and consolidated revenue was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62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57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7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4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14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 owner selects Altisource as the service provider. For the six months ended June 30, 2022 and 2021, we recognized revenue of $5.1 million and $5.5 million, respectively ($2.7 million and $2.9 million for the second quarter of 2022 and 2021, respectively), of such revenue. These amounts are not included in deriving revenue from Ocwen and revenue from Ocwen as a percentage of revenue discussed above.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accounts receivable from Ocwen totaled $4.4 million, $3.5 million of which was billed and $0.9 million of which was unbilled. As of December 31, 2021, accounts receivable from Ocwen totaled $3.0 million, $2.8 million of which was billed and $0.2 million of which was unbilled.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NRZ</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2022, approximately 19% of loans serviced and subserviced by Ocwen (measured in unpaid principal balance (“UPB”)) were related to NRZ MSRs or rights to MSRs (the “Subject MSRs”).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NRZ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and 2021, we recognized revenue from NRZ of $1.8 million and $1.7 million, respectively ($1.0 million and $0.9 million for the second quarter of 2022 and 2021, respectively), under the Brokerage Agreement. For the six months ended June 30, 2022 and 2021, we recognized additional revenue of $7.4 million and $7.6 million, respectively ($3.7 million and $4.1 million for the second quarter of 2022 and 2021, respectively), relating to the Subject MSRs when a party other than NRZ selects Altisource as the service provider.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Pointillist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6, 2021, Altisource and other shareholders of Pointillist entered into a definitive Stock Purchase Agreement (as amended, the “SPA”) to sell all of the equity interests in Pointillist to Genesys Cloud Services, Inc. (“Genesys”) for $150.0 million (the “Purchase Price”) (the “Transaction”). The Purchase Price consisted of (1) an up-front payment of $144.5 million, subject to certain adjustments, (2) $0.5 million deposited into an escrow account to be used to satisfy potential deficits between estimated closing date working capital and actual closing date working capital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(the “Indemnification Escrow”), with the balance to be paid to the sellers thereafter. The Transaction closed on December 1, 2021. On a fully diluted basis, Altisource owned approximately 69% of the equity of Pointillist.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The Working Capital Escrow was received on May 9, 2022. The present value of the amounts in escrow is included in other current assets in the accompanying condensed consolidated balance sheets at a discounted value of $3.4 million and $3.6 million as of June 30, 2022 and December 31,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Property Management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in August 2018 and the second installment of $3.0 million was received in January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380" w:type="dxa"/>
            <w:vAlign w:val="bottom"/>
            <w:gridSpan w:val="2"/>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Deductions Note </w:t>
            </w:r>
            <w:r>
              <w:rPr>
                <w:rFonts w:ascii="Times New Roman" w:cs="Times New Roman" w:eastAsia="Times New Roman" w:hAnsi="Times New Roman"/>
                <w:sz w:val="9"/>
                <w:szCs w:val="9"/>
                <w:b w:val="1"/>
                <w:bCs w:val="1"/>
                <w:color w:val="auto"/>
              </w:rPr>
              <w:t>(1)</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3" w:lineRule="exact"/>
        <w:rPr>
          <w:sz w:val="20"/>
          <w:szCs w:val="20"/>
          <w:color w:val="auto"/>
        </w:rPr>
      </w:pPr>
    </w:p>
    <w:p>
      <w:pPr>
        <w:ind w:left="5540" w:right="5180" w:hanging="5532"/>
        <w:spacing w:after="0" w:line="495" w:lineRule="auto"/>
        <w:tabs>
          <w:tab w:leader="none" w:pos="3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written off as uncollectible or transferred to other accounts or utilized.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agreements, current portion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 NET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amounted to $1.8 million and $2.3 million for the six months ended June 30, 2022 and 2021, respectively ($0.9 million and $1.2 million for the second quarter of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122" w:lineRule="exact"/>
        <w:rPr>
          <w:sz w:val="20"/>
          <w:szCs w:val="20"/>
          <w:color w:val="auto"/>
        </w:rPr>
      </w:pPr>
    </w:p>
    <w:p>
      <w:pPr>
        <w:ind w:right="530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NOTE 7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9"/>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2"/>
                <w:szCs w:val="12"/>
                <w:color w:val="auto"/>
              </w:rPr>
            </w:pPr>
          </w:p>
        </w:tc>
        <w:tc>
          <w:tcPr>
            <w:tcW w:w="1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2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$1.7 million and $4.5 million for the six months ended June 30, 2022 and 2021, respectively ($0.6 million and $2.6 million for the second quarter of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10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 and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30,681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each reportable segment represents a reporting unit. Goodwill was allocated to each reporting unit based on the relative fair value of each of our reporting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5"/>
                <w:szCs w:val="15"/>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5"/>
                <w:szCs w:val="15"/>
                <w:color w:val="auto"/>
              </w:rPr>
            </w:pPr>
          </w:p>
        </w:tc>
        <w:tc>
          <w:tcPr>
            <w:tcW w:w="22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80" w:type="dxa"/>
            <w:vAlign w:val="bottom"/>
            <w:gridSpan w:val="2"/>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20" w:type="dxa"/>
            <w:vAlign w:val="bottom"/>
          </w:tcPr>
          <w:p>
            <w:pPr>
              <w:spacing w:after="0"/>
              <w:rPr>
                <w:sz w:val="17"/>
                <w:szCs w:val="17"/>
                <w:color w:val="auto"/>
              </w:rPr>
            </w:pPr>
          </w:p>
        </w:tc>
        <w:tc>
          <w:tcPr>
            <w:tcW w:w="9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Customer related intangible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9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$2.6 million and $5.5 million for the six months ended June 30, 2022 and 2021, respectively ($1.3 million and $2.9 million for the second quarter of 2022 and 2021, respectively). Forecasted annual definite lived intangible asset amortization expense for 2022 through 2026 is $5.1 million, $5.1 million, $5.1 million, $5.1 million and $4.9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400" w:type="dxa"/>
            <w:vAlign w:val="bottom"/>
            <w:tcBorders>
              <w:bottom w:val="single" w:sz="8" w:color="auto"/>
            </w:tcBorders>
            <w:vMerge w:val="continue"/>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ind w:right="318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NOTE 10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9"/>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 general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secured term loans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244,078</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Credit Facility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Altisource terminated the revolving credit facility on December 1, 2021. Altisource Portfolio Solutions S.A. and certain subsidiaries are guarantors of the Term B Loans (collectively, the “Guarantors”).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mandatory repayments of the Term B Loans except as set forth below until the April 2024 maturity when the balance is due.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in accordance with the provisions of the Credit Agreement (the percentage increases if our leverage ratio exceeds 3.50 to 1.00).</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June 30, 2022 was 5.01%.</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debt issuance costs were $1.2 million, net of $3.3 million of accumulated amortization. As of December 31, 2021, debt issuance costs were $1.6 million, net of $2.9 million of accumulated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June 30,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amounts borrowed pursuant to the Credit Facility will amortize over the three-year term as follows: on June 22, 2022, the difference between the then outstanding balance above $15.0 million and $15.0 million, on June 22, 2023, the difference between the then outstanding balance above $10.0 million and $10.0 million, and on June 22, 2024, the then outstanding balance of the loan will be due and payable by Altisource.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there was no outstanding debt under the Credit Facility. As of June 30, 2022 and December 31, 2021, debt issuance costs were $0.4 million, net of $0.2 million of accumulated amortization, and $0.4 million, net of $0.1 million of accumulated amortization,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auto"/>
            </w:tcBorders>
            <w:vMerge w:val="continue"/>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38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June 30, 2022 and December 31, 2021. The following fair values are estimated using market information and what the Company believes to be appropriate valuation methodologies under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receivable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Altisource is scheduled to receive, assuming no indemnification claims, $3.5 million on the first anniversary of the sale closing (See Note 3 for additional information). We measure short-term receivables without a stated interest rate based on the present value of the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40% and 37% of its revenue from Ocwen for the three and six months ended June 30, 2022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25"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2022, approximately 2.4 million shares of common stock remain available for repurchase under the program. There were no purchases of shares of common stock during the six months ended June 30, 2022 and 2021. Luxembourg law limits share repurchases to the balance of Altisource Portfolio Solutions S.A. (unconsolidated parent company) retained earnings, less the value of shares repurchased. As of June 30, 2022, we can repurchase up to approximately $72 million of our common stock under Luxembourg law. Our Credit Agreement also limits the amount we can spend on share repurchases, which limit was approximately $420 million as of June 30, 2022, and may prevent repurchases in certain circumstances, including if our leverage ratio exceeds 3.50 to 1.00.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$2.6 million and $2.1 million for the six months ended June 30, 2022 and 2021, respectively ($1.3 million and $0.6 million for the second quarter of 2022 and 2021, respectively). As of June 30, 2022, estimated unrecognized compensation costs related to share-based awards amounted to $5.4 million, which we expect to recognize over a weighted average remaining requisite service period of approximately 1.51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185 thousand service-based options were outstanding as of June 30, 2022.</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June 30, 2022.</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450 thousand performance-based options outstanding as of June 30, 2022.</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105 thousand stock options (at a weighted average exercise price of $11.86 per share) for the six months ended June 30, 2022 (no comparative amount for the six months ended June 30,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 The following assumptions were used to determine the fair values as of the grant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5"/>
        </w:trPr>
        <w:tc>
          <w:tcPr>
            <w:tcW w:w="9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30, 2022</w:t>
            </w:r>
          </w:p>
        </w:tc>
      </w:tr>
      <w:tr>
        <w:trPr>
          <w:trHeight w:val="195"/>
        </w:trPr>
        <w:tc>
          <w:tcPr>
            <w:tcW w:w="9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Black-Scholes</w:t>
            </w:r>
          </w:p>
        </w:tc>
      </w:tr>
      <w:tr>
        <w:trPr>
          <w:trHeight w:val="202"/>
        </w:trPr>
        <w:tc>
          <w:tcPr>
            <w:tcW w:w="9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0" w:type="dxa"/>
            <w:vAlign w:val="bottom"/>
            <w:vMerge w:val="restart"/>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 average grant date fair value of stock options granted per share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stock options that vested</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47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24"/>
                <w:szCs w:val="24"/>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687,339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(61,800)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730,539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542,290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and market-based awards.</w:t>
      </w:r>
    </w:p>
    <w:p>
      <w:pPr>
        <w:spacing w:after="0" w:line="10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 to four year periods with vesting in equal annual installments. A total of 413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service-based awards were outstanding as of June 30, 2022.</w:t>
      </w:r>
    </w:p>
    <w:p>
      <w:pPr>
        <w:spacing w:after="0" w:line="10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154 thousand performance-based awards were outstanding as of June 30, 2022.</w:t>
      </w:r>
    </w:p>
    <w:p>
      <w:pPr>
        <w:spacing w:after="0" w:line="12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of these awards generally vest on the one year anniversary of the initial vesting. The Company estimates the grant date fair value of these awards using a lattice (binomial) model. A total of 112 thousand market-based awards were outstanding as of June 30, 2022.</w:t>
      </w:r>
    </w:p>
    <w:p>
      <w:pPr>
        <w:spacing w:after="0" w:line="119"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98 thousand performance-based and market-based awards were outstanding as of June 30, 2022.</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440 thousand restricted share units (at a weighted average grant date fair value of $10.69 per share) during the six months ended June 30, 2022. These grants include 46 thousand performance-based awards that include both a performance condition and a market condition and 46 thousand performance-based awards, for the six months ended June 30, 2022. The Company granted 29 thousand performance-based awards that include both a performance condition and a market condition and 88 thousand performance-based awards, for the six months ended June 30,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8"/>
        </w:trPr>
        <w:tc>
          <w:tcPr>
            <w:tcW w:w="960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r>
      <w:tr>
        <w:trPr>
          <w:trHeight w:val="702"/>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tc>
        <w:tc>
          <w:tcPr>
            <w:tcW w:w="1640" w:type="dxa"/>
            <w:vAlign w:val="bottom"/>
          </w:tcPr>
          <w:p>
            <w:pPr>
              <w:spacing w:after="0"/>
              <w:rPr>
                <w:sz w:val="24"/>
                <w:szCs w:val="24"/>
                <w:color w:val="auto"/>
              </w:rPr>
            </w:pPr>
          </w:p>
        </w:tc>
      </w:tr>
      <w:tr>
        <w:trPr>
          <w:trHeight w:val="326"/>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6"/>
        </w:trPr>
        <w:tc>
          <w:tcPr>
            <w:tcW w:w="96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6"/>
        </w:trPr>
        <w:tc>
          <w:tcPr>
            <w:tcW w:w="96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02"/>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677,175</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440,072</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rPr>
              <w:t>(200,078)</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Times New Roman" w:cs="Times New Roman" w:eastAsia="Times New Roman" w:hAnsi="Times New Roman"/>
                <w:sz w:val="18"/>
                <w:szCs w:val="18"/>
                <w:color w:val="auto"/>
              </w:rPr>
              <w:t>(140,831)</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64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9"/>
              </w:rPr>
              <w:t>776,338</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8"/>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75,401</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92,046</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335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96,506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Disaggregation of total revenues by segment and major source is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9"/>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80" w:type="dxa"/>
            <w:vAlign w:val="bottom"/>
          </w:tcPr>
          <w:p>
            <w:pPr>
              <w:spacing w:after="0"/>
              <w:rPr>
                <w:sz w:val="12"/>
                <w:szCs w:val="12"/>
                <w:color w:val="auto"/>
              </w:rPr>
            </w:pPr>
          </w:p>
        </w:tc>
        <w:tc>
          <w:tcPr>
            <w:tcW w:w="154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13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200"/>
        </w:trPr>
        <w:tc>
          <w:tcPr>
            <w:tcW w:w="5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2,523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2,523</w:t>
            </w: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2,529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9"/>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80" w:type="dxa"/>
            <w:vAlign w:val="bottom"/>
          </w:tcPr>
          <w:p>
            <w:pPr>
              <w:spacing w:after="0"/>
              <w:rPr>
                <w:sz w:val="12"/>
                <w:szCs w:val="12"/>
                <w:color w:val="auto"/>
              </w:rPr>
            </w:pPr>
          </w:p>
        </w:tc>
        <w:tc>
          <w:tcPr>
            <w:tcW w:w="1540" w:type="dxa"/>
            <w:vAlign w:val="bottom"/>
            <w:gridSpan w:val="6"/>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9"/>
        </w:trPr>
        <w:tc>
          <w:tcPr>
            <w:tcW w:w="5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2,420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1,663</w:t>
            </w: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40,712</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3"/>
              </w:rPr>
              <w:t>3,393</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1,936</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5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560" w:type="dxa"/>
            <w:vAlign w:val="bottom"/>
            <w:gridSpan w:val="2"/>
            <w:vMerge w:val="continue"/>
          </w:tcPr>
          <w:p>
            <w:pPr>
              <w:spacing w:after="0"/>
              <w:rPr>
                <w:sz w:val="12"/>
                <w:szCs w:val="12"/>
                <w:color w:val="auto"/>
              </w:rPr>
            </w:pP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0" w:type="dxa"/>
            <w:vAlign w:val="bottom"/>
          </w:tcPr>
          <w:p>
            <w:pPr>
              <w:spacing w:after="0"/>
              <w:rPr>
                <w:sz w:val="1"/>
                <w:szCs w:val="1"/>
                <w:color w:val="auto"/>
              </w:rPr>
            </w:pPr>
          </w:p>
        </w:tc>
      </w:tr>
      <w:tr>
        <w:trPr>
          <w:trHeight w:val="46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3"/>
                <w:szCs w:val="13"/>
                <w:color w:val="auto"/>
              </w:rPr>
            </w:pPr>
          </w:p>
        </w:tc>
        <w:tc>
          <w:tcPr>
            <w:tcW w:w="12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5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8"/>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85,963</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96,506</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4). Our contract liabilities consist of current deferred revenue and other non-current liabilities as reported on the accompanying condensed consolidated balance sheets. Revenue recognized that was included in the contract liability at the beginning of the period was $2.9 million and $3.8 million for the six months ended June 30, 2022 and 2021, respectively ($1.2 million and $1.6 million for the second quarter of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40,484</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6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0" w:type="dxa"/>
            <w:vAlign w:val="bottom"/>
          </w:tcPr>
          <w:p>
            <w:pPr>
              <w:spacing w:after="0"/>
              <w:rPr>
                <w:sz w:val="1"/>
                <w:szCs w:val="1"/>
                <w:color w:val="auto"/>
              </w:rPr>
            </w:pPr>
          </w:p>
        </w:tc>
      </w:tr>
      <w:tr>
        <w:trPr>
          <w:trHeight w:val="230"/>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2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2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18 — OTHER (EXPENSE) INCOME,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 net consists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206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6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an income tax provision of $2.4 million and $1.4 million for the six months ended June 30, 2022 and 2021, respectively ($1.5 million and $0.6 million for the second quarter of 2022 and 2021, respectively). The income tax provision for the six months ended June 30,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9"/>
        </w:trPr>
        <w:tc>
          <w:tcPr>
            <w:tcW w:w="6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5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8"/>
        </w:trPr>
        <w:tc>
          <w:tcPr>
            <w:tcW w:w="64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15,774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1.3 million and 1.6 million, respectively (1.2 million and 1.5 million for the second quarter of 2022 and 2021, respectively), stock options, restricted shares and restricted share units, were excluded from the computation of loss per share, as a result of the following:</w:t>
      </w:r>
    </w:p>
    <w:p>
      <w:pPr>
        <w:spacing w:after="0" w:line="122" w:lineRule="exact"/>
        <w:rPr>
          <w:sz w:val="20"/>
          <w:szCs w:val="20"/>
          <w:color w:val="auto"/>
        </w:rPr>
      </w:pPr>
    </w:p>
    <w:p>
      <w:pPr>
        <w:jc w:val="both"/>
        <w:ind w:left="50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and 2021, 0.2 million and 0.3 million, respectively (0.1 million and 0.3 million for the second quarter of 2022 and 2021, respectively), stock options, restricted shares and restricted share units were anti-dilutive and have been excluded from the computation of diluted loss per share because the Company incurred a net loss</w:t>
      </w:r>
    </w:p>
    <w:p>
      <w:pPr>
        <w:spacing w:after="0" w:line="13"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six months ended June 30, 2022 and 2021, 0.2 million (0.2 million for both the second quarter of 2022 and 2021), stock options were anti-dilutive and have been excluded from the computation of diluted loss per share because their exercise price was greater than the average market price of our common stock</w:t>
      </w:r>
    </w:p>
    <w:p>
      <w:pPr>
        <w:spacing w:after="0" w:line="13"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and 2021, 0.9 million and 1.1 million, respectively (0.9 million and 1.0 million for the second quarter of 2022 and 2021,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during the six months ended June 30, 2022, Ocwen was our largest customer, accounting for 37% of our total revenue (40% of our revenue for the second quarter of 2022). Additionally, 6% of our revenue for the six months ended June 30, 2022 (7% of our revenue for the second quarter of 2022) was earned on the loan portfolios serviced by Ocwen, when a party other than Ocwen or the MSRs owner selected Altisource as the service provider.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2022, approximately 19% of loans serviced and subserviced by Ocwen (measured in UPB) were related to NRZ MSRs or rights to MSRs.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NRZ changes significantly, including Ocwen’s sub-servicing arrangement with NRZ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Management cannot predict whether any of these events will occur or the amount of any impact they may have on Altisource. </w:t>
      </w:r>
      <w:r>
        <w:rPr>
          <w:rFonts w:ascii="Times New Roman" w:cs="Times New Roman" w:eastAsia="Times New Roman" w:hAnsi="Times New Roman"/>
          <w:sz w:val="18"/>
          <w:szCs w:val="18"/>
          <w:b w:val="1"/>
          <w:bCs w:val="1"/>
          <w:color w:val="auto"/>
        </w:rPr>
        <w:t>Leases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$0.4 million for the six months ended June 30, 2022 and 2021 ($0.1 million for the second quarter of 2022 and 2021). The amortization periods of right-of-use assets are generally limited by the expected lease term. Our leases generally have expected lease terms at adoption of one to six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is as follows for the six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46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 activity during the period is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24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9"/>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used in operating activities for amounts included in the measurement of lease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(twelve months or less) lease costs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June 30, 2022 are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7"/>
        </w:trPr>
        <w:tc>
          <w:tcPr>
            <w:tcW w:w="65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9"/>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$21.9 million and $27.5 million as of June 30, 2022 and December 31,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includes Pointillist (sold on December 1, 2021), interest expense and costs related to corporate functions including executive, infrastructure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technology groups, finance, law,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human resources, vendor management, facilities, risk management, as well as eliminations between reportable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0" w:type="dxa"/>
            <w:vAlign w:val="bottom"/>
          </w:tcPr>
          <w:p>
            <w:pPr>
              <w:spacing w:after="0"/>
              <w:rPr>
                <w:sz w:val="1"/>
                <w:szCs w:val="1"/>
                <w:color w:val="auto"/>
              </w:rPr>
            </w:pPr>
          </w:p>
        </w:tc>
      </w:tr>
      <w:tr>
        <w:trPr>
          <w:trHeight w:val="21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14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35,442</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(39,142)</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24"/>
                <w:szCs w:val="2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24"/>
                <w:szCs w:val="24"/>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224,839</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primarily located in the United States. Premises and equipment, net consist of the following, by country: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vMerge w:val="continue"/>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32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5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4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4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490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2021 filed with the Securities and Exchange Commission (“SEC”) on March 3, 2022. We determined that as of June 30, 2021, Altisource qualifies as a smaller reporting company (“SRC”) pursuant to Regulation S-K promulgated by the SEC (“Reg. S-K”) since its public float (as defined by Reg. S-K) was less than $250 million as of such date. We have elected to file as an SRC. Altisource remains an accelerated filer for SEC filing purposes based on its annual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63"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in response to lower revenue due to COVID-19, or other factors;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2021 including:</w:t>
      </w:r>
    </w:p>
    <w:p>
      <w:pPr>
        <w:spacing w:after="0" w:line="108"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anticipated increase in default related referrals following the expiration of foreclosure and eviction moratoriums, forbearance programs and temporary governmental loss mitigation requirements, the timing of the expiration of such moratoriums, programs and requirements, and any other delays occasioned by government, investor or servicer actions;</w:t>
      </w:r>
    </w:p>
    <w:p>
      <w:pPr>
        <w:spacing w:after="0" w:line="13"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68" w:lineRule="exact"/>
        <w:rPr>
          <w:sz w:val="20"/>
          <w:szCs w:val="20"/>
          <w:color w:val="auto"/>
        </w:rPr>
      </w:pPr>
    </w:p>
    <w:p>
      <w:pPr>
        <w:jc w:val="both"/>
        <w:ind w:left="660" w:right="20"/>
        <w:spacing w:after="0" w:line="230" w:lineRule="auto"/>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online real estate auction platform and real estate auction, real estate brokerage and asset management services.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68"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single family rental data, analytics and rent-based valuation solution), REALSynergy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 automated valuation model and analytics solution).</w:t>
      </w:r>
    </w:p>
    <w:p>
      <w:pPr>
        <w:spacing w:after="0" w:line="1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ADMS (a document management and data analytics delivery platform), and automated valuation technology.</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Pointillist, Inc. (“Pointillist”) (sold on December 1, 2021), interest expense and costs related to corporate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executive, infrastructure and certain technology groups, finance, law, compliance, human resources, vendor management, facilities, risk management and eliminations between reportable segments.</w:t>
      </w:r>
    </w:p>
    <w:p>
      <w:pPr>
        <w:spacing w:after="0" w:line="12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Pointillist (sold on December 1, 2021), interest expense and costs related to corporate functions including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certain technology groups, finance, law, compliance, human resources, vendor management, facilities, risk management and eliminations between reportable segments. We developed the Pointillist business through our consumer analytics capabilities. On December 1, 2021, the shareholders of Pointillist sold all of the equity interests in Pointillist to Genesys Cloud Services, Inc. for $150.0 million. On a fully diluted basis, we owned approximately 69% of the equity of Pointillist. After working capital and other applicable adjustments, we received approximately $106.0 million from the sale of our Pointillist equity and the collection of outstanding receivables, with $102.2 million received at closing, approximately $0.3 million deposited into the Working Capital Escrow and approximately $3.5 million deposited into the Indemnification Escrow. The Working Capital Escrow was received on May 9,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beginning in March 2020, various governmental entities and servicers implemented unprecedented foreclosure and eviction moratoriums, forbearance programs and loss mitigation measures to help mitigate the impact to borrowers and renters. As a result of these measures and other related actions, industry wide foreclosure initiations were 89% lower for the six months ended June 30, 2022 compared to the same pre-COVID-19 period in 2019. The Federal government’s foreclosure moratorium expired on July 1, 2021 and the Consumer Financial Protection Bureau’s (“CFPB’s”) temporary loss mitigation measures expired on December 31, 2021. As a result, industry-wide foreclosure initiations were 451% higher for the six months ended June 30, 2022 compared to the same period in 2021, although still 42% lower than the same pre-COVID-19 period in 2019. The decline in foreclosure initiations throughout the pandemic resulted in significantly lower REO referrals to Altisource and negatively impacted virtually all of Altisource’s default related services performed on delinquent loans, loans in foreclosure and REO.</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same time, beginning in March 2020 the Federal Reserve lowered the target for the federal funds rate to 0% to 0.25% and bought billions of dollars of mortgage backed securities on the secondary market to reduce interest rates. As a result of the lower interest rate environment, mortgage originations were 34% higher for the six months ended June 30, 2021 compared to the same period in 2020 (according to the Mortgage Bankers Association) driving higher demand for origination related services. In November of 2021, the Federal Reserve began reducing the volume of mortgage backed securities it was purchasing and ended its monthly purchases in March 2022. Additionally, the Federal Reserve increased the target for the federal funds rate to 1.50% to 1.75% in June 2022. As a result of the higher interest rate environment, mortgage originations were 36% lower for the six months ended June 30, 2022 compared to the same period in 2021 (according to the Mortgage Bankers Association).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predict the duration of the pandemic and future governmental measures. Based on the expirations of the Federal government’s foreclosure and eviction moratoriums and the CFPB’s rules on temporary loss mitigation measures, we believe the demand for our Default business will grow in 2022 and stabilize during 2023 when we anticipate foreclosures commenced after the expiration of the foreclosure moratoriums, forbearance plans and temporary loss mitigation rules become REO and are sold. We further anticipate that despite the forecasted decline in origination volumes in 2022 compared to 2021 and increase in the target federal funds rate, our Origination business may outperform the market for the full year compared to 2021 from new customer wins, and cross selling existing and new offerings to customers that are intended to help reduce their costs.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and 2022,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(3) grow Lenders One membership, launch new solutions and increase customer adoption of our solutions to accelerate the growth of our origination business, and (4) generate cash from the 2021 sale of Pointillist.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2022, approximately 2.4 million shares of common stock remain available for repurchase under the program. There were no purchases of shares of common stock during the six months ended June 30, 2022 and 2021. Luxembourg law limits share repurchases to the balance of Altisource Portfolio Solutions S.A. (unconsolidated parent company) retained earnings, less the value of shares repurchased. As of June 30, 2022, we can repurchase up to approximately $72 million of our common stock under Luxembourg law. Our senior secured term loan agreement also limits the amount we can spend on share repurchases, which limit was approximately $420 million as of June 30, 2022, and may prevent repurchases in certain circumstances, including if our leverage ratio exceeds 3.50 to 1.00.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Ocwen was our largest customer, accounting for 37% of our total revenue for the six months ended June 30, 2022 (40% of our revenue for the second quarter of 2022). Additionally, 6% of our revenue for the six months ended June 30, 2022 (7% of our revenue for the second quarter of 2022) was earned on the loan portfolios serviced by Ocwen, when a party other than Ocwen or the mortgage servicing rights (“MSRs”) owner selected Altisource as the service provider.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2022, approximately 19% of loans serviced and subserviced by Ocwen (measured in unpaid principal balance) were related to NRZ MSRs or rights to MSRs.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NRZ changes significantly, including Ocwen’s sub-servicing arrangement with NRZ expiring without renewal, and this change results in a change in our status as a provider of services related to the NRZ MSRs or rights to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Industrywide foreclosure initiations were 451% higher for January through May 2022 compared to the same period in 2021 as the foreclosure market begins to normalize following the Federal government’s foreclosure moratorium expiration on July 1, 2021 and the CFPB’s temporary loss mitigation measures expiration on December 31, 2021.</w:t>
      </w:r>
    </w:p>
    <w:p>
      <w:pPr>
        <w:spacing w:after="0" w:line="13" w:lineRule="exact"/>
        <w:rPr>
          <w:rFonts w:ascii="Times New Roman" w:cs="Times New Roman" w:eastAsia="Times New Roman" w:hAnsi="Times New Roman"/>
          <w:sz w:val="18"/>
          <w:szCs w:val="18"/>
          <w:b w:val="1"/>
          <w:bCs w:val="1"/>
          <w:color w:val="auto"/>
        </w:rPr>
      </w:pPr>
    </w:p>
    <w:p>
      <w:pPr>
        <w:ind w:left="660" w:hanging="328"/>
        <w:spacing w:after="0" w:line="279"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Industrywide mortgage originations were 36% lower for the six months ended June 30, 2022 compared to the same period in 2021 resulting from a higher interest rate environment.</w:t>
      </w:r>
    </w:p>
    <w:p>
      <w:pPr>
        <w:spacing w:after="0" w:line="4"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 2021 the shareholders of Pointillist, a majority owned subsidiary of Altisource, sold all of the equity interests in Pointillist. For the three and six months ended 2021, service revenue from Pointillist was $1.0 million and $1.5 million, respectively, and loss before income taxes and non-controlling interest was $2.3 million and $4.4 million, respectively (no comparative amounts for the three and six months ended June 30, 2022).</w:t>
      </w:r>
    </w:p>
    <w:p>
      <w:pPr>
        <w:spacing w:after="0" w:line="58" w:lineRule="exact"/>
        <w:rPr>
          <w:rFonts w:ascii="Times New Roman" w:cs="Times New Roman" w:eastAsia="Times New Roman" w:hAnsi="Times New Roman"/>
          <w:sz w:val="18"/>
          <w:szCs w:val="18"/>
          <w:b w:val="1"/>
          <w:bCs w:val="1"/>
          <w:color w:val="auto"/>
        </w:rPr>
      </w:pPr>
    </w:p>
    <w:p>
      <w:pPr>
        <w:jc w:val="both"/>
        <w:ind w:left="660" w:hanging="328"/>
        <w:spacing w:after="0" w:line="243" w:lineRule="auto"/>
        <w:tabs>
          <w:tab w:leader="none" w:pos="65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Company recognized an income tax provision of $2.4 million and $1.4 million for the six months ended June 30, 2022 and 2021, respectively ($1.5 million and $0.6 million for the second quarter of 2022 and 2021, respectively). The income tax provision for the three and six months ended June 30,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4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Servicer and Real Estate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29,424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28,487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56,581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59,163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Origination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31,361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and Others</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service revenue</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37,638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43,966</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75,401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92,046</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3,949</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46,041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79,937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96,506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94,195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16,556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28,499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35,442</w:t>
            </w:r>
          </w:p>
        </w:tc>
        <w:tc>
          <w:tcPr>
            <w:tcW w:w="0" w:type="dxa"/>
            <w:vAlign w:val="bottom"/>
          </w:tcPr>
          <w:p>
            <w:pPr>
              <w:spacing w:after="0"/>
              <w:rPr>
                <w:sz w:val="1"/>
                <w:szCs w:val="1"/>
                <w:color w:val="auto"/>
              </w:rPr>
            </w:pPr>
          </w:p>
        </w:tc>
      </w:t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(14,552)</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(33,131)</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34"/>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8"/>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38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3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(18,070)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(39,142)</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4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(18,654)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(40,569)</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(income) loss attributable to non-</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2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(18,475)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(40,477)</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Margins: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profit/service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operations/service revenue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4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16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4"/>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15,830</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15,774</w:t>
            </w: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15,830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-4396740</wp:posOffset>
            </wp:positionV>
            <wp:extent cx="711517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-3985260</wp:posOffset>
            </wp:positionV>
            <wp:extent cx="711517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1517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1517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15175"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15175"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1517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1517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1517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1517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1517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1517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1517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320</w:t>
      </w:r>
    </w:p>
    <w:p>
      <w:pPr>
        <w:spacing w:after="0" w:line="200" w:lineRule="exact"/>
        <w:rPr>
          <w:sz w:val="20"/>
          <w:szCs w:val="20"/>
          <w:color w:val="auto"/>
        </w:rPr>
      </w:pPr>
    </w:p>
    <w:p>
      <w:pPr>
        <w:spacing w:after="0" w:line="2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36</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69</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w:t>
      </w:r>
    </w:p>
    <w:p>
      <w:pPr>
        <w:spacing w:after="0" w:line="2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w:t>
      </w:r>
    </w:p>
    <w:p>
      <w:pPr>
        <w:spacing w:after="0" w:line="969" w:lineRule="exact"/>
        <w:rPr>
          <w:sz w:val="20"/>
          <w:szCs w:val="20"/>
          <w:color w:val="auto"/>
        </w:rPr>
      </w:pPr>
    </w:p>
    <w:p>
      <w:pPr>
        <w:sectPr>
          <w:pgSz w:w="11900" w:h="16838" w:orient="portrait"/>
          <w:cols w:equalWidth="0" w:num="2">
            <w:col w:w="10160" w:space="700"/>
            <w:col w:w="38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service revenue of $75.4 million for the six months ended June 30, 2022, an 18% decrease compared to the six months ended June 30, 2021 ($37.6 million for the second quarter of 2022, a 14% decrease compared to the second quarter of 2021).</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decrease in service revenue in the Servicer and Real Estate segment for the six months ended June 30, 2022 is primarily from lower revenue in our Solutions business, partially offset by slightly higher revenue in our Marketplace business. The decline in our Solutions business is primarily driven by fewer preservation referrals per property in the Field Services business, partially offset by higher revenue in the other Solutions businesses. Revenue in the other Solutions businesses grew as the default market began to recover following the expiration of the pandemic related borrower relief measures. The increase in the Marketplace business is driven by a higher number of homes sold, partially offset by lower average sales prices and lower commission rate from a higher percentage of foreclosure auctions. For the three months ended June 30, 2022 the increase in service revenue is driven by an increase in our Solutions business as the default market begins to recover, partially offset by lower revenue in our Marketplace business from lower average sales price and lower commission rate from a higher percentage of foreclosures auctions, partially offset by a higher number of homes sold.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service revenue in the Origination segment for the three and six months ended June 30, 2022 was primarily driven by the overall market decline in mortgage originations. The decline in Lenders One revenue was lower than the overall market decline as we gained traction with our solutions that are designed to help our members save money. The decline in the Solutions business revenue was greater than the overall market decline as customers transitioned services in-house to retain their employees in some of our Solutions businesses and a greater percentage of revenue in some of these businesses was derived from refinance transactions which declined faster than the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service revenue in Corporate and Other was from the December 2021 Pointillist sale.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reimbursable expense revenue of $4.2 million for the six months ended June 30, 2022, a 6% increase compared to the six months ended June 30, 2021 ($2.6 million for the second quarter of 2022, a 35% increase compared to the second quarter of 2021). The increase in reimbursable expenses for the six months ended June 30, 2022 was from a higher volume of asset resolution activities.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cost of revenue of $70.2 million for the six months ended June 30, 2022, a 25% decrease compared to the six months ended June 30, 2021 ($36.4 million for the second quarter of 2022, a 17% decrease compared to the second quarter of 2021). Compensation and benefits for the three and six months ended June 30, 2022 decreased primarily due to cash cost savings measures taken in 2021 and the December 2021 sale of Pointillist. Outside fees and services for the six months ended June 30, 2022 decreased primarily from lower service revenue in the Field Services business within the Solutions business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Servicer and Real Estate segment, discussed in the revenue section above. Outside fees and services for the three months ended June 30, 2022 decreased primarily from lower service revenue in the Origination segment, discussed in the revenue section above. In addition, the increases in reimbursable expenses were consistent with the changes in reimbursable expense revenue discussed in the revenue section above.</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Gross profit increased to $9.7 million, representing 13% of service revenue, for the six months ended June 30, 2022 compared to $2.3 million, representing 3% of service revenue, for the six months ended June 30, 2021 (increased to $4.1 million, representing 11% of service revenue, for the second quarter of 2022, compared to $2.0 million, representing 5% of service revenue, for the second quarter of 2021). Gross profit as a percentage of service revenue for the three and six months ended June 30, 2022 increased compared to the three and six months ended June 30, 2021 primarily due to revenue mix with higher revenue from the higher margin businesses in Servicer and Real Estate, the December 1, 2021, Pointillist sale and our COVID-19 cash cost savings measures, partially offset by lower gross profit margin in the Origination business from lower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for the six months ended June 30, 2022 of $28.5 million decreased by 20% compared to the six months ended June 30, 2021 ($14.5 million for the second quarter of 2022, a 12% decrease compared to the second quarter of 2021). Compensation and benefits for the six months ended June 30, 2022 decreased primarily due to cash cost savings measures taken in the first half of 2021. Occupancy related costs for the three and six months ended June 30, 2022 decreased primarily from facility consolidation initiatives. For the three and six months ended June 30, 2022, the decreases in amortization of intangible assets were driven by the completion of the amortization period of certain intangible assets during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from operations for the six months ended June 30, 2022 was $(18.8) million, representing (25)% of service revenue, compared to $(33.1) million, representing (36)% of service revenue, for the six months ended June 30, 2021 (decreased to $(10.5) million, representing (28)% of service revenue, for the second quarter of 2022, compared to $(14.6) million, representing (33)% of service revenue for the second quarter of 2021). Loss from operations as a percentage of service revenue improved for the three and six months ended June 30, 2022 compared to the three and six months ended June 30, 2021, primarily as a result of higher gross profit margins and, for the six months ended June 30, 2022, reductions in SG&amp;A expenses in excess of the change in revenue,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was $(6.2) million for the six months ended June 30, 2022 compared to $(6.0) million for the six months ended June 30, 2021 ($(3.3) million for the second quarter of 2022 and $(3.5) million for the second quarter of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for the six months ended June 30, 2022 was primarily driven by an increase of $0.2 million in interest expense driven by higher amortization of debt issuance costs and interest expense on our Credit Facility. The change for the three months ended June 30, 2022 was driven by lower interest expense on our Credit Facility ($0 outstanding in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an income tax provision of $2.4 million and $1.4 million for the six months ended June 30, 2022 and 2021, respectively ($1.5 million and $0.6 million for the second quarter of 2022 and 2021, respectively). The income tax provision for the three and six months ended June 30,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37,638</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31,947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40,421</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36,355</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14,525</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2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28,487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14,514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43,966</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30,150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46,041</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22,204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44,037</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16,556</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(14,552)</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2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56,581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75,401</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60,483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79,937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70,224</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28,499</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(18,786)</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(24,943)</w:t>
            </w:r>
          </w:p>
        </w:tc>
        <w:tc>
          <w:tcPr>
            <w:tcW w:w="0" w:type="dxa"/>
            <w:vAlign w:val="bottom"/>
          </w:tcPr>
          <w:p>
            <w:pPr>
              <w:spacing w:after="0"/>
              <w:rPr>
                <w:sz w:val="1"/>
                <w:szCs w:val="1"/>
                <w:color w:val="auto"/>
              </w:rPr>
            </w:pPr>
          </w:p>
        </w:tc>
      </w:tr>
      <w:tr>
        <w:trPr>
          <w:trHeight w:val="22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9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59,163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92,046</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96,506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47,975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94,195</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35,442</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(33,131)</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2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(39,142)</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Marketplace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service revenue of $56.6 million for the six months ended June 30, 2022, a 4% decrease compared to the six months ended June 30, 2021 ($29.4 million for the second quarter of 2022, a 3% increase compared to the second quarter of 2021). We also recognized reimbursable expense revenue of $3.9 million for the six months ended June 30, 2022, an 8% increase compared to the six months ended June 30, 2021 ($2.5 million for the second quarter of 2022, a 52% increase compared to the second quarter of 2021). The decrease in service revenue in the Servicer and Real Estate segment for the six months ended June 30, 2022 is primarily from lower revenue in our Solutions business, partially offset by marginally higher revenue in our Marketplace business. The decline in our Solutions business is primarily driven by fewer preservation referrals per property in the Field Services business, partially offset by higher revenue in the other Solutions businesses. Revenue in the other Solutions businesses grew as the default market began to recover following the expiration of the pandemic related borrower relief measures. The increase in the Marketplace business is driven by a higher number of homes sold, partially offset by lower average sales price and lower commission rate from a higher percentage of foreclosure auction sales.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 increase in service revenue is driven by an increase in our Solutions business as the default market continues to recover, partially offset by lower revenue in our Marketplace business from lower average sales price and lower commission rate from a higher percentage of foreclosure auction sales, partially offset by a higher number of homes sold.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5"/>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revenue for the six months ended June 30, 2022 of $42.2 million decreased by 12% compared to the six months ended June 30, 2021 ($22.4 million for the second quarter of 2022, a 1% increase compared to the second quarter of 2021). The decrease in cost of revenue for the six months ended June 30, 2022 was primarily driven by lower outside fees and services from lower Field Services revenue in the Solutions business, as discussed above, and lower compensation and benefits primarily due to cash cost savings measures taken in 2021. These decreases were partially offset by an increase in reimbursable expenses from a higher volume of asset resolution activities. The increase in cost of revenue for the three months ended June 30, 2022 was primarily driven by an increase in reimbursable expenses from a higher volume of asset resolution activities. This increase was largely offset by lower compensation and benefits primarily due to cash costs savings measures taken in 2021 and lower outside fees and services in the Field Services business in the Solutions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increased to $18.3 million, representing 32% of service revenue, for the six months ended June 30, 2022 compared to $14.8 million, representing 25% of service revenue, for the six months ended June 30, 2021 (increased to $9.5 million, representing 32% of service revenue, for the second quarter of 2022, compared to $7.9 million, representing 28% of service revenue, for the second quarter of 2021). Gross profit as a percentage of service revenue for the three and six months ended June 30, 2022 increased primarily due to revenue mix, with higher revenue from the higher margin Marketplace business and lower revenue from the lower margin property preservation business, and our COVID-19 cash cost savings measures. Our margins can vary substantially depending upon the service revenue mix.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six months ended June 30, 2022 of $6.3 million decreased by 15% compared to the six months ended June 30, 2021 ($3.2 million for the second quarter of 2022, a 9% decrease compared to the second quarter of 2021). The decrease in SG&amp;A for the three and six months ended June 30, 2022 was primarily due to lower amortization of intangible assets driven by the completion of the amortization period of certain intangible assets during 2021. These decreases were partially offset by higher compensation and benefits for the three and six months ended June 30, 2022 from the assignment of sales and marketing employees to the business segments beginning in January 1,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from operations increased to $12.0 million, representing 21% of service revenue, for the six months ended June 30, 2022 compared to $7.4 million, representing 13% of service revenue, for the six months ended June 30, 2021 (increased to $6.3 million, representing 21% of service revenue, for the second quarter of 2022, compared to $4.4 million, representing 15% of service revenue for the second quarter of 2021). The increase in operating income as a percentage of service revenue for the three and six months ended June 30, 2022 was primarily the result of higher gross profit margins, as discussed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Lenders One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service revenue of $18.8 million for the six months ended June 30, 2022, a 40% decrease compared to the six months ended June 30, 2021 ($8.2 million for the second quarter of 2022, a 43% decrease compared to the second quarter of 2021). We also recognized reimbursable expense revenue of $0.3 million for the six months ended June 30, 2022, a 7% decrease compared to the six months ended June 30, 2021 ($0.1 million for the second quarter of 2022, a 68% decrease compared to the second quarter of 2021). The decrease in service revenue in the Origination segment for the three and six months ended June 30, 2022 was primarily driven by the overall market decline in mortgage originations. The decline in Lenders One revenue for the three and six months ended June 30, 2022 was lower than the overall market decline from Lenders One member adoption of our newer product launches. The decline in the Solutions business revenue for the three and six months ended June 30, 2022 was greater than the overall market decline as some customers transitioned services in-house to retain their employees in some of our Solutions businesses and a greater percentage of revenue in some of these businesses was derived from refinance transactions which declined faster than the market.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5"/>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for the six months ended June 30, 2022 of $18.6 million decreased by 32% compared to the six months ended June 30, 2021 ($9.2 million for the second quarter of 2022, a 28% decrease compared to the second quarter of 2021). The decrease in cost of revenue for the three and six months ended June 30, 2022 was primarily driven by lower compensation and benefits and outside fees and services, consistent with the decrease in service revenue discussed above. In addition, the decrease in reimbursable expenses for the three and six months ended June 30, 2022 was consistent with the changes in reimbursable expense revenue discussed in the revenue section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to $0.9 million, representing 5% of service revenue, for the six months ended June 30, 2022 compared to $5.0 million, representing 16% of service revenue, for the six months ended June 30, 2021 (decreased to $(0.8) million, representing (9)% of service revenue, for the second quarter of 2022, compared to $2.0 million, representing 14% of service revenue for the second quarter of 2021). Gross profit as a percentage of service revenue decreased primarily as costs did not decline at the same rate that revenue declined.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six months ended June 30, 2022 of $4.3 million increased by 51% compared to the six months ended June 30, 2021 ($2.2 million for the second quarter of 2022, increased by 41% compared to the second quarter of 2021). The increase in SG&amp;A for the three and six months ended June 30, 2022 was primarily due to higher compensation and benefits from the assignment of sales and marketing employees to the business segments beginning in January 1, 2022. In addition, the increase in marketing costs and other for the six months ended June 30, 2022 was from Lenders One convention activities that were cancelled in first quarter of 2021 due to the pandemic.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 income from operations decreased to $(3.4) million, representing (18)% of service revenue, for the six months ended June 30, 2022 compared to $2.1 million, representing 7% of service revenue, for the six months ended June 30, 2021 (decreased to $(3.0) million, representing (36)% of service revenue, for the second quarter of 2022, compared to $0.5 million, representing 3% of service revenue for the second quarter of 2021). The decrease in operating (loss) income as a percentage of service revenue for the three and six months ended June 30, 2022 was primarily the result of lower gross profit margins and higher SG&amp;A costs, as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7"/>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9"/>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Pointillist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service revenue</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service revenue of $1.0 million and $1.5 million for the three and six months ended June 30, 2021, respectively (no comparative amount for the three and six months ended June 30, 2022). The decrease in service revenue for the three and six months ended June 30, 2022 was driven by the December 1, 2021, Pointillist sale.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for the six months ended June 30, 2022 of $9.5 million decreased by 50% compared to the six months ended June 30, 2021 ($4.7 million for the second quarter of 2022, a 48% decrease compared to the second quarter of 2021). The decrease in cost of revenue for the three and six months ended June 30, 2022 was primarily driven by lower compensation and benefits due to cash cost savings measures taken in 2021, the December 1, 2021 Pointillist sale and the assignment of sales and marketing employees to the business segments beginning in January 1, 2022. In addition, technology and telecommunications decreased due to lower service contract costs as a result of the December 1, 2021, Pointillist sale and cost savings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0" w:type="dxa"/>
            <w:vAlign w:val="bottom"/>
          </w:tcPr>
          <w:p>
            <w:pPr>
              <w:jc w:val="right"/>
              <w:ind w:right="74"/>
              <w:spacing w:after="0" w:line="15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94"/>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six months ended June 30, 2022 of $17.9 million decreased by 29% compared to the six months ended June 30, 2021 ($9.1 million for the second quarter of 2022, a 21% decrease compared to the second quarter of 2021). Compensation and benefits for the three and six months ended June 30, 2022 decreased primarily due to cash cost savings measures taken in 2021, and from the assignment of sales and marketing employees to the business segments beginning in January 1, 2022. In addition, the decrease in occupancy related costs for the three and six months ended June 30, 2022 primarily resulted from facility consolidation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$(6.2) million for the six months ended June 30, 2022 compared to $(6.0) million for the six months ended June 30, 2021 ($(3.3) million for the second quarter of 2022 and $(3.5) million for the second quarter of 2021). The change for the six months ended June 30, 2022 was primarily driven by an increase of $0.2 million in interest expense driven by higher amortization of debt issuance costs and interest expense of our Credit Facility. The change for the three months ended June 30, 2022 was driven by lower interest expense on our Credit Facility ($0 outstanding in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and cash on hand. However, due to the COVID-19 pandemic revenue has declined significantly. The lower revenue, partially offset by cost savings initiatives, resulted in negative operating cash flow from operations for six months ended June 30, 2022. To increase our liquidity we entered into a $20 million revolving credit facility during the second quarter of 2021 ($15 million available as of June 22, 2022). In addition, Altisource’s December 1, 2021 sale of its equity interest in Pointillist increased our liquidity. The Pointillist sale generated approximately $106.0 million in cash, with $102.2 million received at closing, approximately $0.3 million deposited into the Working Capital Escrow and received in May 2022, and approximately $3.5 million deposited into the Indemnification Escrow. Finally, we believe the anticipated 2022 revenue growth and revenue mix along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2018, Altisource Portfolio Solutions S.A. and its wholly-owned subsidiary, Altisource S.à r.l. entered into a credit agreement (the “Credit Agreement”) pursuant to which Altisource borrowed $412.0 million in the form of Term B Loans and obtained a $15.0 million revolving credit facility. The Term B Loans mature in April 2024. We terminated the revolving credit facility on December 1, 2021. As of June 30, 2022, the principal balance of the Term B Loans was $247.2 million.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maturity in April 2024, except as otherwise described herein and in the Credit Agreement.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on the Term B Loans as of June 30, 2022 was 5.01%, representing the sum of (i) the greater of (x) the Adjusted Eurodollar Rate for a three month interest period and (y) 1.00% plus (ii) 4.00%.</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June 30,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through June 22, 2023, and $10.0 million until the end of the term. Amounts that are repaid may be re-borrowed in accordance with the limitations set forth below.</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amounts borrowed pursuant to the Credit Facility will amortize over the three-year term as follows: on June 22, 2022, the difference between the then outstanding balance above $15.0 million and $15.0 million, will be due and payable by Altisource; on June 22, 2023, the difference between the then outstanding balance above $10.0 million and $10.0 million, will be due and payable by Altisource; and on June 22, 2024, the then outstanding balance of the loan will be due and payable by Altisource.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there was no outstanding debt under the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six months ended June 30: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5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six months ended June 30, 2022, net cash used in operating activities was $(25.8) million compared to net cash used in operating activities of $(22.8) million for the six months ended June 30, 2021. During the six months ended June 30, 2022, the increase in cash used in operating activities was driven by a $13.2 million decrease in net loss that was more than offset by a $2.9 million decrease in non-cash depreciation, amortization of intangibles and stock based compensation expenses, and a $13.5 million increase in cash used for working capital. The decrease in net loss was primarily due to higher gross profit during the six months ended June 30, 2022 from revenue mix with higher revenue from the higher margin businesses in Servicer and Real Estate, our cash cost savings measures, the sale of Pointillist and lower SG&amp;A expenses, partially offset by lower gross profit in the Origination business from lower revenue. The increase in cash used for changes in working capital was primarily driven by higher cash payments for annual incentive compensation bonuses in the first quarter of 2022 by $3.7 million and by an increase in accounts receivable of $0.8 million for the six months ended June 30, 2022 compared to a decrease in accounts receivable of $4.0 million during the six months ended June 30, 2021,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investing activities for the six months ended June 30, 2022 and 2021 consisted of additions to premises and equipment and proceeds from the sale of a business. Net cash (used in) provided by investing activities was $(0.3) million and $2.3 million for the six months ended June 30, 2022 and 2021, respectively. The change in cash provided by investing activities was driven by $3.0 million in proceeds received in the quarter ended March 31, 2021 in connection with the second installment from the August 2018 sale of the rental property management business to Front Yard Residential Corporation (“RESI”). In addition, we used $(0.6) million for the six months ended June 30, 2022 compared to $(0.7) million in 2021, for additions to premises and equipment primarily related to investments in the development of certain software applications and facility improvements.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from financing activities for the six months ended June 30, 2022 and 2021 primarily included payments of tax withholdings on issuance of restricted share units and restricted shares and distributions to non-controlling interests. Net cash used in financing activities were $(1.8) million and $(1.5) million for the six months ended June 30, 2022 and 2021, respectively. During the six months ended June 30, 2022 and 2021, we made payments of $(1.0) million and $(0.9)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six months ended June 30, 2022 and 2021, we distributed $(0.8) million and $(1.8) million, respectively, to non-controlling interests. During the six months ended June 30, 2021, we also received proceeds from the Pointillist convertible notes payable to related parties of $1.2 million (no comparable amount for the six months ended June 30,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Liquidity Requirements after June 30,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future short-term liquidity obligations primarily pertain to interest expense under the Credit Agreement (see Liquidity section above), lease payments and distributions to Lenders One members. During the next 12 months, we expect to pay $12.4 million of interest expense (assuming no further principal repayments and the June 30, 2022 interest rate) under the Credit Agreement and make lease payments of $2.2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balances and available borrowings under the Credit Facility, net of our anticipated cash flows used in operations, will be sufficient to meet our liquidity needs, including required interest and lease payments, for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Liquidity Requirements after June 30, 2022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future long-term liquidity obligations primarily pertain to long-term debt repayments, interest expense under the Credit Agreement (see Liquidity section above) and operating lease payments on certain of our premises and equipment. The outstanding balance of our Credit Agreement of $247.2 million is due on April 1, 2024. During 2023 and 2024, we expect to make total interest expense payments of $15.5 million under the Credit Agreement (estimated future interest payments based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as of June 30, 2022 and the April 1, 2024 maturity date). Based on the April 1, 2024 maturity date, no interest expense has been included beyond April 1, 2024. During 2023 and 2024, we expect to make total lease payments of $3.9 million. During 2025 and 2026 we expect to make total lease payments of $1.9 million. For further information, see Note 11 and Note 21 to the condensed consolidated financial statements.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long-term liquidity requirements with a combination of existing cash balances, cash anticipated to be generated by operating activities and anticipated proceeds from a refinancing of our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arrangements.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$21.9 million and $27.5 million as of June 30, 2022 and December 31,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there were no significant changes to our contractual obligations from those identified in our Form 10-K for the fiscal year ended December 31, 2021 and this Form 10-Q, other than those that occur in the normal course of business. See Note 21 to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2021 filed with the SEC on March 3, 2022. There have been no material changes to our critical accounting policies during the six months ended June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interest rate charged on the Term B Loan was 5.01%. The interest rate is calculated based on the Adjusted Eurodollar Rate for a three month interest period (as defined in the senior secured term loan agreement) with a minimum floor of 1.00% plus 4.00%.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and the Adjusted Eurodollar Rate as of June 30, 2022, a one percentage point increase in the Eurodollar rate above the minimum floor would increase our annual interest expense by approximately $2.5 million. There would be a $2.5 million decrease in our annual interest expense if there was a one percentage point decrease in the Eurodollar 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expenses incurred in Indian rupees for the second quarter of 2022, a one percentage point increase or decrease in value of the Indian rupee in relation to the United States dollar would increase or decrease our annual expenses by approximately $0.3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2022.</w:t>
      </w:r>
    </w:p>
    <w:p>
      <w:pPr>
        <w:spacing w:after="0" w:line="12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2021 filed with the SEC on March 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June 30, 2022.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June 30, 2022, the maximum number of shares that may be purchased under the repurchase program is 2.4 million shares of the Company’s common stock. In addition to the share repurchase program, during the three months ended June 30, 2022, 91,216 common shares were withheld from employees to satisfy tax withholding obligations that arose from the vesting of restricted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period ended June 30, 2022 is formatted in Inline XBRL interactive data files: (i) Condensed Consolidated Balance Sheets as of June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2022 and December 31, 2021; (ii) Condensed Consolidated Statements of Operations and Comprehensive Loss for the three and six months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ended June 30, 2022 and 2021; (iii) Condensed Consolidated Statements of Equity for the six months ended June 30, 2022 and 2021; (iv)</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2022 and 2021; and (v) Notes to Condensed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1120" w:hanging="1094"/>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71"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Altisource Portfolio Solutions S.A.;</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8"/>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30"/>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71"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Altisource Portfolio Solutions S.A.;</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8"/>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left="340" w:right="2180"/>
        <w:spacing w:after="0" w:line="260"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2022</w:t>
      </w: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Altisource Portfolio Solutions S.A. (the “Company”) for the quarterly period ended June 30, 2022,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26" w:lineRule="exact"/>
        <w:rPr>
          <w:sz w:val="20"/>
          <w:szCs w:val="20"/>
          <w:color w:val="auto"/>
        </w:rPr>
      </w:pPr>
    </w:p>
    <w:p>
      <w:pPr>
        <w:ind w:left="720" w:hanging="388"/>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0"/>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2022</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2022-07-28T06:05:58Z</dcterms:created>
  <dcterms:modified xsi:type="dcterms:W3CDTF">2022-07-28T06:05:58Z</dcterms:modified>
</cp:coreProperties>
</file>