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4_a1eus000009tvlhmac-live.xml.htm"/>
      <w:bookmarkStart w:id="1" w:name="ksf4_a1eus000009tvlhmaclive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Winkler Matthew T.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ALTISOURCE PORTFOLIO SOLUTIONS S.A.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33, BOULEVARD PRINCE HENRI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LUXEMBOURG CITY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L-1724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LUXEMBOURG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ALTISOURCE PORTFOLIO SOLUTIONS S.A.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ASPS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701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5.1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38,989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5.045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39,989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19,215 unvested RSUs and 46 restricted shares.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Teresa L. Szupello,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85467" TargetMode="External"/><Relationship Id="rId5" Type="http://schemas.openxmlformats.org/officeDocument/2006/relationships/hyperlink" Target="http://www.sec.gov/cgi-bin/browse-edgar?action=getcompany&amp;CIK=00014624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587</Words>
  <Characters>3226</Characters>
  <CharactersWithSpaces>3738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