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124460</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144145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8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146050</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56"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ALTISOURCE PORTFOLIO SOLUTIONS S.A.</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125095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179"/>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0"/>
          <w:szCs w:val="20"/>
          <w:color w:val="auto"/>
        </w:rPr>
      </w:pPr>
    </w:p>
    <w:p>
      <w:pPr>
        <w:sectPr>
          <w:pgSz w:w="11900" w:h="16838" w:orient="portrait"/>
          <w:cols w:equalWidth="0" w:num="2">
            <w:col w:w="5720" w:space="720"/>
            <w:col w:w="3779"/>
          </w:cols>
          <w:pgMar w:left="240" w:top="122" w:right="1440" w:bottom="1440" w:gutter="0" w:footer="0" w:header="0"/>
          <w:type w:val="continuous"/>
        </w:sectPr>
      </w:pP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291, Route d’Arlon</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L-1150 Luxembourg</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(Address of principal executive offices) (Zip Code)</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Registrant’s telephone number</w:t>
      </w:r>
    </w:p>
    <w:p>
      <w:pPr>
        <w:spacing w:after="0" w:line="184"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4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0219"/>
          </w:cols>
          <w:pgMar w:left="240" w:top="122" w:right="1440" w:bottom="1440" w:gutter="0" w:footer="0" w:header="0"/>
          <w:type w:val="continuous"/>
        </w:sectPr>
      </w:pPr>
    </w:p>
    <w:p>
      <w:pPr>
        <w:spacing w:after="0" w:line="17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180" w:space="440"/>
            <w:col w:w="1420" w:space="360"/>
            <w:col w:w="3340" w:space="200"/>
            <w:col w:w="2279"/>
          </w:cols>
          <w:pgMar w:left="240" w:top="122" w:right="1440" w:bottom="1440" w:gutter="0" w:footer="0" w:header="0"/>
          <w:type w:val="continuous"/>
        </w:sectPr>
      </w:pPr>
    </w:p>
    <w:p>
      <w:pPr>
        <w:ind w:left="340" w:right="799"/>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15, 2011, there were 25,412,748 outstanding shares of the registrant’s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805180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gridSpan w:val="11"/>
          </w:tcPr>
          <w:p>
            <w:pPr>
              <w:jc w:val="center"/>
              <w:ind w:right="3100"/>
              <w:spacing w:after="0"/>
              <w:rPr>
                <w:sz w:val="20"/>
                <w:szCs w:val="20"/>
                <w:color w:val="auto"/>
              </w:rPr>
            </w:pPr>
            <w:r>
              <w:rPr>
                <w:rFonts w:ascii="Arial" w:cs="Arial" w:eastAsia="Arial" w:hAnsi="Arial"/>
                <w:sz w:val="18"/>
                <w:szCs w:val="18"/>
                <w:b w:val="1"/>
                <w:bCs w:val="1"/>
                <w:color w:val="auto"/>
                <w:w w:val="89"/>
              </w:rPr>
              <w:t>Table of Contents</w:t>
            </w:r>
          </w:p>
        </w:tc>
        <w:tc>
          <w:tcPr>
            <w:tcW w:w="960" w:type="dxa"/>
            <w:vAlign w:val="bottom"/>
          </w:tcPr>
          <w:p>
            <w:pPr>
              <w:spacing w:after="0"/>
              <w:rPr>
                <w:sz w:val="20"/>
                <w:szCs w:val="20"/>
                <w:color w:val="auto"/>
              </w:rPr>
            </w:pPr>
          </w:p>
        </w:tc>
      </w:tr>
      <w:tr>
        <w:trPr>
          <w:trHeight w:val="405"/>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22"/>
          </w:tcPr>
          <w:p>
            <w:pPr>
              <w:jc w:val="center"/>
              <w:ind w:right="1780"/>
              <w:spacing w:after="0"/>
              <w:rPr>
                <w:sz w:val="20"/>
                <w:szCs w:val="20"/>
                <w:color w:val="auto"/>
              </w:rPr>
            </w:pPr>
            <w:r>
              <w:rPr>
                <w:rFonts w:ascii="Arial" w:cs="Arial" w:eastAsia="Arial" w:hAnsi="Arial"/>
                <w:sz w:val="18"/>
                <w:szCs w:val="18"/>
                <w:b w:val="1"/>
                <w:bCs w:val="1"/>
                <w:color w:val="auto"/>
                <w:w w:val="99"/>
              </w:rPr>
              <w:t>ALTISOURCE PORTFOLIO SOLUTIONS S.A.</w:t>
            </w:r>
          </w:p>
        </w:tc>
        <w:tc>
          <w:tcPr>
            <w:tcW w:w="960" w:type="dxa"/>
            <w:vAlign w:val="bottom"/>
          </w:tcPr>
          <w:p>
            <w:pPr>
              <w:spacing w:after="0"/>
              <w:rPr>
                <w:sz w:val="24"/>
                <w:szCs w:val="24"/>
                <w:color w:val="auto"/>
              </w:rPr>
            </w:pPr>
          </w:p>
        </w:tc>
      </w:tr>
      <w:tr>
        <w:trPr>
          <w:trHeight w:val="39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385"/>
        </w:trPr>
        <w:tc>
          <w:tcPr>
            <w:tcW w:w="23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PART I — Financial Information</w:t>
              </w:r>
            </w:hyperlink>
          </w:p>
        </w:tc>
        <w:tc>
          <w:tcPr>
            <w:tcW w:w="6280" w:type="dxa"/>
            <w:vAlign w:val="bottom"/>
            <w:gridSpan w:val="27"/>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8460" w:type="dxa"/>
            <w:vAlign w:val="bottom"/>
            <w:gridSpan w:val="3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Interim Condensed Consolidated Financial Statements</w:t>
              </w:r>
            </w:hyperlink>
          </w:p>
        </w:tc>
        <w:tc>
          <w:tcPr>
            <w:tcW w:w="96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9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w:t>
              </w:r>
            </w:hyperlink>
          </w:p>
        </w:tc>
        <w:tc>
          <w:tcPr>
            <w:tcW w:w="1080" w:type="dxa"/>
            <w:vAlign w:val="bottom"/>
            <w:tcBorders>
              <w:top w:val="single" w:sz="8" w:color="0000EE"/>
            </w:tcBorders>
            <w:gridSpan w:val="10"/>
          </w:tcPr>
          <w:p>
            <w:pPr>
              <w:spacing w:after="0"/>
              <w:rPr>
                <w:sz w:val="24"/>
                <w:szCs w:val="24"/>
                <w:color w:val="auto"/>
              </w:rPr>
            </w:pPr>
          </w:p>
        </w:tc>
        <w:tc>
          <w:tcPr>
            <w:tcW w:w="40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w:t>
              </w:r>
            </w:hyperlink>
          </w:p>
        </w:tc>
        <w:tc>
          <w:tcPr>
            <w:tcW w:w="440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Equity</w:t>
              </w:r>
            </w:hyperlink>
          </w:p>
        </w:tc>
        <w:tc>
          <w:tcPr>
            <w:tcW w:w="478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434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26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 1 — Organization and Basis of Presentation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Borders>
              <w:top w:val="single" w:sz="8" w:color="0000EE"/>
            </w:tcBorders>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 2 — Transactions with Related Parties</w:t>
              </w:r>
            </w:hyperlink>
          </w:p>
        </w:tc>
        <w:tc>
          <w:tcPr>
            <w:tcW w:w="450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Borders>
              <w:top w:val="single" w:sz="8" w:color="0000EE"/>
            </w:tcBorders>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 3 — Accounts Receivable, Net</w:t>
              </w:r>
            </w:hyperlink>
          </w:p>
        </w:tc>
        <w:tc>
          <w:tcPr>
            <w:tcW w:w="490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Note 4 — Prepaid Expenses and Other Current Assets</w:t>
              </w:r>
            </w:hyperlink>
          </w:p>
        </w:tc>
        <w:tc>
          <w:tcPr>
            <w:tcW w:w="41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Note 5— Premises and Equipment, net</w:t>
              </w:r>
            </w:hyperlink>
          </w:p>
        </w:tc>
        <w:tc>
          <w:tcPr>
            <w:tcW w:w="5240" w:type="dxa"/>
            <w:vAlign w:val="bottom"/>
            <w:gridSpan w:val="1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Note 6 — Goodwill and Intangible Assets, net</w:t>
              </w:r>
            </w:hyperlink>
          </w:p>
        </w:tc>
        <w:tc>
          <w:tcPr>
            <w:tcW w:w="472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 7 — Accounts Payable, Accrued Expenses and Other Current Liabilities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top w:val="single" w:sz="8" w:color="0000EE"/>
            </w:tcBorders>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Note 8 — Equity Based Compensation</w:t>
              </w:r>
            </w:hyperlink>
          </w:p>
        </w:tc>
        <w:tc>
          <w:tcPr>
            <w:tcW w:w="24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Note 9 — Cost of Revenue</w:t>
              </w:r>
            </w:hyperlink>
          </w:p>
        </w:tc>
        <w:tc>
          <w:tcPr>
            <w:tcW w:w="840" w:type="dxa"/>
            <w:vAlign w:val="bottom"/>
            <w:tcBorders>
              <w:top w:val="single" w:sz="8" w:color="0000EE"/>
            </w:tcBorders>
            <w:gridSpan w:val="5"/>
          </w:tcPr>
          <w:p>
            <w:pPr>
              <w:spacing w:after="0"/>
              <w:rPr>
                <w:sz w:val="24"/>
                <w:szCs w:val="24"/>
                <w:color w:val="auto"/>
              </w:rPr>
            </w:pPr>
          </w:p>
        </w:tc>
        <w:tc>
          <w:tcPr>
            <w:tcW w:w="5260" w:type="dxa"/>
            <w:vAlign w:val="bottom"/>
            <w:gridSpan w:val="1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Note 10 — Selling, General and Administrative Expenses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Note 11— Other Income (Expense), Net</w:t>
              </w:r>
            </w:hyperlink>
          </w:p>
        </w:tc>
        <w:tc>
          <w:tcPr>
            <w:tcW w:w="1240" w:type="dxa"/>
            <w:vAlign w:val="bottom"/>
            <w:tcBorders>
              <w:top w:val="single" w:sz="8" w:color="0000EE"/>
            </w:tcBorders>
            <w:gridSpan w:val="12"/>
          </w:tcPr>
          <w:p>
            <w:pPr>
              <w:spacing w:after="0"/>
              <w:rPr>
                <w:sz w:val="24"/>
                <w:szCs w:val="24"/>
                <w:color w:val="auto"/>
              </w:rPr>
            </w:pPr>
          </w:p>
        </w:tc>
        <w:tc>
          <w:tcPr>
            <w:tcW w:w="390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Note 12 — Earnings Per Share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Note 13 — Commitments and Contingencies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Note 14 — Segment Reporting</w:t>
              </w:r>
            </w:hyperlink>
          </w:p>
        </w:tc>
        <w:tc>
          <w:tcPr>
            <w:tcW w:w="1000" w:type="dxa"/>
            <w:vAlign w:val="bottom"/>
            <w:tcBorders>
              <w:top w:val="single" w:sz="8" w:color="0000EE"/>
            </w:tcBorders>
            <w:gridSpan w:val="8"/>
          </w:tcPr>
          <w:p>
            <w:pPr>
              <w:spacing w:after="0"/>
              <w:rPr>
                <w:sz w:val="24"/>
                <w:szCs w:val="24"/>
                <w:color w:val="auto"/>
              </w:rPr>
            </w:pPr>
          </w:p>
        </w:tc>
        <w:tc>
          <w:tcPr>
            <w:tcW w:w="4820" w:type="dxa"/>
            <w:vAlign w:val="bottom"/>
            <w:gridSpan w:val="1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200" w:type="dxa"/>
            <w:vAlign w:val="bottom"/>
          </w:tcPr>
          <w:p>
            <w:pPr>
              <w:spacing w:after="0"/>
              <w:rPr>
                <w:sz w:val="24"/>
                <w:szCs w:val="24"/>
                <w:color w:val="auto"/>
              </w:rPr>
            </w:pPr>
          </w:p>
        </w:tc>
        <w:tc>
          <w:tcPr>
            <w:tcW w:w="8460" w:type="dxa"/>
            <w:vAlign w:val="bottom"/>
            <w:gridSpan w:val="3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200" w:type="dxa"/>
            <w:vAlign w:val="bottom"/>
          </w:tcPr>
          <w:p>
            <w:pPr>
              <w:spacing w:after="0"/>
              <w:rPr>
                <w:sz w:val="24"/>
                <w:szCs w:val="24"/>
                <w:color w:val="auto"/>
              </w:rPr>
            </w:pPr>
          </w:p>
        </w:tc>
        <w:tc>
          <w:tcPr>
            <w:tcW w:w="4820" w:type="dxa"/>
            <w:vAlign w:val="bottom"/>
            <w:tcBorders>
              <w:top w:val="single" w:sz="8" w:color="0000EE"/>
              <w:bottom w:val="single" w:sz="8" w:color="0000EE"/>
            </w:tcBorders>
            <w:gridSpan w:val="3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0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Item 4 Controls and Procedures</w:t>
              </w:r>
            </w:hyperlink>
          </w:p>
        </w:tc>
        <w:tc>
          <w:tcPr>
            <w:tcW w:w="6180" w:type="dxa"/>
            <w:vAlign w:val="bottom"/>
            <w:gridSpan w:val="2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1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PART II — Other Information</w:t>
              </w:r>
            </w:hyperlink>
          </w:p>
        </w:tc>
        <w:tc>
          <w:tcPr>
            <w:tcW w:w="6480" w:type="dxa"/>
            <w:vAlign w:val="bottom"/>
            <w:gridSpan w:val="28"/>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6620" w:type="dxa"/>
            <w:vAlign w:val="bottom"/>
            <w:gridSpan w:val="2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0" w:type="dxa"/>
            <w:vAlign w:val="bottom"/>
          </w:tcPr>
          <w:p>
            <w:pPr>
              <w:spacing w:after="0"/>
              <w:rPr>
                <w:sz w:val="24"/>
                <w:szCs w:val="24"/>
                <w:color w:val="auto"/>
              </w:rPr>
            </w:pPr>
          </w:p>
        </w:tc>
        <w:tc>
          <w:tcPr>
            <w:tcW w:w="15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1A Risk Factors</w:t>
              </w:r>
            </w:hyperlink>
          </w:p>
        </w:tc>
        <w:tc>
          <w:tcPr>
            <w:tcW w:w="6920" w:type="dxa"/>
            <w:vAlign w:val="bottom"/>
            <w:gridSpan w:val="3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0" w:type="dxa"/>
            <w:vAlign w:val="bottom"/>
          </w:tcPr>
          <w:p>
            <w:pPr>
              <w:spacing w:after="0"/>
              <w:rPr>
                <w:sz w:val="24"/>
                <w:szCs w:val="24"/>
                <w:color w:val="auto"/>
              </w:rPr>
            </w:pPr>
          </w:p>
        </w:tc>
        <w:tc>
          <w:tcPr>
            <w:tcW w:w="4860" w:type="dxa"/>
            <w:vAlign w:val="bottom"/>
            <w:tcBorders>
              <w:bottom w:val="single" w:sz="8" w:color="0000EE"/>
            </w:tcBorders>
            <w:gridSpan w:val="3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360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0" w:type="dxa"/>
            <w:vAlign w:val="bottom"/>
          </w:tcPr>
          <w:p>
            <w:pPr>
              <w:spacing w:after="0"/>
              <w:rPr>
                <w:sz w:val="24"/>
                <w:szCs w:val="24"/>
                <w:color w:val="auto"/>
              </w:rPr>
            </w:pPr>
          </w:p>
        </w:tc>
        <w:tc>
          <w:tcPr>
            <w:tcW w:w="8460" w:type="dxa"/>
            <w:vAlign w:val="bottom"/>
            <w:gridSpan w:val="3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 Defaults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Item 4 (Removed and Reserved)</w:t>
              </w:r>
            </w:hyperlink>
          </w:p>
        </w:tc>
        <w:tc>
          <w:tcPr>
            <w:tcW w:w="480" w:type="dxa"/>
            <w:vAlign w:val="bottom"/>
            <w:tcBorders>
              <w:top w:val="single" w:sz="8" w:color="0000EE"/>
            </w:tcBorders>
            <w:gridSpan w:val="4"/>
          </w:tcPr>
          <w:p>
            <w:pPr>
              <w:spacing w:after="0"/>
              <w:rPr>
                <w:sz w:val="24"/>
                <w:szCs w:val="24"/>
                <w:color w:val="auto"/>
              </w:rPr>
            </w:pPr>
          </w:p>
        </w:tc>
        <w:tc>
          <w:tcPr>
            <w:tcW w:w="5640" w:type="dxa"/>
            <w:vAlign w:val="bottom"/>
            <w:gridSpan w:val="2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0" w:type="dxa"/>
            <w:vAlign w:val="bottom"/>
          </w:tcPr>
          <w:p>
            <w:pPr>
              <w:spacing w:after="0"/>
              <w:rPr>
                <w:sz w:val="24"/>
                <w:szCs w:val="24"/>
                <w:color w:val="auto"/>
              </w:rPr>
            </w:pPr>
          </w:p>
        </w:tc>
        <w:tc>
          <w:tcPr>
            <w:tcW w:w="18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6640" w:type="dxa"/>
            <w:vAlign w:val="bottom"/>
            <w:gridSpan w:val="3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0" w:type="dxa"/>
            <w:vAlign w:val="bottom"/>
          </w:tcPr>
          <w:p>
            <w:pPr>
              <w:spacing w:after="0"/>
              <w:rPr>
                <w:sz w:val="24"/>
                <w:szCs w:val="24"/>
                <w:color w:val="auto"/>
              </w:rPr>
            </w:pPr>
          </w:p>
        </w:tc>
        <w:tc>
          <w:tcPr>
            <w:tcW w:w="8460" w:type="dxa"/>
            <w:vAlign w:val="bottom"/>
            <w:gridSpan w:val="3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360" w:type="dxa"/>
            <w:vAlign w:val="bottom"/>
            <w:gridSpan w:val="3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SIGNATURES</w:t>
              </w:r>
            </w:hyperlink>
          </w:p>
        </w:tc>
        <w:tc>
          <w:tcPr>
            <w:tcW w:w="7560" w:type="dxa"/>
            <w:vAlign w:val="bottom"/>
            <w:gridSpan w:val="33"/>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43" w:orient="portrait"/>
          <w:cols w:equalWidth="0" w:num="1">
            <w:col w:w="9879"/>
          </w:cols>
          <w:pgMar w:left="580" w:top="931" w:right="1440" w:bottom="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EE"/>
        </w:rPr>
        <w:t>Exhibit 31.1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31.2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662940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39"/>
          </w:cols>
          <w:pgMar w:left="620" w:top="34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60" w:type="dxa"/>
            <w:vAlign w:val="bottom"/>
          </w:tcPr>
          <w:p>
            <w:pPr>
              <w:jc w:val="center"/>
              <w:ind w:left="131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ALTISOURCE PORTFOLIO SOLUTIONS S.A.</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6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60" w:type="dxa"/>
            <w:vAlign w:val="bottom"/>
          </w:tcPr>
          <w:p>
            <w:pPr>
              <w:jc w:val="center"/>
              <w:ind w:left="1310"/>
              <w:spacing w:after="0"/>
              <w:rPr>
                <w:sz w:val="20"/>
                <w:szCs w:val="20"/>
                <w:color w:val="auto"/>
              </w:rPr>
            </w:pPr>
            <w:r>
              <w:rPr>
                <w:rFonts w:ascii="Arial" w:cs="Arial" w:eastAsia="Arial" w:hAnsi="Arial"/>
                <w:sz w:val="18"/>
                <w:szCs w:val="18"/>
                <w:b w:val="1"/>
                <w:bCs w:val="1"/>
                <w:i w:val="1"/>
                <w:iCs w:val="1"/>
                <w:color w:val="auto"/>
                <w:w w:val="88"/>
              </w:rPr>
              <w:t>(Dollars in thousands, Except Per Share Data)</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March 31,</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60" w:type="dxa"/>
            <w:vAlign w:val="bottom"/>
            <w:shd w:val="clear" w:color="auto" w:fill="CCEEFF"/>
          </w:tcPr>
          <w:p>
            <w:pPr>
              <w:jc w:val="center"/>
              <w:ind w:left="1310"/>
              <w:spacing w:after="0"/>
              <w:rPr>
                <w:sz w:val="20"/>
                <w:szCs w:val="20"/>
                <w:color w:val="auto"/>
              </w:rPr>
            </w:pPr>
            <w:r>
              <w:rPr>
                <w:rFonts w:ascii="Arial" w:cs="Arial" w:eastAsia="Arial" w:hAnsi="Arial"/>
                <w:sz w:val="18"/>
                <w:szCs w:val="18"/>
                <w:color w:val="auto"/>
                <w:w w:val="92"/>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26,324</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53,008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53,495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Equity Affiliate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196,391</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60" w:type="dxa"/>
            <w:vAlign w:val="bottom"/>
            <w:vMerge w:val="restart"/>
          </w:tcPr>
          <w:p>
            <w:pPr>
              <w:jc w:val="center"/>
              <w:ind w:left="1310"/>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26,606</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Lease Obligations — Current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Lease Obligations — Non-current</w:t>
            </w: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2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3"/>
              </w:rPr>
              <w:t>Common Stock ($1.00 par value; 100,000 shares authorized; 25,413 shares issued and 24,715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80" w:type="dxa"/>
            <w:vAlign w:val="bottom"/>
            <w:gridSpan w:val="2"/>
          </w:tcPr>
          <w:p>
            <w:pPr>
              <w:ind w:left="400"/>
              <w:spacing w:after="0"/>
              <w:rPr>
                <w:sz w:val="20"/>
                <w:szCs w:val="20"/>
                <w:color w:val="auto"/>
              </w:rPr>
            </w:pPr>
            <w:r>
              <w:rPr>
                <w:rFonts w:ascii="Arial" w:cs="Arial" w:eastAsia="Arial" w:hAnsi="Arial"/>
                <w:sz w:val="18"/>
                <w:szCs w:val="18"/>
                <w:color w:val="auto"/>
              </w:rPr>
              <w:t>outstanding in 2011; 25,413 shares issued and 24,881 outstanding in 2010)</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25,413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80,085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Treasury Stock, at cost ($1.00 par value; 698 and 532 shares in 2011 and 2010, respectively)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(14,418)</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Altisource Equity</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80" w:type="dxa"/>
            <w:vAlign w:val="bottom"/>
            <w:gridSpan w:val="2"/>
          </w:tcPr>
          <w:p>
            <w:pPr>
              <w:ind w:left="4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196,391</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56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jc w:val="center"/>
              <w:ind w:left="1570"/>
              <w:spacing w:after="0"/>
              <w:rPr>
                <w:sz w:val="20"/>
                <w:szCs w:val="20"/>
                <w:color w:val="auto"/>
              </w:rPr>
            </w:pPr>
            <w:r>
              <w:rPr>
                <w:rFonts w:ascii="Arial" w:cs="Arial" w:eastAsia="Arial" w:hAnsi="Arial"/>
                <w:sz w:val="18"/>
                <w:szCs w:val="18"/>
                <w:b w:val="1"/>
                <w:bCs w:val="1"/>
                <w:i w:val="1"/>
                <w:iCs w:val="1"/>
                <w:color w:val="auto"/>
                <w:w w:val="88"/>
              </w:rPr>
              <w:t>(Dollars in thousands, Except Per Share Data)</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5"/>
          </w:tcPr>
          <w:p>
            <w:pPr>
              <w:jc w:val="right"/>
              <w:ind w:right="500"/>
              <w:spacing w:after="0"/>
              <w:rPr>
                <w:sz w:val="20"/>
                <w:szCs w:val="20"/>
                <w:color w:val="auto"/>
              </w:rPr>
            </w:pPr>
            <w:r>
              <w:rPr>
                <w:rFonts w:ascii="Arial" w:cs="Arial" w:eastAsia="Arial" w:hAnsi="Arial"/>
                <w:sz w:val="18"/>
                <w:szCs w:val="18"/>
                <w:color w:val="auto"/>
                <w:w w:val="96"/>
              </w:rPr>
              <w:t>Three Months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88,670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54,949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39,354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33,721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16,254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17,467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17,811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(1,687)</w:t>
            </w:r>
          </w:p>
        </w:tc>
        <w:tc>
          <w:tcPr>
            <w:tcW w:w="2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16,124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5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2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3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24,845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25,928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color w:val="auto"/>
              </w:rPr>
              <w:t>Altisource Equity</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6"/>
                <w:szCs w:val="16"/>
                <w:color w:val="auto"/>
              </w:rPr>
              <w:t>Non-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6"/>
        </w:trPr>
        <w:tc>
          <w:tcPr>
            <w:tcW w:w="1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Retained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Additional</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w w:val="94"/>
              </w:rPr>
              <w:t>Treasury</w:t>
            </w:r>
          </w:p>
        </w:tc>
        <w:tc>
          <w:tcPr>
            <w:tcW w:w="28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auto"/>
              </w:rPr>
              <w:t>controlling</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color w:val="auto"/>
                <w:w w:val="96"/>
              </w:rPr>
              <w:t>Comprehensive</w:t>
            </w:r>
          </w:p>
        </w:tc>
      </w:tr>
      <w:tr>
        <w:trPr>
          <w:trHeight w:val="209"/>
        </w:trPr>
        <w:tc>
          <w:tcPr>
            <w:tcW w:w="1780" w:type="dxa"/>
            <w:vAlign w:val="bottom"/>
          </w:tcPr>
          <w:p>
            <w:pPr>
              <w:spacing w:after="0"/>
              <w:rPr>
                <w:sz w:val="18"/>
                <w:szCs w:val="18"/>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w w:val="88"/>
              </w:rPr>
              <w:t>Earnings</w:t>
            </w:r>
          </w:p>
        </w:tc>
        <w:tc>
          <w:tcPr>
            <w:tcW w:w="1240" w:type="dxa"/>
            <w:vAlign w:val="bottom"/>
            <w:gridSpan w:val="4"/>
          </w:tcPr>
          <w:p>
            <w:pPr>
              <w:ind w:left="120"/>
              <w:spacing w:after="0"/>
              <w:rPr>
                <w:sz w:val="20"/>
                <w:szCs w:val="20"/>
                <w:color w:val="auto"/>
              </w:rPr>
            </w:pPr>
            <w:r>
              <w:rPr>
                <w:rFonts w:ascii="Arial" w:cs="Arial" w:eastAsia="Arial" w:hAnsi="Arial"/>
                <w:sz w:val="16"/>
                <w:szCs w:val="16"/>
                <w:color w:val="auto"/>
              </w:rPr>
              <w:t>Paid-in Capital</w:t>
            </w:r>
          </w:p>
        </w:tc>
        <w:tc>
          <w:tcPr>
            <w:tcW w:w="1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Stock, at Cost</w:t>
            </w:r>
          </w:p>
        </w:tc>
        <w:tc>
          <w:tcPr>
            <w:tcW w:w="860" w:type="dxa"/>
            <w:vAlign w:val="bottom"/>
            <w:gridSpan w:val="3"/>
          </w:tcPr>
          <w:p>
            <w:pPr>
              <w:jc w:val="right"/>
              <w:ind w:right="240"/>
              <w:spacing w:after="0"/>
              <w:rPr>
                <w:sz w:val="20"/>
                <w:szCs w:val="20"/>
                <w:color w:val="auto"/>
              </w:rPr>
            </w:pPr>
            <w:r>
              <w:rPr>
                <w:rFonts w:ascii="Arial" w:cs="Arial" w:eastAsia="Arial" w:hAnsi="Arial"/>
                <w:sz w:val="16"/>
                <w:szCs w:val="16"/>
                <w:color w:val="auto"/>
                <w:w w:val="97"/>
              </w:rPr>
              <w:t>Interests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color w:val="auto"/>
              </w:rPr>
              <w:t>Income</w:t>
            </w:r>
          </w:p>
        </w:tc>
      </w:tr>
      <w:tr>
        <w:trPr>
          <w:trHeight w:val="199"/>
        </w:trPr>
        <w:tc>
          <w:tcPr>
            <w:tcW w:w="17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2009</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$24,145</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$ 11,665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50,538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86,348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402"/>
        </w:trPr>
        <w:tc>
          <w:tcPr>
            <w:tcW w:w="1780" w:type="dxa"/>
            <w:vAlign w:val="bottom"/>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6,307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787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7,094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6,307</w:t>
            </w:r>
          </w:p>
        </w:tc>
        <w:tc>
          <w:tcPr>
            <w:tcW w:w="80" w:type="dxa"/>
            <w:vAlign w:val="bottom"/>
          </w:tcPr>
          <w:p>
            <w:pPr>
              <w:spacing w:after="0"/>
              <w:rPr>
                <w:sz w:val="24"/>
                <w:szCs w:val="24"/>
                <w:color w:val="auto"/>
              </w:rPr>
            </w:pPr>
          </w:p>
        </w:tc>
      </w:tr>
      <w:tr>
        <w:trPr>
          <w:trHeight w:val="206"/>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MPA</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959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1780" w:type="dxa"/>
            <w:vAlign w:val="bottom"/>
          </w:tcPr>
          <w:p>
            <w:pPr>
              <w:spacing w:after="0"/>
              <w:rPr>
                <w:sz w:val="20"/>
                <w:szCs w:val="20"/>
                <w:color w:val="auto"/>
              </w:rPr>
            </w:pPr>
            <w:r>
              <w:rPr>
                <w:rFonts w:ascii="Arial" w:cs="Arial" w:eastAsia="Arial" w:hAnsi="Arial"/>
                <w:sz w:val="16"/>
                <w:szCs w:val="16"/>
                <w:color w:val="auto"/>
              </w:rPr>
              <w:t>Contributions from</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780" w:type="dxa"/>
            <w:vAlign w:val="bottom"/>
          </w:tcPr>
          <w:p>
            <w:pPr>
              <w:ind w:left="200"/>
              <w:spacing w:after="0"/>
              <w:rPr>
                <w:sz w:val="20"/>
                <w:szCs w:val="20"/>
                <w:color w:val="auto"/>
              </w:rPr>
            </w:pPr>
            <w:r>
              <w:rPr>
                <w:rFonts w:ascii="Arial" w:cs="Arial" w:eastAsia="Arial" w:hAnsi="Arial"/>
                <w:sz w:val="16"/>
                <w:szCs w:val="16"/>
                <w:color w:val="auto"/>
              </w:rPr>
              <w:t>Non-controlling</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780" w:type="dxa"/>
            <w:vAlign w:val="bottom"/>
          </w:tcPr>
          <w:p>
            <w:pPr>
              <w:ind w:left="200"/>
              <w:spacing w:after="0"/>
              <w:rPr>
                <w:sz w:val="20"/>
                <w:szCs w:val="20"/>
                <w:color w:val="auto"/>
              </w:rPr>
            </w:pPr>
            <w:r>
              <w:rPr>
                <w:rFonts w:ascii="Arial" w:cs="Arial" w:eastAsia="Arial" w:hAnsi="Arial"/>
                <w:sz w:val="16"/>
                <w:szCs w:val="16"/>
                <w:color w:val="auto"/>
              </w:rPr>
              <w:t>Interest Holders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6"/>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 Non-</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controlling Interest</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Holders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1780" w:type="dxa"/>
            <w:vAlign w:val="bottom"/>
          </w:tcPr>
          <w:p>
            <w:pPr>
              <w:spacing w:after="0"/>
              <w:rPr>
                <w:sz w:val="20"/>
                <w:szCs w:val="20"/>
                <w:color w:val="auto"/>
              </w:rPr>
            </w:pPr>
            <w:r>
              <w:rPr>
                <w:rFonts w:ascii="Arial" w:cs="Arial" w:eastAsia="Arial" w:hAnsi="Arial"/>
                <w:sz w:val="16"/>
                <w:szCs w:val="16"/>
                <w:color w:val="auto"/>
              </w:rPr>
              <w:t>Share-based</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178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6"/>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0"/>
        </w:trPr>
        <w:tc>
          <w:tcPr>
            <w:tcW w:w="1780" w:type="dxa"/>
            <w:vAlign w:val="bottom"/>
          </w:tcPr>
          <w:p>
            <w:pPr>
              <w:spacing w:after="0"/>
              <w:rPr>
                <w:sz w:val="20"/>
                <w:szCs w:val="20"/>
                <w:color w:val="auto"/>
              </w:rPr>
            </w:pPr>
            <w:r>
              <w:rPr>
                <w:rFonts w:ascii="Arial" w:cs="Arial" w:eastAsia="Arial" w:hAnsi="Arial"/>
                <w:sz w:val="16"/>
                <w:szCs w:val="16"/>
                <w:color w:val="auto"/>
              </w:rPr>
              <w:t>Balance, March 31,</w:t>
            </w: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780" w:type="dxa"/>
            <w:vAlign w:val="bottom"/>
          </w:tcPr>
          <w:p>
            <w:pPr>
              <w:ind w:left="200"/>
              <w:spacing w:after="0"/>
              <w:rPr>
                <w:sz w:val="20"/>
                <w:szCs w:val="20"/>
                <w:color w:val="auto"/>
              </w:rPr>
            </w:pPr>
            <w:r>
              <w:rPr>
                <w:rFonts w:ascii="Arial" w:cs="Arial" w:eastAsia="Arial" w:hAnsi="Arial"/>
                <w:sz w:val="16"/>
                <w:szCs w:val="16"/>
                <w:color w:val="auto"/>
              </w:rPr>
              <w:t>2010</w:t>
            </w:r>
          </w:p>
        </w:tc>
        <w:tc>
          <w:tcPr>
            <w:tcW w:w="540" w:type="dxa"/>
            <w:vAlign w:val="bottom"/>
          </w:tcPr>
          <w:p>
            <w:pPr>
              <w:jc w:val="right"/>
              <w:spacing w:after="0"/>
              <w:rPr>
                <w:sz w:val="20"/>
                <w:szCs w:val="20"/>
                <w:color w:val="auto"/>
              </w:rPr>
            </w:pPr>
            <w:r>
              <w:rPr>
                <w:rFonts w:ascii="Arial" w:cs="Arial" w:eastAsia="Arial" w:hAnsi="Arial"/>
                <w:sz w:val="16"/>
                <w:szCs w:val="16"/>
                <w:color w:val="auto"/>
              </w:rPr>
              <w:t>25,025</w:t>
            </w: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25,025</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17,972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74,764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w w:val="86"/>
              </w:rPr>
              <w:t>119,578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6,307</w:t>
            </w:r>
          </w:p>
        </w:tc>
        <w:tc>
          <w:tcPr>
            <w:tcW w:w="80" w:type="dxa"/>
            <w:vAlign w:val="bottom"/>
          </w:tcPr>
          <w:p>
            <w:pPr>
              <w:spacing w:after="0"/>
              <w:rPr>
                <w:sz w:val="18"/>
                <w:szCs w:val="18"/>
                <w:color w:val="auto"/>
              </w:rPr>
            </w:pPr>
          </w:p>
        </w:tc>
      </w:tr>
      <w:tr>
        <w:trPr>
          <w:trHeight w:val="213"/>
        </w:trPr>
        <w:tc>
          <w:tcPr>
            <w:tcW w:w="17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25,413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79,297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(14,418)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151,898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14,825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16,124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14,825</w:t>
            </w:r>
          </w:p>
        </w:tc>
        <w:tc>
          <w:tcPr>
            <w:tcW w:w="80" w:type="dxa"/>
            <w:vAlign w:val="bottom"/>
          </w:tcPr>
          <w:p>
            <w:pPr>
              <w:spacing w:after="0"/>
              <w:rPr>
                <w:sz w:val="17"/>
                <w:szCs w:val="17"/>
                <w:color w:val="auto"/>
              </w:rPr>
            </w:pPr>
          </w:p>
        </w:tc>
      </w:tr>
      <w:tr>
        <w:trPr>
          <w:trHeight w:val="19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Contributions from</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Non-controlling</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Holders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1780" w:type="dxa"/>
            <w:vAlign w:val="bottom"/>
          </w:tcPr>
          <w:p>
            <w:pPr>
              <w:spacing w:after="0"/>
              <w:rPr>
                <w:sz w:val="20"/>
                <w:szCs w:val="20"/>
                <w:color w:val="auto"/>
              </w:rPr>
            </w:pPr>
            <w:r>
              <w:rPr>
                <w:rFonts w:ascii="Arial" w:cs="Arial" w:eastAsia="Arial" w:hAnsi="Arial"/>
                <w:sz w:val="16"/>
                <w:szCs w:val="16"/>
                <w:color w:val="auto"/>
              </w:rPr>
              <w:t>Distributions to Non-</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780" w:type="dxa"/>
            <w:vAlign w:val="bottom"/>
          </w:tcPr>
          <w:p>
            <w:pPr>
              <w:ind w:left="200"/>
              <w:spacing w:after="0"/>
              <w:rPr>
                <w:sz w:val="20"/>
                <w:szCs w:val="20"/>
                <w:color w:val="auto"/>
              </w:rPr>
            </w:pPr>
            <w:r>
              <w:rPr>
                <w:rFonts w:ascii="Arial" w:cs="Arial" w:eastAsia="Arial" w:hAnsi="Arial"/>
                <w:sz w:val="16"/>
                <w:szCs w:val="16"/>
                <w:color w:val="auto"/>
              </w:rPr>
              <w:t>controlling Interest</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780" w:type="dxa"/>
            <w:vAlign w:val="bottom"/>
          </w:tcPr>
          <w:p>
            <w:pPr>
              <w:ind w:left="200"/>
              <w:spacing w:after="0"/>
              <w:rPr>
                <w:sz w:val="20"/>
                <w:szCs w:val="20"/>
                <w:color w:val="auto"/>
              </w:rPr>
            </w:pPr>
            <w:r>
              <w:rPr>
                <w:rFonts w:ascii="Arial" w:cs="Arial" w:eastAsia="Arial" w:hAnsi="Arial"/>
                <w:sz w:val="16"/>
                <w:szCs w:val="16"/>
                <w:color w:val="auto"/>
              </w:rPr>
              <w:t>Holders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(2,824)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(2,824)</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6"/>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1780" w:type="dxa"/>
            <w:vAlign w:val="bottom"/>
          </w:tcPr>
          <w:p>
            <w:pPr>
              <w:spacing w:after="0"/>
              <w:rPr>
                <w:sz w:val="20"/>
                <w:szCs w:val="20"/>
                <w:color w:val="auto"/>
              </w:rPr>
            </w:pPr>
            <w:r>
              <w:rPr>
                <w:rFonts w:ascii="Arial" w:cs="Arial" w:eastAsia="Arial" w:hAnsi="Arial"/>
                <w:sz w:val="16"/>
                <w:szCs w:val="16"/>
                <w:color w:val="auto"/>
              </w:rPr>
              <w:t>Exercise of Stock</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1780" w:type="dxa"/>
            <w:vAlign w:val="bottom"/>
          </w:tcPr>
          <w:p>
            <w:pPr>
              <w:ind w:left="200"/>
              <w:spacing w:after="0"/>
              <w:rPr>
                <w:sz w:val="20"/>
                <w:szCs w:val="20"/>
                <w:color w:val="auto"/>
              </w:rPr>
            </w:pPr>
            <w:r>
              <w:rPr>
                <w:rFonts w:ascii="Arial" w:cs="Arial" w:eastAsia="Arial" w:hAnsi="Arial"/>
                <w:sz w:val="16"/>
                <w:szCs w:val="16"/>
                <w:color w:val="auto"/>
              </w:rPr>
              <w:t>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1,858</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6"/>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Repurchase of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(7,238)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(7,238)</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0"/>
        </w:trPr>
        <w:tc>
          <w:tcPr>
            <w:tcW w:w="1780" w:type="dxa"/>
            <w:vAlign w:val="bottom"/>
          </w:tcPr>
          <w:p>
            <w:pPr>
              <w:spacing w:after="0"/>
              <w:rPr>
                <w:sz w:val="20"/>
                <w:szCs w:val="20"/>
                <w:color w:val="auto"/>
              </w:rPr>
            </w:pPr>
            <w:r>
              <w:rPr>
                <w:rFonts w:ascii="Arial" w:cs="Arial" w:eastAsia="Arial" w:hAnsi="Arial"/>
                <w:sz w:val="16"/>
                <w:szCs w:val="16"/>
                <w:color w:val="auto"/>
              </w:rPr>
              <w:t>Balance, March 31,</w:t>
            </w: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780" w:type="dxa"/>
            <w:vAlign w:val="bottom"/>
          </w:tcPr>
          <w:p>
            <w:pPr>
              <w:ind w:left="200"/>
              <w:spacing w:after="0"/>
              <w:rPr>
                <w:sz w:val="20"/>
                <w:szCs w:val="20"/>
                <w:color w:val="auto"/>
              </w:rPr>
            </w:pPr>
            <w:r>
              <w:rPr>
                <w:rFonts w:ascii="Arial" w:cs="Arial" w:eastAsia="Arial" w:hAnsi="Arial"/>
                <w:sz w:val="16"/>
                <w:szCs w:val="16"/>
                <w:color w:val="auto"/>
              </w:rPr>
              <w:t>2011</w:t>
            </w:r>
          </w:p>
        </w:tc>
        <w:tc>
          <w:tcPr>
            <w:tcW w:w="540" w:type="dxa"/>
            <w:vAlign w:val="bottom"/>
          </w:tcPr>
          <w:p>
            <w:pPr>
              <w:jc w:val="right"/>
              <w:spacing w:after="0"/>
              <w:rPr>
                <w:sz w:val="20"/>
                <w:szCs w:val="20"/>
                <w:color w:val="auto"/>
              </w:rPr>
            </w:pPr>
            <w:r>
              <w:rPr>
                <w:rFonts w:ascii="Arial" w:cs="Arial" w:eastAsia="Arial" w:hAnsi="Arial"/>
                <w:sz w:val="16"/>
                <w:szCs w:val="16"/>
                <w:color w:val="auto"/>
              </w:rPr>
              <w:t>25,413</w:t>
            </w:r>
          </w:p>
        </w:tc>
        <w:tc>
          <w:tcPr>
            <w:tcW w:w="940" w:type="dxa"/>
            <w:vAlign w:val="bottom"/>
            <w:gridSpan w:val="3"/>
          </w:tcPr>
          <w:p>
            <w:pPr>
              <w:jc w:val="right"/>
              <w:ind w:right="1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25,413</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$ 71,954</w:t>
            </w:r>
          </w:p>
        </w:tc>
        <w:tc>
          <w:tcPr>
            <w:tcW w:w="16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80,085</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(19,798)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1,541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159,195</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14,825</w:t>
            </w:r>
          </w:p>
        </w:tc>
        <w:tc>
          <w:tcPr>
            <w:tcW w:w="80" w:type="dxa"/>
            <w:vAlign w:val="bottom"/>
          </w:tcPr>
          <w:p>
            <w:pPr>
              <w:spacing w:after="0"/>
              <w:rPr>
                <w:sz w:val="18"/>
                <w:szCs w:val="18"/>
                <w:color w:val="auto"/>
              </w:rPr>
            </w:pPr>
          </w:p>
        </w:tc>
      </w:tr>
      <w:tr>
        <w:trPr>
          <w:trHeight w:val="20"/>
        </w:trPr>
        <w:tc>
          <w:tcPr>
            <w:tcW w:w="1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5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87"/>
              </w:rPr>
              <w:t>(in thousands)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5"/>
          </w:tcPr>
          <w:p>
            <w:pPr>
              <w:jc w:val="right"/>
              <w:ind w:right="500"/>
              <w:spacing w:after="0"/>
              <w:rPr>
                <w:sz w:val="20"/>
                <w:szCs w:val="20"/>
                <w:color w:val="auto"/>
              </w:rPr>
            </w:pPr>
            <w:r>
              <w:rPr>
                <w:rFonts w:ascii="Arial" w:cs="Arial" w:eastAsia="Arial" w:hAnsi="Arial"/>
                <w:sz w:val="18"/>
                <w:szCs w:val="18"/>
                <w:color w:val="auto"/>
                <w:w w:val="96"/>
              </w:rPr>
              <w:t>Three Months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F</w:t>
            </w:r>
            <w:r>
              <w:rPr>
                <w:rFonts w:ascii="Arial" w:cs="Arial" w:eastAsia="Arial" w:hAnsi="Arial"/>
                <w:sz w:val="12"/>
                <w:szCs w:val="12"/>
                <w:color w:val="auto"/>
              </w:rPr>
              <w:t>LOWS FROM</w:t>
            </w:r>
            <w:r>
              <w:rPr>
                <w:rFonts w:ascii="Arial" w:cs="Arial" w:eastAsia="Arial" w:hAnsi="Arial"/>
                <w:sz w:val="18"/>
                <w:szCs w:val="18"/>
                <w:color w:val="auto"/>
              </w:rPr>
              <w:t xml:space="preserve"> O</w:t>
            </w:r>
            <w:r>
              <w:rPr>
                <w:rFonts w:ascii="Arial" w:cs="Arial" w:eastAsia="Arial" w:hAnsi="Arial"/>
                <w:sz w:val="12"/>
                <w:szCs w:val="12"/>
                <w:color w:val="auto"/>
              </w:rPr>
              <w:t>PERATING</w:t>
            </w:r>
            <w:r>
              <w:rPr>
                <w:rFonts w:ascii="Arial" w:cs="Arial" w:eastAsia="Arial" w:hAnsi="Arial"/>
                <w:sz w:val="18"/>
                <w:szCs w:val="18"/>
                <w:color w:val="auto"/>
              </w:rPr>
              <w:t xml:space="preserve"> A</w:t>
            </w:r>
            <w:r>
              <w:rPr>
                <w:rFonts w:ascii="Arial" w:cs="Arial" w:eastAsia="Arial" w:hAnsi="Arial"/>
                <w:sz w:val="12"/>
                <w:szCs w:val="12"/>
                <w:color w:val="auto"/>
              </w:rPr>
              <w:t>CTIVITIES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16,124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1,938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Acquisition:</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4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40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 from Operating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16,599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19,685</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F</w:t>
            </w:r>
            <w:r>
              <w:rPr>
                <w:rFonts w:ascii="Arial" w:cs="Arial" w:eastAsia="Arial" w:hAnsi="Arial"/>
                <w:sz w:val="12"/>
                <w:szCs w:val="12"/>
                <w:color w:val="auto"/>
              </w:rPr>
              <w:t>LOWS FROM</w:t>
            </w:r>
            <w:r>
              <w:rPr>
                <w:rFonts w:ascii="Arial" w:cs="Arial" w:eastAsia="Arial" w:hAnsi="Arial"/>
                <w:sz w:val="18"/>
                <w:szCs w:val="18"/>
                <w:color w:val="auto"/>
              </w:rPr>
              <w:t xml:space="preserve"> I</w:t>
            </w:r>
            <w:r>
              <w:rPr>
                <w:rFonts w:ascii="Arial" w:cs="Arial" w:eastAsia="Arial" w:hAnsi="Arial"/>
                <w:sz w:val="12"/>
                <w:szCs w:val="12"/>
                <w:color w:val="auto"/>
              </w:rPr>
              <w:t>NVESTING</w:t>
            </w:r>
            <w:r>
              <w:rPr>
                <w:rFonts w:ascii="Arial" w:cs="Arial" w:eastAsia="Arial" w:hAnsi="Arial"/>
                <w:sz w:val="18"/>
                <w:szCs w:val="18"/>
                <w:color w:val="auto"/>
              </w:rPr>
              <w:t xml:space="preserve"> A</w:t>
            </w:r>
            <w:r>
              <w:rPr>
                <w:rFonts w:ascii="Arial" w:cs="Arial" w:eastAsia="Arial" w:hAnsi="Arial"/>
                <w:sz w:val="12"/>
                <w:szCs w:val="12"/>
                <w:color w:val="auto"/>
              </w:rPr>
              <w:t>CTIVITIES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Additions to Premises and Equipment, net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(25,462)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Equity Affiliate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Change in Restricted Cash</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 from Investing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(29,075)</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ASH</w:t>
            </w:r>
            <w:r>
              <w:rPr>
                <w:rFonts w:ascii="Arial" w:cs="Arial" w:eastAsia="Arial" w:hAnsi="Arial"/>
                <w:sz w:val="18"/>
                <w:szCs w:val="18"/>
                <w:color w:val="auto"/>
              </w:rPr>
              <w:t xml:space="preserve"> F</w:t>
            </w:r>
            <w:r>
              <w:rPr>
                <w:rFonts w:ascii="Arial" w:cs="Arial" w:eastAsia="Arial" w:hAnsi="Arial"/>
                <w:sz w:val="12"/>
                <w:szCs w:val="12"/>
                <w:color w:val="auto"/>
              </w:rPr>
              <w:t>LOWS FROM</w:t>
            </w:r>
            <w:r>
              <w:rPr>
                <w:rFonts w:ascii="Arial" w:cs="Arial" w:eastAsia="Arial" w:hAnsi="Arial"/>
                <w:sz w:val="18"/>
                <w:szCs w:val="18"/>
                <w:color w:val="auto"/>
              </w:rPr>
              <w:t xml:space="preserve"> F</w:t>
            </w:r>
            <w:r>
              <w:rPr>
                <w:rFonts w:ascii="Arial" w:cs="Arial" w:eastAsia="Arial" w:hAnsi="Arial"/>
                <w:sz w:val="12"/>
                <w:szCs w:val="12"/>
                <w:color w:val="auto"/>
              </w:rPr>
              <w:t>INANCING</w:t>
            </w:r>
            <w:r>
              <w:rPr>
                <w:rFonts w:ascii="Arial" w:cs="Arial" w:eastAsia="Arial" w:hAnsi="Arial"/>
                <w:sz w:val="18"/>
                <w:szCs w:val="18"/>
                <w:color w:val="auto"/>
              </w:rPr>
              <w:t xml:space="preserve"> A</w:t>
            </w:r>
            <w:r>
              <w:rPr>
                <w:rFonts w:ascii="Arial" w:cs="Arial" w:eastAsia="Arial" w:hAnsi="Arial"/>
                <w:sz w:val="12"/>
                <w:szCs w:val="12"/>
                <w:color w:val="auto"/>
              </w:rPr>
              <w:t>CTIVITIES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Proceeds from Stock Option Exercises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(7,238)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Contributions from Non-controlling Interests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(2,824)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(9,764)</w:t>
            </w:r>
          </w:p>
        </w:tc>
        <w:tc>
          <w:tcPr>
            <w:tcW w:w="2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4,190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22,134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Income Taxes Paid</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Shares issued in connection with acquisition</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Reduction in Income Tax Payable from Tax Amortizable Goodwill</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NOTES TO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Altisource Portfolio Solutions S.A. (which may be referred to as Altisource, the Company, we, us or our), together with its subsidiaries is a provider of services focused on high value, technology-enabled, knowledge-based functions principally related to real estate and mortgage portfolio management, asset recovery and customer relationship management. Utilizing integrated technology that includes decision models and behavioral based scripting engines, the Company provides solutions that improve clients’ performance and maximizes their returns.</w:t>
      </w:r>
    </w:p>
    <w:p>
      <w:pPr>
        <w:spacing w:after="0" w:line="14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We are publicly traded on the NASDAQ Global Select market under the symbol ASPS. We were incorporated under the laws of Luxembourg on November 4, 1999 as Ocwen Luxembourg S.à.r.l., renamed Altisource Portfolio Solutions S.à.r.l. on May 12, 2009 and converted into Altisource Portfolio Solutions S.A. on June 5, 2009. We became a publicly traded company as of August 10, 2009 (the “Separation”). Prior to the Separation, our businesses were wholly-owned subsidiaries of Ocwen Financial Corporation (“Ocwen”).</w:t>
      </w:r>
    </w:p>
    <w:p>
      <w:pPr>
        <w:spacing w:after="0" w:line="161"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We conduct our operations through three reporting segments: Mortgage Services, Financial Services and Technology Services. In addition, we report our corporate related expenditures as a separate segment (see Note 14 for a description of our business segments).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condensed consolidated financial statements include the assets and liabilities, revenues and expenses directly attributable to our operations. All significant inter-company and inter-segment transactions and accounts have been eliminated upon consolidation. Certain amounts disclosed in prior period statements have been reclassified to conform to the current period presentation.</w:t>
      </w:r>
    </w:p>
    <w:p>
      <w:pPr>
        <w:spacing w:after="0" w:line="12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In February 2010, we acquired Mortgage Partnership Association (“MPA”), the manager of a national alliance of community mortgage bankers, correspondent lenders and suppliers of mortgage products and services that does business as Lenders One Mortgage Cooperative (“Lenders One”). The Management Agreement between MPA and Lenders One, pursuant to which MPA is the management company of Lenders One, represents a variable interest in a variable interest entity. MPA determined that they are the primary beneficiary of Lenders One as they have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Interests on the Condensed Consolidated Balance Sheets. At March 31, 2011, Lenders One had total assets of $3.7 million and liabilities of $0.2 million.</w:t>
      </w:r>
    </w:p>
    <w:p>
      <w:pPr>
        <w:spacing w:after="0" w:line="141"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We have prepared our condensed consolidated financial statements in accordance with accounting principles generally accepted in the United States of America (“GAAP”) for interim financial information and with the instructions to Form 10-Q and Article 10 of SEC Regulation S-X. Accordingly, they do not include all of the information and notes required by GAAP for complete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12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consolidated financial statements and notes thereto contained in our Form 10-K for the year ended December 31, 2010, filed with the SEC on February 18, 2011, which contains a summary of our significant accounting policies. Certain footnote detail is also omitted from the condensed consolidated financial statements unless there is a material change from the information included in the Form 10-K.</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 in Equity Affiliate</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We utilize the equity method to account for investments in equity securities where we have the ability to exercise significant influence over operating and financial policies of the investee. We include a proportionate share of earnings and/or losses of equity method investees in equity income (loss), net in the condensed consolidated statements of operations. As of March 31, 2011 our only significant equity investment was Correspondent One S.A. (“Correspondent One”) which is in the formation process and therefore had no impact to our consolidated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060"/>
        <w:spacing w:after="0" w:line="266"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NOTES TO CONDENSED CONSOLIDATED FINANCIAL STATEMENTS (continued)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Our reporting currency is the U.S. dollar. Other foreign currency assets and liabilities that are considered monetary items are translated at exchange rates in effect at the balance sheet date. Foreign currency revenues and expenses are translated at transaction date exchange rates. These exchange gains and losses are included in the determination of net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fair value of financial instruments, which primarily include Cash and Cash Equivalents, Accounts Receivable, net, Restricted Cash and Accounts Payable and Accrued Expenses at March 31, 2011 and December 31, 2010 are carried at amounts that approximate their fair value due to the short-term nature of these amounts.</w:t>
      </w:r>
    </w:p>
    <w:p>
      <w:pPr>
        <w:spacing w:after="0" w:line="141"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Additionally, a put option arrangement was issued to the predecessor owners of MPA. The arrangement allows the holders to put a portion of the Altisource shares issued as consideration to Altisource at a predetermined price. The fair value calculation is deemed to be a Level 3 calculation. The fair value of the put as of March 31, 2011 of $0.4 million was valued using the following assumptions: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Assumptions</w:t>
            </w:r>
          </w:p>
        </w:tc>
      </w:tr>
      <w:tr>
        <w:trPr>
          <w:trHeight w:val="210"/>
        </w:trPr>
        <w:tc>
          <w:tcPr>
            <w:tcW w:w="5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0.3% – 1.29%</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 – 49%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3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 – 3</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3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Fair Value</w:t>
            </w:r>
          </w:p>
        </w:tc>
        <w:tc>
          <w:tcPr>
            <w:tcW w:w="4300" w:type="dxa"/>
            <w:vAlign w:val="bottom"/>
            <w:gridSpan w:val="3"/>
          </w:tcPr>
          <w:p>
            <w:pPr>
              <w:jc w:val="right"/>
              <w:ind w:right="160"/>
              <w:spacing w:after="0"/>
              <w:rPr>
                <w:sz w:val="20"/>
                <w:szCs w:val="20"/>
                <w:color w:val="auto"/>
              </w:rPr>
            </w:pPr>
            <w:r>
              <w:rPr>
                <w:rFonts w:ascii="Arial" w:cs="Arial" w:eastAsia="Arial" w:hAnsi="Arial"/>
                <w:sz w:val="18"/>
                <w:szCs w:val="18"/>
                <w:color w:val="auto"/>
              </w:rPr>
              <w:t>$0.05 – $2.32</w:t>
            </w:r>
          </w:p>
        </w:tc>
      </w:tr>
    </w:tbl>
    <w:p>
      <w:pPr>
        <w:spacing w:after="0" w:line="147"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The put option agreement is a written derivative valued similar to stock options and is included within Other Non-current Liabilities on the Condensed Consolidated Balance Sheet. The fair value of the put option agreements will be determined each quarter until such puts are either exercised or forfeited with any changes in value included as a component of Other Income (Expense), net in the Condensed Consolidated Statements of Operations.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189"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Ocwen remains our largest customer. Following the Separation, Ocwen is contractually obligated to purchase certain Mortgage Services and Technology Services from us under service agreements. These agreements extend for eight years from the Separation Date,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11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Ocwen, or services derived from Ocwen’s loan servicing portfolio, as a percentage of each of our segment revenues and as a percentage of consolidated revenues was as follows for the three months ended March 31:</w:t>
      </w:r>
    </w:p>
    <w:p>
      <w:pPr>
        <w:spacing w:after="0" w:line="170"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r>
      <w:tr>
        <w:trPr>
          <w:trHeight w:val="210"/>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39</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&lt; 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&lt; 1</w:t>
            </w: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bl>
    <w:p>
      <w:pPr>
        <w:spacing w:after="0" w:line="160"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charged by our competitors. As of January 1, 2011, we modified our pricing for IT Infrastructure Services within our Technology Services segment from a rate card model primarily based on headcount to a fully loaded costs plus mark-up methodology. This new model applies to the amounts charged to Ocwen as well as internal allocations of infrastructure costs. This resulted in reduced revenues for the Technology Services segment and on a consolidated basis.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Transition Services</w:t>
      </w:r>
    </w:p>
    <w:p>
      <w:pPr>
        <w:spacing w:after="0" w:line="189"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In connection with the Separation, Altisource and Ocwen entered into a Transition Services Agreement under which services in such areas as human resources, vendor management, corporate services, six sigma, quality assurance, quantitative analytics, treasury, accounting, risk management, legal, strategic planning, compliance and other areas are provided to the counterparty for up to two years from the date of Separation. For the quarters ended March 31, 2011 and March 31, 2010, Altisource billed Ocwen $0.4 million and $0.4 million, respectively, and Ocwen billed Altisource $0.4 million and $0.3 million, respectively, for services provided under this agreement. These amounts are reflected as a component of Selling, General and Administrative expenses in the Condensed Consolidated Statements of Operations.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Accounts Receivable, net consists of the following: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Third-party Accounts Receivable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Unbilled Fees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34,562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32,055</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(2,132)</w:t>
            </w:r>
          </w:p>
        </w:tc>
      </w:tr>
      <w:tr>
        <w:trPr>
          <w:trHeight w:val="223"/>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53,008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53,495</w:t>
            </w: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at completion of the service.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PREPAID EXPENSES AND OTHER CURRENT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March 31,</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Tax Receivable</w:t>
            </w: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9,445</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13,076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760" w:type="dxa"/>
            <w:vAlign w:val="bottom"/>
            <w:vMerge w:val="restart"/>
          </w:tcPr>
          <w:p>
            <w:pPr>
              <w:jc w:val="right"/>
              <w:ind w:right="201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060"/>
        <w:spacing w:after="0" w:line="266"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NOTES TO CONDENSED CONSOLIDATED FINANCIAL STATEMENTS (continued)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PREMISES AND EQUIPMENT,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Premises and Equipment, net which include amounts recorded under capital leases, consists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33,164</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9,717</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4,501</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(33,820)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(31,882)</w:t>
            </w:r>
          </w:p>
        </w:tc>
      </w:tr>
      <w:tr>
        <w:trPr>
          <w:trHeight w:val="223"/>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w:t>
            </w: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Depreciation and amortization expense, inclusive of capital lease obligations, amounted to $1.9 million and $1.5 million for the three months ended March 31, 2011 and 2010, respectively, and is included in Cost of Revenue for operating assets and in Selling, General and Administrative expense for non-operating assets in the accompanying Condensed Consolidated Statements of Operations.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There were no changes in Goodwill during the three months ended March 31, 2011. The following is a summary showing the balance of Goodwill by segment: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Mortgage</w:t>
            </w: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Technology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Services</w:t>
            </w:r>
          </w:p>
        </w:tc>
        <w:tc>
          <w:tcPr>
            <w:tcW w:w="140" w:type="dxa"/>
            <w:vAlign w:val="bottom"/>
          </w:tcPr>
          <w:p>
            <w:pPr>
              <w:spacing w:after="0"/>
              <w:rPr>
                <w:sz w:val="20"/>
                <w:szCs w:val="2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Services</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0"/>
        </w:trPr>
        <w:tc>
          <w:tcPr>
            <w:tcW w:w="5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11,836</w:t>
            </w: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consists of the following:</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Weighted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2"/>
                <w:szCs w:val="12"/>
                <w:color w:val="auto"/>
              </w:rPr>
            </w:pPr>
          </w:p>
        </w:tc>
        <w:tc>
          <w:tcPr>
            <w:tcW w:w="1140" w:type="dxa"/>
            <w:vAlign w:val="bottom"/>
            <w:gridSpan w:val="3"/>
          </w:tcPr>
          <w:p>
            <w:pPr>
              <w:ind w:left="680"/>
              <w:spacing w:after="0" w:line="149" w:lineRule="exact"/>
              <w:rPr>
                <w:sz w:val="20"/>
                <w:szCs w:val="20"/>
                <w:color w:val="auto"/>
              </w:rPr>
            </w:pPr>
            <w:r>
              <w:rPr>
                <w:rFonts w:ascii="Arial" w:cs="Arial" w:eastAsia="Arial" w:hAnsi="Arial"/>
                <w:sz w:val="14"/>
                <w:szCs w:val="14"/>
                <w:color w:val="auto"/>
              </w:rPr>
              <w:t>Gross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Estimated</w:t>
            </w:r>
          </w:p>
        </w:tc>
        <w:tc>
          <w:tcPr>
            <w:tcW w:w="80" w:type="dxa"/>
            <w:vAlign w:val="bottom"/>
          </w:tcPr>
          <w:p>
            <w:pPr>
              <w:spacing w:after="0"/>
              <w:rPr>
                <w:sz w:val="14"/>
                <w:szCs w:val="14"/>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4"/>
                <w:szCs w:val="14"/>
                <w:color w:val="auto"/>
              </w:rPr>
              <w:t>Carrying 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460"/>
              <w:spacing w:after="0"/>
              <w:rPr>
                <w:sz w:val="20"/>
                <w:szCs w:val="20"/>
                <w:color w:val="auto"/>
              </w:rPr>
            </w:pPr>
            <w:r>
              <w:rPr>
                <w:rFonts w:ascii="Arial" w:cs="Arial" w:eastAsia="Arial" w:hAnsi="Arial"/>
                <w:sz w:val="14"/>
                <w:szCs w:val="14"/>
                <w:color w:val="auto"/>
              </w:rPr>
              <w:t>Accumulated Amortization</w:t>
            </w:r>
          </w:p>
        </w:tc>
        <w:tc>
          <w:tcPr>
            <w:tcW w:w="8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color w:val="auto"/>
              </w:rPr>
              <w:t>Net Book Value</w:t>
            </w:r>
          </w:p>
        </w:tc>
      </w:tr>
      <w:tr>
        <w:trPr>
          <w:trHeight w:val="123"/>
        </w:trPr>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9"/>
              </w:rPr>
              <w:t>Useful Life</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w w:val="93"/>
              </w:rPr>
              <w:t>March 31,</w:t>
            </w:r>
          </w:p>
        </w:tc>
        <w:tc>
          <w:tcPr>
            <w:tcW w:w="1080" w:type="dxa"/>
            <w:vAlign w:val="bottom"/>
            <w:tcBorders>
              <w:top w:val="single" w:sz="8" w:color="auto"/>
            </w:tcBorders>
            <w:gridSpan w:val="3"/>
          </w:tcPr>
          <w:p>
            <w:pPr>
              <w:ind w:left="280"/>
              <w:spacing w:after="0" w:line="123" w:lineRule="exact"/>
              <w:rPr>
                <w:sz w:val="20"/>
                <w:szCs w:val="20"/>
                <w:color w:val="auto"/>
              </w:rPr>
            </w:pPr>
            <w:r>
              <w:rPr>
                <w:rFonts w:ascii="Arial" w:cs="Arial" w:eastAsia="Arial" w:hAnsi="Arial"/>
                <w:sz w:val="14"/>
                <w:szCs w:val="14"/>
                <w:color w:val="auto"/>
                <w:w w:val="88"/>
              </w:rPr>
              <w:t>December 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w w:val="93"/>
              </w:rPr>
              <w:t>March 31,</w:t>
            </w:r>
          </w:p>
        </w:tc>
        <w:tc>
          <w:tcPr>
            <w:tcW w:w="7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6"/>
              </w:rPr>
              <w:t>December 31,</w:t>
            </w: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60"/>
              <w:spacing w:after="0" w:line="123" w:lineRule="exact"/>
              <w:rPr>
                <w:sz w:val="20"/>
                <w:szCs w:val="20"/>
                <w:color w:val="auto"/>
              </w:rPr>
            </w:pPr>
            <w:r>
              <w:rPr>
                <w:rFonts w:ascii="Arial" w:cs="Arial" w:eastAsia="Arial" w:hAnsi="Arial"/>
                <w:sz w:val="14"/>
                <w:szCs w:val="14"/>
                <w:color w:val="auto"/>
                <w:w w:val="96"/>
              </w:rPr>
              <w:t>March 31,</w:t>
            </w:r>
          </w:p>
        </w:tc>
        <w:tc>
          <w:tcPr>
            <w:tcW w:w="8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67"/>
        </w:trPr>
        <w:tc>
          <w:tcPr>
            <w:tcW w:w="22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(Years)</w:t>
            </w:r>
          </w:p>
        </w:tc>
        <w:tc>
          <w:tcPr>
            <w:tcW w:w="8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2011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142"/>
        </w:trPr>
        <w:tc>
          <w:tcPr>
            <w:tcW w:w="2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Definite-lived Intangible Assets</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Trademarks</w:t>
            </w:r>
          </w:p>
        </w:tc>
        <w:tc>
          <w:tcPr>
            <w:tcW w:w="12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10,200</w:t>
            </w:r>
          </w:p>
        </w:tc>
        <w:tc>
          <w:tcPr>
            <w:tcW w:w="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10,200</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2,578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2,346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7,622</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7,854</w:t>
            </w: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Customer Lists</w:t>
            </w:r>
          </w:p>
        </w:tc>
        <w:tc>
          <w:tcPr>
            <w:tcW w:w="12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37,700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8,838(a)</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7,447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28,862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30,253</w:t>
            </w: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Operating Agreement</w:t>
            </w:r>
          </w:p>
        </w:tc>
        <w:tc>
          <w:tcPr>
            <w:tcW w:w="12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35,000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2,042</w:t>
            </w:r>
          </w:p>
        </w:tc>
        <w:tc>
          <w:tcPr>
            <w:tcW w:w="1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1,604</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32,958</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33,396</w:t>
            </w: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Non-compete Agreement</w:t>
            </w:r>
          </w:p>
        </w:tc>
        <w:tc>
          <w:tcPr>
            <w:tcW w:w="12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925</w:t>
            </w: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2200" w:type="dxa"/>
            <w:vAlign w:val="bottom"/>
          </w:tcPr>
          <w:p>
            <w:pPr>
              <w:spacing w:after="0"/>
              <w:rPr>
                <w:sz w:val="20"/>
                <w:szCs w:val="20"/>
                <w:color w:val="auto"/>
              </w:rPr>
            </w:pPr>
            <w:r>
              <w:rPr>
                <w:rFonts w:ascii="Arial" w:cs="Arial" w:eastAsia="Arial" w:hAnsi="Arial"/>
                <w:sz w:val="14"/>
                <w:szCs w:val="14"/>
                <w:color w:val="auto"/>
              </w:rPr>
              <w:t>Total Intangible Assets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84,100</w:t>
            </w:r>
          </w:p>
        </w:tc>
        <w:tc>
          <w:tcPr>
            <w:tcW w:w="2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84,100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13,808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11,672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70,292</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72,428</w:t>
            </w: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20" w:right="159" w:hanging="388"/>
        <w:spacing w:after="0" w:line="289"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our acquisition of NCI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it resulted in our recording periodic reductions firstly to our book goodwill balance in our consolidated financial statements. As our book goodwill balance was fully written off at December 31, 2010. We continue to amortize the remaining Component 2 goodwill for U.S. tax purposes by reducing certain intangible assets by the remaining tax benefits of the Component 2 goodwill. The amount amortized was $0.9 million for the three months ended March 31, 2011. The balance of Component 2 goodwill remaining was $9.9 million as of March 31, 2011 which should generate $6.0 million of reductions of intangible assets.</w:t>
      </w:r>
    </w:p>
    <w:p>
      <w:pPr>
        <w:spacing w:after="0" w:line="126"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Amortization expense for definite lived intangible assets was $1.3 million and $1.2 million for the three months ended March 31, 2011 and 2010,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ACCOUNTS PAYABLE, ACCRUED EXPENSES AND OTHER CURRENT LIABILITIES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Accounts Payable and Accrued Expenses consists of the following: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March 31,</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10,041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Income Tax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26,606</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Other Current Liabilities consists of the following:</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March 31,</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Mortgage Charge-Off and Deficiency Collections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6,180</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Facility Closure Costs</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Condensed Consolidated Balance Sheet) primarily consisting of lease exit costs (expected to be paid through 2014) and severance for the closure of two facilities. The following table summarizes the activity, all recorded in our Financial Services segment, for the three months ended March 31, 2011: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Lease costs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Less: Long-Term Portion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360" w:type="dxa"/>
            <w:vAlign w:val="bottom"/>
            <w:vMerge w:val="restart"/>
          </w:tcPr>
          <w:p>
            <w:pPr>
              <w:spacing w:after="0"/>
              <w:rPr>
                <w:sz w:val="20"/>
                <w:szCs w:val="20"/>
                <w:color w:val="auto"/>
              </w:rPr>
            </w:pPr>
            <w:r>
              <w:rPr>
                <w:rFonts w:ascii="Arial" w:cs="Arial" w:eastAsia="Arial" w:hAnsi="Arial"/>
                <w:sz w:val="18"/>
                <w:szCs w:val="18"/>
                <w:color w:val="auto"/>
              </w:rPr>
              <w:t>We do not expect additional significant costs related to the closure of these facilities.</w:t>
            </w: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8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340" w:type="dxa"/>
            <w:vAlign w:val="bottom"/>
          </w:tcPr>
          <w:p>
            <w:pPr>
              <w:spacing w:after="0"/>
              <w:rPr>
                <w:sz w:val="24"/>
                <w:szCs w:val="24"/>
                <w:color w:val="auto"/>
              </w:rPr>
            </w:pPr>
          </w:p>
        </w:tc>
        <w:tc>
          <w:tcPr>
            <w:tcW w:w="8360" w:type="dxa"/>
            <w:vAlign w:val="bottom"/>
          </w:tcPr>
          <w:p>
            <w:pPr>
              <w:ind w:left="476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060"/>
        <w:spacing w:after="0" w:line="266"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NOTES TO CONDENSED CONSOLIDATED FINANCIAL STATEMENTS (continued)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EQUITY BASED COMPENSATION</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provide stock-based awards as a form of compensation for employees and officers. We have issued stock-based awards in the form of stock options and restricted stock units. We recorded total stock compensation expense of $0.8 million for the three months ended March 31, 2011. The compensation expense is included in Selling, General and Administrative Expenses in the accompany Condensed Consolidated Statements of Operations.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the different types of stock-based awards issued under our stock plans: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market value on the date of grant. The options generally vest over four</w:t>
      </w:r>
      <w:r>
        <w:rPr>
          <w:rFonts w:ascii="Arial" w:cs="Arial" w:eastAsia="Arial" w:hAnsi="Arial"/>
          <w:sz w:val="18"/>
          <w:szCs w:val="18"/>
          <w:i w:val="1"/>
          <w:iCs w:val="1"/>
          <w:color w:val="auto"/>
        </w:rPr>
        <w:t xml:space="preserve"> </w:t>
      </w:r>
      <w:r>
        <w:rPr>
          <w:rFonts w:ascii="Arial" w:cs="Arial" w:eastAsia="Arial" w:hAnsi="Arial"/>
          <w:sz w:val="18"/>
          <w:szCs w:val="18"/>
          <w:color w:val="auto"/>
        </w:rPr>
        <w:t>years with equal annual cliff-vesting and expire on the earlier of 10 years after the date of grant or 3 months after termination of service. A total of 1.1 million service-based awards were outstanding at March 31, 2011.</w:t>
      </w:r>
    </w:p>
    <w:p>
      <w:pPr>
        <w:spacing w:after="0" w:line="141" w:lineRule="exact"/>
        <w:rPr>
          <w:sz w:val="20"/>
          <w:szCs w:val="20"/>
          <w:color w:val="auto"/>
        </w:rPr>
      </w:pPr>
    </w:p>
    <w:p>
      <w:pPr>
        <w:jc w:val="both"/>
        <w:ind w:left="720" w:right="159"/>
        <w:spacing w:after="0" w:line="271" w:lineRule="auto"/>
        <w:rPr>
          <w:sz w:val="20"/>
          <w:szCs w:val="20"/>
          <w:color w:val="auto"/>
        </w:rPr>
      </w:pPr>
      <w:r>
        <w:rPr>
          <w:rFonts w:ascii="Arial" w:cs="Arial" w:eastAsia="Arial" w:hAnsi="Arial"/>
          <w:sz w:val="17"/>
          <w:szCs w:val="17"/>
          <w:i w:val="1"/>
          <w:iCs w:val="1"/>
          <w:color w:val="auto"/>
        </w:rPr>
        <w:t xml:space="preserve">Market-based Options. </w:t>
      </w:r>
      <w:r>
        <w:rPr>
          <w:rFonts w:ascii="Arial" w:cs="Arial" w:eastAsia="Arial" w:hAnsi="Arial"/>
          <w:sz w:val="17"/>
          <w:szCs w:val="17"/>
          <w:color w:val="auto"/>
        </w:rPr>
        <w:t>These option grants have two components each of which vest only upon the achievement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The first component, 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would vest over three years if the stock price realizes a compounded annual gain of at least 25% over the exercise price, so long as it is at least triple the exercise price. The vesting schedule for all market-based awards is 25% upon achievement of the criterion and the remaining 75% in three equal annual installments. A total of 2.2 million market-based awards were outstanding at March 31, 2011.</w:t>
      </w:r>
    </w:p>
    <w:p>
      <w:pPr>
        <w:spacing w:after="0" w:line="15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During the three months ended March 31, 2011, the Company granted 0.1 million stock options. The options have an average exercise price of $29.14 per share.</w:t>
      </w:r>
    </w:p>
    <w:p>
      <w:pPr>
        <w:spacing w:after="0" w:line="13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fair value of the service-based options was determined using the Black-Scholes options pricing model while a lattice (binomial) model was used to determine the fair value of the market-based options using the following assumptions as of the grant date: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jc w:val="right"/>
              <w:ind w:right="1140"/>
              <w:spacing w:after="0"/>
              <w:rPr>
                <w:sz w:val="20"/>
                <w:szCs w:val="20"/>
                <w:color w:val="auto"/>
              </w:rPr>
            </w:pPr>
            <w:r>
              <w:rPr>
                <w:rFonts w:ascii="Arial" w:cs="Arial" w:eastAsia="Arial" w:hAnsi="Arial"/>
                <w:sz w:val="18"/>
                <w:szCs w:val="18"/>
                <w:color w:val="auto"/>
              </w:rPr>
              <w:t>March 31, 2011</w:t>
            </w:r>
          </w:p>
        </w:tc>
        <w:tc>
          <w:tcPr>
            <w:tcW w:w="120" w:type="dxa"/>
            <w:vAlign w:val="bottom"/>
          </w:tcPr>
          <w:p>
            <w:pPr>
              <w:spacing w:after="0"/>
              <w:rPr>
                <w:sz w:val="20"/>
                <w:szCs w:val="20"/>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8"/>
                <w:szCs w:val="18"/>
                <w:color w:val="auto"/>
              </w:rPr>
              <w:t>March 31, 2010</w:t>
            </w:r>
          </w:p>
        </w:tc>
      </w:tr>
      <w:tr>
        <w:trPr>
          <w:trHeight w:val="195"/>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520"/>
              <w:spacing w:after="0" w:line="195" w:lineRule="exact"/>
              <w:rPr>
                <w:sz w:val="20"/>
                <w:szCs w:val="20"/>
                <w:color w:val="auto"/>
              </w:rPr>
            </w:pPr>
            <w:r>
              <w:rPr>
                <w:rFonts w:ascii="Arial" w:cs="Arial" w:eastAsia="Arial" w:hAnsi="Arial"/>
                <w:sz w:val="18"/>
                <w:szCs w:val="18"/>
                <w:color w:val="auto"/>
              </w:rPr>
              <w:t>Black-</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660"/>
              <w:spacing w:after="0" w:line="195" w:lineRule="exact"/>
              <w:rPr>
                <w:sz w:val="20"/>
                <w:szCs w:val="20"/>
                <w:color w:val="auto"/>
              </w:rPr>
            </w:pPr>
            <w:r>
              <w:rPr>
                <w:rFonts w:ascii="Arial" w:cs="Arial" w:eastAsia="Arial" w:hAnsi="Arial"/>
                <w:sz w:val="18"/>
                <w:szCs w:val="18"/>
                <w:color w:val="auto"/>
              </w:rPr>
              <w:t>Black-</w:t>
            </w: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Scholes</w:t>
            </w:r>
          </w:p>
        </w:tc>
        <w:tc>
          <w:tcPr>
            <w:tcW w:w="140" w:type="dxa"/>
            <w:vAlign w:val="bottom"/>
          </w:tcPr>
          <w:p>
            <w:pPr>
              <w:spacing w:after="0"/>
              <w:rPr>
                <w:sz w:val="20"/>
                <w:szCs w:val="20"/>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Binomial</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Scholes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Binomial</w:t>
            </w:r>
          </w:p>
        </w:tc>
      </w:tr>
      <w:tr>
        <w:trPr>
          <w:trHeight w:val="210"/>
        </w:trPr>
        <w:tc>
          <w:tcPr>
            <w:tcW w:w="3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 – 3.36%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 – 3.66%</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 – 41%</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Expected Option Life (in years)</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02"/>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$14.18 and</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$7.35 and</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$14.82</w:t>
            </w:r>
          </w:p>
        </w:tc>
        <w:tc>
          <w:tcPr>
            <w:tcW w:w="280" w:type="dxa"/>
            <w:vAlign w:val="bottom"/>
          </w:tcPr>
          <w:p>
            <w:pPr>
              <w:spacing w:after="0"/>
              <w:rPr>
                <w:sz w:val="20"/>
                <w:szCs w:val="20"/>
                <w:color w:val="auto"/>
              </w:rPr>
            </w:pP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w w:val="99"/>
              </w:rPr>
              <w:t>$15.41 – $16.76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6.80</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20"/>
                <w:szCs w:val="20"/>
                <w:color w:val="auto"/>
              </w:rPr>
            </w:pPr>
          </w:p>
        </w:tc>
      </w:tr>
    </w:tbl>
    <w:p>
      <w:pPr>
        <w:spacing w:after="0" w:line="16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and the total intrinsic value of stock options exercised: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Date of Grant Per Share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is recorded net of estimated forfeiture rates ranging from 1% to 3%.</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(continued)</w:t>
      </w:r>
    </w:p>
    <w:p>
      <w:pPr>
        <w:spacing w:after="0" w:line="184" w:lineRule="exact"/>
        <w:rPr>
          <w:sz w:val="20"/>
          <w:szCs w:val="20"/>
          <w:color w:val="auto"/>
        </w:rPr>
      </w:pPr>
    </w:p>
    <w:p>
      <w:pPr>
        <w:jc w:val="both"/>
        <w:ind w:left="340" w:right="1360"/>
        <w:spacing w:after="0" w:line="308" w:lineRule="auto"/>
        <w:rPr>
          <w:sz w:val="20"/>
          <w:szCs w:val="20"/>
          <w:color w:val="auto"/>
        </w:rPr>
      </w:pPr>
      <w:r>
        <w:rPr>
          <w:rFonts w:ascii="Arial" w:cs="Arial" w:eastAsia="Arial" w:hAnsi="Arial"/>
          <w:sz w:val="17"/>
          <w:szCs w:val="17"/>
          <w:color w:val="auto"/>
        </w:rPr>
        <w:t>As of March 31, 2011, estimated unrecognized compensation costs related to share-based payments amounted to $8.2 million which we expect to recognize over a weighted-average remaining requisite service period of approximately 3.3 years.</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5"/>
              </w:rPr>
              <w:t>The following table summarizes activity of our stock options:</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Number of</w:t>
            </w: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Price</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i w:val="1"/>
                <w:iCs w:val="1"/>
                <w:color w:val="auto"/>
                <w:w w:val="90"/>
              </w:rPr>
              <w:t>(in years)</w:t>
            </w:r>
          </w:p>
        </w:tc>
        <w:tc>
          <w:tcPr>
            <w:tcW w:w="1120" w:type="dxa"/>
            <w:vAlign w:val="bottom"/>
            <w:gridSpan w:val="3"/>
          </w:tcPr>
          <w:p>
            <w:pPr>
              <w:jc w:val="center"/>
              <w:ind w:right="80"/>
              <w:spacing w:after="0"/>
              <w:rPr>
                <w:sz w:val="20"/>
                <w:szCs w:val="20"/>
                <w:color w:val="auto"/>
              </w:rPr>
            </w:pPr>
            <w:r>
              <w:rPr>
                <w:rFonts w:ascii="Arial" w:cs="Arial" w:eastAsia="Arial" w:hAnsi="Arial"/>
                <w:sz w:val="18"/>
                <w:szCs w:val="18"/>
                <w:i w:val="1"/>
                <w:iCs w:val="1"/>
                <w:color w:val="auto"/>
                <w:w w:val="91"/>
              </w:rPr>
              <w:t>(in thousands)</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3,451,613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29.14</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(114,136)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(31,250)</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22.01</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3,376,227</w:t>
            </w: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Exercisable at March 31, 2011</w:t>
            </w:r>
          </w:p>
        </w:tc>
        <w:tc>
          <w:tcPr>
            <w:tcW w:w="960" w:type="dxa"/>
            <w:vAlign w:val="bottom"/>
          </w:tcPr>
          <w:p>
            <w:pPr>
              <w:jc w:val="right"/>
              <w:spacing w:after="0"/>
              <w:rPr>
                <w:sz w:val="20"/>
                <w:szCs w:val="20"/>
                <w:color w:val="auto"/>
              </w:rPr>
            </w:pPr>
            <w:r>
              <w:rPr>
                <w:rFonts w:ascii="Arial" w:cs="Arial" w:eastAsia="Arial" w:hAnsi="Arial"/>
                <w:sz w:val="18"/>
                <w:szCs w:val="18"/>
                <w:color w:val="auto"/>
              </w:rPr>
              <w:t>1,242,586</w:t>
            </w:r>
          </w:p>
        </w:tc>
        <w:tc>
          <w:tcPr>
            <w:tcW w:w="3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9.83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25,912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Stock Repurchase Authorization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From authorization through March 31, 2011, we purchased 0.9 million shares of our common stock on the open market at an average price of $27.85, leaving 2.9 million shares still available for purchase.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COST OF REVENUE</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provision of services, reimbursable expenses and technology and telephony expenses as well as depreciation and amortization of operating assets. The components of Cost of Revenue were as follows for the periods ended March 31, 2011 and 2010: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8"/>
                <w:szCs w:val="18"/>
                <w:color w:val="auto"/>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tcBorders>
              <w:bottom w:val="single" w:sz="8" w:color="auto"/>
            </w:tcBorders>
            <w:vMerge w:val="continue"/>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18,161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Expense Reimbursements</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15,641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4,307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4,365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54,949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0" w:type="dxa"/>
            <w:vAlign w:val="bottom"/>
            <w:vMerge w:val="restart"/>
          </w:tcPr>
          <w:p>
            <w:pPr>
              <w:jc w:val="right"/>
              <w:ind w:right="197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SELLING, GENERAL AND ADMINISTRATIVE EXPENSES</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executive, sales, marketing, human resources and finance roles. This category also includes professional fees, depreciation and amortization on non-operating assets. The components of Selling, General and Administrative expenses were as follows for the periods ended March 31, 2011 and 2010: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3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9"/>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60" w:type="dxa"/>
            <w:vAlign w:val="bottom"/>
            <w:tcBorders>
              <w:bottom w:val="single" w:sz="8" w:color="auto"/>
            </w:tcBorders>
            <w:vMerge w:val="continue"/>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Professional Services</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2,102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16,254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12,069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NOTE 11 — OTHER INCOME (EXPENSE), NET</w:t>
            </w:r>
          </w:p>
        </w:tc>
        <w:tc>
          <w:tcPr>
            <w:tcW w:w="2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Income (Expense), net consists of the following:</w:t>
            </w: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3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9"/>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60" w:type="dxa"/>
            <w:vAlign w:val="bottom"/>
            <w:tcBorders>
              <w:bottom w:val="single" w:sz="8" w:color="auto"/>
            </w:tcBorders>
            <w:vMerge w:val="continue"/>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Expense</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Put Option</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net</w:t>
            </w: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40" w:type="dxa"/>
            <w:vAlign w:val="bottom"/>
            <w:vMerge w:val="restart"/>
          </w:tcPr>
          <w:p>
            <w:pPr>
              <w:jc w:val="right"/>
              <w:ind w:right="197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060"/>
        <w:spacing w:after="0" w:line="266"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NOTES TO CONDENSED CONSOLIDATED FINANCIAL STATEMENTS (continued)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 EARNINGS PER SHARE</w:t>
      </w:r>
    </w:p>
    <w:p>
      <w:pPr>
        <w:spacing w:after="0" w:line="18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stockholders by the weighted average number of common shares outstanding for the period. Diluted EPS reflects the assumed conversion of dilutive securities.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earnings per share for the three months ended March 31, 2011 and 2010 are calculated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For Three Months Ended</w:t>
            </w:r>
          </w:p>
        </w:tc>
        <w:tc>
          <w:tcPr>
            <w:tcW w:w="0" w:type="dxa"/>
            <w:vAlign w:val="bottom"/>
          </w:tcPr>
          <w:p>
            <w:pPr>
              <w:spacing w:after="0"/>
              <w:rPr>
                <w:sz w:val="1"/>
                <w:szCs w:val="1"/>
                <w:color w:val="auto"/>
              </w:rPr>
            </w:pPr>
          </w:p>
        </w:tc>
      </w:tr>
      <w:tr>
        <w:trPr>
          <w:trHeight w:val="230"/>
        </w:trPr>
        <w:tc>
          <w:tcPr>
            <w:tcW w:w="70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14,825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tcPr>
          <w:p>
            <w:pPr>
              <w:spacing w:after="0"/>
              <w:rPr>
                <w:sz w:val="20"/>
                <w:szCs w:val="20"/>
                <w:color w:val="auto"/>
              </w:rPr>
            </w:pPr>
            <w:r>
              <w:rPr>
                <w:rFonts w:ascii="Arial" w:cs="Arial" w:eastAsia="Arial" w:hAnsi="Arial"/>
                <w:sz w:val="18"/>
                <w:szCs w:val="18"/>
                <w:color w:val="auto"/>
              </w:rPr>
              <w:t>Weighted-Average Common Shares Outstanding, Basic</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24,845</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24,690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Dilutive Effect of Restricted Shares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Diluted</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25,663</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For the three months ended March 31, 2011, an immaterial amount of options that were anti-dilutive have been excluded from the computation of diluted EPS (0.7 million for the three months ended March 31, 2010). These options were anti-dilutive because their exercise price was greater than the average market price of our stock. Also excluded from the computation of diluted EPS for each of the three months ended March 31, 2011 and 2010 are 0.7 million options, granted for shares that are issuable upon the achievement of certain market and performance criteria related to our stock price and an annualized rate of return to investors that have not been met at this point.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Correspondent One S.A.</w:t>
      </w:r>
    </w:p>
    <w:p>
      <w:pPr>
        <w:spacing w:after="0" w:line="198"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Correspondent One is formed to facilitate the purchase of conforming and government guaranteed residential mortgages from approved mortgage originators. During the first quarter of 2011, we provided initial funding to facilitate the establishment of the entity. We have committed to provide an additional $14.0 million which expect to fund in the second quarter.</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Company is from time to time involved in legal actions arising in the ordinary course of business. In the opinion of management, after consultation with legal counsel, the outcome of any such current matters will not have a material impact on the Company’s financial condition, results of operations or cash flows.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SEGMENT REPORTING</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that we use to evaluate operating performance and to assess the allocation of our resources by our Chief Executive Officer.</w:t>
      </w:r>
    </w:p>
    <w:p>
      <w:pPr>
        <w:spacing w:after="0" w:line="141"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 xml:space="preserve">We classify our businesses into three reportable segments. </w:t>
      </w:r>
      <w:r>
        <w:rPr>
          <w:rFonts w:ascii="Arial" w:cs="Arial" w:eastAsia="Arial" w:hAnsi="Arial"/>
          <w:sz w:val="16"/>
          <w:szCs w:val="16"/>
          <w:i w:val="1"/>
          <w:iCs w:val="1"/>
          <w:color w:val="auto"/>
        </w:rPr>
        <w:t>Mortgage Services</w:t>
      </w:r>
      <w:r>
        <w:rPr>
          <w:rFonts w:ascii="Arial" w:cs="Arial" w:eastAsia="Arial" w:hAnsi="Arial"/>
          <w:sz w:val="16"/>
          <w:szCs w:val="16"/>
          <w:color w:val="auto"/>
        </w:rPr>
        <w:t xml:space="preserve"> consists of mortgage portfolio management services that span the mortgage lifecycle.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principally consists of unsecured asset recovery and customer relationship management.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consists of modular, comprehensive integrated technological solutions for loan servicing, vendor management and invoice presentment and payment as well as providing infrastructure support. In addition, our </w:t>
      </w:r>
      <w:r>
        <w:rPr>
          <w:rFonts w:ascii="Arial" w:cs="Arial" w:eastAsia="Arial" w:hAnsi="Arial"/>
          <w:sz w:val="16"/>
          <w:szCs w:val="16"/>
          <w:i w:val="1"/>
          <w:iCs w:val="1"/>
          <w:color w:val="auto"/>
        </w:rPr>
        <w:t>Corporate Items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Eliminations </w:t>
      </w:r>
      <w:r>
        <w:rPr>
          <w:rFonts w:ascii="Arial" w:cs="Arial" w:eastAsia="Arial" w:hAnsi="Arial"/>
          <w:sz w:val="16"/>
          <w:szCs w:val="16"/>
          <w:color w:val="auto"/>
        </w:rPr>
        <w:t>segment includes eliminations of transactions between the reporting segments and this segment also includes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by us related to corporate support functions such as finance, legal, human resources, six sigma and quality assurances.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(continued)</w:t>
      </w:r>
    </w:p>
    <w:p>
      <w:pPr>
        <w:spacing w:after="0" w:line="184" w:lineRule="exact"/>
        <w:rPr>
          <w:sz w:val="20"/>
          <w:szCs w:val="20"/>
          <w:color w:val="auto"/>
        </w:rPr>
      </w:pPr>
    </w:p>
    <w:p>
      <w:pPr>
        <w:ind w:left="340" w:right="1360"/>
        <w:spacing w:after="0" w:line="342" w:lineRule="auto"/>
        <w:rPr>
          <w:sz w:val="20"/>
          <w:szCs w:val="20"/>
          <w:color w:val="auto"/>
        </w:rPr>
      </w:pPr>
      <w:r>
        <w:rPr>
          <w:rFonts w:ascii="Arial" w:cs="Arial" w:eastAsia="Arial" w:hAnsi="Arial"/>
          <w:sz w:val="16"/>
          <w:szCs w:val="16"/>
          <w:color w:val="auto"/>
        </w:rPr>
        <w:t>In 2011, we reorganized our reporting structure in that certain services that were originally part of the Mortgage Services Segment are now classified as part of Financial Services. Prior periods have been recast to conform with the current year presentation.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8"/>
                <w:szCs w:val="18"/>
                <w:color w:val="auto"/>
              </w:rPr>
              <w:t>Three Months Ended March 31, 2011</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Corporate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Mortgage</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Financial</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Items &amp;</w:t>
            </w:r>
          </w:p>
        </w:tc>
        <w:tc>
          <w:tcPr>
            <w:tcW w:w="18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Services</w:t>
            </w: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Services</w:t>
            </w: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59,707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19,493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37,020</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13,488</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54,949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22,687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33,721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4,583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16,254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18,104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18,469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43,810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8"/>
                <w:szCs w:val="18"/>
                <w:color w:val="auto"/>
              </w:rPr>
              <w:t>Three Months Ended March 31, 2010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Corporate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Mortgage</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Financial</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Items &amp;</w:t>
            </w:r>
          </w:p>
        </w:tc>
        <w:tc>
          <w:tcPr>
            <w:tcW w:w="18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Services</w:t>
            </w: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Services</w:t>
            </w: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32,383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20,045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21,293</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14,526</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6,647</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39,354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11,090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12,069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24,762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Management’s discussion and analysis of results of operations and financial condition (“MD&amp;A”) is a supplement to the accompanying consolidated financial statements and provides additional information on our businesses, current developments, financial condition, cash flows and results of operations. Significant sections of the MD&amp;A are as follows:</w:t>
      </w:r>
    </w:p>
    <w:p>
      <w:pPr>
        <w:spacing w:after="0" w:line="141" w:lineRule="exact"/>
        <w:rPr>
          <w:sz w:val="20"/>
          <w:szCs w:val="20"/>
          <w:color w:val="auto"/>
        </w:rPr>
      </w:pPr>
    </w:p>
    <w:p>
      <w:pPr>
        <w:jc w:val="both"/>
        <w:ind w:left="720" w:right="179"/>
        <w:spacing w:after="0" w:line="308"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on page 18, provides a description of recent developments we believe are important in</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the results of operations and financial condition or in understanding anticipated future trends.</w:t>
      </w:r>
    </w:p>
    <w:p>
      <w:pPr>
        <w:spacing w:after="0" w:line="120"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This section, beginning on page 19, provides an analysis of our consolidated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the three months ended March 31, 2011 and 2010. In addition, a brief description is provided of significant transactions and events that affect the comparability of results being analyzed.</w:t>
      </w:r>
    </w:p>
    <w:p>
      <w:pPr>
        <w:spacing w:after="0" w:line="141"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This section, beginning on page 23, provides an analysis of each business segment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2011 and 2010 as well as our Corporate segment. In addition, we discuss significant transactions, events and trends that may affect the comparability of the results being analyzed.</w:t>
      </w:r>
    </w:p>
    <w:p>
      <w:pPr>
        <w:spacing w:after="0" w:line="141" w:lineRule="exact"/>
        <w:rPr>
          <w:sz w:val="20"/>
          <w:szCs w:val="20"/>
          <w:color w:val="auto"/>
        </w:rPr>
      </w:pPr>
    </w:p>
    <w:p>
      <w:pPr>
        <w:jc w:val="both"/>
        <w:ind w:left="720" w:right="179"/>
        <w:spacing w:after="0" w:line="342" w:lineRule="auto"/>
        <w:rPr>
          <w:sz w:val="20"/>
          <w:szCs w:val="20"/>
          <w:color w:val="auto"/>
        </w:rPr>
      </w:pP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This section, beginning on page 31, provides an analysis of our cash flows for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2011 and 2010. We also discuss restrictions on cash movements, future commitments and capital resources.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This Quarterly Report contains forward-looking statements that relate to, among other things, our future financial and operating results. In many cases, you can identify forward-looking statements by terminology such as “may,” “will,” “should,” “expect,” “intend,” “plan,” “anticipate,” “believe,” “estimate,” “predict,” “potential” or “continue” or the negative of these terms and other comparable terminology including, but not limited to, the following:</w:t>
      </w:r>
    </w:p>
    <w:p>
      <w:pPr>
        <w:spacing w:after="0" w:line="146" w:lineRule="exact"/>
        <w:rPr>
          <w:sz w:val="20"/>
          <w:szCs w:val="20"/>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assumptions related to the sources of liquidity and the adequacy of financial resources;</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grow our business;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reduce our cost structure;</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expectations regarding collection rates and placements in our Financial Services segment;</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estimates regarding the calculation of our effective tax rate;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estimates regarding our reserves and valuations.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“Risk Factors” in our Form 10-K for the year ended December 31, 2010 and include the following:</w:t>
      </w:r>
    </w:p>
    <w:p>
      <w:pPr>
        <w:spacing w:after="0" w:line="160" w:lineRule="exact"/>
        <w:rPr>
          <w:sz w:val="20"/>
          <w:szCs w:val="20"/>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retain and expand our existing client relationships and attract new customers;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governmental regulations, taxes and policies.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OVERVIEW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are a provider of services focused on high value, technology-enabled,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businesses into three reportable segments:</w:t>
      </w:r>
    </w:p>
    <w:p>
      <w:pPr>
        <w:spacing w:after="0" w:line="185" w:lineRule="exact"/>
        <w:rPr>
          <w:sz w:val="20"/>
          <w:szCs w:val="20"/>
          <w:color w:val="auto"/>
        </w:rPr>
      </w:pPr>
    </w:p>
    <w:p>
      <w:pPr>
        <w:jc w:val="both"/>
        <w:ind w:left="720" w:right="159"/>
        <w:spacing w:after="0" w:line="255" w:lineRule="auto"/>
        <w:rPr>
          <w:sz w:val="20"/>
          <w:szCs w:val="20"/>
          <w:color w:val="auto"/>
        </w:rPr>
      </w:pPr>
      <w:r>
        <w:rPr>
          <w:rFonts w:ascii="Arial" w:cs="Arial" w:eastAsia="Arial" w:hAnsi="Arial"/>
          <w:sz w:val="18"/>
          <w:szCs w:val="18"/>
          <w:i w:val="1"/>
          <w:iCs w:val="1"/>
          <w:color w:val="auto"/>
        </w:rPr>
        <w:t xml:space="preserve">Mortgage Services: </w:t>
      </w:r>
      <w:r>
        <w:rPr>
          <w:rFonts w:ascii="Arial" w:cs="Arial" w:eastAsia="Arial" w:hAnsi="Arial"/>
          <w:sz w:val="18"/>
          <w:szCs w:val="18"/>
          <w:color w:val="auto"/>
        </w:rPr>
        <w:t>Consists of portfolio management services that span the mortgage lifecycle. In 2011, we reorganized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structure in that certain services originally part of Component Services and Other in this segment are now classified as part of Customer Relationship Management in our Financial Services segment. Following this change, Component Services has been renamed Origination Management Services. Origination Management Services includes MPA, our legacy contract underwriting business and our origination fulfillment operations currently under development. Prior periods have been recast to conform to the current year presentation.</w:t>
      </w:r>
    </w:p>
    <w:p>
      <w:pPr>
        <w:spacing w:after="0" w:line="153" w:lineRule="exact"/>
        <w:rPr>
          <w:sz w:val="20"/>
          <w:szCs w:val="20"/>
          <w:color w:val="auto"/>
        </w:rPr>
      </w:pPr>
    </w:p>
    <w:p>
      <w:pPr>
        <w:jc w:val="both"/>
        <w:ind w:left="720" w:right="159"/>
        <w:spacing w:after="0" w:line="342" w:lineRule="auto"/>
        <w:rPr>
          <w:sz w:val="20"/>
          <w:szCs w:val="20"/>
          <w:color w:val="auto"/>
        </w:rPr>
      </w:pPr>
      <w:r>
        <w:rPr>
          <w:rFonts w:ascii="Arial" w:cs="Arial" w:eastAsia="Arial" w:hAnsi="Arial"/>
          <w:sz w:val="16"/>
          <w:szCs w:val="16"/>
          <w:i w:val="1"/>
          <w:iCs w:val="1"/>
          <w:color w:val="auto"/>
        </w:rPr>
        <w:t xml:space="preserve">Financial Services: </w:t>
      </w:r>
      <w:r>
        <w:rPr>
          <w:rFonts w:ascii="Arial" w:cs="Arial" w:eastAsia="Arial" w:hAnsi="Arial"/>
          <w:sz w:val="16"/>
          <w:szCs w:val="16"/>
          <w:color w:val="auto"/>
        </w:rPr>
        <w:t>Consists of unsecured asset recovery and customer relationship management. As discussed above,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Management now includes certain services that were originally recorded as part of Mortgage Services.</w:t>
      </w:r>
    </w:p>
    <w:p>
      <w:pPr>
        <w:spacing w:after="0" w:line="97" w:lineRule="exact"/>
        <w:rPr>
          <w:sz w:val="20"/>
          <w:szCs w:val="20"/>
          <w:color w:val="auto"/>
        </w:rPr>
      </w:pPr>
    </w:p>
    <w:p>
      <w:pPr>
        <w:jc w:val="both"/>
        <w:ind w:left="720" w:right="159"/>
        <w:spacing w:after="0" w:line="277" w:lineRule="auto"/>
        <w:rPr>
          <w:sz w:val="20"/>
          <w:szCs w:val="20"/>
          <w:color w:val="auto"/>
        </w:rPr>
      </w:pPr>
      <w:r>
        <w:rPr>
          <w:rFonts w:ascii="Arial" w:cs="Arial" w:eastAsia="Arial" w:hAnsi="Arial"/>
          <w:sz w:val="18"/>
          <w:szCs w:val="18"/>
          <w:i w:val="1"/>
          <w:iCs w:val="1"/>
          <w:color w:val="auto"/>
        </w:rPr>
        <w:t xml:space="preserve">Technology Services: </w:t>
      </w:r>
      <w:r>
        <w:rPr>
          <w:rFonts w:ascii="Arial" w:cs="Arial" w:eastAsia="Arial" w:hAnsi="Arial"/>
          <w:sz w:val="18"/>
          <w:szCs w:val="18"/>
          <w:color w:val="auto"/>
        </w:rPr>
        <w:t>Consists of modular, comprehensive integrated technological solutions for loan servicing,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invoice presentment and payment as well as providing infrastructure support.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Repurchase Plan</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intend to limit dilution caused by option exercises, including anticipated exercises, and acquisitions by repurchasing shares on the open market. On May 19, 2010, our shareholders authorized us to purchase 15% of our outstanding share capital, or 3.8 million shares of our common stock, in the open market. Since the start of the stock repurchase program, we have purchased 0.9 million shares of our common stock on the open market at an average price of $27.85, leaving 2.9 million shares available for purchase under the program.</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Springhouse, LLC</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On April 11, 2011, we acquired Springhouse, LLC (“Springhouse”) an appraisal management company that utilizes a nationwide panel of appraisers to provide real estate appraisals principally to mortgage originators, including the members of Lenders One, and real estate asset managers.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85" w:lineRule="exact"/>
        <w:rPr>
          <w:sz w:val="20"/>
          <w:szCs w:val="20"/>
          <w:color w:val="auto"/>
        </w:rPr>
      </w:pPr>
    </w:p>
    <w:p>
      <w:pPr>
        <w:jc w:val="both"/>
        <w:ind w:left="1080" w:right="159" w:hanging="370"/>
        <w:spacing w:after="0" w:line="286" w:lineRule="auto"/>
        <w:tabs>
          <w:tab w:leader="none" w:pos="10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In February 2010, we acquired all of the outstanding membership interests of MPA which was formed with the purpose of managing Lenders One (see Note 1 to the condensed consolidated financial statements). The results of operations of Lenders One have been consolidated under the variable interest model since the acquisition date;</w:t>
      </w:r>
    </w:p>
    <w:p>
      <w:pPr>
        <w:spacing w:after="0" w:line="125" w:lineRule="exact"/>
        <w:rPr>
          <w:rFonts w:ascii="Arial" w:cs="Arial" w:eastAsia="Arial" w:hAnsi="Arial"/>
          <w:sz w:val="17"/>
          <w:szCs w:val="17"/>
          <w:b w:val="1"/>
          <w:bCs w:val="1"/>
          <w:color w:val="auto"/>
        </w:rPr>
      </w:pPr>
    </w:p>
    <w:p>
      <w:pPr>
        <w:jc w:val="both"/>
        <w:ind w:left="1080" w:right="159" w:hanging="370"/>
        <w:spacing w:after="0" w:line="259"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Effective January 1, 2011, we modified our pricing for IT Infrastructure Services within our Technology Services segment from a rate card model primarily based on headcount to a fully loaded cost plus mark-up methodology. This new model applies to the infrastructure amounts charged to Ocwen as well as internal allocations of infrastructure costs. The impact of this change is discussed further in the Technology Services segment.</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Consolidated Results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Following is a discussion of our consolidated results of operations for the periods indicated. In evaluating performance, we neutralize the impact of pass-through items for which we earn no margin by excluding reimbursable expenses and non-controlling interests where appropriate and calculating all margins based upon Service Revenue.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our results of operations for the periods ended March 31, 2011 and 2010:</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71,730</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51,657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15,641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8,530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Cooperative Non-controlling Interest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23"/>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88,670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60,974</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39,354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24"/>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21,620</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5"/>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 Service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16,254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12,069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9,551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Income from Operations / Service Revenue</w:t>
            </w: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Income Before Income Taxes and Non-controlling Interests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9,479</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23"/>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23"/>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Altisource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0.60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0.26</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0.57</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48,790</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29,251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30"/>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324</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for the periods ended March 31, 2011 and 2010:</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7"/>
          </w:tcPr>
          <w:p>
            <w:pPr>
              <w:jc w:val="right"/>
              <w:ind w:right="80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Service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43,340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23,714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Reimbursable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7,882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23"/>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Cooperative Non-controlling Interest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 — Total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59,707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32,383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432"/>
        </w:trPr>
        <w:tc>
          <w:tcPr>
            <w:tcW w:w="59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18,920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19,397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Reimbursable Expenses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 — Total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20,045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592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12,716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11,974</w:t>
            </w:r>
          </w:p>
        </w:tc>
        <w:tc>
          <w:tcPr>
            <w:tcW w:w="38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60,974</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Mortgage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43,810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24,762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30"/>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4,438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147"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 evaluating our performance, we utilize Service Revenue which consists of amounts attributable to our fee based services. Reimbursable Expenses and Cooperative Non-controlling Interests are pass-through items for which we earn no margin. Reimbursable Expenses consists of amounts that we incur on behalf of our customers in performing our fee based services, but we pass such costs directly on to our customers without any additional markup. Cooperative Non-controlling Interests is attributable to the members of Lenders One.</w:t>
      </w:r>
    </w:p>
    <w:p>
      <w:pPr>
        <w:spacing w:after="0" w:line="161"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We recognized $71.7 million of Service Revenue for the quarter ended March 31, 2011, a 39% increase over the same quarter in 2010. Revenues for the first quarter were consistent with our internal expectations. Mortgage Services revenue grew as a result of (i) the national rollout of services during 2010, including property preservation and inspection services, default management services and sale of real estate owned (REO), and (ii) the growth in Ocwen’s loan portfolio. Financial Services revenue declined compared to prior year due to a decline in revenues from the segment’s largest customer. The decline was in part as a result of the client shifting work to our global delivery platform. This resulted in lower revenue although higher margins. Technology Services revenue increased as the impact of lowering infrastructure services pricing (which occurred on January 1, 2011) was more than offset by the growth in REALSuite revenues, principally REALServicing</w:t>
      </w:r>
      <w:r>
        <w:rPr>
          <w:rFonts w:ascii="Arial" w:cs="Arial" w:eastAsia="Arial" w:hAnsi="Arial"/>
          <w:sz w:val="13"/>
          <w:szCs w:val="13"/>
          <w:color w:val="auto"/>
        </w:rPr>
        <w:t>®</w:t>
      </w:r>
      <w:r>
        <w:rPr>
          <w:rFonts w:ascii="Arial" w:cs="Arial" w:eastAsia="Arial" w:hAnsi="Arial"/>
          <w:sz w:val="16"/>
          <w:szCs w:val="16"/>
          <w:color w:val="auto"/>
        </w:rPr>
        <w:t>, given the growth in Ocwen’s servicing portfolio during 2010.</w:t>
      </w:r>
    </w:p>
    <w:p>
      <w:pPr>
        <w:spacing w:after="0" w:line="126"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Sequentially, Service Revenue declined $2.6 million compared to the fourth quarter of 2010. The decline is principally attributable to the Mortgage Services segment which saw sequential decreases in Residential Property Valuation, Default Management Services and Closing and Title Services, all of which received elevated benefit in the fourth quarter from the boarding of additional loans by Ocwen in September 2010. In addition, MPA declined in the first quarter compared to fourth quarter consistent with the overall market decline in loan originations. Service Revenue for the Financial Services segment increased slightly, driven by stabilized performance in unsecured asset recovery and improved performance in our customer relationship management business. Technology Services revenue declined sequentially as expected due to the previously mentioned billing methodology change.</w:t>
      </w:r>
    </w:p>
    <w:p>
      <w:pPr>
        <w:spacing w:after="0" w:line="12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revenues are seasonal. More specifically, Financial Services revenue tends to be highest in the first quarter and generally declines throughout the year. Mortgage Services revenue is impacted by REO sales which tend to be at their lowest level during winter months and highest during summer months.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roles, fees paid to external providers related to the provision of services, reimbursable expenses and technology and telephony expenses as well as depreciation and amortization of operating assets. The components of Cost of Revenue were as follows for the periods ended March 31, 2011 and 2010:</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16,840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13,999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18,161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12,460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8,530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4,365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54,949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39,354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439"/>
        </w:trPr>
        <w:tc>
          <w:tcPr>
            <w:tcW w:w="5780" w:type="dxa"/>
            <w:vAlign w:val="bottom"/>
            <w:gridSpan w:val="2"/>
          </w:tcPr>
          <w:p>
            <w:pPr>
              <w:spacing w:after="0"/>
              <w:rPr>
                <w:sz w:val="20"/>
                <w:szCs w:val="20"/>
                <w:color w:val="auto"/>
              </w:rPr>
            </w:pPr>
            <w:r>
              <w:rPr>
                <w:rFonts w:ascii="Arial" w:cs="Arial" w:eastAsia="Arial" w:hAnsi="Arial"/>
                <w:sz w:val="18"/>
                <w:szCs w:val="18"/>
                <w:color w:val="auto"/>
              </w:rPr>
              <w:t>Gross Profit Percentage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Profit/Service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Our gross margin percentage increased to 47% for the three months ended March 31, 2011 from 41% for the same period in 2010. The increase in gross margin results from the composition of revenue being more weighted towards Mortgage Services which has higher margins. Sequentially, gross margins remained flat to fourth quarter as a decline in Mortgage Services segment margins, as a result of the mix and timing of services, was offset by improved margins in Financial Services.</w:t>
      </w:r>
    </w:p>
    <w:p>
      <w:pPr>
        <w:spacing w:after="0" w:line="144"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Compensation and Benefits costs was impacted by investments in personnel to support our suite of default oriented services and Ocwen’s residential loan portfolio growth. In addition, during the first quarter 2011, we principally invested in personnel for new services including title insurance and fulfillment services. We expect these modest investments to continue in the second quarter.</w:t>
      </w:r>
    </w:p>
    <w:p>
      <w:pPr>
        <w:spacing w:after="0" w:line="125"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Outside Fees and Services primarily increased in our Mortgage Services segment consistent with greater revenues including those related to our new services when compared to the same period in 2010. Sequentially, outsides fees and services declined principally driven by the reduction in valuation reports delivered in the first quarter 2011 versus fourth quarter 2010.</w:t>
      </w:r>
    </w:p>
    <w:p>
      <w:pPr>
        <w:spacing w:after="0" w:line="12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Technology and Communication costs were relatively flat from the same period in 2010 as increases related to the new data center were generally offset by other cost reduction initiatives. Sequentially, technology and communication costs declined due principally to lower telephony expenses.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executive, sales, marketing, human resources and finance roles. This category also includes professional fees, depreciation and amortization on non-operating assets. The components of Selling, General and Administrative Expenses were as follows for the periods ended March 31, 2011 and 2010:</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5,920</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4,040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2,102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2,296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1,189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23"/>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12,069</w:t>
            </w:r>
          </w:p>
        </w:tc>
        <w:tc>
          <w:tcPr>
            <w:tcW w:w="4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23"/>
        </w:trPr>
        <w:tc>
          <w:tcPr>
            <w:tcW w:w="5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Margin Percentage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Income from Operations/Service Revenue</w:t>
            </w: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Our operating margin percentage increased to 24% for the three months ended March 31, 2011 primarily as a result of the composition of our revenues being more weighted towards our higher margin Mortgage Services segment. Sequentially, operating margins were relatively flat as declines in Mortgage Services attributable to revenue declines previously discussed were offset by improvements at Financial Services, which included a goodwill impairment charge in the fourth quarter of 2010.</w:t>
      </w:r>
    </w:p>
    <w:p>
      <w:pPr>
        <w:spacing w:after="0" w:line="13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Compensation and Benefits increased compared to the prior year primarily as we built out our support functions such as accounting, legal and human resources throughout 2010.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Professional Services were relatively flat compared to the prior year.</w:t>
      </w:r>
    </w:p>
    <w:p>
      <w:pPr>
        <w:spacing w:after="0" w:line="19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Occupancy Related Costs increased as compared to 2010 due to the growth in our business which resulted in the addition of approximately 1,000 people worldwide.</w:t>
      </w:r>
    </w:p>
    <w:p>
      <w:pPr>
        <w:spacing w:after="0" w:line="13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Amortization of Intangible Assets increased slightly as a result of the intangibles acquired in connection with the acquisition of MPA in February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Before Income Tax</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income before income tax including amount attributable to Altisource by segment: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69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Mortgage Services: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18,469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3"/>
        </w:trPr>
        <w:tc>
          <w:tcPr>
            <w:tcW w:w="6900" w:type="dxa"/>
            <w:vAlign w:val="bottom"/>
          </w:tcPr>
          <w:p>
            <w:pPr>
              <w:ind w:left="200"/>
              <w:spacing w:after="0"/>
              <w:rPr>
                <w:sz w:val="20"/>
                <w:szCs w:val="20"/>
                <w:color w:val="auto"/>
              </w:rPr>
            </w:pPr>
            <w:r>
              <w:rPr>
                <w:rFonts w:ascii="Arial" w:cs="Arial" w:eastAsia="Arial" w:hAnsi="Arial"/>
                <w:sz w:val="18"/>
                <w:szCs w:val="18"/>
                <w:color w:val="auto"/>
              </w:rPr>
              <w:t>Income Before Income Taxes Attributable to Altisource</w:t>
            </w:r>
          </w:p>
        </w:tc>
        <w:tc>
          <w:tcPr>
            <w:tcW w:w="3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17,170</w:t>
            </w:r>
          </w:p>
        </w:tc>
        <w:tc>
          <w:tcPr>
            <w:tcW w:w="46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percent of 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690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30"/>
        </w:trPr>
        <w:tc>
          <w:tcPr>
            <w:tcW w:w="6900" w:type="dxa"/>
            <w:vAlign w:val="bottom"/>
          </w:tcPr>
          <w:p>
            <w:pPr>
              <w:ind w:left="200"/>
              <w:spacing w:after="0"/>
              <w:rPr>
                <w:sz w:val="20"/>
                <w:szCs w:val="20"/>
                <w:color w:val="auto"/>
              </w:rPr>
            </w:pPr>
            <w:r>
              <w:rPr>
                <w:rFonts w:ascii="Arial" w:cs="Arial" w:eastAsia="Arial" w:hAnsi="Arial"/>
                <w:sz w:val="18"/>
                <w:szCs w:val="18"/>
                <w:color w:val="auto"/>
              </w:rPr>
              <w:t>As percent of Service Revenue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6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Technology Services: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4,060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percent of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6900" w:type="dxa"/>
            <w:vAlign w:val="bottom"/>
          </w:tcPr>
          <w:p>
            <w:pPr>
              <w:spacing w:after="0"/>
              <w:rPr>
                <w:sz w:val="20"/>
                <w:szCs w:val="20"/>
                <w:color w:val="auto"/>
              </w:rPr>
            </w:pPr>
            <w:r>
              <w:rPr>
                <w:rFonts w:ascii="Arial" w:cs="Arial" w:eastAsia="Arial" w:hAnsi="Arial"/>
                <w:sz w:val="18"/>
                <w:szCs w:val="18"/>
                <w:b w:val="1"/>
                <w:bCs w:val="1"/>
                <w:color w:val="auto"/>
              </w:rPr>
              <w:t>Consolidated:</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17,811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216"/>
        </w:trPr>
        <w:tc>
          <w:tcPr>
            <w:tcW w:w="69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 Attributable to Altisource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30"/>
        </w:trPr>
        <w:tc>
          <w:tcPr>
            <w:tcW w:w="6900" w:type="dxa"/>
            <w:vAlign w:val="bottom"/>
          </w:tcPr>
          <w:p>
            <w:pPr>
              <w:ind w:left="200"/>
              <w:spacing w:after="0"/>
              <w:rPr>
                <w:sz w:val="20"/>
                <w:szCs w:val="20"/>
                <w:color w:val="auto"/>
              </w:rPr>
            </w:pPr>
            <w:r>
              <w:rPr>
                <w:rFonts w:ascii="Arial" w:cs="Arial" w:eastAsia="Arial" w:hAnsi="Arial"/>
                <w:sz w:val="18"/>
                <w:szCs w:val="18"/>
                <w:color w:val="auto"/>
              </w:rPr>
              <w:t>As percent of Service Revenue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a consolidated basis, income before income tax attributable to Altisource grew principally as a result of the national rollout of mortgage services and the growth of Ocwen’s servicing portfolio during 2010 as previously discussed. Sequentially, income before income taxes attributable to Altisource grew $2.2 million; however, the fourth quarter included a $2.8 million charge for goodwill impairment in the Financial Services segment. Adjusting for the impairment charge, income before income taxes attributable to Altisource as a percent of Service Revenue remained constant at 23% for both quarters.</w:t>
      </w:r>
    </w:p>
    <w:p>
      <w:pPr>
        <w:spacing w:after="0" w:line="13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For the Mortgage Services segment, income before income taxes attributable to Altisource declined sequentially by $0.8 million attributable to the decline in Service Revenue as previously discussed. Income before income taxes attributable to Altisource as a percent of Service Revenue improved to 40% from 39% sequentially primarily as a result of the mix of services and a reduction in intersegment technology charges.</w:t>
      </w:r>
    </w:p>
    <w:p>
      <w:pPr>
        <w:spacing w:after="0" w:line="16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For the Financial Services segment, income before income taxes improved $4.7 million sequentially primarily due to the $2.8 million goodwill impairment recognized in the fourth quarter and the benefit of a seasonally strong first quarter. In addition, the Financial Services segment also started to see the initial benefits of disciplined floor management and improved performance for our customers. Technology costs for the Financial Services segment increased sequentially; however, this is expected to improve in the second half of 2011 as we implement certain cost containment measures.</w:t>
      </w:r>
    </w:p>
    <w:p>
      <w:pPr>
        <w:sectPr>
          <w:pgSz w:w="11900" w:h="16838" w:orient="portrait"/>
          <w:cols w:equalWidth="0" w:num="1">
            <w:col w:w="10219"/>
          </w:cols>
          <w:pgMar w:left="240" w:top="419" w:right="1440" w:bottom="1027"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27"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For the Technology Services segment, income before income taxes declined $1.2 million sequentially, principally as a result of the reduced pricing for IT infrastructure services as previously discussed.</w:t>
      </w:r>
    </w:p>
    <w:p>
      <w:pPr>
        <w:spacing w:after="0" w:line="13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Corporate costs increased $0.6 million principally due to increased costs associated with compliance and quality assurance, including related hiring costs, to support our growing business.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 recognized an income tax provision of $1.7 million for the three months ended March 31, 2011 representing an effective tax rate of 9%. The income tax provision computed by applying the Luxembourg statutory tax rate of 28.9% differs from the effective tax rate primarily because of the effect of the favorable tax ruling as well as the mix of income and losses in multiple taxing jurisdictions.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months ended March 31, 2011 and 2010. Transactions between segments are accounted for as third-party arrangements for purposes of presenting Segment Results of Operations. Intercompany transactions primarily consist of information technology infrastructure services and charges for the use of certain REAL products from our Technology Services segment to our other two segments. Generally, we reflect these charges within technology and communication in the segment receiving the services, except for consulting services, which we reflect in professional services.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8"/>
                <w:szCs w:val="18"/>
                <w:color w:val="auto"/>
              </w:rPr>
              <w:t>Three Months Ended March 31, 2011</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Corporate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Mortgage</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Financial</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Items &amp;</w:t>
            </w:r>
          </w:p>
        </w:tc>
        <w:tc>
          <w:tcPr>
            <w:tcW w:w="18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Services</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Services</w:t>
            </w: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Services</w:t>
            </w: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59,707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19,493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88,670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37,020</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13,488</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54,949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22,687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33,721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4,583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16,254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18,104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18,469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17,811</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43,810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48,790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8"/>
                <w:szCs w:val="18"/>
                <w:color w:val="auto"/>
              </w:rPr>
              <w:t>Three Months Ended March 31, 2010</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Corporate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Mortgage</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Financial</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Items &amp;</w:t>
            </w:r>
          </w:p>
        </w:tc>
        <w:tc>
          <w:tcPr>
            <w:tcW w:w="18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Services</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Services</w:t>
            </w: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Services</w:t>
            </w: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32,383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20,045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60,974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21,293</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14,526</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6,647</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39,354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11,090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21,620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4,221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24,762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29,251</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676"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76"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our Mortgage Services segment for the three months ending March 31:</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9"/>
          </w:tcPr>
          <w:p>
            <w:pPr>
              <w:jc w:val="right"/>
              <w:ind w:right="86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43,340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23,714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15,068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7,882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Cooperative Non-controlling Interest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23"/>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32,383</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21,293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24"/>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22,687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11,090</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5"/>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Profit/Service Revenue</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2,443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8,647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0"/>
        </w:trPr>
        <w:tc>
          <w:tcPr>
            <w:tcW w:w="57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780" w:type="dxa"/>
            <w:vAlign w:val="bottom"/>
            <w:gridSpan w:val="2"/>
          </w:tcPr>
          <w:p>
            <w:pPr>
              <w:spacing w:after="0"/>
              <w:rPr>
                <w:sz w:val="20"/>
                <w:szCs w:val="20"/>
                <w:color w:val="auto"/>
              </w:rPr>
            </w:pPr>
            <w:r>
              <w:rPr>
                <w:rFonts w:ascii="Arial" w:cs="Arial" w:eastAsia="Arial" w:hAnsi="Arial"/>
                <w:sz w:val="18"/>
                <w:szCs w:val="18"/>
                <w:color w:val="auto"/>
              </w:rPr>
              <w:t>Income from Operations/Service Revenue</w:t>
            </w:r>
          </w:p>
        </w:tc>
        <w:tc>
          <w:tcPr>
            <w:tcW w:w="20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ind w:left="20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43,810</w:t>
            </w:r>
          </w:p>
        </w:tc>
        <w:tc>
          <w:tcPr>
            <w:tcW w:w="2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24,762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Mortgage Services segment continues to be the primary driver of growth. As previously discussed, in 2011 we reorganized our reporting structure in that certain services that were originally part of Component Services and Other are now classified as part of Customer Relationship Management in our Financial Services segment.</w:t>
      </w:r>
    </w:p>
    <w:p>
      <w:pPr>
        <w:spacing w:after="0" w:line="15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expect to fund our remaining investment in Correspondent One during the second quarter. Correspondent One is expected to partner with Ocwen and members of Lenders One to provide additional avenues for members to sell loans beyond Lenders One’s preferred investor arrangements and the members own network of loan buyers. We anticipate this will result in improved capital markets execution for the members and facilitate the sale of our services to the members.</w:t>
      </w:r>
    </w:p>
    <w:p>
      <w:pPr>
        <w:spacing w:after="0" w:line="146"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Sequentially, Mortgage Services revenues declined principally due to two factors. First, fourth quarter revenues were positively impacted due to the boarding of loans by Ocwen in September. This triggered an elevated level of valuation reports utilized by Ocwen to determine the appropriate course of action for the loans and an elevated level of foreclosure title searches and initiated foreclosure actions. Although the boarding of these loans did ultimately lead to an increase in referrals for various Mortgage Services businesses, we recognize revenue for these referrals over an extended period of time or when the homes sell. Given the seasonal nature of home sales, we would expect Asset Management Services revenues to significantly increase in the second and third quarters. Second, MPA was impacted by the overall market decline in loan origination activity experienced in the first quarter. Partially offsetting these declines was growth in our insured title business following the receipt of title agent licenses in California and the continued development of our title agent services in other states. We expect to continue to ramp up the title insurance agency business through the balance of the year.</w:t>
      </w:r>
    </w:p>
    <w:p>
      <w:pPr>
        <w:spacing w:after="0" w:line="137"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Although we believe the development of origination services is important to balancing our service offerings, it will require a significant investment in personnel, technology and management to ensure we can perform these services in-line with customer expectations. When appropriate, we will consider small complementary acquisitions similar in nature to the recent acquisition of Springhouse to facilitate the growth of origination services. Although we will continue to leverage our global delivery model and our experience with technological based solutions, econometrics and behavioral science, these investments could limit our ability to significantly expand Mortgage Services margins calculated based upon Service Revenue during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8"/>
          </w:tcPr>
          <w:p>
            <w:pPr>
              <w:jc w:val="right"/>
              <w:ind w:right="80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Asset Management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12,306</w:t>
            </w:r>
          </w:p>
        </w:tc>
        <w:tc>
          <w:tcPr>
            <w:tcW w:w="3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5,967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Origination Management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Residential Property Valuation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6,580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Default Management Services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7,483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3,424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4"/>
        </w:trPr>
        <w:tc>
          <w:tcPr>
            <w:tcW w:w="5920" w:type="dxa"/>
            <w:vAlign w:val="bottom"/>
            <w:gridSpan w:val="2"/>
          </w:tcPr>
          <w:p>
            <w:pPr>
              <w:ind w:left="400"/>
              <w:spacing w:after="0"/>
              <w:rPr>
                <w:sz w:val="20"/>
                <w:szCs w:val="20"/>
                <w:color w:val="auto"/>
              </w:rPr>
            </w:pPr>
            <w:r>
              <w:rPr>
                <w:rFonts w:ascii="Arial" w:cs="Arial" w:eastAsia="Arial" w:hAnsi="Arial"/>
                <w:sz w:val="18"/>
                <w:szCs w:val="18"/>
                <w:color w:val="auto"/>
              </w:rPr>
              <w:t>Total Service Revenue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23,714</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5"/>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Asset Management Services</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13,881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7,369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Default Management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24"/>
        </w:trPr>
        <w:tc>
          <w:tcPr>
            <w:tcW w:w="5920" w:type="dxa"/>
            <w:vAlign w:val="bottom"/>
            <w:gridSpan w:val="2"/>
          </w:tcPr>
          <w:p>
            <w:pPr>
              <w:ind w:left="400"/>
              <w:spacing w:after="0"/>
              <w:rPr>
                <w:sz w:val="20"/>
                <w:szCs w:val="20"/>
                <w:color w:val="auto"/>
              </w:rPr>
            </w:pPr>
            <w:r>
              <w:rPr>
                <w:rFonts w:ascii="Arial" w:cs="Arial" w:eastAsia="Arial" w:hAnsi="Arial"/>
                <w:sz w:val="18"/>
                <w:szCs w:val="18"/>
                <w:color w:val="auto"/>
              </w:rPr>
              <w:t>Total Reimbursable Expenses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7,882</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5"/>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23"/>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32,383</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Asset Management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26,226</w:t>
            </w:r>
          </w:p>
        </w:tc>
        <w:tc>
          <w:tcPr>
            <w:tcW w:w="3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13,380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Residential Property Valuation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6,015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Closing and Title Services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3,828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Default Management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23"/>
        </w:trPr>
        <w:tc>
          <w:tcPr>
            <w:tcW w:w="592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24,762</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our Mortgage Services segment, we generate the majority of our revenue by providing outsourced services that span the lifecycle of a mortgage loan primarily for Ocwen or with respect to the loan portfolio serviced by Ocwen. In addition to our relationship with Ocwen, we have longstanding relationships with some of the leading capital markets firms, commercial banks, hedge funds, insurance companies, credit unions and lending institutions.</w:t>
      </w:r>
    </w:p>
    <w:p>
      <w:pPr>
        <w:spacing w:after="0" w:line="160" w:lineRule="exact"/>
        <w:rPr>
          <w:sz w:val="20"/>
          <w:szCs w:val="20"/>
          <w:color w:val="auto"/>
        </w:rPr>
      </w:pPr>
    </w:p>
    <w:p>
      <w:pPr>
        <w:jc w:val="both"/>
        <w:ind w:left="720" w:right="159"/>
        <w:spacing w:after="0" w:line="273" w:lineRule="auto"/>
        <w:rPr>
          <w:sz w:val="20"/>
          <w:szCs w:val="20"/>
          <w:color w:val="auto"/>
        </w:rPr>
      </w:pPr>
      <w:r>
        <w:rPr>
          <w:rFonts w:ascii="Arial" w:cs="Arial" w:eastAsia="Arial" w:hAnsi="Arial"/>
          <w:sz w:val="17"/>
          <w:szCs w:val="17"/>
          <w:i w:val="1"/>
          <w:iCs w:val="1"/>
          <w:color w:val="auto"/>
        </w:rPr>
        <w:t xml:space="preserve">Asset Management Services. </w:t>
      </w:r>
      <w:r>
        <w:rPr>
          <w:rFonts w:ascii="Arial" w:cs="Arial" w:eastAsia="Arial" w:hAnsi="Arial"/>
          <w:sz w:val="17"/>
          <w:szCs w:val="17"/>
          <w:color w:val="auto"/>
        </w:rPr>
        <w:t>Asset Management Services principally include property preservation, property inspection, REO</w:t>
      </w:r>
      <w:r>
        <w:rPr>
          <w:rFonts w:ascii="Arial" w:cs="Arial" w:eastAsia="Arial" w:hAnsi="Arial"/>
          <w:sz w:val="17"/>
          <w:szCs w:val="17"/>
          <w:i w:val="1"/>
          <w:iCs w:val="1"/>
          <w:color w:val="auto"/>
        </w:rPr>
        <w:t xml:space="preserve"> </w:t>
      </w:r>
      <w:r>
        <w:rPr>
          <w:rFonts w:ascii="Arial" w:cs="Arial" w:eastAsia="Arial" w:hAnsi="Arial"/>
          <w:sz w:val="17"/>
          <w:szCs w:val="17"/>
          <w:color w:val="auto"/>
        </w:rPr>
        <w:t>asset management and REO brokerage. In the first quarter of 2010, we completed our national network for property preservation services and, including our real estate broker referral network, have coverage nationally for REO dispositions. The completion of the national network and increases in Ocwen’s loan portfolio are the reasons for the significant growth compared to the prior year period. Sequentially, Service Revenue for this segment increased as a result of the growth in Ocwen’s loan portfolio and an increase in REO properties disposed when compared to the prior period.</w:t>
      </w:r>
    </w:p>
    <w:p>
      <w:pPr>
        <w:spacing w:after="0" w:line="138" w:lineRule="exact"/>
        <w:rPr>
          <w:sz w:val="20"/>
          <w:szCs w:val="20"/>
          <w:color w:val="auto"/>
        </w:rPr>
      </w:pPr>
    </w:p>
    <w:p>
      <w:pPr>
        <w:jc w:val="both"/>
        <w:ind w:left="720" w:right="159"/>
        <w:spacing w:after="0" w:line="279" w:lineRule="auto"/>
        <w:rPr>
          <w:sz w:val="20"/>
          <w:szCs w:val="20"/>
          <w:color w:val="auto"/>
        </w:rPr>
      </w:pPr>
      <w:r>
        <w:rPr>
          <w:rFonts w:ascii="Arial" w:cs="Arial" w:eastAsia="Arial" w:hAnsi="Arial"/>
          <w:sz w:val="17"/>
          <w:szCs w:val="17"/>
          <w:i w:val="1"/>
          <w:iCs w:val="1"/>
          <w:color w:val="auto"/>
        </w:rPr>
        <w:t>Origination Management Services</w:t>
      </w:r>
      <w:r>
        <w:rPr>
          <w:rFonts w:ascii="Arial" w:cs="Arial" w:eastAsia="Arial" w:hAnsi="Arial"/>
          <w:sz w:val="17"/>
          <w:szCs w:val="17"/>
          <w:color w:val="auto"/>
        </w:rPr>
        <w:t>. Origination Management Services includes MPA and our developing fulfillment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year over year is principally due to the inclusion of MPA’s results for an entire quarter in 2011 as compared to a partial period in 2010 from the date of acquisition. Sequentially, revenue declined as a result of the general decline in the loan origination market which impacted MPA’s results. For the quarter, MPA added six members.</w:t>
      </w:r>
    </w:p>
    <w:p>
      <w:pPr>
        <w:spacing w:after="0" w:line="131"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i w:val="1"/>
          <w:iCs w:val="1"/>
          <w:color w:val="auto"/>
        </w:rPr>
        <w:t>Residential Property Valuation</w:t>
      </w:r>
      <w:r>
        <w:rPr>
          <w:rFonts w:ascii="Arial" w:cs="Arial" w:eastAsia="Arial" w:hAnsi="Arial"/>
          <w:sz w:val="18"/>
          <w:szCs w:val="18"/>
          <w:color w:val="auto"/>
        </w:rPr>
        <w:t>. The first quarter of 2011 was higher than first quarter 2010 as a result of Ocwen’s residential loan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growth. As previously discussed, sequentially we saw a decline in revenues due to the elevated fourth quarter 2010 impact of loans boarded by Ocwen in September 2010.</w:t>
      </w:r>
    </w:p>
    <w:p>
      <w:pPr>
        <w:spacing w:after="0" w:line="154" w:lineRule="exact"/>
        <w:rPr>
          <w:sz w:val="20"/>
          <w:szCs w:val="20"/>
          <w:color w:val="auto"/>
        </w:rPr>
      </w:pPr>
    </w:p>
    <w:p>
      <w:pPr>
        <w:jc w:val="both"/>
        <w:ind w:left="720" w:right="159"/>
        <w:spacing w:after="0" w:line="257" w:lineRule="auto"/>
        <w:rPr>
          <w:sz w:val="20"/>
          <w:szCs w:val="20"/>
          <w:color w:val="auto"/>
        </w:rPr>
      </w:pPr>
      <w:r>
        <w:rPr>
          <w:rFonts w:ascii="Arial" w:cs="Arial" w:eastAsia="Arial" w:hAnsi="Arial"/>
          <w:sz w:val="18"/>
          <w:szCs w:val="18"/>
          <w:i w:val="1"/>
          <w:iCs w:val="1"/>
          <w:color w:val="auto"/>
        </w:rPr>
        <w:t xml:space="preserve">Closing and Title Services. </w:t>
      </w:r>
      <w:r>
        <w:rPr>
          <w:rFonts w:ascii="Arial" w:cs="Arial" w:eastAsia="Arial" w:hAnsi="Arial"/>
          <w:sz w:val="18"/>
          <w:szCs w:val="18"/>
          <w:color w:val="auto"/>
        </w:rPr>
        <w:t>During 2011, we are focused on rolling out insured title services nationwide, similar to what we</w:t>
      </w:r>
      <w:r>
        <w:rPr>
          <w:rFonts w:ascii="Arial" w:cs="Arial" w:eastAsia="Arial" w:hAnsi="Arial"/>
          <w:sz w:val="18"/>
          <w:szCs w:val="18"/>
          <w:i w:val="1"/>
          <w:iCs w:val="1"/>
          <w:color w:val="auto"/>
        </w:rPr>
        <w:t xml:space="preserve"> </w:t>
      </w:r>
      <w:r>
        <w:rPr>
          <w:rFonts w:ascii="Arial" w:cs="Arial" w:eastAsia="Arial" w:hAnsi="Arial"/>
          <w:sz w:val="18"/>
          <w:szCs w:val="18"/>
          <w:color w:val="auto"/>
        </w:rPr>
        <w:t>accomplished with our REO closing business in 2010 which explains increase year over year. Sequentially, revenues slightly declined as the growth in insured title agency products was insufficient to offset the elevated title search revenues in the fourth quarter caused by the boarding of loans by Ocwen in September 2010. We expect closing and title services to significantly grow throughout the year as we expand our insured title agency offerings.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jc w:val="both"/>
        <w:ind w:left="720" w:right="159"/>
        <w:spacing w:after="0" w:line="25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This group includes support services whereby we provide non-legal back-office support for</w:t>
      </w:r>
      <w:r>
        <w:rPr>
          <w:rFonts w:ascii="Arial" w:cs="Arial" w:eastAsia="Arial" w:hAnsi="Arial"/>
          <w:sz w:val="18"/>
          <w:szCs w:val="18"/>
          <w:i w:val="1"/>
          <w:iCs w:val="1"/>
          <w:color w:val="auto"/>
        </w:rPr>
        <w:t xml:space="preserve"> </w:t>
      </w:r>
      <w:r>
        <w:rPr>
          <w:rFonts w:ascii="Arial" w:cs="Arial" w:eastAsia="Arial" w:hAnsi="Arial"/>
          <w:sz w:val="18"/>
          <w:szCs w:val="18"/>
          <w:color w:val="auto"/>
        </w:rPr>
        <w:t>foreclosure, bankruptcy and eviction attorneys as well as foreclosure trustee services. The first quarter of 2011 was higher than the first quarter of 2010 as a result of our continued rollout of a national platform as well as Ocwen’s servicing portfolio growth. Sequentially, we saw a decrease in revenues during the first quarter primarily due to elevated foreclosure referrals in the fourth quarter following Ocwen’s boarding of additional loans in September.</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21,952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13,411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15,068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7,882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37,020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21,293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Profit/Service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gross margin was 52% for the first quarter of 2011. Several factors impact our gross margins from period to period including seasonality, the mix of services delivered, timing of investments in new services and the timing of when loans are boarded by our customers.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Operations/Service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Selling, General and Administrative Expenses increased year over year principally due to the exponential growth in the segment which required investments in facilities, technology and other general and administrative costs. As this segment continues to grow, we should see continued leverage resulting in increased margin.</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our Financial Services segment for the three months ending March 31:</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18,920</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19,397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648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20,045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13,488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14,526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Gross Profit/Service Revenue</w:t>
            </w:r>
          </w:p>
        </w:tc>
        <w:tc>
          <w:tcPr>
            <w:tcW w:w="2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4,100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Income / (Loss) from Operations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Operations/Service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As discussed above, Customer Relationship Management now includes certain services that were originally recorded as part of Mortgage Services.</w:t>
      </w:r>
    </w:p>
    <w:p>
      <w:pPr>
        <w:spacing w:after="0" w:line="143"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Financial Services revenue declined compared to the prior year due to a decline in revenue from the segment’s largest customer. The decline was in part as a result of the client shifting work to the Company’s global delivery platform which resulted in lower revenue although higher margins. This decline was partially offset by growth in new asset recovery management accounts and growth in customer relationship management revenues. Sequentially, revenue grew $0.8 million, or 5%, primarily due to the seasonality of collections.</w:t>
      </w:r>
    </w:p>
    <w:p>
      <w:pPr>
        <w:spacing w:after="0" w:line="14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Our new leadership team is focused on disciplined floor management and cost containment as well as improving the analytics to determine which accounts to contact, what offer to make and what to say. In addition, we are focused on delivering more services over our global delivery platform, expanding our quality initiatives and investing in new technology. We expect limited revenue growth in this segment and instead will be focused on the performance of our collectors, which should facilitate future year growth as well as margin improvement.</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7"/>
          </w:tcPr>
          <w:p>
            <w:pPr>
              <w:jc w:val="right"/>
              <w:ind w:right="80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Asset Recovery Management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10,904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12,172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Customer Relationship Management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7,225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4"/>
        </w:trPr>
        <w:tc>
          <w:tcPr>
            <w:tcW w:w="5920" w:type="dxa"/>
            <w:vAlign w:val="bottom"/>
            <w:gridSpan w:val="2"/>
          </w:tcPr>
          <w:p>
            <w:pPr>
              <w:ind w:left="400"/>
              <w:spacing w:after="0"/>
              <w:rPr>
                <w:sz w:val="20"/>
                <w:szCs w:val="20"/>
                <w:color w:val="auto"/>
              </w:rPr>
            </w:pPr>
            <w:r>
              <w:rPr>
                <w:rFonts w:ascii="Arial" w:cs="Arial" w:eastAsia="Arial" w:hAnsi="Arial"/>
                <w:sz w:val="18"/>
                <w:szCs w:val="18"/>
                <w:color w:val="auto"/>
              </w:rPr>
              <w:t>Total Service Revenue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18,920</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19,397</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5"/>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Asset Recovery Management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Reimbursable Expenses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439"/>
        </w:trPr>
        <w:tc>
          <w:tcPr>
            <w:tcW w:w="5920" w:type="dxa"/>
            <w:vAlign w:val="bottom"/>
            <w:gridSpan w:val="2"/>
          </w:tcPr>
          <w:p>
            <w:pPr>
              <w:ind w:left="6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19,493</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20,045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Asset Recovery Management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744"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44"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ind w:left="340" w:right="159"/>
        <w:spacing w:after="0" w:line="342" w:lineRule="auto"/>
        <w:rPr>
          <w:sz w:val="20"/>
          <w:szCs w:val="20"/>
          <w:color w:val="auto"/>
        </w:rPr>
      </w:pPr>
      <w:r>
        <w:rPr>
          <w:rFonts w:ascii="Arial" w:cs="Arial" w:eastAsia="Arial" w:hAnsi="Arial"/>
          <w:sz w:val="16"/>
          <w:szCs w:val="16"/>
          <w:color w:val="auto"/>
        </w:rPr>
        <w:t>In our Financial Services segment, we generate the majority of our revenue from asset recovery management fees we earn for collecting amounts due to our customers and from fees we earn for performing customer relationship management for our customers.</w:t>
      </w:r>
    </w:p>
    <w:p>
      <w:pPr>
        <w:spacing w:after="0" w:line="83" w:lineRule="exact"/>
        <w:rPr>
          <w:sz w:val="20"/>
          <w:szCs w:val="20"/>
          <w:color w:val="auto"/>
        </w:rPr>
      </w:pPr>
    </w:p>
    <w:p>
      <w:pPr>
        <w:jc w:val="both"/>
        <w:ind w:left="720" w:right="159"/>
        <w:spacing w:after="0" w:line="25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Our revenues associated with contingency collections declined when compared to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2010 due to a decline in revenues from our largest customer. The decline was in part a result of the client shifting work to the Company’s global delivery platform which resulted in lower revenue although generally at higher margins and as a result of collector performance. In general, we have seen improved performance of our collectors which we believe will translate into better placements in the future should such performance continue.</w:t>
      </w:r>
    </w:p>
    <w:p>
      <w:pPr>
        <w:spacing w:after="0" w:line="148"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i w:val="1"/>
          <w:iCs w:val="1"/>
          <w:color w:val="auto"/>
        </w:rPr>
        <w:t>Customer Relationship Management</w:t>
      </w:r>
      <w:r>
        <w:rPr>
          <w:rFonts w:ascii="Arial" w:cs="Arial" w:eastAsia="Arial" w:hAnsi="Arial"/>
          <w:sz w:val="18"/>
          <w:szCs w:val="18"/>
          <w:color w:val="auto"/>
        </w:rPr>
        <w:t>. Our revenues with customer relationship management increased year over year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increased services to two key customers. We expect revenues to be flat or decrease in the second quarter due to customer requirements offset in part by seasonality.</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c>
          <w:tcPr>
            <w:tcW w:w="0" w:type="dxa"/>
            <w:vAlign w:val="bottom"/>
          </w:tcPr>
          <w:p>
            <w:pPr>
              <w:spacing w:after="0"/>
              <w:rPr>
                <w:sz w:val="1"/>
                <w:szCs w:val="1"/>
                <w:color w:val="auto"/>
              </w:rPr>
            </w:pPr>
          </w:p>
        </w:tc>
      </w:tr>
      <w:tr>
        <w:trPr>
          <w:trHeight w:val="20"/>
        </w:trPr>
        <w:tc>
          <w:tcPr>
            <w:tcW w:w="5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13,878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648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13,488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14,526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Profit/Service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gross margin was 32% for the first quarter of 2011. The primary component of Cost of Revenue is compensation and benefits for our collectors. Personnel costs declined when compared to the prior year as a result of expanding our global delivery footprint while rationalizing higher cost locations. This was partially offset by higher technology costs.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4,100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 (Loss) from Operations/Service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Selling, General and Administrative Expenses increased, compared to the prior year, primarily as a result of additional costs incurred to support increased placements and the expansion of our Goa facility.</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Services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results of operations for our Technology Services segment for the three months ending March 31:</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12,716</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11,974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7,445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6,647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5,327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Gross Profit/Service Revenue</w:t>
            </w:r>
          </w:p>
        </w:tc>
        <w:tc>
          <w:tcPr>
            <w:tcW w:w="2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4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Operations/Service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4,951</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4,438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The primary focus of the Technology Services segment is to support the growth of Mortgage Services and Ocwen. In addition, Technology Services is assisting in the cost reduction and quality initiatives on-going within the Financial Services segment. In 2011, we intend to expend significant resources, principally personnel costs and external consulting costs to accomplish three key objectives:</w:t>
      </w:r>
    </w:p>
    <w:p>
      <w:pPr>
        <w:spacing w:after="0" w:line="120" w:lineRule="exact"/>
        <w:rPr>
          <w:sz w:val="20"/>
          <w:szCs w:val="20"/>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re-architecture and enhancement of our REALSuite of services;</w:t>
      </w:r>
    </w:p>
    <w:p>
      <w:pPr>
        <w:spacing w:after="0" w:line="184"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deployment of business process management and business intelligence reporting systems to more effectively manage our operations; and</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development and early stage incubation of technology solutions principally based on patented technologies.</w:t>
      </w:r>
    </w:p>
    <w:p>
      <w:pPr>
        <w:spacing w:after="0" w:line="19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Effective January 1, 2011, we modified our pricing for IT Infrastructure Services within our Technology Services segment from a rate card model based principally on headcount to a fully loaded costs plus mark-up methodology. This new model applies to the infrastructure amounts charged to Ocwen as well as internal allocations of infrastructure costs.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7"/>
          </w:tcPr>
          <w:p>
            <w:pPr>
              <w:jc w:val="right"/>
              <w:ind w:right="80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REAL Suite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8,156</w:t>
            </w:r>
          </w:p>
        </w:tc>
        <w:tc>
          <w:tcPr>
            <w:tcW w:w="3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6,986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5920" w:type="dxa"/>
            <w:vAlign w:val="bottom"/>
            <w:gridSpan w:val="2"/>
          </w:tcPr>
          <w:p>
            <w:pPr>
              <w:ind w:left="4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11,974</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200"/>
              <w:spacing w:after="0"/>
              <w:rPr>
                <w:sz w:val="20"/>
                <w:szCs w:val="20"/>
                <w:color w:val="auto"/>
              </w:rPr>
            </w:pPr>
            <w:r>
              <w:rPr>
                <w:rFonts w:ascii="Arial" w:cs="Arial" w:eastAsia="Arial" w:hAnsi="Arial"/>
                <w:sz w:val="18"/>
                <w:szCs w:val="18"/>
                <w:color w:val="auto"/>
              </w:rPr>
              <w:t>REALSuite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1,946</w:t>
            </w:r>
          </w:p>
        </w:tc>
        <w:tc>
          <w:tcPr>
            <w:tcW w:w="3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2,555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23"/>
        </w:trPr>
        <w:tc>
          <w:tcPr>
            <w:tcW w:w="5920" w:type="dxa"/>
            <w:vAlign w:val="bottom"/>
            <w:gridSpan w:val="2"/>
          </w:tcPr>
          <w:p>
            <w:pPr>
              <w:ind w:left="40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right="179"/>
        <w:spacing w:after="0" w:line="342" w:lineRule="auto"/>
        <w:rPr>
          <w:sz w:val="20"/>
          <w:szCs w:val="20"/>
          <w:color w:val="auto"/>
        </w:rPr>
      </w:pPr>
      <w:r>
        <w:rPr>
          <w:rFonts w:ascii="Arial" w:cs="Arial" w:eastAsia="Arial" w:hAnsi="Arial"/>
          <w:sz w:val="16"/>
          <w:szCs w:val="16"/>
          <w:i w:val="1"/>
          <w:iCs w:val="1"/>
          <w:color w:val="auto"/>
        </w:rPr>
        <w:t>REALSuite</w:t>
      </w:r>
      <w:r>
        <w:rPr>
          <w:rFonts w:ascii="Arial" w:cs="Arial" w:eastAsia="Arial" w:hAnsi="Arial"/>
          <w:sz w:val="16"/>
          <w:szCs w:val="16"/>
          <w:color w:val="auto"/>
        </w:rPr>
        <w:t>. Our REALSuite revenue is primarily driven by our REALServicing</w:t>
      </w:r>
      <w:r>
        <w:rPr>
          <w:rFonts w:ascii="Arial" w:cs="Arial" w:eastAsia="Arial" w:hAnsi="Arial"/>
          <w:sz w:val="13"/>
          <w:szCs w:val="13"/>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which is our comprehensive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loan servicing platform. The primary driver for the growth in revenue is the increase in Ocwen’s residential loan portfolio.</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IT Infrastructure Services. </w:t>
      </w:r>
      <w:r>
        <w:rPr>
          <w:rFonts w:ascii="Arial" w:cs="Arial" w:eastAsia="Arial" w:hAnsi="Arial"/>
          <w:sz w:val="18"/>
          <w:szCs w:val="18"/>
          <w:color w:val="auto"/>
        </w:rPr>
        <w:t>Our IT infrastructure services revenues declined when compared to the comparable period in 2010</w:t>
      </w:r>
      <w:r>
        <w:rPr>
          <w:rFonts w:ascii="Arial" w:cs="Arial" w:eastAsia="Arial" w:hAnsi="Arial"/>
          <w:sz w:val="18"/>
          <w:szCs w:val="18"/>
          <w:i w:val="1"/>
          <w:iCs w:val="1"/>
          <w:color w:val="auto"/>
        </w:rPr>
        <w:t xml:space="preserve"> </w:t>
      </w:r>
      <w:r>
        <w:rPr>
          <w:rFonts w:ascii="Arial" w:cs="Arial" w:eastAsia="Arial" w:hAnsi="Arial"/>
          <w:sz w:val="18"/>
          <w:szCs w:val="18"/>
          <w:color w:val="auto"/>
        </w:rPr>
        <w:t>almost entirely due to our change in pricing for infrastructure services. The mark-ups are based upon economic studies performed consistent with our transfer pricing methodology. We expect revenues to be consistent or down in future periods as we focus on reducing costs both internally and for Ocwen.</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7,445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6,647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Revenue / Total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308" w:lineRule="auto"/>
        <w:rPr>
          <w:sz w:val="20"/>
          <w:szCs w:val="20"/>
          <w:color w:val="auto"/>
        </w:rPr>
      </w:pPr>
      <w:r>
        <w:rPr>
          <w:rFonts w:ascii="Arial" w:cs="Arial" w:eastAsia="Arial" w:hAnsi="Arial"/>
          <w:sz w:val="17"/>
          <w:szCs w:val="17"/>
          <w:color w:val="auto"/>
        </w:rPr>
        <w:t>Our gross margin declined to 41% when compared to the first quarter of 2011 primarily as a result of compensation and benefits as we added personnel to enhance our service capabilities as well as the previously mentioned change in billing methodology.</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8"/>
          </w:tcPr>
          <w:p>
            <w:pPr>
              <w:jc w:val="right"/>
              <w:ind w:right="86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4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Income / Total Revenue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Selling, General and Administrative Expenses increased slightly primarily due to higher occupancy charges. Margins principally decreased as a result of the previously mentioned change in billing methodology.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w:t>
      </w:r>
    </w:p>
    <w:p>
      <w:pPr>
        <w:spacing w:after="0" w:line="20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Our Corporate Segment includes costs recognized by us related to corporate support functions such as finance, legal, human resources, compliance and quality assurance.</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7"/>
          </w:tcPr>
          <w:p>
            <w:pPr>
              <w:jc w:val="right"/>
              <w:ind w:right="80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r>
      <w:tr>
        <w:trPr>
          <w:trHeight w:val="210"/>
        </w:trPr>
        <w:tc>
          <w:tcPr>
            <w:tcW w:w="5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Corporate costs rose throughout 2010 as we invested in staff to support our growing operations. In the first quarter, we hired additional resource principally focused on legal, compliance and quality assurance. In addition, we continue to invest in an enterprise resource planning system that we expect will increase the quality of our support functions and over time reduce costs.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seek to deploy excess cash generated in a disciplined manner. Principally, we will continue to invest in compelling services that we believe will generate high margins. In addition, we may seek to acquire a limited number of complementary companies that fit our strategic objectives. Finally, given the tax inefficiency of dividends, the low returns earned on cash held and our current belief to pursue a limited number of acquisitions, we believe one of the best ways to return value to shareholders is a stock repurchase program.</w:t>
      </w:r>
    </w:p>
    <w:p>
      <w:pPr>
        <w:spacing w:after="0" w:line="12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Through March 31, 2011, we purchased 0.9 million shares of our common stock on the open market at an average price of $27.85, leaving 2.9 million shares still available for purchase.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8"/>
          </w:tcPr>
          <w:p>
            <w:pPr>
              <w:jc w:val="right"/>
              <w:ind w:right="800"/>
              <w:spacing w:after="0"/>
              <w:rPr>
                <w:sz w:val="20"/>
                <w:szCs w:val="20"/>
                <w:color w:val="auto"/>
              </w:rPr>
            </w:pPr>
            <w:r>
              <w:rPr>
                <w:rFonts w:ascii="Arial" w:cs="Arial" w:eastAsia="Arial" w:hAnsi="Arial"/>
                <w:sz w:val="18"/>
                <w:szCs w:val="18"/>
                <w:color w:val="auto"/>
              </w:rPr>
              <w:t>Three Months Ended March 31,</w:t>
            </w:r>
          </w:p>
        </w:tc>
      </w:tr>
      <w:tr>
        <w:trPr>
          <w:trHeight w:val="195"/>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10,869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(5,028)</w:t>
            </w:r>
          </w:p>
        </w:tc>
        <w:tc>
          <w:tcPr>
            <w:tcW w:w="2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8,816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(2,645)</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(29,075)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(9,764)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(10,836)</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30,456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19,620</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Cash flow from operating activities consists of two components including (i) net income adjusted for depreciation, amortization and certain other non-cash items and (ii) working capital. In the first quarter of 2011, we generated $16.6 million in positive cash flow from operations. This primarily reflects our profitability adjusted for non-cash items in the period as a result of our year-over-year growth in mortgage related services partially offset by a decline in working capital. The decline in working capital was due to the timing of services incurred at year-end and the associated payments to vendors as well as the payment of incentive compensation.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most significant use of cash flow for investing activities in the first quarter of 2011 was the purchase of equipment and technology as well as external consulting costs associated with our Technology Services initiatives. Our cash flow from investing activities in 2010 includes the acquisition of MPA for which the purchase consideration included $29.0 million in cash. In addition, in first quarter 2011 we invested approximately $1.1 million in Correspondent One to facilitate the establishment of this business. We currently expect capital expenditures in 2011 to be consistent with 2010 levels as we expect to ramp up our development costs related to REALSuite.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9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Cash flow from financing activities in 2011 primarily includes activity associated with stock option exercises, share repurchases and payments to non-controlling interests as a result of the acquisition of MPA. We utilized significantly more cash from financing activities as a result of our stock repurchase program.</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Requirements after March 31, 2011</w:t>
      </w:r>
    </w:p>
    <w:p>
      <w:pPr>
        <w:spacing w:after="0" w:line="18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During the second quarter of 2011, we expect to distribute $1.3 million to non-controlling interests; $1.7 million for the Springhouse acquisition and $14.0 million to fund our remaining commitment to Correspondent One.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640"/>
        <w:spacing w:after="0" w:line="275" w:lineRule="auto"/>
        <w:rPr>
          <w:sz w:val="20"/>
          <w:szCs w:val="20"/>
          <w:color w:val="auto"/>
        </w:rPr>
      </w:pPr>
      <w:r>
        <w:rPr>
          <w:rFonts w:ascii="Arial" w:cs="Arial" w:eastAsia="Arial" w:hAnsi="Arial"/>
          <w:sz w:val="18"/>
          <w:szCs w:val="18"/>
          <w:b w:val="1"/>
          <w:bCs w:val="1"/>
          <w:color w:val="auto"/>
        </w:rPr>
        <w:t xml:space="preserve">ALTISOURCE PORTFOLIO SOLUTIONS S.A. </w:t>
      </w:r>
      <w:r>
        <w:rPr>
          <w:rFonts w:ascii="Arial" w:cs="Arial" w:eastAsia="Arial" w:hAnsi="Arial"/>
          <w:sz w:val="18"/>
          <w:szCs w:val="18"/>
          <w:color w:val="auto"/>
        </w:rPr>
        <w:t>Management’s Discussion and Analysis of Financial Condition and Results of Operations (continued)</w:t>
      </w:r>
    </w:p>
    <w:p>
      <w:pPr>
        <w:spacing w:after="0" w:line="367"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85"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Given our ability to generate cash flow sufficient to fund current operations as well as expansion of our operations, we require very limited capital. Were we to need additional capital, we believe we have adequate access to both debt and equity capital markets.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details of these transactions, see Note 13 to the condensed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02"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37"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Our critical accounting policies are described in the MD&amp;A section in our Form 10-K for the year ended December 31, 2010. Such policies have not changed during the first quarter of 2011.</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Related Party — Ocwen</w:t>
      </w:r>
    </w:p>
    <w:p>
      <w:pPr>
        <w:spacing w:after="0" w:line="18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For the three months ended March 31, 2011, approximately $44 million of the Mortgage Services, $0.03 million of the Financial Services and $5.0 million of the Technology Services segment revenues were from services provided to Ocwen or sales derived from Ocwen’s loan servicing portfolio. Services provided to Ocwen included residential property valuation, real estate asset management and sales, trustee management services, property inspection and preservation, closing and title services, charge-off second mortgage collections, core technology back office support and multiple business technologies including our REALSuite of products. We provided all services at rates we believe to be market rates.</w:t>
      </w:r>
    </w:p>
    <w:p>
      <w:pPr>
        <w:spacing w:after="0" w:line="13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For the three months ended March 31, 2010, Altisource billed Ocwen $0.4 million, and Ocwen billed Altisource $0.3 million for services provided under the Transition Services Agreement. These amounts are reflected as a component of Selling, General and Administrative Expenses in the accompanying Consolidated Statements of Operations.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financial market risk consists primarily of foreign currency exchange risk. We are exposed to foreign currency exchange rate risk in connection with our investment in non-U.S. dollar functional currency operations, which are very limited, to the extent that our foreign exchange positions remain un-hedged.</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r>
        <w:rPr>
          <w:rFonts w:ascii="Arial" w:cs="Arial" w:eastAsia="Arial" w:hAnsi="Arial"/>
          <w:sz w:val="16"/>
          <w:szCs w:val="16"/>
          <w:color w:val="auto"/>
        </w:rPr>
        <w:t>.</w:t>
      </w:r>
    </w:p>
    <w:p>
      <w:pPr>
        <w:spacing w:after="0" w:line="189"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157" w:lineRule="exact"/>
        <w:rPr>
          <w:rFonts w:ascii="Arial" w:cs="Arial" w:eastAsia="Arial" w:hAnsi="Arial"/>
          <w:sz w:val="18"/>
          <w:szCs w:val="18"/>
          <w:i w:val="1"/>
          <w:iCs w:val="1"/>
          <w:color w:val="auto"/>
        </w:rPr>
      </w:pPr>
    </w:p>
    <w:p>
      <w:pPr>
        <w:jc w:val="both"/>
        <w:ind w:left="720" w:right="159"/>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 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51" w:lineRule="exact"/>
        <w:rPr>
          <w:rFonts w:ascii="Arial" w:cs="Arial" w:eastAsia="Arial" w:hAnsi="Arial"/>
          <w:sz w:val="18"/>
          <w:szCs w:val="18"/>
          <w:i w:val="1"/>
          <w:iCs w:val="1"/>
          <w:color w:val="auto"/>
        </w:rPr>
      </w:pPr>
    </w:p>
    <w:p>
      <w:pPr>
        <w:ind w:left="720" w:hanging="388"/>
        <w:spacing w:after="0"/>
        <w:tabs>
          <w:tab w:leader="none" w:pos="7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157" w:lineRule="exact"/>
        <w:rPr>
          <w:rFonts w:ascii="Arial" w:cs="Arial" w:eastAsia="Arial" w:hAnsi="Arial"/>
          <w:sz w:val="18"/>
          <w:szCs w:val="18"/>
          <w:i w:val="1"/>
          <w:iCs w:val="1"/>
          <w:color w:val="auto"/>
        </w:rPr>
      </w:pPr>
    </w:p>
    <w:p>
      <w:pPr>
        <w:jc w:val="both"/>
        <w:ind w:left="720" w:right="159"/>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ending March 31, 2011,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routine litigation and administrative proceedings arising in the ordinary course of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2010.</w:t>
      </w:r>
    </w:p>
    <w:p>
      <w:pPr>
        <w:spacing w:after="0" w:line="12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Securities purchased by us</w:t>
      </w:r>
    </w:p>
    <w:p>
      <w:pPr>
        <w:spacing w:after="0" w:line="198"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March 31, 2011:</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Total number</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Maximum</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of shares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purchased as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of shares that</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part of</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publicly</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yet be</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announced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average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plans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under the</w:t>
            </w: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1"/>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 paid</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or</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Period</w:t>
            </w:r>
          </w:p>
        </w:tc>
        <w:tc>
          <w:tcPr>
            <w:tcW w:w="3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per share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programs</w:t>
            </w:r>
            <w:r>
              <w:rPr>
                <w:rFonts w:ascii="Arial" w:cs="Arial" w:eastAsia="Arial" w:hAnsi="Arial"/>
                <w:sz w:val="15"/>
                <w:szCs w:val="15"/>
                <w:color w:val="auto"/>
                <w:w w:val="91"/>
              </w:rPr>
              <w:t>(1)</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January 1 – 31, 2011</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3,128,503</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 – 28, 2011</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3,102,503</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March 1 – 31, 2011</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205,795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205,795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2,896,708</w:t>
            </w:r>
          </w:p>
        </w:tc>
      </w:tr>
      <w:tr>
        <w:trPr>
          <w:trHeight w:val="223"/>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common shares</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231,795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231,795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2,896,708</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59" w:hanging="388"/>
        <w:spacing w:after="0" w:line="277"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 the second quarter of 2010, our shareholders authorized us to purchase up to 3.8 million shares of our common stock in the open market.</w:t>
      </w:r>
    </w:p>
    <w:p>
      <w:pPr>
        <w:spacing w:after="0" w:line="12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Defaults upon Senior Securities. </w:t>
      </w:r>
      <w:r>
        <w:rPr>
          <w:rFonts w:ascii="Arial" w:cs="Arial" w:eastAsia="Arial" w:hAnsi="Arial"/>
          <w:sz w:val="16"/>
          <w:szCs w:val="16"/>
          <w:color w:val="auto"/>
        </w:rPr>
        <w:t>None</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 xml:space="preserve">Other Information. </w:t>
      </w:r>
      <w:r>
        <w:rPr>
          <w:rFonts w:ascii="Arial" w:cs="Arial" w:eastAsia="Arial" w:hAnsi="Arial"/>
          <w:sz w:val="16"/>
          <w:szCs w:val="16"/>
          <w:color w:val="auto"/>
        </w:rPr>
        <w:t>None</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1900" w:right="839" w:hanging="787"/>
        <w:spacing w:after="0" w:line="277" w:lineRule="auto"/>
        <w:tabs>
          <w:tab w:leader="none" w:pos="1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by the Chief Executive Officer pursuant to Section 302 of the Sarbanes-Oxley Act of 2002 (filed herewith)</w:t>
      </w:r>
    </w:p>
    <w:p>
      <w:pPr>
        <w:spacing w:after="0" w:line="170" w:lineRule="exact"/>
        <w:rPr>
          <w:sz w:val="20"/>
          <w:szCs w:val="20"/>
          <w:color w:val="auto"/>
        </w:rPr>
      </w:pPr>
    </w:p>
    <w:p>
      <w:pPr>
        <w:ind w:left="1900" w:right="899" w:hanging="787"/>
        <w:spacing w:after="0" w:line="277" w:lineRule="auto"/>
        <w:tabs>
          <w:tab w:leader="none" w:pos="1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by the Chief Financial Officer pursuant to Section 302 of the Sarbanes-Oxley Act of 2002 (filed herewith)</w:t>
      </w:r>
    </w:p>
    <w:p>
      <w:pPr>
        <w:spacing w:after="0" w:line="170" w:lineRule="exact"/>
        <w:rPr>
          <w:sz w:val="20"/>
          <w:szCs w:val="20"/>
          <w:color w:val="auto"/>
        </w:rPr>
      </w:pPr>
    </w:p>
    <w:p>
      <w:pPr>
        <w:ind w:left="1900" w:right="919" w:hanging="787"/>
        <w:spacing w:after="0" w:line="277" w:lineRule="auto"/>
        <w:tabs>
          <w:tab w:leader="none" w:pos="1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and Chief Financial Officer pursuant to Section 906 of the Sarbanes-Oxley Act of 2002 (filed herewith)</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5320" w:type="dxa"/>
            <w:vAlign w:val="bottom"/>
            <w:gridSpan w:val="2"/>
          </w:tcPr>
          <w:p>
            <w:pPr>
              <w:ind w:left="1500"/>
              <w:spacing w:after="0"/>
              <w:rPr>
                <w:sz w:val="20"/>
                <w:szCs w:val="20"/>
                <w:color w:val="auto"/>
              </w:rPr>
            </w:pPr>
            <w:r>
              <w:rPr>
                <w:rFonts w:ascii="Arial" w:cs="Arial" w:eastAsia="Arial" w:hAnsi="Arial"/>
                <w:sz w:val="18"/>
                <w:szCs w:val="18"/>
                <w:color w:val="auto"/>
              </w:rPr>
              <w:t>ALTISOURCE PORTFOLIO SOLUTIONS S.A.</w:t>
            </w:r>
          </w:p>
        </w:tc>
      </w:tr>
      <w:tr>
        <w:trPr>
          <w:trHeight w:val="230"/>
        </w:trPr>
        <w:tc>
          <w:tcPr>
            <w:tcW w:w="2980" w:type="dxa"/>
            <w:vAlign w:val="bottom"/>
          </w:tcPr>
          <w:p>
            <w:pPr>
              <w:spacing w:after="0"/>
              <w:rPr>
                <w:sz w:val="20"/>
                <w:szCs w:val="20"/>
                <w:color w:val="auto"/>
              </w:rPr>
            </w:pPr>
          </w:p>
        </w:tc>
        <w:tc>
          <w:tcPr>
            <w:tcW w:w="5320" w:type="dxa"/>
            <w:vAlign w:val="bottom"/>
            <w:gridSpan w:val="2"/>
          </w:tcPr>
          <w:p>
            <w:pPr>
              <w:ind w:left="1500"/>
              <w:spacing w:after="0"/>
              <w:rPr>
                <w:sz w:val="20"/>
                <w:szCs w:val="20"/>
                <w:color w:val="auto"/>
              </w:rPr>
            </w:pPr>
            <w:r>
              <w:rPr>
                <w:rFonts w:ascii="Arial" w:cs="Arial" w:eastAsia="Arial" w:hAnsi="Arial"/>
                <w:sz w:val="18"/>
                <w:szCs w:val="18"/>
                <w:color w:val="auto"/>
              </w:rPr>
              <w:t>(Registrant)</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Date: April 28, 2011</w:t>
            </w:r>
          </w:p>
        </w:tc>
        <w:tc>
          <w:tcPr>
            <w:tcW w:w="5320" w:type="dxa"/>
            <w:vAlign w:val="bottom"/>
            <w:gridSpan w:val="2"/>
          </w:tcPr>
          <w:p>
            <w:pPr>
              <w:ind w:left="1500"/>
              <w:spacing w:after="0"/>
              <w:rPr>
                <w:sz w:val="20"/>
                <w:szCs w:val="20"/>
                <w:color w:val="auto"/>
              </w:rPr>
            </w:pPr>
            <w:r>
              <w:rPr>
                <w:rFonts w:ascii="Arial" w:cs="Arial" w:eastAsia="Arial" w:hAnsi="Arial"/>
                <w:sz w:val="18"/>
                <w:szCs w:val="18"/>
                <w:color w:val="auto"/>
              </w:rPr>
              <w:t>By: /s/ Robert D. Stiles</w:t>
            </w:r>
          </w:p>
        </w:tc>
      </w:tr>
      <w:tr>
        <w:trPr>
          <w:trHeight w:val="195"/>
        </w:trPr>
        <w:tc>
          <w:tcPr>
            <w:tcW w:w="2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2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(On behalf of the Registrant and as its</w:t>
            </w:r>
          </w:p>
        </w:tc>
      </w:tr>
      <w:tr>
        <w:trPr>
          <w:trHeight w:val="230"/>
        </w:trPr>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83"/>
        </w:trPr>
        <w:tc>
          <w:tcPr>
            <w:tcW w:w="2980" w:type="dxa"/>
            <w:vAlign w:val="bottom"/>
          </w:tcPr>
          <w:p>
            <w:pPr>
              <w:spacing w:after="0"/>
              <w:rPr>
                <w:sz w:val="24"/>
                <w:szCs w:val="24"/>
                <w:color w:val="auto"/>
              </w:rPr>
            </w:pPr>
          </w:p>
        </w:tc>
        <w:tc>
          <w:tcPr>
            <w:tcW w:w="5320" w:type="dxa"/>
            <w:vAlign w:val="bottom"/>
            <w:gridSpan w:val="2"/>
          </w:tcPr>
          <w:p>
            <w:pPr>
              <w:jc w:val="right"/>
              <w:ind w:right="327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219"/>
          </w:cols>
          <w:pgMar w:left="240" w:top="419"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i w:val="1"/>
          <w:iCs w:val="1"/>
          <w:color w:val="auto"/>
        </w:rPr>
        <w:t>Exhibit 31.1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85" w:lineRule="exact"/>
        <w:rPr>
          <w:sz w:val="20"/>
          <w:szCs w:val="20"/>
          <w:color w:val="auto"/>
        </w:rPr>
      </w:pPr>
    </w:p>
    <w:p>
      <w:pPr>
        <w:ind w:left="740" w:right="159" w:hanging="370"/>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2011 of Altisource Portfolio Solutions S.A.:</w:t>
      </w:r>
    </w:p>
    <w:p>
      <w:pPr>
        <w:spacing w:after="0" w:line="102"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80" w:right="159" w:hanging="10"/>
        <w:spacing w:after="0" w:line="312" w:lineRule="auto"/>
        <w:tabs>
          <w:tab w:leader="none" w:pos="989"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780" w:right="159" w:hanging="10"/>
        <w:spacing w:after="0" w:line="286" w:lineRule="auto"/>
        <w:tabs>
          <w:tab w:leader="none" w:pos="996"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80" w:right="159" w:hanging="10"/>
        <w:spacing w:after="0" w:line="264" w:lineRule="auto"/>
        <w:tabs>
          <w:tab w:leader="none" w:pos="10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80" w:right="159" w:hanging="10"/>
        <w:spacing w:after="0" w:line="286" w:lineRule="auto"/>
        <w:tabs>
          <w:tab w:leader="none" w:pos="989"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rFonts w:ascii="Arial" w:cs="Arial" w:eastAsia="Arial" w:hAnsi="Arial"/>
          <w:sz w:val="17"/>
          <w:szCs w:val="17"/>
          <w:color w:val="auto"/>
        </w:rPr>
      </w:pPr>
    </w:p>
    <w:p>
      <w:pPr>
        <w:ind w:left="740" w:right="159" w:hanging="370"/>
        <w:spacing w:after="0" w:line="30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06" w:lineRule="exact"/>
        <w:rPr>
          <w:rFonts w:ascii="Arial" w:cs="Arial" w:eastAsia="Arial" w:hAnsi="Arial"/>
          <w:sz w:val="17"/>
          <w:szCs w:val="17"/>
          <w:color w:val="auto"/>
        </w:rPr>
      </w:pPr>
    </w:p>
    <w:p>
      <w:pPr>
        <w:jc w:val="both"/>
        <w:ind w:left="780" w:right="179" w:hanging="10"/>
        <w:spacing w:after="0" w:line="264" w:lineRule="auto"/>
        <w:tabs>
          <w:tab w:leader="none" w:pos="96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80" w:right="179" w:hanging="10"/>
        <w:spacing w:after="0" w:line="277" w:lineRule="auto"/>
        <w:tabs>
          <w:tab w:leader="none" w:pos="9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April 28, 2011</w:t>
            </w:r>
          </w:p>
        </w:tc>
        <w:tc>
          <w:tcPr>
            <w:tcW w:w="5300" w:type="dxa"/>
            <w:vAlign w:val="bottom"/>
            <w:gridSpan w:val="2"/>
          </w:tcPr>
          <w:p>
            <w:pPr>
              <w:ind w:left="1520"/>
              <w:spacing w:after="0"/>
              <w:rPr>
                <w:sz w:val="20"/>
                <w:szCs w:val="20"/>
                <w:color w:val="auto"/>
              </w:rPr>
            </w:pPr>
            <w:r>
              <w:rPr>
                <w:rFonts w:ascii="Arial" w:cs="Arial" w:eastAsia="Arial" w:hAnsi="Arial"/>
                <w:sz w:val="18"/>
                <w:szCs w:val="18"/>
                <w:color w:val="auto"/>
              </w:rPr>
              <w:t>By: /s/ William B. Shepro</w:t>
            </w:r>
          </w:p>
        </w:tc>
      </w:tr>
      <w:tr>
        <w:trPr>
          <w:trHeight w:val="195"/>
        </w:trPr>
        <w:tc>
          <w:tcPr>
            <w:tcW w:w="3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3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3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5" w:right="1440" w:bottom="1440" w:gutter="0" w:footer="0" w:header="0"/>
        </w:sectPr>
      </w:pPr>
    </w:p>
    <w:bookmarkStart w:id="38" w:name="page39"/>
    <w:bookmarkEnd w:id="38"/>
    <w:p>
      <w:pPr>
        <w:jc w:val="right"/>
        <w:ind w:right="159"/>
        <w:spacing w:after="0"/>
        <w:rPr>
          <w:sz w:val="20"/>
          <w:szCs w:val="20"/>
          <w:color w:val="auto"/>
        </w:rPr>
      </w:pPr>
      <w:r>
        <w:rPr>
          <w:rFonts w:ascii="Arial" w:cs="Arial" w:eastAsia="Arial" w:hAnsi="Arial"/>
          <w:sz w:val="18"/>
          <w:szCs w:val="18"/>
          <w:i w:val="1"/>
          <w:iCs w:val="1"/>
          <w:color w:val="auto"/>
        </w:rPr>
        <w:t>Exhibit 31.2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hereby certify that:</w:t>
      </w:r>
    </w:p>
    <w:p>
      <w:pPr>
        <w:spacing w:after="0" w:line="185" w:lineRule="exact"/>
        <w:rPr>
          <w:sz w:val="20"/>
          <w:szCs w:val="20"/>
          <w:color w:val="auto"/>
        </w:rPr>
      </w:pPr>
    </w:p>
    <w:p>
      <w:pPr>
        <w:ind w:left="740" w:right="159" w:hanging="370"/>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2011 of Altisource Portfolio Solutions S.A.:</w:t>
      </w:r>
    </w:p>
    <w:p>
      <w:pPr>
        <w:spacing w:after="0" w:line="102"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80" w:right="159" w:hanging="10"/>
        <w:spacing w:after="0" w:line="312" w:lineRule="auto"/>
        <w:tabs>
          <w:tab w:leader="none" w:pos="989"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780" w:right="159" w:hanging="10"/>
        <w:spacing w:after="0" w:line="286" w:lineRule="auto"/>
        <w:tabs>
          <w:tab w:leader="none" w:pos="996"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80" w:right="159" w:hanging="10"/>
        <w:spacing w:after="0" w:line="264" w:lineRule="auto"/>
        <w:tabs>
          <w:tab w:leader="none" w:pos="1006"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80" w:right="159" w:hanging="10"/>
        <w:spacing w:after="0" w:line="286" w:lineRule="auto"/>
        <w:tabs>
          <w:tab w:leader="none" w:pos="989"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rFonts w:ascii="Arial" w:cs="Arial" w:eastAsia="Arial" w:hAnsi="Arial"/>
          <w:sz w:val="17"/>
          <w:szCs w:val="17"/>
          <w:color w:val="auto"/>
        </w:rPr>
      </w:pPr>
    </w:p>
    <w:p>
      <w:pPr>
        <w:ind w:left="740" w:right="159" w:hanging="370"/>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06" w:lineRule="exact"/>
        <w:rPr>
          <w:rFonts w:ascii="Arial" w:cs="Arial" w:eastAsia="Arial" w:hAnsi="Arial"/>
          <w:sz w:val="17"/>
          <w:szCs w:val="17"/>
          <w:color w:val="auto"/>
        </w:rPr>
      </w:pPr>
    </w:p>
    <w:p>
      <w:pPr>
        <w:jc w:val="both"/>
        <w:ind w:left="780" w:right="179" w:hanging="10"/>
        <w:spacing w:after="0" w:line="264" w:lineRule="auto"/>
        <w:tabs>
          <w:tab w:leader="none" w:pos="96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80" w:right="179" w:hanging="10"/>
        <w:spacing w:after="0" w:line="277" w:lineRule="auto"/>
        <w:tabs>
          <w:tab w:leader="none" w:pos="9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April 28, 2011</w:t>
            </w:r>
          </w:p>
        </w:tc>
        <w:tc>
          <w:tcPr>
            <w:tcW w:w="5300" w:type="dxa"/>
            <w:vAlign w:val="bottom"/>
            <w:gridSpan w:val="2"/>
          </w:tcPr>
          <w:p>
            <w:pPr>
              <w:ind w:left="1520"/>
              <w:spacing w:after="0"/>
              <w:rPr>
                <w:sz w:val="20"/>
                <w:szCs w:val="20"/>
                <w:color w:val="auto"/>
              </w:rPr>
            </w:pPr>
            <w:r>
              <w:rPr>
                <w:rFonts w:ascii="Arial" w:cs="Arial" w:eastAsia="Arial" w:hAnsi="Arial"/>
                <w:sz w:val="18"/>
                <w:szCs w:val="18"/>
                <w:color w:val="auto"/>
              </w:rPr>
              <w:t>By: /s/ Robert D. Stiles</w:t>
            </w:r>
          </w:p>
        </w:tc>
      </w:tr>
      <w:tr>
        <w:trPr>
          <w:trHeight w:val="195"/>
        </w:trPr>
        <w:tc>
          <w:tcPr>
            <w:tcW w:w="30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9879"/>
          </w:cols>
          <w:pgMar w:left="580" w:top="125" w:right="1440" w:bottom="1440" w:gutter="0" w:footer="0" w:header="0"/>
        </w:sectPr>
      </w:pPr>
    </w:p>
    <w:bookmarkStart w:id="39" w:name="page40"/>
    <w:bookmarkEnd w:id="39"/>
    <w:p>
      <w:pPr>
        <w:jc w:val="right"/>
        <w:ind w:right="159"/>
        <w:spacing w:after="0"/>
        <w:rPr>
          <w:sz w:val="20"/>
          <w:szCs w:val="20"/>
          <w:color w:val="auto"/>
        </w:rPr>
      </w:pPr>
      <w:r>
        <w:rPr>
          <w:rFonts w:ascii="Arial" w:cs="Arial" w:eastAsia="Arial" w:hAnsi="Arial"/>
          <w:sz w:val="18"/>
          <w:szCs w:val="18"/>
          <w:i w:val="1"/>
          <w:iCs w:val="1"/>
          <w:color w:val="auto"/>
        </w:rPr>
        <w:t>Exhibit 32.1</w:t>
      </w:r>
    </w:p>
    <w:p>
      <w:pPr>
        <w:spacing w:after="0" w:line="181" w:lineRule="exact"/>
        <w:rPr>
          <w:sz w:val="20"/>
          <w:szCs w:val="20"/>
          <w:color w:val="auto"/>
        </w:rPr>
      </w:pPr>
    </w:p>
    <w:p>
      <w:pPr>
        <w:jc w:val="center"/>
        <w:ind w:right="179"/>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2011</w:t>
      </w:r>
    </w:p>
    <w:p>
      <w:pPr>
        <w:spacing w:after="0" w:line="380"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for the quarterly period ending March 31, 2011, as filed with the Securities and Exchange Commission on the date hereof (the “Report”), William B. Shepro, as Chief Executive Officer of our Company, and Robert D. Stiles, as Chief Financial Officer of our Company, each hereby certifies, pursuant to 18 U.S.C. Section 1350, that:</w:t>
      </w:r>
    </w:p>
    <w:p>
      <w:pPr>
        <w:spacing w:after="0" w:line="146" w:lineRule="exact"/>
        <w:rPr>
          <w:sz w:val="20"/>
          <w:szCs w:val="20"/>
          <w:color w:val="auto"/>
        </w:rPr>
      </w:pPr>
    </w:p>
    <w:p>
      <w:pPr>
        <w:ind w:left="740" w:right="159" w:hanging="370"/>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740" w:right="159" w:hanging="370"/>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our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6320" w:type="dxa"/>
            <w:vAlign w:val="bottom"/>
            <w:gridSpan w:val="2"/>
          </w:tcPr>
          <w:p>
            <w:pPr>
              <w:ind w:left="2860"/>
              <w:spacing w:after="0"/>
              <w:rPr>
                <w:sz w:val="20"/>
                <w:szCs w:val="20"/>
                <w:color w:val="auto"/>
              </w:rPr>
            </w:pPr>
            <w:r>
              <w:rPr>
                <w:rFonts w:ascii="Arial" w:cs="Arial" w:eastAsia="Arial" w:hAnsi="Arial"/>
                <w:sz w:val="18"/>
                <w:szCs w:val="18"/>
                <w:color w:val="auto"/>
              </w:rPr>
              <w:t>By: /s/ Robert D. Stiles</w:t>
            </w:r>
          </w:p>
        </w:tc>
      </w:tr>
      <w:tr>
        <w:trPr>
          <w:trHeight w:val="209"/>
        </w:trPr>
        <w:tc>
          <w:tcPr>
            <w:tcW w:w="340" w:type="dxa"/>
            <w:vAlign w:val="bottom"/>
          </w:tcPr>
          <w:p>
            <w:pPr>
              <w:spacing w:after="0"/>
              <w:rPr>
                <w:sz w:val="18"/>
                <w:szCs w:val="18"/>
                <w:color w:val="auto"/>
              </w:rPr>
            </w:pPr>
          </w:p>
        </w:tc>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Shepro</w:t>
            </w:r>
          </w:p>
        </w:tc>
        <w:tc>
          <w:tcPr>
            <w:tcW w:w="3220" w:type="dxa"/>
            <w:vAlign w:val="bottom"/>
          </w:tcPr>
          <w:p>
            <w:pPr>
              <w:spacing w:after="0"/>
              <w:rPr>
                <w:sz w:val="18"/>
                <w:szCs w:val="18"/>
                <w:color w:val="auto"/>
              </w:rPr>
            </w:pPr>
          </w:p>
        </w:tc>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D. Stiles</w:t>
            </w:r>
          </w:p>
        </w:tc>
      </w:tr>
      <w:tr>
        <w:trPr>
          <w:trHeight w:val="216"/>
        </w:trPr>
        <w:tc>
          <w:tcPr>
            <w:tcW w:w="3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6320" w:type="dxa"/>
            <w:vAlign w:val="bottom"/>
            <w:gridSpan w:val="2"/>
          </w:tcPr>
          <w:p>
            <w:pPr>
              <w:ind w:left="3220"/>
              <w:spacing w:after="0"/>
              <w:rPr>
                <w:sz w:val="20"/>
                <w:szCs w:val="20"/>
                <w:color w:val="auto"/>
              </w:rPr>
            </w:pPr>
            <w:r>
              <w:rPr>
                <w:rFonts w:ascii="Arial" w:cs="Arial" w:eastAsia="Arial" w:hAnsi="Arial"/>
                <w:sz w:val="18"/>
                <w:szCs w:val="18"/>
                <w:color w:val="auto"/>
              </w:rPr>
              <w:t>Chief Financial Officer</w:t>
            </w:r>
          </w:p>
        </w:tc>
      </w:tr>
      <w:tr>
        <w:trPr>
          <w:trHeight w:val="216"/>
        </w:trPr>
        <w:tc>
          <w:tcPr>
            <w:tcW w:w="3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320" w:type="dxa"/>
            <w:vAlign w:val="bottom"/>
            <w:gridSpan w:val="2"/>
          </w:tcPr>
          <w:p>
            <w:pPr>
              <w:ind w:left="3220"/>
              <w:spacing w:after="0"/>
              <w:rPr>
                <w:sz w:val="20"/>
                <w:szCs w:val="20"/>
                <w:color w:val="auto"/>
              </w:rPr>
            </w:pPr>
            <w:r>
              <w:rPr>
                <w:rFonts w:ascii="Arial" w:cs="Arial" w:eastAsia="Arial" w:hAnsi="Arial"/>
                <w:sz w:val="18"/>
                <w:szCs w:val="18"/>
                <w:color w:val="auto"/>
              </w:rPr>
              <w:t>(Principal Financial Officer and</w:t>
            </w:r>
          </w:p>
        </w:tc>
      </w:tr>
      <w:tr>
        <w:trPr>
          <w:trHeight w:val="216"/>
        </w:trPr>
        <w:tc>
          <w:tcPr>
            <w:tcW w:w="34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April 28, 2011</w:t>
            </w:r>
          </w:p>
        </w:tc>
        <w:tc>
          <w:tcPr>
            <w:tcW w:w="6320" w:type="dxa"/>
            <w:vAlign w:val="bottom"/>
            <w:gridSpan w:val="2"/>
          </w:tcPr>
          <w:p>
            <w:pPr>
              <w:ind w:left="322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3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320" w:type="dxa"/>
            <w:vAlign w:val="bottom"/>
            <w:gridSpan w:val="2"/>
          </w:tcPr>
          <w:p>
            <w:pPr>
              <w:ind w:left="3220"/>
              <w:spacing w:after="0"/>
              <w:rPr>
                <w:sz w:val="20"/>
                <w:szCs w:val="20"/>
                <w:color w:val="auto"/>
              </w:rPr>
            </w:pPr>
            <w:r>
              <w:rPr>
                <w:rFonts w:ascii="Arial" w:cs="Arial" w:eastAsia="Arial" w:hAnsi="Arial"/>
                <w:sz w:val="18"/>
                <w:szCs w:val="18"/>
                <w:color w:val="auto"/>
              </w:rPr>
              <w:t>April 28, 2011</w:t>
            </w:r>
          </w:p>
        </w:tc>
      </w:tr>
    </w:tbl>
    <w:p>
      <w:pPr>
        <w:spacing w:after="0" w:line="1" w:lineRule="exact"/>
        <w:rPr>
          <w:sz w:val="20"/>
          <w:szCs w:val="20"/>
          <w:color w:val="auto"/>
        </w:rPr>
      </w:pP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2019-12-11T07:20:47Z</dcterms:created>
  <dcterms:modified xsi:type="dcterms:W3CDTF">2019-12-11T07:20:47Z</dcterms:modified>
</cp:coreProperties>
</file>