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111760</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48895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2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June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7"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7"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159385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120650</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500" w:type="dxa"/>
            <w:vAlign w:val="bottom"/>
            <w:gridSpan w:val="3"/>
          </w:tcPr>
          <w:p>
            <w:pPr>
              <w:jc w:val="center"/>
              <w:ind w:left="1047"/>
              <w:spacing w:after="0"/>
              <w:rPr>
                <w:sz w:val="20"/>
                <w:szCs w:val="20"/>
                <w:color w:val="auto"/>
              </w:rPr>
            </w:pPr>
            <w:r>
              <w:rPr>
                <w:rFonts w:ascii="Times New Roman" w:cs="Times New Roman" w:eastAsia="Times New Roman" w:hAnsi="Times New Roman"/>
                <w:sz w:val="18"/>
                <w:szCs w:val="18"/>
                <w:b w:val="1"/>
                <w:bCs w:val="1"/>
                <w:color w:val="auto"/>
                <w:w w:val="97"/>
              </w:rPr>
              <w:t>Luxembourg</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6"/>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4"/>
        </w:trPr>
        <w:tc>
          <w:tcPr>
            <w:tcW w:w="4500" w:type="dxa"/>
            <w:vAlign w:val="bottom"/>
            <w:gridSpan w:val="3"/>
          </w:tcPr>
          <w:p>
            <w:pPr>
              <w:jc w:val="center"/>
              <w:ind w:left="102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jc w:val="center"/>
              <w:ind w:right="1606"/>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48"/>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33, Boulevard Prince Henri</w:t>
            </w:r>
          </w:p>
        </w:tc>
        <w:tc>
          <w:tcPr>
            <w:tcW w:w="4000" w:type="dxa"/>
            <w:vAlign w:val="bottom"/>
          </w:tcPr>
          <w:p>
            <w:pPr>
              <w:spacing w:after="0"/>
              <w:rPr>
                <w:sz w:val="24"/>
                <w:szCs w:val="24"/>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L-1724 Luxembourg</w:t>
            </w:r>
          </w:p>
        </w:tc>
        <w:tc>
          <w:tcPr>
            <w:tcW w:w="400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Grand Duchy of Luxembourg</w:t>
            </w:r>
          </w:p>
        </w:tc>
        <w:tc>
          <w:tcPr>
            <w:tcW w:w="4000" w:type="dxa"/>
            <w:vAlign w:val="bottom"/>
          </w:tcPr>
          <w:p>
            <w:pPr>
              <w:spacing w:after="0"/>
              <w:rPr>
                <w:sz w:val="18"/>
                <w:szCs w:val="18"/>
                <w:color w:val="auto"/>
              </w:rPr>
            </w:pPr>
          </w:p>
        </w:tc>
      </w:tr>
      <w:tr>
        <w:trPr>
          <w:trHeight w:val="18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5"/>
                <w:szCs w:val="15"/>
                <w:color w:val="auto"/>
              </w:rPr>
            </w:pPr>
          </w:p>
        </w:tc>
      </w:tr>
      <w:tr>
        <w:trPr>
          <w:trHeight w:val="306"/>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4"/>
        </w:trPr>
        <w:tc>
          <w:tcPr>
            <w:tcW w:w="7240" w:type="dxa"/>
            <w:vAlign w:val="bottom"/>
            <w:gridSpan w:val="6"/>
          </w:tcPr>
          <w:p>
            <w:pPr>
              <w:jc w:val="center"/>
              <w:ind w:left="392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225"/>
        </w:trPr>
        <w:tc>
          <w:tcPr>
            <w:tcW w:w="45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92"/>
        </w:trPr>
        <w:tc>
          <w:tcPr>
            <w:tcW w:w="4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7"/>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9"/>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9"/>
              </w:rPr>
              <w:t>Cash Exercise Stakeholder Warrants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9"/>
              </w:rPr>
              <w:t>ASPSZ</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9"/>
              </w:rPr>
              <w:t>Net Settle Stakeholder Warrants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8"/>
              </w:rPr>
              <w:t>ASPSW</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4"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3" w:right="339" w:bottom="1440" w:gutter="0" w:footer="0" w:header="0"/>
        </w:sectPr>
      </w:pPr>
    </w:p>
    <w:p>
      <w:pPr>
        <w:spacing w:after="0" w:line="75" w:lineRule="exact"/>
        <w:rPr>
          <w:sz w:val="24"/>
          <w:szCs w:val="24"/>
          <w:color w:val="auto"/>
        </w:rPr>
      </w:pPr>
    </w:p>
    <w:p>
      <w:pPr>
        <w:ind w:left="140"/>
        <w:spacing w:after="0" w:line="330"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0" w:lineRule="exact"/>
        <w:rPr>
          <w:sz w:val="24"/>
          <w:szCs w:val="24"/>
          <w:color w:val="auto"/>
        </w:rPr>
      </w:pPr>
    </w:p>
    <w:p>
      <w:pPr>
        <w:sectPr>
          <w:pgSz w:w="11900" w:h="16838" w:orient="portrait"/>
          <w:cols w:equalWidth="0" w:num="4">
            <w:col w:w="1420" w:space="360"/>
            <w:col w:w="5540" w:space="720"/>
            <w:col w:w="1540" w:space="520"/>
            <w:col w:w="1140"/>
          </w:cols>
          <w:pgMar w:left="320" w:top="1373"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18, 2025, there were 10,986,709 outstanding shares of the registrant’s common stock (excluding 29,511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664845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71177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7780" w:type="dxa"/>
            <w:vAlign w:val="bottom"/>
            <w:gridSpan w:val="12"/>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340" w:type="dxa"/>
            <w:vAlign w:val="bottom"/>
            <w:tcBorders>
              <w:bottom w:val="single" w:sz="8" w:color="0000FF"/>
            </w:tcBorders>
            <w:gridSpan w:val="10"/>
            <w:vMerge w:val="continue"/>
          </w:tcPr>
          <w:p>
            <w:pPr>
              <w:spacing w:after="0"/>
              <w:rPr>
                <w:sz w:val="14"/>
                <w:szCs w:val="14"/>
                <w:color w:val="auto"/>
              </w:rPr>
            </w:pPr>
          </w:p>
        </w:tc>
        <w:tc>
          <w:tcPr>
            <w:tcW w:w="7780" w:type="dxa"/>
            <w:vAlign w:val="bottom"/>
            <w:gridSpan w:val="1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Operations and Comprehensive Income (Loss)</w:t>
            </w:r>
          </w:p>
        </w:tc>
        <w:tc>
          <w:tcPr>
            <w:tcW w:w="27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(Deficit)</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9</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980" w:type="dxa"/>
            <w:vAlign w:val="bottom"/>
            <w:tcBorders>
              <w:left w:val="single" w:sz="8" w:color="0000FF"/>
            </w:tcBorders>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1A</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980" w:type="dxa"/>
            <w:vAlign w:val="bottom"/>
            <w:tcBorders>
              <w:left w:val="single" w:sz="8" w:color="0000FF"/>
            </w:tcBorders>
            <w:gridSpan w:val="7"/>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5"/>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$2,575 and $3,124, respectively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6"/>
                <w:szCs w:val="16"/>
                <w:color w:val="auto"/>
              </w:rPr>
              <w:t>LIABILITIES AND DEFICIT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271,273</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Common stock ($0.01 par value; 250,000 shares authorized, 11,016 issued and 10,983 outstanding as of June 30, 2025; 3,745</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3,403 outstanding as of December 31, 2024)</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211,523</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(33 shares as of June 30, 2025 and 342 shares as of December 31, 2024)</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Altisource deficit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(157,376)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deficit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(101,930)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ALTISOURCE PORTFOLIO SOLUTIONS S.A. Condensed Consolidated Statements of Operations and Comprehensive Income (Loss) </w:t>
      </w: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78,590</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26,404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53,569</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25,021</w:t>
            </w:r>
          </w:p>
        </w:tc>
      </w:tr>
      <w:tr>
        <w:trPr>
          <w:trHeight w:val="214"/>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10,634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23,486</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(19,317)</w:t>
            </w: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w:t>
            </w:r>
          </w:p>
        </w:tc>
      </w:tr>
      <w:tr>
        <w:trPr>
          <w:trHeight w:val="207"/>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(17,536)</w:t>
            </w:r>
          </w:p>
        </w:tc>
      </w:t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w:t>
            </w: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w:t>
            </w:r>
          </w:p>
        </w:tc>
      </w:tr>
      <w:tr>
        <w:trPr>
          <w:trHeight w:val="212"/>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36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3"/>
                <w:szCs w:val="13"/>
                <w:color w:val="auto"/>
              </w:rPr>
            </w:pPr>
          </w:p>
        </w:tc>
        <w:tc>
          <w:tcPr>
            <w:tcW w:w="3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209,019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(218,517)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3"/>
                <w:szCs w:val="13"/>
                <w:color w:val="auto"/>
              </w:rPr>
            </w:pPr>
          </w:p>
        </w:tc>
        <w:tc>
          <w:tcPr>
            <w:tcW w:w="3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209,863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(234,351)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6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42,179</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9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16,658</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fractional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(101,930)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00" w:type="dxa"/>
            <w:vAlign w:val="bottom"/>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98"/>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20" w:type="dxa"/>
            <w:vAlign w:val="bottom"/>
          </w:tcPr>
          <w:p>
            <w:pPr>
              <w:spacing w:after="0"/>
              <w:rPr>
                <w:sz w:val="18"/>
                <w:szCs w:val="18"/>
                <w:color w:val="auto"/>
              </w:rPr>
            </w:pPr>
          </w:p>
        </w:tc>
        <w:tc>
          <w:tcPr>
            <w:tcW w:w="86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(17,429)</w:t>
            </w:r>
          </w:p>
        </w:tc>
      </w:tr>
      <w:tr>
        <w:trPr>
          <w:trHeight w:val="214"/>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Paid-in-kind accrual</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(16,669)</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w:t>
            </w:r>
          </w:p>
        </w:tc>
      </w:tr>
      <w:tr>
        <w:trPr>
          <w:trHeight w:val="194"/>
        </w:trPr>
        <w:tc>
          <w:tcPr>
            <w:tcW w:w="8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8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Super Senior Facility</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issuance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fractional shares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194"/>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r>
      <w:tr>
        <w:trPr>
          <w:trHeight w:val="194"/>
        </w:trPr>
        <w:tc>
          <w:tcPr>
            <w:tcW w:w="8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32,586</w:t>
            </w:r>
          </w:p>
        </w:tc>
      </w:tr>
      <w:tr>
        <w:trPr>
          <w:trHeight w:val="20"/>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20" w:type="dxa"/>
            <w:vAlign w:val="bottom"/>
            <w:gridSpan w:val="4"/>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8"/>
        </w:trPr>
        <w:tc>
          <w:tcPr>
            <w:tcW w:w="8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880" w:type="dxa"/>
            <w:vAlign w:val="bottom"/>
          </w:tcPr>
          <w:p>
            <w:pPr>
              <w:jc w:val="right"/>
              <w:ind w:right="70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120" w:type="dxa"/>
            <w:vAlign w:val="bottom"/>
          </w:tcPr>
          <w:p>
            <w:pPr>
              <w:spacing w:after="0"/>
              <w:rPr>
                <w:sz w:val="18"/>
                <w:szCs w:val="18"/>
                <w:color w:val="auto"/>
              </w:rPr>
            </w:pPr>
          </w:p>
        </w:tc>
        <w:tc>
          <w:tcPr>
            <w:tcW w:w="880" w:type="dxa"/>
            <w:vAlign w:val="bottom"/>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(refunded) paid,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8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issued in exchange for debt reduction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bl>
    <w:p>
      <w:pPr>
        <w:ind w:left="20" w:right="580"/>
        <w:spacing w:after="0" w:line="238"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8"/>
        </w:trPr>
        <w:tc>
          <w:tcPr>
            <w:tcW w:w="8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(see Note 22 for a description of our business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2025, Lenders One had total assets of $0.9 million and total liabilities of $0.4 million. As of December 31, 2024, Lenders One had total assets of $0.5 million and total liabilities of $0.4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2024, as filed with the SEC on March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Consolidation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28, 2025, Altisource effected a consolidation of its shares (also known as a reverse stock split) at a ratio of 1-for-8 (the “Share Consolidation”). As a result of the Share Consolidation, every 8 shares of common stock outstanding immediately prior to effectiveness of the Share Consolidation were combined and converted into one share of common stock, reducing the total number of issued and outstanding shares from 88,129,766 to 11,016,220. No fractional shares were issued in connection with the Share Consolidation. Instead, shareholders received cash in lieu of fractional shares, based on the closing price of Altisource’s common stock on May 27,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Consolidation did not change the authorized number of shares of Altisource’s common stock.</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share and per share amounts and exercise prices of stock options, and warrants in the accompanying condensed consolidated financial statements and notes to the condensed consolidated financial statements have been retroactively adjusted to reflect the Share Consolidation for all periods presented.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The Company adopted this standard effective January 1, 2025 and has applied it prospectively. Adoption of this new standard did not have a material impact on the Company’s condensed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standard amends the Codification to enhance the disclosure requirements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 interim and year-end reporting periods. This standard will be effective for annual periods beginning after December 15, 2026, and for interim periods beginning after December 15, 2027. Early adoption of this standard is permitted. The Company is currently evaluating the impact this guidance may have on its condensed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Onity Group Inc. (together with its subsidiaries, “Onity”) (formerly Ocwen Financial Corporation, or “Ocwen”) is a residential mortgage loan servicer of mortgage servicing rights (“MSRs”) it owns, including those MSRs in which others have an economic interest, and a subservicer of loans owned by others.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Onity was our largest customer, accounting for 43% and 44%, respectively,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six months ended June 30, 2025 and 2024, we recognized revenue from Onity of $37.8 million and $34.9 million, respectively ($18.5 million and $17.2 million for the second quarter of 2025 and 2024, respectively). Revenue from Onity as a percentage of segment and consolidated revenue was as follows: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2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660" w:type="dxa"/>
            <w:vAlign w:val="bottom"/>
            <w:gridSpan w:val="2"/>
          </w:tcPr>
          <w:p>
            <w:pPr>
              <w:spacing w:after="0"/>
              <w:rPr>
                <w:sz w:val="2"/>
                <w:szCs w:val="2"/>
                <w:color w:val="auto"/>
              </w:rPr>
            </w:pPr>
          </w:p>
        </w:tc>
        <w:tc>
          <w:tcPr>
            <w:tcW w:w="140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6"/>
        </w:trPr>
        <w:tc>
          <w:tcPr>
            <w:tcW w:w="5800" w:type="dxa"/>
            <w:vAlign w:val="bottom"/>
          </w:tcPr>
          <w:p>
            <w:pPr>
              <w:spacing w:after="0"/>
              <w:rPr>
                <w:sz w:val="16"/>
                <w:szCs w:val="16"/>
                <w:color w:val="auto"/>
              </w:rPr>
            </w:pPr>
          </w:p>
        </w:tc>
        <w:tc>
          <w:tcPr>
            <w:tcW w:w="8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8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400" w:type="dxa"/>
            <w:vAlign w:val="bottom"/>
            <w:gridSpan w:val="3"/>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14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six months ended June 30, 2025 and 2024, we recognized $4.1 million and $5.2 million, respectively ($1.9 million and $2.4 million for the second quarter of 2025 and 2024, respectively), of such revenue. These amounts are not included in deriving revenue from Onity and revenue from Onity as a percentage of revenue discussed above.</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2025, accounts receivable from Onity totaled $5.7 million, $3.6 million of which was billed and $2.1 million of which was unbilled. As of December 31, 2024, accounts receivable from Onity totaled $4.4 million, $3.1 million of which was billed and $1.3 million of which was unbilled.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March 31, 2025, Onity reported that approximately 11% of loans serviced and subserviced by Onity (measured in unpaid principal balance (“UPB”)) and approximately 58% of all delinquent loans that Onity services were related to Rithm MSRs or rights to MSRs (the “Subject MSRs”).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“Rithm Brokerage Agreement”) with terms extending through August 2025. In addition, Rithm also purchases property inspection, preservation and other services from us pursuant to other agreements.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2025 and 2024, we recognized revenue from Rithm of $1.8 million and $1.3 million, respectively ($1.1 million and $0.6 million for the second quarter of 2025 and 2024, respectively), under the Rithm Brokerage Agreement. For the six months ended June 30, 2025 and 2024, we recognized additional revenue of $5.3 million and $6.1 million, respectively ($2.7 million and $3.2 million for the second quarter of 2025 and 2024, respectively), relating to the Subject MSRs when a party other than Rithm selects Altisource as the service provider.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Billed accounts receivable includes receivables from certain real estate asset management services, REO and foreclosure sales, and title and closing services, for which we generally recognize revenue when the service is provided but collect upon closing of the sale. Unbilled accounts receivable also includes receivables from foreclosure trustee services and property renovation services, for which we generally recognize revenues over the service delivery period but bill following completion of the service. We also include amounts in unbilled accounts receivable that are earned during a month and billed in the following month. As of January 1, 2025, gross accounts receivable totaled $18.2 million, $12.2 million of which was billed and $6.0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million of which was unbilled, less allowance for credit losses of $3.1 million, resulting in net accounts receivable of $15.1 million. As of January 1, 2024, gross accounts receivable totaled $14.8 million, $11.2 million of which was billed and $3.6 million of which was unbilled, less allowance for credit losses of $3.1 million, resulting in net accounts receivable of $11.7 million.</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 / Subtractions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3"/>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2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June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3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 June 30, 2024</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Six months ended June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3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Six months ended June 30, 2024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00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vertAlign w:val="superscript"/>
              </w:rPr>
              <w:t>(1)</w:t>
            </w:r>
            <w:r>
              <w:rPr>
                <w:rFonts w:ascii="Times New Roman" w:cs="Times New Roman" w:eastAsia="Times New Roman" w:hAnsi="Times New Roman"/>
                <w:sz w:val="18"/>
                <w:szCs w:val="18"/>
                <w:color w:val="auto"/>
                <w:w w:val="98"/>
              </w:rPr>
              <w:t xml:space="preserve">   Amounts written off as uncollectible or transferred to other accounts or utilized.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left="9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NET</w:t>
            </w: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4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left="9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5"/>
              </w:rPr>
              <w:t>(46,503)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(46,171)</w:t>
            </w: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366</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Depreciation and amortization expense amounted to $0.4 million and $0.6 million for the six months ended June 30, 2025 and 2024, respectively ($0.2 million and $0.3 million for the second quarter of 2025 and 2024, respectively), and is included in cost of revenue for operating assets and in selling, general and administrative expenses for non-operating assets in the accompanying condensed consolidated statements of operations and comprehensive income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04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6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220" w:type="dxa"/>
            <w:vAlign w:val="bottom"/>
          </w:tcPr>
          <w:p>
            <w:pPr>
              <w:jc w:val="center"/>
              <w:ind w:right="124"/>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584"/>
              <w:spacing w:after="0"/>
              <w:rPr>
                <w:sz w:val="20"/>
                <w:szCs w:val="20"/>
                <w:color w:val="auto"/>
              </w:rPr>
            </w:pPr>
            <w:r>
              <w:rPr>
                <w:rFonts w:ascii="Times New Roman" w:cs="Times New Roman" w:eastAsia="Times New Roman" w:hAnsi="Times New Roman"/>
                <w:sz w:val="16"/>
                <w:szCs w:val="16"/>
                <w:color w:val="auto"/>
                <w:w w:val="99"/>
              </w:rPr>
              <w:t>6,092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9"/>
              </w:rPr>
              <w:t>6,177</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564"/>
              <w:spacing w:after="0"/>
              <w:rPr>
                <w:sz w:val="20"/>
                <w:szCs w:val="20"/>
                <w:color w:val="auto"/>
              </w:rPr>
            </w:pPr>
            <w:r>
              <w:rPr>
                <w:rFonts w:ascii="Times New Roman" w:cs="Times New Roman" w:eastAsia="Times New Roman" w:hAnsi="Times New Roman"/>
                <w:sz w:val="16"/>
                <w:szCs w:val="16"/>
                <w:color w:val="auto"/>
                <w:w w:val="98"/>
              </w:rPr>
              <w:t>(4,480)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8"/>
              </w:rPr>
              <w:t>(3,934)</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center"/>
              <w:ind w:left="584"/>
              <w:spacing w:after="0"/>
              <w:rPr>
                <w:sz w:val="20"/>
                <w:szCs w:val="20"/>
                <w:color w:val="auto"/>
              </w:rPr>
            </w:pPr>
            <w:r>
              <w:rPr>
                <w:rFonts w:ascii="Times New Roman" w:cs="Times New Roman" w:eastAsia="Times New Roman" w:hAnsi="Times New Roman"/>
                <w:sz w:val="16"/>
                <w:szCs w:val="16"/>
                <w:color w:val="auto"/>
                <w:w w:val="99"/>
              </w:rPr>
              <w:t>1,612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9"/>
              </w:rPr>
              <w:t>2,243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operating leases was $0.5 million and $0.8 million for the six months ended June 30, 2025 and 2024, respectively ($0.4 million and $0.4 million for the second quarter of 2025 and 2024, respectively), and is included in cost of revenue for operating assets and in selling, general and administrative expenses for non-operating assets in the accompanying condensed consolidated statements of operations and comprehensive income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10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2025 and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20" w:type="dxa"/>
            <w:vAlign w:val="bottom"/>
          </w:tcPr>
          <w:p>
            <w:pPr>
              <w:spacing w:after="0"/>
              <w:rPr>
                <w:sz w:val="14"/>
                <w:szCs w:val="1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0" w:type="dxa"/>
            <w:vAlign w:val="bottom"/>
          </w:tcPr>
          <w:p>
            <w:pPr>
              <w:spacing w:after="0"/>
              <w:rPr>
                <w:sz w:val="14"/>
                <w:szCs w:val="14"/>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4"/>
                <w:szCs w:val="14"/>
                <w:color w:val="auto"/>
              </w:rPr>
            </w:pPr>
          </w:p>
        </w:tc>
        <w:tc>
          <w:tcPr>
            <w:tcW w:w="222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line="20" w:lineRule="exact"/>
              <w:rPr>
                <w:sz w:val="1"/>
                <w:szCs w:val="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line="20" w:lineRule="exact"/>
              <w:rPr>
                <w:sz w:val="1"/>
                <w:szCs w:val="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46"/>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220" w:type="dxa"/>
            <w:vAlign w:val="bottom"/>
          </w:tcPr>
          <w:p>
            <w:pPr>
              <w:spacing w:after="0"/>
              <w:rPr>
                <w:sz w:val="16"/>
                <w:szCs w:val="16"/>
                <w:color w:val="auto"/>
              </w:rPr>
            </w:pPr>
          </w:p>
        </w:tc>
        <w:tc>
          <w:tcPr>
            <w:tcW w:w="9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(203,221)</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(239,693)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(237,153)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$2.5 million and $2.5 million for the six months ended June 30, 2025 and 2024, respectively ($1.3 million and $1.3 million for the second quarter of 2025 and 2024, respectively). Forecasted annual definite lived intangible asset amortization expense for 2025 through 2029 is $5.1 million, $4.9 million, $4.7 million, $4.4 million and $2.1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6,513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342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9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12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220" w:type="dxa"/>
            <w:vAlign w:val="bottom"/>
          </w:tcPr>
          <w:p>
            <w:pPr>
              <w:jc w:val="right"/>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loan agreement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3, 2024, in connection with the Company’s Renovation business, Altisource Solutions, Inc., an indirect subsidiary of Altisource Portfolio Solutions S.A, entered into a revolving loan agreement with a then related-party,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was June 3, 2025 and can be automatically extended for one year on each anniversary of the maturity date. During any extension period, AAMC may terminate the Revolving Loan Agreement upon 150 days prior written notice and the loan will mature upon such termination. During the second quarter of 2025, the Revolving Loan Agreement maturity date was extended to June 3, 2026.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pays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2025 and December 31, 2024, there was $1.0 million of outstanding debt under the Revolving Loan Agreement which is included in other current liabilities in the accompanying consolidated balance sheet.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Super senior term loan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debt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Plus: Unamortized premium</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Unamortized debt issuance and amendment costs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are due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9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14,474</w:t>
            </w:r>
          </w:p>
        </w:tc>
      </w:tr>
      <w:tr>
        <w:trPr>
          <w:trHeight w:val="210"/>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153,432</w:t>
            </w:r>
          </w:p>
        </w:tc>
      </w:tr>
      <w:tr>
        <w:trPr>
          <w:trHeight w:val="232"/>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172,194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 (as amended by Amendment No. 2, the “Amended Credit Agreement”).</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7.3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are guarantors on the New Facility (collectively, the “Guarantors”).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evaluated the Debt Exchange Transaction in accordance with ASC 470-60 </w:t>
      </w:r>
      <w:r>
        <w:rPr>
          <w:rFonts w:ascii="Times New Roman" w:cs="Times New Roman" w:eastAsia="Times New Roman" w:hAnsi="Times New Roman"/>
          <w:sz w:val="18"/>
          <w:szCs w:val="18"/>
          <w:i w:val="1"/>
          <w:iCs w:val="1"/>
          <w:color w:val="auto"/>
        </w:rPr>
        <w:t>Troubled Debt Restructuring</w:t>
      </w:r>
      <w:r>
        <w:rPr>
          <w:rFonts w:ascii="Times New Roman" w:cs="Times New Roman" w:eastAsia="Times New Roman" w:hAnsi="Times New Roman"/>
          <w:sz w:val="18"/>
          <w:szCs w:val="18"/>
          <w:color w:val="auto"/>
        </w:rPr>
        <w:t>. The evaluation for troubled debt restructuring includes assessing both qualitative and quantitative factors to determine whether the creditor granted a concession and whether the Company is experiencing financial difficulties. Our quantitative analysis consisted of comparing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effective borrowing rate on the New Facility to the effective borrowing rate on the SSTL immediately before the Debt Exchange Transaction. For purposes of ASC 470-60 </w:t>
      </w:r>
      <w:r>
        <w:rPr>
          <w:rFonts w:ascii="Times New Roman" w:cs="Times New Roman" w:eastAsia="Times New Roman" w:hAnsi="Times New Roman"/>
          <w:sz w:val="18"/>
          <w:szCs w:val="18"/>
          <w:i w:val="1"/>
          <w:iCs w:val="1"/>
          <w:color w:val="auto"/>
        </w:rPr>
        <w:t>Troubled Debt Restructuring</w:t>
      </w:r>
      <w:r>
        <w:rPr>
          <w:rFonts w:ascii="Times New Roman" w:cs="Times New Roman" w:eastAsia="Times New Roman" w:hAnsi="Times New Roman"/>
          <w:sz w:val="18"/>
          <w:szCs w:val="18"/>
          <w:color w:val="auto"/>
        </w:rPr>
        <w:t>, the Company concluded that (1) the lenders granted the Company a concession by reducing the effective borrowing rate on the debt and (2) the Company was experiencing financial difficulties. As a result, the Debt Exchange Transaction was accounted for as a troubled debt restructuring. The carrying value of the New Facility was determined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9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SSTL immediately before the Debt Exchange Transaction</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9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 immediately before the Debt Exchange Transaction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4"/>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fair value of equity issued to the SSTL lenders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0" w:type="dxa"/>
            <w:vAlign w:val="bottom"/>
          </w:tcPr>
          <w:p>
            <w:pPr>
              <w:spacing w:after="0"/>
              <w:rPr>
                <w:sz w:val="1"/>
                <w:szCs w:val="1"/>
                <w:color w:val="auto"/>
              </w:rPr>
            </w:pPr>
          </w:p>
        </w:tc>
      </w:tr>
      <w:tr>
        <w:trPr>
          <w:trHeight w:val="210"/>
        </w:trPr>
        <w:tc>
          <w:tcPr>
            <w:tcW w:w="9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fees paid to third parties on behalf of the SSTL lenders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32"/>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Comprised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 value of the New Facility</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0" w:type="dxa"/>
            <w:vAlign w:val="bottom"/>
          </w:tcPr>
          <w:p>
            <w:pPr>
              <w:spacing w:after="0"/>
              <w:rPr>
                <w:sz w:val="1"/>
                <w:szCs w:val="1"/>
                <w:color w:val="auto"/>
              </w:rPr>
            </w:pPr>
          </w:p>
        </w:tc>
      </w:tr>
      <w:tr>
        <w:trPr>
          <w:trHeight w:val="210"/>
        </w:trPr>
        <w:tc>
          <w:tcPr>
            <w:tcW w:w="9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Premium</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26,285</w:t>
            </w:r>
          </w:p>
        </w:tc>
        <w:tc>
          <w:tcPr>
            <w:tcW w:w="0" w:type="dxa"/>
            <w:vAlign w:val="bottom"/>
          </w:tcPr>
          <w:p>
            <w:pPr>
              <w:spacing w:after="0"/>
              <w:rPr>
                <w:sz w:val="1"/>
                <w:szCs w:val="1"/>
                <w:color w:val="auto"/>
              </w:rPr>
            </w:pPr>
          </w:p>
        </w:tc>
      </w:tr>
      <w:tr>
        <w:trPr>
          <w:trHeight w:val="212"/>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07"/>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connection with the Debt Exchange Transaction, the Company also paid $3.5 million to advisors and others and recorded these payments as other expense in the consolidated statements of operations and comprehensive income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for $158.3 million of the New Facility is April 30, 2030 and the maturity date for $1.4 million of the New Facility is January 15, 2029.</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New Facility requires mandatory prepayments of the term loans, subject to customary exceptions, as follows: (i) 100% of the proceeds of any other debt not permitted by the Exchange Credit Agreement, (ii) 95% of the net proceeds from the exercise of the Cash Exercise Stakeholder Warrants, (iii) 100% of the proceeds of Asset Sales,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 shall be applied first to the prepayment of the Super Senior Facility (defined below) and, second, to the prepayment of the New Facility. All mandatory and voluntary prepayments under the New Facility are allocated between the New Debt and the Exit Fee on a pro rata basis.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New Facility will become due on the earlier of (i) the maturity date, and (ii) the date on which the loans are declared to be due and owing by the administrative agent at the request (or with the consent) of the Required Lenders (as defined in the New Facility credit agreement; other capitalized terms, unless defined herein, are defined in the New Facility credit agreement) or as otherwise provided in the New Facility credit agreement upon the occurrence of any event of default.</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New Debt bears interest at rates based upon, at our option, the Secured Overnight Financing Rate (“SOFR”) or the Base Rate, as defined in the New Facility credit agreement. SOFR-based term loans bear interest at a rate per annum equal to SOFR plus 6.50% (with a 3.50% SOFR floor) payable in cash. Base Rate-based term loans bear interest at a rate per annum equal to the Base Rate plus 5.50% payable in cash. The interest rate on the SSTL from January 1, 2025 through February 19, 2025 was SOFR plus 5.00% payable in cash. The interest rate on the SSTL in 2024 was SOFR plus 5.00% payable in cash plus 3.75% payable in kind. The interest rate as of June 30, 2025 was 10.90%.</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New Facility credit agreement is guaranteed by the Guarantors and is secured by a lien on substantially all of the assets of the Borrower, Altisource and the other Guarantors, subject to certain exceptions. The liens securing the New Facility are junior to the liens securing the Super Senior Facility (defined below) pursuant to, and as set forth in, an intercreditor agreement.</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New Facility contains representations, warranties, covenants, term and conditions customary for transactions of this type. This include covenants limiting Altisource, the Borrower and its subsidiaries, subject to certain exceptions and baskets, to (i) incur indebtedness, (ii) incur liens on its assets, (iii) agree to additional negative pledges, (iv) make Restricted Junior Payments,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firstLine="6"/>
        <w:spacing w:after="0" w:line="251"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 transactions, (x) enter into certain transactions with shareholders and affiliates, (xi) engage in a line of business substantially different than existing business and businesses reasonably related, complimentary or ancillary thereto, (xii) modify the terms of certain indebtedness, (xiii) modify the terms of its organizational documents, (xiv) change its fiscal year, and (xv) enter into any transactions undertaken in connection with a Liability Management Transaction.</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New Facility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Borrower or any Material Subsidiary, (vii) entry by a court of one or more judgments against Altisource, Borrower or any Material Subsidiary in an amount in excess of $15 million that remain undischarged, unvacated, unbonded or unstayed for a certain number of days after the entry thereof, (viii) the occurrence of certain ERISA events, (ix) occurrence of a Change in Control, (x) the failure of certain Loan Documents to be in full force and effect or Altisource or any Guarantor challenges the validity of any such Loan Document, (xi) the termination of certain material contracts and (xii) failure to comply in any material respects with the terms of the Shareholder Warrants or the Warrant Agreement. If any event of default occurs and is not cured within applicable grace periods set forth in the Exchange Credit Agreement or waived, all loans and other obligations could become due and immediately payable.</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Deer Park Road Management Company, LP (together with its affiliates and managed funds, “Deer Park”), a related party, owns approximately 13% and 16% of Altisource’s common stock as of June 30, 2025 and December 31, 2024, respectively, and $19.9 million and $42.1 million of Altisource debt as of June 30, 2025 and December 31, 2024, respectively. An employee of Deer Park is a member of Altisource’s Board of Directors. During the six months ended June 30, 2025 and 2024, Deer Park received interest of $1.1 million and $1.1 million, respectively ($0.4 million and $0.4 million for the second quarter of 2025 and 2024, respectively). On April 3, 2025, Deer Park received Stakeholder Warrants to purchase 1.9 million shares of Altisource common stock for $9.5998 per share.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first quarter of 2025, UBS Asset Management (Americas) LLC (together with its affiliates and managed funds, “UBS”) and Benefit Street Partners L.L.C. (together with its affiliates and managed funds, “Benefit Street”) became related parties of Altisource. As of June 30, 2025, UBS owns approximately 22% of Altisource’s common stock and $64.0 million of Altisource debt. During the three and six months ended June 30, 2025, UBS received interest of $1.3 million and $2.9 million, respectively. On April 3, 2025, UBS received Stakeholder Warrants to purchase 0.2 million shares of Altisource common stock for $9.5998 per share.</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June 30, 2025, Benefit Street owns approximately 16% of Altisource’s common stock and $31.0 million of Altisource debt. During the three and six months ended June 30, 2025, Benefit Street received interest of $0.6 million and $1.0 million, respectively. On April 3, 2025, Benefit Street received Stakeholder Warrants to purchase 2.2 million shares of Altisource common stock for $9.5998 per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Stakeholder Warrants, see Note 11.</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2025, debt issuance and amendment costs were $1.0 million, net of $9.0 million of accumulated amortization. As of December 31, 2024, debt issuance and amendment costs were $0.9 million, net of $8.5 million of accumulated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 Senior Credit Facility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Transactions (defined above) and for general corporate purposes.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Super Senior Facility is February 19, 2029.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issue discount on the Super Senior Facility is 10.0%.</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Beginning with the fiscal year ending December 31, 2025, the lesser of (a) 75% of the aggregate Excess Cash Flow (as defined in the credit agreement) for the most recently ended fiscal year of the Company for which financial statements have been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Super Senior Credit Agreement is guaranteed by the Guarantors and is secured by a lien on substantially all of the assets of Altisource and the Guarantors, subject to certain exceptions. The liens securing the Super Senior Facility are senior to the liens securing the Exchange First Lien Facility pursuant to, and as set forth in, the Super Senior Intercreditor Agreement.</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Super Senior Credit Agreement contains representations, warranties, covenants, terms and conditions customary for transactions of this type. These include covenants limiting Altisource, the Borrower and its subsidiaries, subject to certain exceptions and baskets, to (i) incur indebtedness, (ii) incur liens on its assets, (iii) agree to additional negative pledges, (iv) make Restricted Junior Payments,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 transactions, (x) enter into certain transactions with shareholders and affiliates, (xi) engage in a line of business substantially different than existing business and businesses reasonably related, complimentary or ancillary thereto, (xii) modify the terms of certain indebtedness, (xiii) modify the terms of its organizational documents, (xiv) change its fiscal year, and (xv) enter into any transactions undertaken in connection with a Liability Management Transaction. The Super Senior Credit Agreement also requires that the Borrower maintain minimum daily liquidity of not less than the lesser of (a) $12.5 million and (b) the aggregate principal amount of Term Loans under the Super Senior Facility outstanding on such date.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Super Senior Credit Agreement requires mandatory prepayments of the term loans, subject to customary exceptions, as follows: (i) 100% of the proceeds of any other debt not permitted by the Super Senior Credit Agreement, (ii) 95% of the proceeds from the exercise of the Cash Exercise Stakeholder Warrants,</w:t>
      </w:r>
    </w:p>
    <w:p>
      <w:pPr>
        <w:jc w:val="both"/>
        <w:ind w:firstLine="6"/>
        <w:spacing w:after="0" w:line="247" w:lineRule="auto"/>
        <w:tabs>
          <w:tab w:leader="none" w:pos="32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proceeds of Asset Sales,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Super Senior Credit Agreement will become due on the earlier of (i) the maturity date, and (ii) the date on which the loans are declared to be due and owing by the administrative agent at the request (or with the consent) of the Required Lenders (as defined in the Super Senior Credit Agreement; other capitalized terms, unless defined herein, are defined in the Super Senior Credit Agreement) or as otherwise provided in the Super Senior Credit Agreement upon the occurrence of any event of default.</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Super Senior Credit Facility bears interest at rates based upon, at our option, the SOFR or the Base Rate, as defined in the Super Senior Credit Agreement. SOFR-based term loans bear interest at a rate per annum equal to SOFR plus 6.50% (with a 3.50% SOFR floor) payable in cash. Base Rate-based term loans bear interest at a rate per annum equal to the Base Rate plus 5.50% payable in cash. The interest rate as of June 30, 2025 was 10.90%.</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Super Senior Credit Agreement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Borrower or any Material Subsidiary, (vii) entry by a court of one or more judgments against Altisource, Borrower or any Material Subsidiary in an amount in excess of $15 million that remain undischarged, unvacated, unbonded or unstayed for a certain number of days.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 The Revolver was amended effective February 14, 2023.</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$15.0 million revolver with STS. As of June 30, 2025, the Company did not have any borrowings outstanding under the Revolver.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Penny Warrants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On February 14, 2023, the lenders under the Amended Credit Agreement (see Note 10 for additional information) received warrants (the “Penny Warrants”) to purchase 402,981 shares of Altisource common stock (the “Penny Warrant Shares”). The number of Penny Warrant Shares was subject to reduction based on the amount of Aggregate Paydowns. Based on Aggregate Paydowns made during 2023, the number of Penny Warrant Shares was reduced to 201,588.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Penny Warrant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0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Penny Warrant Shares</w:t>
            </w:r>
          </w:p>
        </w:tc>
      </w:tr>
      <w:tr>
        <w:trPr>
          <w:trHeight w:val="24"/>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8"/>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201,588</w:t>
            </w:r>
          </w:p>
        </w:tc>
      </w:tr>
      <w:tr>
        <w:trPr>
          <w:trHeight w:val="223"/>
        </w:trPr>
        <w:tc>
          <w:tcPr>
            <w:tcW w:w="9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(12,105)</w:t>
            </w:r>
          </w:p>
        </w:tc>
      </w:tr>
      <w:tr>
        <w:trPr>
          <w:trHeight w:val="221"/>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189,483</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(189,483)</w:t>
            </w:r>
          </w:p>
        </w:tc>
      </w:tr>
      <w:tr>
        <w:trPr>
          <w:trHeight w:val="244"/>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June 30, 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exercise price per share of common stock under each Penny Warrant was equal to $0.01. As of June 30, 2025, no Penny Warrant Shares remain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Stakeholder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2025, the Company distributed 70.5 million warrants to purchase approximately 14.3 million shares of Altisource common stock for $9.5998 per share (the “Stakeholder Warrants”). The distribution of Stakeholder Warrants was contingent upon, among other things, approval of the distribution by the Company’s shareholders and the consummation of the Debt Exchange Transaction (such conditions, collectively, the “Distribution Conditions”). The Distribution Conditions were satisfied during the quarter ended March 31, 2025.</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(“Net Settle Stakeholder Warrants”). Each Cash Exercise Stakeholder Warrant is exercisable for 0.20313 shares of our common stock (“Cash Exercise Stakeholder Warrant Shares). Each Net Settle Stakeholder Warrant is exercisable for 0.20313 shares of our common stock (“Net Settle Stakeholder Warrant Shares”). The Stakeholder Warrants are exercisable on the later of (i) 90 days after their issuance and (ii) the first date on which the VWAP (as defined in the Warrant Agent Agreement for the Stakeholder Warrants (the “Warrant Agent Agreement”)) of the common stock equals or exceeds the Implied Per Share Exercise Price (as such term is defined in the Warrant Agent Agreement) of the Stakeholder Warrants, which is currently $9.5998, for a period of fifteen consecutive trading days (the “VWAP Condition”). The exercise price of the Stakeholder Warrants is $1.95 per Stakeholder Warrant.</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Stakeholder Warrants are listed on the NASDAQ Global Select Market and began trading on May 7, 2025. The Cash Exercise Stakeholder Warrants trade under the symbol “ASPSZ” and the Net Settle Stakeholder Warrants trade under the symbol “ASPSW”.</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purposes of recording the distribution of the Stakeholder Warrants during the three months ended March 31, 2025, the fair values of the Cash Exercise Stakeholder Warrants and the Net Exercise Stakeholder Warrants were determined using the Black-Scholes option pricing model. The following table summarizes the fair value of the Stakeholder Warrants and the assumptions used to determine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Cash Exercise Stakeholder Warrants</w:t>
            </w:r>
          </w:p>
        </w:tc>
        <w:tc>
          <w:tcPr>
            <w:tcW w:w="25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Net Settle Stakeholder Warrants</w:t>
            </w:r>
          </w:p>
        </w:tc>
      </w:tr>
      <w:tr>
        <w:trPr>
          <w:trHeight w:val="24"/>
        </w:trPr>
        <w:tc>
          <w:tcPr>
            <w:tcW w:w="60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92"/>
        </w:trPr>
        <w:tc>
          <w:tcPr>
            <w:tcW w:w="60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4.42 %</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option life (in years)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Stakeholder Warrant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Stakeholder Warrants are indexed to Altisource’s stock and are classified as equity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resulting in a $40.5 million increase in Additional paid-in capital. The distribution of the Stakeholder Warrants are non-reciprocal pro rata distributions and are accounted for as a dividend. Because the Company has negative retained earnings, the Company recorded the dividend as a $40.5 million reduction to Additional paid-in capital. Since the transaction is accounted for as both an increase and a decrease in Additional paid-in capital, the net result is zero and is not reflected in the Condensed Consolidated Statements of Equity (Deficit).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outstanding Stakeholder Warrants and Stakeholder Warrant Shares following the distribution: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Cash Exercise Stakeholder</w:t>
            </w:r>
          </w:p>
        </w:tc>
        <w:tc>
          <w:tcPr>
            <w:tcW w:w="19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Cash Exercise Stakeholder</w:t>
            </w:r>
          </w:p>
        </w:tc>
        <w:tc>
          <w:tcPr>
            <w:tcW w:w="19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Net Settle Stakeholder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Settle Stakeholder</w:t>
            </w:r>
          </w:p>
        </w:tc>
        <w:tc>
          <w:tcPr>
            <w:tcW w:w="192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Total Stakeholder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Stakeholder Warrant</w:t>
            </w:r>
          </w:p>
        </w:tc>
        <w:tc>
          <w:tcPr>
            <w:tcW w:w="0" w:type="dxa"/>
            <w:vAlign w:val="bottom"/>
          </w:tcPr>
          <w:p>
            <w:pPr>
              <w:spacing w:after="0"/>
              <w:rPr>
                <w:sz w:val="1"/>
                <w:szCs w:val="1"/>
                <w:color w:val="auto"/>
              </w:rPr>
            </w:pPr>
          </w:p>
        </w:tc>
      </w:tr>
      <w:tr>
        <w:trPr>
          <w:trHeight w:val="191"/>
        </w:trPr>
        <w:tc>
          <w:tcPr>
            <w:tcW w:w="1820" w:type="dxa"/>
            <w:vAlign w:val="bottom"/>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9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90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920" w:type="dxa"/>
            <w:vAlign w:val="bottom"/>
            <w:vMerge w:val="continue"/>
          </w:tcPr>
          <w:p>
            <w:pPr>
              <w:spacing w:after="0"/>
              <w:rPr>
                <w:sz w:val="16"/>
                <w:szCs w:val="16"/>
                <w:color w:val="auto"/>
              </w:rPr>
            </w:pPr>
          </w:p>
        </w:tc>
        <w:tc>
          <w:tcPr>
            <w:tcW w:w="1800" w:type="dxa"/>
            <w:vAlign w:val="bottom"/>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1"/>
        </w:trPr>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35,230,503</w:t>
            </w:r>
          </w:p>
        </w:tc>
        <w:tc>
          <w:tcPr>
            <w:tcW w:w="19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7,156,372</w:t>
            </w:r>
          </w:p>
        </w:tc>
        <w:tc>
          <w:tcPr>
            <w:tcW w:w="19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35,230,503</w:t>
            </w: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7,156,372</w:t>
            </w:r>
          </w:p>
        </w:tc>
        <w:tc>
          <w:tcPr>
            <w:tcW w:w="1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70,461,006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14,312,744</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NON-CURRENT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liabilities</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for discussion of the reduction in income tax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June 30, 2025 and December 31, 2024. The following fair values are estimated using market information and what the Company believes to be appropriate valuation methodologies under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128,040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Super senior term loan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 prices. Based on the frequency of trading, we do not believe that there is an active market for our debt. Therefore, the quoted prices are considered Level 2 input</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Super senior term loan and Revolving Loan Agreement were measured using Level 3 inputs based on the present value of the future payments. As quoted market prices are not available and there is no trading, we believe that the contractual interest rates represent the market rate at the measurement date and therefore the fair value equals the book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43% and 44% of its revenue from Onity for the three and six months ended June 30, 2025, respectively (see Note 2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760"/>
        <w:spacing w:after="0" w:line="431"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from 100 million to 250 million, a decrease in the par value of the Company’s common stock from $1.00 to $0.01 and an increase in the number of shares of common stock reserved for issuance under the Equity Plan from approximately 1.5 million to approximately 2.0 million.</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19, 2025, the Company issued 7.3 million shares of common stock to lenders under the Debt Exchange Shares in connection with the Debt Exchange Transaction. See Note 10, Long-Term Debt. Pursuant to the terms of the Exchange Agreement, dated February 19, 2025, by and among the Borrower and Altisource Portfolio Solutions S.A., on the one hand, and the Lenders, on the other hand, with limited exceptions, the Lenders may not, among other things, sell, offer to sell, grant any option to purchase or otherwise dispose of any Debt Exchange Shares, without the prior written consent of Altisource Portfolio Solutions S.A., until the date that is the earlier of (i) September 17, 2025 or (ii) the date on which Altisource Portfolio Solutions S.A. completes a liquidation, merger, stock exchange or other similar transaction that results in all of Altisource’s shareholders having the right to exchange their shares of common stock for cash, securities or other property (“Lock-Up”).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for a period of five years from the date of approval. As of June 30, 2025, approximately 0.4 million shares of common stock remain available for repurchase under the program. In connection with the Share Consolidation, the Company purchased 204 shares of common stock during the six months ended June 30, 2025. There were no purchases of shares of common stock during the six months ended June 30, 2024. Under the New Facility and the Super Senior Facility, we are not permitted to repurchase shares except for limited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(“RSUs”) for certain employees, officers and directors. We recognized share-based compensation expense of $1.8 million and $3.1 million for the six months ended June 30, 2025 and 2024, respectively ($0.7 million and $0.8 million for the second quarter of 2025 and 2024, respectively). As of June 30, 2025, estimated unrecognized compensation costs related to share-based awards amounted to $5.6 million, which we expect to recognize over a weighted average remaining requisite service period of approximately 1.52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5 thousand service-based options were outstanding as of June 30, 2025.</w:t>
      </w:r>
    </w:p>
    <w:p>
      <w:pPr>
        <w:spacing w:after="0" w:line="107"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3 thousand market-based options were outstanding as of June 30, 2025.</w:t>
      </w:r>
    </w:p>
    <w:p>
      <w:pPr>
        <w:spacing w:after="0" w:line="130"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35 thousand performance-based options outstanding as of June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six months ended June 30, 2025 and 2024.</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80" w:type="dxa"/>
            <w:vAlign w:val="bottom"/>
          </w:tcPr>
          <w:p>
            <w:pPr>
              <w:spacing w:after="0"/>
              <w:rPr>
                <w:sz w:val="13"/>
                <w:szCs w:val="13"/>
                <w:color w:val="auto"/>
              </w:rPr>
            </w:pPr>
          </w:p>
        </w:tc>
        <w:tc>
          <w:tcPr>
            <w:tcW w:w="12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40" w:type="dxa"/>
            <w:vAlign w:val="bottom"/>
          </w:tcPr>
          <w:p>
            <w:pPr>
              <w:jc w:val="center"/>
              <w:ind w:right="105"/>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85,008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June 30, 2025</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43,148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June 30, 2025</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RSUs. The restricted shares and RSUs are comprised of a combination of service-based awards, performance-based awards and performance and market-based awards.</w:t>
      </w:r>
    </w:p>
    <w:p>
      <w:pPr>
        <w:spacing w:after="0" w:line="108"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one-to-four-year periods. A total of 976 thousand service-based awards were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w:t>
      </w:r>
    </w:p>
    <w:p>
      <w:pPr>
        <w:spacing w:after="0" w:line="107"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RSUs that may vest is based on the level of achievement as specified in the award agreements. If the performance criteria achieved is above certain financial performance levels and Altisource’s share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performance is above certain established criteria, participants have the opportunity to vest in up to 150% of the restricted share unit award for certain awards. If the performance criteria achieved is below certain thresholds, the award is canceled. A total of 28 thousand performance-based awards were outstanding as of June 30, 2025.</w:t>
      </w:r>
    </w:p>
    <w:p>
      <w:pPr>
        <w:spacing w:after="0" w:line="123" w:lineRule="exact"/>
        <w:rPr>
          <w:sz w:val="20"/>
          <w:szCs w:val="20"/>
          <w:color w:val="auto"/>
        </w:rPr>
      </w:pPr>
    </w:p>
    <w:p>
      <w:pPr>
        <w:jc w:val="both"/>
        <w:ind w:left="32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Performance-Based and Market-Based Awards. </w:t>
      </w:r>
      <w:r>
        <w:rPr>
          <w:rFonts w:ascii="Times New Roman" w:cs="Times New Roman" w:eastAsia="Times New Roman" w:hAnsi="Times New Roman"/>
          <w:sz w:val="17"/>
          <w:szCs w:val="17"/>
          <w:color w:val="auto"/>
        </w:rPr>
        <w:t>These awards generally vest if certain specific financial measures are achieved and if certain specific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28 thousand performance-based and market-based awards were outstanding as of June 30, 2025.</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1.0 million RSUs (at a weighted average grant date fair value of $7.56 per share) during the six months ended June 30, 2025. These grants included approximately 0.6 million of RSUs granted to senior management in connection with the Debt Exchange Transaction, 11 thousand performance-based awards and 11 thousand awards that include both a performance condition and a market condition. The Company granted 194 thousand RSUs (at a weighted average grant date fair value of $20.16 per share) during the six months ended June 30, 2024. These grants included 11 thousand performance-based awards and 11 thousand awards that include both a performance condition and a market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RSUs: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4"/>
        </w:trPr>
        <w:tc>
          <w:tcPr>
            <w:tcW w:w="96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198"/>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249,562</w:t>
            </w:r>
          </w:p>
        </w:tc>
      </w:tr>
      <w:tr>
        <w:trPr>
          <w:trHeight w:val="210"/>
        </w:trPr>
        <w:tc>
          <w:tcPr>
            <w:tcW w:w="9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959,493</w:t>
            </w:r>
          </w:p>
        </w:tc>
      </w:tr>
      <w:tr>
        <w:trPr>
          <w:trHeight w:val="214"/>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(107,966)</w:t>
            </w:r>
          </w:p>
        </w:tc>
      </w:tr>
      <w:tr>
        <w:trPr>
          <w:trHeight w:val="210"/>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(68,809)</w:t>
            </w:r>
          </w:p>
        </w:tc>
      </w:tr>
      <w:tr>
        <w:trPr>
          <w:trHeight w:val="194"/>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June 30, 2025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1,032,280</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One’s earnings are included in revenue and reduced from net income (loss) to arrive at net income (loss) attributable to Altisource (see Note 1). Our services are provided to customers located in the United States. The components of revenue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0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6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36,863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73,754</w:t>
            </w: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94"/>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40" w:type="dxa"/>
            <w:vAlign w:val="bottom"/>
          </w:tcPr>
          <w:p>
            <w:pPr>
              <w:spacing w:after="0"/>
              <w:rPr>
                <w:sz w:val="16"/>
                <w:szCs w:val="16"/>
                <w:color w:val="auto"/>
              </w:rPr>
            </w:pPr>
          </w:p>
        </w:tc>
        <w:tc>
          <w:tcPr>
            <w:tcW w:w="3360" w:type="dxa"/>
            <w:vAlign w:val="bottom"/>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20" w:type="dxa"/>
            <w:vAlign w:val="bottom"/>
          </w:tcPr>
          <w:p>
            <w:pPr>
              <w:spacing w:after="0"/>
              <w:rPr>
                <w:sz w:val="11"/>
                <w:szCs w:val="11"/>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4"/>
        </w:trPr>
        <w:tc>
          <w:tcPr>
            <w:tcW w:w="4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2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recognized when services are performed or assets are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8,711</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38,355</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26,494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34,208</w:t>
            </w:r>
          </w:p>
        </w:tc>
        <w:tc>
          <w:tcPr>
            <w:tcW w:w="0" w:type="dxa"/>
            <w:vAlign w:val="bottom"/>
          </w:tcPr>
          <w:p>
            <w:pPr>
              <w:spacing w:after="0"/>
              <w:rPr>
                <w:sz w:val="1"/>
                <w:szCs w:val="1"/>
                <w:color w:val="auto"/>
              </w:rPr>
            </w:pP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related to technology platforms and professional</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2,508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2,531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0" w:type="dxa"/>
            <w:vAlign w:val="bottom"/>
          </w:tcPr>
          <w:p>
            <w:pPr>
              <w:spacing w:after="0"/>
              <w:rPr>
                <w:sz w:val="1"/>
                <w:szCs w:val="1"/>
                <w:color w:val="auto"/>
              </w:rPr>
            </w:pPr>
          </w:p>
        </w:tc>
      </w:tr>
      <w:tr>
        <w:trPr>
          <w:trHeight w:val="21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 revenue</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9,090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43,288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31,124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Pr>
          <w:p>
            <w:pPr>
              <w:spacing w:after="0"/>
              <w:rPr>
                <w:sz w:val="24"/>
                <w:szCs w:val="24"/>
                <w:color w:val="auto"/>
              </w:rPr>
            </w:pPr>
          </w:p>
        </w:tc>
        <w:tc>
          <w:tcPr>
            <w:tcW w:w="3360" w:type="dxa"/>
            <w:vAlign w:val="bottom"/>
            <w:gridSpan w:val="7"/>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20" w:type="dxa"/>
            <w:vAlign w:val="bottom"/>
          </w:tcPr>
          <w:p>
            <w:pPr>
              <w:spacing w:after="0"/>
              <w:rPr>
                <w:sz w:val="11"/>
                <w:szCs w:val="11"/>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4"/>
        </w:trPr>
        <w:tc>
          <w:tcPr>
            <w:tcW w:w="4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2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recognized when services are performed or assets are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16,637</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76,766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52,891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68,301</w:t>
            </w:r>
          </w:p>
        </w:tc>
        <w:tc>
          <w:tcPr>
            <w:tcW w:w="0" w:type="dxa"/>
            <w:vAlign w:val="bottom"/>
          </w:tcPr>
          <w:p>
            <w:pPr>
              <w:spacing w:after="0"/>
              <w:rPr>
                <w:sz w:val="1"/>
                <w:szCs w:val="1"/>
                <w:color w:val="auto"/>
              </w:rPr>
            </w:pP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related to technology platforms and professional</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5,065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0" w:type="dxa"/>
            <w:vAlign w:val="bottom"/>
          </w:tcPr>
          <w:p>
            <w:pPr>
              <w:spacing w:after="0"/>
              <w:rPr>
                <w:sz w:val="1"/>
                <w:szCs w:val="1"/>
                <w:color w:val="auto"/>
              </w:rPr>
            </w:pPr>
          </w:p>
        </w:tc>
      </w:tr>
      <w:tr>
        <w:trPr>
          <w:trHeight w:val="21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 revenue</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4,896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17,372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86,727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62,626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service revenue by the timing of revenue recognition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06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Over-time revenue recognition</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Point-in-time revenue recognition</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30,489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60,985</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36,863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73,754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receivables (presented as accounts receivable on our condensed consolidated balance sheets), and customer advances (presented as deferred revenue on our condensed consolidated balance sheets), where applicable.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over-time revenue recognition model consists primarily of the following services for which revenue is recognized over the period during which services are provided:</w:t>
      </w:r>
    </w:p>
    <w:p>
      <w:pPr>
        <w:spacing w:after="0" w:line="110" w:lineRule="exact"/>
        <w:rPr>
          <w:sz w:val="20"/>
          <w:szCs w:val="20"/>
          <w:color w:val="auto"/>
        </w:rPr>
      </w:pPr>
    </w:p>
    <w:p>
      <w:pPr>
        <w:ind w:left="320" w:hanging="314"/>
        <w:spacing w:after="0" w:line="257"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revenue is recognized as work progresses, in accordance with agreed upon milestones with full recognition upon completion and/or recording the related foreclosure deed</w:t>
      </w:r>
    </w:p>
    <w:p>
      <w:pPr>
        <w:ind w:left="320" w:hanging="314"/>
        <w:spacing w:after="0" w:line="24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SaaS based technology to manage REO, we recognize revenue over the estimated average number of months the REO properties are on the platform before they are sold</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revenue is recognized over the period during which services are provided</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fund disbursement services, we recognize revenue over the period during which we perform the processing services with full recognition upon completion of the disbursements</w:t>
      </w:r>
    </w:p>
    <w:p>
      <w:pPr>
        <w:spacing w:after="0" w:line="1"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 As of June 30, 2025, the value of unfulfilled renovation orders amounted to $3.4 million, with the majority of this backlog expected to be completed and recognized as revenue within the third quarter of 2025 and the remainder anticipated to be completed in the fourth quarter of 2025</w:t>
      </w:r>
    </w:p>
    <w:p>
      <w:pPr>
        <w:spacing w:after="0" w:line="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membership fees from Lender One members ratably over the term of membership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software-as-a-service (“SaaS”), we recognize revenue over the period during which we perform the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service revenue of $0.1 million and less than $0.1 million for the six months ended June 30, 2025 and 2024, respectively (less than $0.1 million and less than $0.1 million for the second quarter of 2025 and 2024, respectively), relating to services provided to Aldridge Pite.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The deferred revenue opening and closing balances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8"/>
        </w:trPr>
        <w:tc>
          <w:tcPr>
            <w:tcW w:w="6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balance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center"/>
              <w:ind w:left="242"/>
              <w:spacing w:after="0"/>
              <w:rPr>
                <w:sz w:val="20"/>
                <w:szCs w:val="20"/>
                <w:color w:val="auto"/>
              </w:rPr>
            </w:pPr>
            <w:r>
              <w:rPr>
                <w:rFonts w:ascii="Times New Roman" w:cs="Times New Roman" w:eastAsia="Times New Roman" w:hAnsi="Times New Roman"/>
                <w:sz w:val="16"/>
                <w:szCs w:val="16"/>
                <w:color w:val="auto"/>
                <w:w w:val="98"/>
              </w:rPr>
              <w:t>(3,459)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6"/>
                <w:szCs w:val="16"/>
                <w:color w:val="auto"/>
                <w:w w:val="98"/>
              </w:rPr>
              <w:t>(3,204)</w:t>
            </w:r>
          </w:p>
        </w:tc>
        <w:tc>
          <w:tcPr>
            <w:tcW w:w="0" w:type="dxa"/>
            <w:vAlign w:val="bottom"/>
          </w:tcPr>
          <w:p>
            <w:pPr>
              <w:spacing w:after="0"/>
              <w:rPr>
                <w:sz w:val="1"/>
                <w:szCs w:val="1"/>
                <w:color w:val="auto"/>
              </w:rPr>
            </w:pPr>
          </w:p>
        </w:tc>
      </w:tr>
      <w:tr>
        <w:trPr>
          <w:trHeight w:val="159"/>
        </w:trPr>
        <w:tc>
          <w:tcPr>
            <w:tcW w:w="65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recognized that was included in the deferred revenue balance at the beginning of the</w:t>
            </w: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center"/>
              <w:ind w:left="262"/>
              <w:spacing w:after="0"/>
              <w:rPr>
                <w:sz w:val="20"/>
                <w:szCs w:val="20"/>
                <w:color w:val="auto"/>
              </w:rPr>
            </w:pPr>
            <w:r>
              <w:rPr>
                <w:rFonts w:ascii="Times New Roman" w:cs="Times New Roman" w:eastAsia="Times New Roman" w:hAnsi="Times New Roman"/>
                <w:sz w:val="16"/>
                <w:szCs w:val="16"/>
                <w:color w:val="auto"/>
                <w:w w:val="99"/>
              </w:rPr>
              <w:t>1,068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2,920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vMerge w:val="restart"/>
          </w:tcPr>
          <w:p>
            <w:pPr>
              <w:jc w:val="center"/>
              <w:ind w:left="242"/>
              <w:spacing w:after="0"/>
              <w:rPr>
                <w:sz w:val="20"/>
                <w:szCs w:val="20"/>
                <w:color w:val="auto"/>
              </w:rPr>
            </w:pPr>
            <w:r>
              <w:rPr>
                <w:rFonts w:ascii="Times New Roman" w:cs="Times New Roman" w:eastAsia="Times New Roman" w:hAnsi="Times New Roman"/>
                <w:sz w:val="16"/>
                <w:szCs w:val="16"/>
                <w:color w:val="auto"/>
                <w:w w:val="99"/>
              </w:rPr>
              <w:t>2,463</w:t>
            </w: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billing, excluding amounts recognized as revenue during the period</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242"/>
              <w:spacing w:after="0"/>
              <w:rPr>
                <w:sz w:val="20"/>
                <w:szCs w:val="20"/>
                <w:color w:val="auto"/>
              </w:rPr>
            </w:pPr>
            <w:r>
              <w:rPr>
                <w:rFonts w:ascii="Times New Roman" w:cs="Times New Roman" w:eastAsia="Times New Roman" w:hAnsi="Times New Roman"/>
                <w:sz w:val="16"/>
                <w:szCs w:val="16"/>
                <w:color w:val="auto"/>
                <w:w w:val="98"/>
              </w:rPr>
              <w:t>(1,256)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222"/>
              <w:spacing w:after="0"/>
              <w:rPr>
                <w:sz w:val="20"/>
                <w:szCs w:val="20"/>
                <w:color w:val="auto"/>
              </w:rPr>
            </w:pPr>
            <w:r>
              <w:rPr>
                <w:rFonts w:ascii="Times New Roman" w:cs="Times New Roman" w:eastAsia="Times New Roman" w:hAnsi="Times New Roman"/>
                <w:sz w:val="16"/>
                <w:szCs w:val="16"/>
                <w:color w:val="auto"/>
                <w:w w:val="98"/>
              </w:rPr>
              <w:t>(2,906)</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 ending balance</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color w:val="auto"/>
                <w:w w:val="98"/>
              </w:rPr>
              <w:t>(3,647)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8"/>
              </w:rPr>
              <w:t>(3,647)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28,767</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14,456</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19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26,404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recognized cost of revenue of $0.5 million and $0.4 million for the six months ended June 30, 2025 and 2024, respectively ($0.3 million and $0.2 million for the second quarter of 2025 and 2024, respectively), relating to services received from Aldridge Pite. As of June 30, 2025, the Company had no payable to Aldridge Pite.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includes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r>
      <w:tr>
        <w:trPr>
          <w:trHeight w:val="19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072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net</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2"/>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5"/>
        </w:trPr>
        <w:tc>
          <w:tcPr>
            <w:tcW w:w="72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4"/>
                <w:szCs w:val="24"/>
                <w:color w:val="auto"/>
              </w:rPr>
            </w:pPr>
          </w:p>
        </w:tc>
        <w:tc>
          <w:tcPr>
            <w:tcW w:w="740" w:type="dxa"/>
            <w:vAlign w:val="bottom"/>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4"/>
                <w:szCs w:val="24"/>
                <w:color w:val="auto"/>
              </w:rPr>
            </w:pPr>
          </w:p>
        </w:tc>
        <w:tc>
          <w:tcPr>
            <w:tcW w:w="70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391</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4"/>
        </w:trPr>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(155)</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(204)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r>
      <w:tr>
        <w:trPr>
          <w:trHeight w:val="404"/>
        </w:trPr>
        <w:tc>
          <w:tcPr>
            <w:tcW w:w="7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w:t>
            </w:r>
          </w:p>
        </w:tc>
      </w:tr>
      <w:tr>
        <w:trPr>
          <w:trHeight w:val="22"/>
        </w:trPr>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-571500</wp:posOffset>
            </wp:positionV>
            <wp:extent cx="713486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-302260</wp:posOffset>
            </wp:positionV>
            <wp:extent cx="713486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12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an income tax benefit (provision) of $15.7 million and $(1.4) million for the six months ended June 30, 2025 and 2024, respectively ($16.5 million and $(0.7) million for the second quarter of 2025 and 2024, respectively). The income tax benefit for the three and six months ended June 30, 2025 was driven primarily by the reversal of liabilities for uncertain tax positions, income tax expense on transfer pricing income from India and the United States and no tax benefit on the pretax loss from our Luxembourg operating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(provision) consists of the following: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60" w:type="dxa"/>
            <w:vAlign w:val="bottom"/>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 U.S. federal</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4"/>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 U.S. state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 non-U.S.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16,962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r>
      <w:tr>
        <w:trPr>
          <w:trHeight w:val="194"/>
        </w:trPr>
        <w:tc>
          <w:tcPr>
            <w:tcW w:w="5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5260" w:type="dxa"/>
            <w:vAlign w:val="bottom"/>
          </w:tcPr>
          <w:p>
            <w:pPr>
              <w:spacing w:after="0"/>
              <w:rPr>
                <w:sz w:val="18"/>
                <w:szCs w:val="18"/>
                <w:color w:val="auto"/>
              </w:rPr>
            </w:pP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16,471</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Deferred</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0"/>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 U.S. federal</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 U.S. state</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 non-U.S.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10"/>
        </w:trPr>
        <w:tc>
          <w:tcPr>
            <w:tcW w:w="5260" w:type="dxa"/>
            <w:vAlign w:val="bottom"/>
          </w:tcPr>
          <w:p>
            <w:pPr>
              <w:spacing w:after="0"/>
              <w:rPr>
                <w:sz w:val="18"/>
                <w:szCs w:val="18"/>
                <w:color w:val="auto"/>
              </w:rPr>
            </w:pP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5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16,471</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The Company follows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(2017 through 2023), India (2011 through 2024) and Luxembourg (2017 through 2023).</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second quarter of 2025, Management concluded that certain of its India tax positions for several years were more likely than not to be sustained based on current quarter developments (including, among other reasons, a net refund received of $1.3 million). As a result, the Company recognized a $9.6 million reversal of its reserve for uncertain tax positions related to India and a $9.0 million reversal of related accrued interest.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effective tax rate differs from the Luxembourg statutory tax rate due to tax rate differences on foreign earnings, increases in uncertain tax positions, state taxes, a decrease in unrecognized tax benefits, tax exempt income primarily from the sale of Pointillist and a valuation allowance against deferred tax assets the Company believes it is more likely than not will not be realized.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unrecognized tax benefits: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8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4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6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6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 as of the beginning of the year</w:t>
            </w:r>
          </w:p>
        </w:tc>
        <w:tc>
          <w:tcPr>
            <w:tcW w:w="80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9,208</w:t>
            </w: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Decreases as a result of tax positions taken in a prior period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a prior period</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the current period</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194"/>
        </w:trPr>
        <w:tc>
          <w:tcPr>
            <w:tcW w:w="5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2"/>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 as of the end of the period</w:t>
            </w:r>
          </w:p>
        </w:tc>
        <w:tc>
          <w:tcPr>
            <w:tcW w:w="80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10,183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2,108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0"/>
        </w:trPr>
        <w:tc>
          <w:tcPr>
            <w:tcW w:w="5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Luxembourg statutory tax rate to our effective tax rate: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80" w:type="dxa"/>
            <w:vAlign w:val="bottom"/>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9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15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5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tax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185.47</w:t>
            </w:r>
          </w:p>
        </w:tc>
        <w:tc>
          <w:tcPr>
            <w:tcW w:w="10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(26.23)</w:t>
            </w:r>
          </w:p>
        </w:tc>
        <w:tc>
          <w:tcPr>
            <w:tcW w:w="100" w:type="dxa"/>
            <w:vAlign w:val="bottom"/>
          </w:tcPr>
          <w:p>
            <w:pPr>
              <w:spacing w:after="0"/>
              <w:rPr>
                <w:sz w:val="18"/>
                <w:szCs w:val="18"/>
                <w:color w:val="auto"/>
              </w:rPr>
            </w:pP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(42.09)</w:t>
            </w:r>
          </w:p>
        </w:tc>
        <w:tc>
          <w:tcPr>
            <w:tcW w:w="8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(27.71)</w:t>
            </w:r>
          </w:p>
        </w:tc>
      </w:tr>
      <w:tr>
        <w:trPr>
          <w:trHeight w:val="21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tax expense</w:t>
            </w:r>
          </w:p>
        </w:tc>
        <w:tc>
          <w:tcPr>
            <w:tcW w:w="15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(0.83)</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0.03</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(9,175.13)</w:t>
            </w:r>
          </w:p>
        </w:tc>
        <w:tc>
          <w:tcPr>
            <w:tcW w:w="10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15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386.02</w:t>
            </w:r>
          </w:p>
        </w:tc>
        <w:tc>
          <w:tcPr>
            <w:tcW w:w="8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(4.40)</w:t>
            </w:r>
          </w:p>
        </w:tc>
      </w:tr>
      <w:tr>
        <w:trPr>
          <w:trHeight w:val="21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losses</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rate differences on foreign earnings</w:t>
            </w: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8"/>
                <w:szCs w:val="18"/>
                <w:color w:val="auto"/>
              </w:rPr>
            </w:pPr>
          </w:p>
        </w:tc>
        <w:tc>
          <w:tcPr>
            <w:tcW w:w="15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(0.62)</w:t>
            </w:r>
          </w:p>
        </w:tc>
      </w:tr>
      <w:tr>
        <w:trPr>
          <w:trHeight w:val="21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exempt income</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0.33</w:t>
            </w:r>
          </w:p>
        </w:tc>
      </w:tr>
      <w:tr>
        <w:trPr>
          <w:trHeight w:val="21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165.40</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(7.12)</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(1.49)</w:t>
            </w:r>
          </w:p>
        </w:tc>
      </w:tr>
      <w:tr>
        <w:trPr>
          <w:trHeight w:val="194"/>
        </w:trPr>
        <w:tc>
          <w:tcPr>
            <w:tcW w:w="49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2"/>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(8,809.06)%</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362.22 %</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0"/>
        </w:trPr>
        <w:tc>
          <w:tcPr>
            <w:tcW w:w="49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amount of unrecognized tax benefits including interest and penalties that, if recognized, would affect the effective tax rate is $2.8 million and $19.2 million as of June 30, 2025 and December 31, 2024, respectively. The Company recognizes interest, if any, related to unrecognized tax benefits as a component of income tax expense. As of June 30, 2025 and 2024, the Company had recorded accrued interest and penalties related to unrecognized tax benefits of $0.8 million and $8.7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EARNINGS (LOSS) PER SHARE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available to common shareholders by the weighted average number of common shares outstanding for the period. For the three and six months ended June 30, 2025, diluted earnings per share reflects the assumed conversion of all dilutive securities using the treasury stock method. For the three and six months ended June 30, 2024, diluted net earnings (loss) per share excludes all dilutive securities because their impact would be anti-dilutive, as described below. Basic and diluted earnings (loss) per share has been retroactively adjusted for all prior periods presented to reflect the effects of the Share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(loss) per share are calculated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17"/>
                <w:szCs w:val="17"/>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six months ended June 30, 2025 and 2024, 0.1 million and 0.3 million, respectively (0.1 million and 0.3 million for the second quarter of 2025 and 2024, respectively), stock options, restricted shares and RSUs were excluded from the computation of earnings (loss) per share, as a result of the following:</w:t>
      </w:r>
    </w:p>
    <w:p>
      <w:pPr>
        <w:spacing w:after="0" w:line="110" w:lineRule="exact"/>
        <w:rPr>
          <w:sz w:val="20"/>
          <w:szCs w:val="20"/>
          <w:color w:val="auto"/>
        </w:rPr>
      </w:pPr>
    </w:p>
    <w:p>
      <w:pPr>
        <w:ind w:left="480" w:hanging="315"/>
        <w:spacing w:after="0" w:line="274" w:lineRule="auto"/>
        <w:tabs>
          <w:tab w:leader="none" w:pos="4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0.1 million and 0.1 million, respectively, stock options, restricted shares and RSUs were anti-dilutive and have been excluded from the computation of diluted earnings (loss) per share because the Company incurred a net loss</w:t>
      </w:r>
    </w:p>
    <w:p>
      <w:pPr>
        <w:spacing w:after="0" w:line="4" w:lineRule="exact"/>
        <w:rPr>
          <w:rFonts w:ascii="Times New Roman" w:cs="Times New Roman" w:eastAsia="Times New Roman" w:hAnsi="Times New Roman"/>
          <w:sz w:val="18"/>
          <w:szCs w:val="18"/>
          <w:color w:val="auto"/>
        </w:rPr>
      </w:pPr>
    </w:p>
    <w:p>
      <w:pPr>
        <w:jc w:val="both"/>
        <w:ind w:left="480" w:hanging="315"/>
        <w:spacing w:after="0" w:line="259" w:lineRule="auto"/>
        <w:tabs>
          <w:tab w:leader="none" w:pos="4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0.1 million and 0.1 million, respectively (less than 0.1 million for both the three and six months ended June 30, 2025), stock options were anti-dilutive and have been excluded from the computation of diluted earnings (loss) per share because their exercise price was greater than the average market price of our common stock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left="480" w:hanging="315"/>
        <w:spacing w:after="0" w:line="255" w:lineRule="auto"/>
        <w:tabs>
          <w:tab w:leader="none" w:pos="4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2025 and 2024, 0.1 million and 0.1 million, respectively (0.1 million and 0.1 million for the second quarter of 2025 and 2024, respectively), stock options, restricted shares and RSUs, which begin to vest upon the achievement of certain market criteria related to our common stock price, performance criteria and a total shareholder return compared to the market benchmark, have been excluded from the computation of diluted earnings (loss) per share because the achievement levels have not yet been met</w:t>
      </w:r>
    </w:p>
    <w:p>
      <w:pPr>
        <w:spacing w:after="0" w:line="21" w:lineRule="exact"/>
        <w:rPr>
          <w:rFonts w:ascii="Times New Roman" w:cs="Times New Roman" w:eastAsia="Times New Roman" w:hAnsi="Times New Roman"/>
          <w:sz w:val="18"/>
          <w:szCs w:val="18"/>
          <w:color w:val="auto"/>
        </w:rPr>
      </w:pPr>
    </w:p>
    <w:p>
      <w:pPr>
        <w:ind w:left="480" w:hanging="315"/>
        <w:spacing w:after="0" w:line="274" w:lineRule="auto"/>
        <w:tabs>
          <w:tab w:leader="none" w:pos="4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2025, Stakeholder Warrants were anti-dilutive and have been excluded from the computation of diluted earnings (loss) per share because their exercise price was greater than the average market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during the three and six months ended June 30, 2025, Onity was our largest customer, accounting for 43% and 44% of our total revenue, respectively. Additionally, 5% of our revenue for the six months ended June 30, 2025 (4% of our revenue for the second quarter of 2025) was earned on the loan portfolios serviced by Onity, when a party other than Onity or the MSRs owner selected Altisource as the service provider.</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Onity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1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March 31, 2025, Onity reported that approximately 11% of loans serviced and subserviced by Onity (measured in UPB) and approximately 58% of all delinquent loans that Onity services were related to Rithm MSRs or rights to MSRs.</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$0.2 million and $0.3 million for the six months ended June 30, 2025 and 2024, respectively (less than $0.1 million and $0.1 million for the second quarter of 2025 and 2024, respectively). The amortization periods of right-of-use assets are generally limited by the expected lease term. Our leases generally have expected lease terms at adoption of one to six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as of June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2"/>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2"/>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8"/>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during the periods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4"/>
        </w:trPr>
        <w:tc>
          <w:tcPr>
            <w:tcW w:w="6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r>
      <w:tr>
        <w:trPr>
          <w:trHeight w:val="214"/>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88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our lease liabilities as of June 30, 2025 are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4"/>
                <w:szCs w:val="24"/>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4"/>
        </w:trPr>
        <w:tc>
          <w:tcPr>
            <w:tcW w:w="9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4"/>
        </w:trPr>
        <w:tc>
          <w:tcPr>
            <w:tcW w:w="9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12"/>
        </w:trPr>
        <w:tc>
          <w:tcPr>
            <w:tcW w:w="9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94"/>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These amounts are held in escrow and other accounts for limited periods of time and are not included in the accompanying condensed consolidated balance sheets. Amounts held in escrow and other accounts were $41.2 million and $24.9 million as of June 30, 2025 and December 31, 2024,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includes interest expense and costs related to corporate functions including executive, infrastructure and certain technology groups, finance, law, compliance, human resources, vendor management, facilities, risk management, and eliminations between reportable segments.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(loss) before income taxes and non-controlling interests is the measure of segment profit and loss that is determined in accordance with the measurement principles used in measuring the corresponding amounts in the consolidated financial statements and used by the chief operating decision maker to evaluate segment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right"/>
              <w:ind w:right="18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43,288</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30,261</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13,027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9,796</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amendment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2"/>
        </w:trPr>
        <w:tc>
          <w:tcPr>
            <w:tcW w:w="566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194"/>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p>
      <w:pPr>
        <w:spacing w:after="0" w:line="25"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0"/>
                <w:szCs w:val="10"/>
                <w:color w:val="auto"/>
              </w:rPr>
            </w:pPr>
          </w:p>
        </w:tc>
        <w:tc>
          <w:tcPr>
            <w:tcW w:w="114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39,121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26,404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12,717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10,634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line="214"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p>
      <w:pPr>
        <w:spacing w:after="0" w:line="58" w:lineRule="exact"/>
        <w:rPr>
          <w:sz w:val="20"/>
          <w:szCs w:val="20"/>
          <w:color w:val="auto"/>
        </w:rPr>
      </w:pPr>
    </w:p>
    <w:p>
      <w:pPr>
        <w:ind w:left="5540" w:right="4160" w:hanging="5216"/>
        <w:spacing w:after="0" w:line="883" w:lineRule="auto"/>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-394970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right"/>
              <w:ind w:right="18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86,727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60,375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26,352</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19,876</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6,476</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amendment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0" w:type="dxa"/>
            <w:vAlign w:val="bottom"/>
          </w:tcPr>
          <w:p>
            <w:pPr>
              <w:spacing w:after="0"/>
              <w:rPr>
                <w:sz w:val="1"/>
                <w:szCs w:val="1"/>
                <w:color w:val="auto"/>
              </w:rPr>
            </w:pPr>
          </w:p>
        </w:tc>
      </w:tr>
      <w:tr>
        <w:trPr>
          <w:trHeight w:val="212"/>
        </w:trPr>
        <w:tc>
          <w:tcPr>
            <w:tcW w:w="566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w:t>
            </w:r>
          </w:p>
        </w:tc>
        <w:tc>
          <w:tcPr>
            <w:tcW w:w="0" w:type="dxa"/>
            <w:vAlign w:val="bottom"/>
          </w:tcPr>
          <w:p>
            <w:pPr>
              <w:spacing w:after="0"/>
              <w:rPr>
                <w:sz w:val="1"/>
                <w:szCs w:val="1"/>
                <w:color w:val="auto"/>
              </w:rPr>
            </w:pPr>
          </w:p>
        </w:tc>
      </w:tr>
      <w:tr>
        <w:trPr>
          <w:trHeight w:val="194"/>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0"/>
                <w:szCs w:val="10"/>
                <w:color w:val="auto"/>
              </w:rPr>
            </w:pPr>
          </w:p>
        </w:tc>
        <w:tc>
          <w:tcPr>
            <w:tcW w:w="114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78,590</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53,569</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25,021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23,486</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(19,317)</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line="214"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1,781</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30,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142,941</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2024 filed with the Securities and Exchange Commission (“SEC”) on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2"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execute on our strategic initiatives and improve margins;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2024, as supplemented or amended by the Risk Factors set forth in our subsequent Form 10-Q filings, including this Form 10-Q, such as:</w:t>
      </w:r>
    </w:p>
    <w:p>
      <w:pPr>
        <w:spacing w:after="0" w:line="125"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residential mortgage delinquencies, foreclosure initiations and foreclosure sales could negatively affect demand for some of our services;</w:t>
      </w:r>
    </w:p>
    <w:p>
      <w:pPr>
        <w:spacing w:after="0" w:line="56" w:lineRule="exact"/>
        <w:rPr>
          <w:rFonts w:ascii="Times New Roman" w:cs="Times New Roman" w:eastAsia="Times New Roman" w:hAnsi="Times New Roman"/>
          <w:sz w:val="17"/>
          <w:szCs w:val="17"/>
          <w:color w:val="auto"/>
        </w:rPr>
      </w:pPr>
    </w:p>
    <w:p>
      <w:pPr>
        <w:ind w:left="640" w:hanging="316"/>
        <w:spacing w:after="0" w:line="26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Onity Group Inc. (together with its subsidiaries, “Onity”) (formerly Ocwen Financial Corporation, or “Ocwen”) as a customer or our ability to receive the anticipated volume of referrals from Onity;</w:t>
      </w:r>
    </w:p>
    <w:p>
      <w:pPr>
        <w:spacing w:after="0" w:line="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Rithm Capital Corp. (individually, together with one or more of its subsidiaries, or one or more of its subsidiaries individually, “Rithm”) as a customer or our ability to receive the anticipated volume of referrals from Rithm;</w:t>
      </w:r>
    </w:p>
    <w:p>
      <w:pPr>
        <w:spacing w:after="0" w:line="4"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98"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foreclosure trustee services, residential real estate renovation services, residential and commercial construction inspection and risk mitigation services, title insurance (as an agent) and settlement services, and real estate valuation services.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online real estate auction platform, real estate brokerage and asset management services.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08" w:lineRule="exact"/>
        <w:rPr>
          <w:sz w:val="20"/>
          <w:szCs w:val="20"/>
          <w:color w:val="auto"/>
        </w:rPr>
      </w:pPr>
    </w:p>
    <w:p>
      <w:pPr>
        <w:jc w:val="both"/>
        <w:ind w:left="640"/>
        <w:spacing w:after="0" w:line="20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and investor homes,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 single-family automated valuation model and analytics solution).</w:t>
      </w:r>
    </w:p>
    <w:p>
      <w:pPr>
        <w:spacing w:after="0" w:line="14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solutions provided to the members of the Lenders One cooperative.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11"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Our Solutions business includes loan fulfillment services, real estate valuation services, title insurance (as an agent) and settlement services, and insurance services.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1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and pre and post-close quality control), and ADMS (a document management and data analytics delivery platform).</w:t>
      </w:r>
    </w:p>
    <w:p>
      <w:pPr>
        <w:spacing w:after="0" w:line="13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One’s earnings are included in revenue and reduced from net income (loss) to arrive at net income (loss)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current state of the economy, interest rate environment, housing supply, and other macro-economic trends, we continue to evaluate our strategy and core businesses and seek to position our businesses to provide long term value to our customers and shareholders.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loan default and real estate investor solutions and technologies intended to meet their growing and evolving needs. We are focused on gaining market share on existing solutions and launching new solutions with our existing customer base and attracting new customers to our offerings. We have a customer base that includes government-sponsored enterprises (“GSEs”), asset managers, and several large bank and non-bank servicers including Onity and Rithm. We believe we are one of only a few providers with a broad suite of solutions, nationwide coverage and scalability. Further, we believe we are well positioned to gain market share from existing and new customers if loan delinquency rates and foreclosure initiations and sales rise, or if they consolidate to larger, full-service providers or outsource services that have historically been performed in-house.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(Lenders One is a residential mortgage cooperative managed by Altisource),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1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Related Mortgage Market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Serious delinquency rates, foreclosure initiations and foreclosure sales are low relative to historical levels. Additionally, foreclosure initiations and sales as a percentage of seriously delinquent loans for 2020 through 2024 are significantly lower than prior years. During 2020 and 2021, these percentages were significantly impacted by COVID-19 borrower relief measures, including foreclosure moratoriums and forbearance programs. These measures largely expired at the end of 2021. Beginning in 2022, we believe these percentages were impacted by servicer practices, home price appreciation, the interest rate environment, housing supply, the general state of the economy, and other factors. In 2021 and 2022, a low interest environment drove a high volume of refinance transactions and home prices appreciated significantly. Although interest rates began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increase in 2022, home prices remained high. With greater home equity from home price appreciation, we believe troubled borrowers have more options to avoid foreclosure.</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is likely to grow. We estimate that in today’s environment it typically takes on average two years to convert foreclosure initiations to foreclosure sales and six months to market and sell the REO. The foreclosure timelines could vary significantly based upon, for example, the state where the property is located, whether the foreclosure is contested, amount of borrower equity in the home and available borrower relief programs. The REO sale timelines could also vary significantly based upon, for example, mortgage interest rates, the local real estate market, whether the home is located in a redemption state and whether the home is occupied post foreclosure.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2024 and the six months ended June 30, 2025, to address the close to historically low delinquency rates, we worked to (1) reduce our cost structure, (2) maintain the infrastructure to deliver default related services for our customer base and support the anticipated increase in demand should delinquency rates, foreclosure initiations and/or foreclosure sales rise, (3) launch a residential renovation business to renovate single family homes and launch a commercial real estate auction business on Hubzu, our online auction platform, and (4) launch new solutions and increase customer adoption of our existing solutions to accelerate the growth of our Origination segment.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May 16, 2023, our shareholders approved the renewal and amendment of the share repurchase program previously approved by the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for a period of five years from the date of approval. As of June 30, 2025, approximately 0.4 million shares of common stock remain available for repurchase under the program. There were no purchases of shares of common stock during the six months ended June 30, 2025 and 2024. Under the new first lien loan facility (the “New Facility”) and the super senior credit facility (the “Super Senior Facility”), we are not permitted to repurchase shares except for limited circumstances.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and six months ended June 30, 2025, Onity was our largest customer, accounting for 43% and 44% of our total revenue, respectively. Additionally, 5% of our revenue for the six months ended June 30, 2025 (4% of our revenue for the second quarter of 2025) was earned on the loan portfolios serviced by Onity, when a party other than Onity or the mortgage servicing rights (“MSRs”) owner selected Altisource as the service provider.</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Onity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1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March 31, 2025, Onity reported that approximately 11% of loans serviced and subserviced by Onity (measured in UPB) and approximately 58% of all delinquent loans that Onity services were related to Rithm MSRs or rights to MSRs.</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22% higher for the five months ended May 31, 2025 compared to the same period in 2024 (and 22%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3% higher for the five months ended May 31, 2025 compared to the same period in 2024 (and 51%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increased by 14% for the six months ended June 30, 2025 compared to the same period in 2024, comprised of a 2% decline in purchase origination and a 58% increase in refinancing origination</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Altisource Portfolio Solutions S.A. and Altisource S.à r.l. (the “Borrower”) entered into agreements with 100% of the lenders under the SSTL (the “Lenders”). Under these agreements, the Lenders exchanged the senior secured term loans (“SSTL”) with an outstanding balance of $232.8 million for a $160.0 million New Facility and 7.3 million shares of common stock (the “Debt Exchange Shares”) (collectively, the “Debt Exchange Transaction”). The New Facility is comprised of a $110.0 million interest-bearing loan (the “New Debt”) and a $50.0 million non-interest-bearing exit fee. In connection with the Debt Exchange Transaction, the Company expensed $3.5 million relating to fees paid to advisors and others</w:t>
      </w:r>
    </w:p>
    <w:p>
      <w:pPr>
        <w:spacing w:after="0" w:line="2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on the Company’s SSTL was 8.24% for the six months ended June 30, 2025 compared to 14.20% for the same period in 2024</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benefit (provision) of $15.7 million and $(1.4) million for the six months ended June 30, 2025 and 2024, respectively ($16.5 million and $(0.7) million for the second quarter of 2025 and 2024, respectively). The income tax benefit (provision) for the three and six months ended June 30, 2025 was driven primarily by the reversal of liabilities for uncertain tax positions, income tax expense on transfer pricing income from India and the United States and no tax benefit on the pretax loss from our Luxembourg operating company. For further information, see Note 19.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81"/>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01"/>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3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31,952</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64,817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58,106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8,835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16,865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15,648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26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40,787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36,863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81,682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73,754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43,288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86,727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78,590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30,261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26,404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60,375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53,569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13,027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26,352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9,796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10,634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19,876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23,486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center"/>
              <w:ind w:left="561"/>
              <w:spacing w:after="0"/>
              <w:rPr>
                <w:sz w:val="20"/>
                <w:szCs w:val="20"/>
                <w:color w:val="auto"/>
              </w:rPr>
            </w:pPr>
            <w:r>
              <w:rPr>
                <w:rFonts w:ascii="Times New Roman" w:cs="Times New Roman" w:eastAsia="Times New Roman" w:hAnsi="Times New Roman"/>
                <w:sz w:val="16"/>
                <w:szCs w:val="16"/>
                <w:color w:val="auto"/>
                <w:w w:val="97"/>
              </w:rPr>
              <w:t>(15)</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6,476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61"/>
              <w:spacing w:after="0"/>
              <w:rPr>
                <w:sz w:val="20"/>
                <w:szCs w:val="20"/>
                <w:color w:val="auto"/>
              </w:rPr>
            </w:pPr>
            <w:r>
              <w:rPr>
                <w:rFonts w:ascii="Times New Roman" w:cs="Times New Roman" w:eastAsia="Times New Roman" w:hAnsi="Times New Roman"/>
                <w:sz w:val="16"/>
                <w:szCs w:val="16"/>
                <w:color w:val="auto"/>
                <w:w w:val="97"/>
              </w:rPr>
              <w:t>(61)</w:t>
            </w: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26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ind w:left="521"/>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61"/>
              <w:spacing w:after="0"/>
              <w:rPr>
                <w:sz w:val="20"/>
                <w:szCs w:val="20"/>
                <w:color w:val="auto"/>
              </w:rPr>
            </w:pPr>
            <w:r>
              <w:rPr>
                <w:rFonts w:ascii="Times New Roman" w:cs="Times New Roman" w:eastAsia="Times New Roman" w:hAnsi="Times New Roman"/>
                <w:sz w:val="16"/>
                <w:szCs w:val="16"/>
                <w:color w:val="auto"/>
                <w:w w:val="97"/>
              </w:rPr>
              <w:t>(90)</w:t>
            </w:r>
          </w:p>
        </w:tc>
        <w:tc>
          <w:tcPr>
            <w:tcW w:w="0" w:type="dxa"/>
            <w:vAlign w:val="bottom"/>
          </w:tcPr>
          <w:p>
            <w:pPr>
              <w:spacing w:after="0"/>
              <w:rPr>
                <w:sz w:val="1"/>
                <w:szCs w:val="1"/>
                <w:color w:val="auto"/>
              </w:rPr>
            </w:pPr>
          </w:p>
        </w:tc>
      </w:tr>
      <w:tr>
        <w:trPr>
          <w:trHeight w:val="203"/>
        </w:trPr>
        <w:tc>
          <w:tcPr>
            <w:tcW w:w="39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tcPr>
          <w:p>
            <w:pPr>
              <w:spacing w:after="0"/>
              <w:rPr>
                <w:sz w:val="17"/>
                <w:szCs w:val="17"/>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(9,649)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(10,818)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(17,536)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561"/>
              <w:spacing w:after="0"/>
              <w:rPr>
                <w:sz w:val="20"/>
                <w:szCs w:val="20"/>
                <w:color w:val="auto"/>
              </w:rPr>
            </w:pPr>
            <w:r>
              <w:rPr>
                <w:rFonts w:ascii="Times New Roman" w:cs="Times New Roman" w:eastAsia="Times New Roman" w:hAnsi="Times New Roman"/>
                <w:sz w:val="16"/>
                <w:szCs w:val="16"/>
                <w:color w:val="auto"/>
                <w:w w:val="97"/>
              </w:rPr>
              <w:t>(38)</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6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6"/>
                <w:szCs w:val="16"/>
                <w:color w:val="auto"/>
              </w:rPr>
              <w:t>Income (loss) before income taxes and non-controlling</w:t>
            </w:r>
          </w:p>
        </w:tc>
        <w:tc>
          <w:tcPr>
            <w:tcW w:w="260" w:type="dxa"/>
            <w:vAlign w:val="bottom"/>
          </w:tcPr>
          <w:p>
            <w:pPr>
              <w:spacing w:after="0"/>
              <w:rPr>
                <w:sz w:val="13"/>
                <w:szCs w:val="13"/>
                <w:color w:val="auto"/>
              </w:rPr>
            </w:pPr>
          </w:p>
        </w:tc>
        <w:tc>
          <w:tcPr>
            <w:tcW w:w="8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(7,566)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(4,342)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(16,001)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16,471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15,729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(17,429)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center"/>
              <w:ind w:left="561"/>
              <w:spacing w:after="0"/>
              <w:rPr>
                <w:sz w:val="20"/>
                <w:szCs w:val="20"/>
                <w:color w:val="auto"/>
              </w:rPr>
            </w:pPr>
            <w:r>
              <w:rPr>
                <w:rFonts w:ascii="Times New Roman" w:cs="Times New Roman" w:eastAsia="Times New Roman" w:hAnsi="Times New Roman"/>
                <w:sz w:val="16"/>
                <w:szCs w:val="16"/>
                <w:color w:val="auto"/>
                <w:w w:val="97"/>
              </w:rPr>
              <w:t>(96)</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Altisource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16,582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11,238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(17,505)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from operations / service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10,966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11,206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9,439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recognized service revenue of $81.7 million for the six months ended June 30, 2025, an 11% increase compared to the six months ended June 30, 2024 ($40.8 million for the second quarter of 2025, an 11% increase compared to the second quarter of 2024). The increase in service revenue for the three and six months ended June 30, 2025 was primarily driven by higher revenue in both segments. Revenue was higher in the Servicer and Real Estate segment from growth in our Property Renovation Services and Foreclosure Trustee businesses in the Solutions business, partially offset by fewer home sales in the Marketplace business. Revenue was higher in the Origination segment from growth in reseller products in the Lenders One business and higher volumes in the loan fulfillment services business within the Solutions business.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recognized reimbursable expenses revenue of $4.9 million for the six months ended June 30, 2025, a 3% increase compared to the six months ended June 30, 2024 ($2.4 million for the second quarter of 2025, a 9% increase compared to the second quarter of 2024). The increase in reimbursable expenses for the three and six months ended June 30, 2025 was primarily driven by growth in the Foreclosure Trustee business in the Solutions business within the Servicer and Real Estate segment and certain Title orders within the Origination segment. The increase in reimbursable expenses for the six months ended June 30, 2025 was partially offset by lower REO title related expenses in the Servicer and Real Estate Solutions business and fewer asset resolution and asset management activities in the Marketplace business.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current default market, home price appreciation and higher mortgage interest rates, the seasonal impact to revenue may not follow historical patterns.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3"/>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17,475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14,321</w:t>
            </w:r>
          </w:p>
        </w:tc>
        <w:tc>
          <w:tcPr>
            <w:tcW w:w="1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7,343</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22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30,261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26,404</w:t>
            </w:r>
          </w:p>
        </w:tc>
        <w:tc>
          <w:tcPr>
            <w:tcW w:w="122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recognized cost of revenue of $60.4 million for the six months ended June 30, 2025, a 13% increase compared to the six months ended June 30, 2024 ($30.3 million for the second quarter of 2025, a 15% increase compared to the second quarter of 2024). Outside fees and services for the three and six months ended June 30, 2025 increased primarily from service revenue growth in the Property Renovations Services and Foreclosure Trustee businesses and higher preservation services in the Field Services business within the Servicer and Real Estate segment and service revenue growth in the Lenders One business in the Origination segment. Technology and telecommunications for the three and six months ended June 30, 2025 increased primarily from a benefit recognized in 2024. Compensation and benefits for the six months ended June 30, 2025 increased primarily due to higher share-based compensation. Depreciation and amortization was lower for the three and six months ended June 30, 2025 from the completion of the depreciation periods of certain premises and equipment with only modest additions. In addition, changes in reimbursable expenses for the three and six months ended June 30, 2024 are consistent with the changes in reimbursable expenses revenue discussed in the revenue section above.</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Gross profit increased to $26.4 million, representing 32% of service revenue, for the six months ended June 30, 2025 compared to $25.0 million, representing 34% of service revenue, for the six months ended June 30, 2024 (increased to $13.0 million, representing 32% of service revenue, for the second quarter of 2025, compared to $12.7 million, representing 34% of service revenue, for the second quarter of 2024). Gross profit as a percentage of service revenue for the three and six months ended June 30, 2025 decreased compared to the three and six months ended June 30, 2024 primarily from a change in revenue mix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from growth in the lower margin Property Renovations Services and Lenders One businesses, partially offset by growth in the higher margin Foreclosure Trustee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10,634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SG&amp;A expenses for the six months ended June 30, 2025 of $19.9 million decreased by 15% compared to the six months ended June 30, 2024 ($9.8 million for the second quarter of 2025, an 8% decrease compared to the second quarter of 2024). The decrease in SG&amp;A for the six months ended June 30, 2025 was primarily driven by lower professional services, other SG&amp;A expenses and compensation and benefits. Professional services for the six months ended June 30, 2025 decreased primarily due to lower costs related to legacy indemnification accruals. Other SG&amp;A expenses for the six months ended June 30, 2025 decreased primarily due to lower bad debt expense. Compensation and benefits for the six months ended June 30, 2025 decreased from lower share-based compensation. The decrease in SG&amp;A for the three months ended June 30, 2025 was driven by lower professional services, partially offset by higher Compensation and benefits. Professional services for the three months ended June 30, 2025, decreased primarily from lower costs related to legacy indemnification accruals. Compensation and benefits for the three months ended June 30, 2025 increased primarily due to higher annual incentive compensation accruals.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from operations for the six months ended June 30, 2025 was $6.5 million, representing 8% of service revenue, compared to $1.5 million, representing 2% of service revenue, for the six months ended June 30, 2024 (increased to $3.2 million, representing 8% of service revenue, for the second quarter of 2025, compared to $2.1 million representing 6% of service revenue for the second quarter of 2024). Income from operations as a percentage of service revenue improved for the three and six months ended June 30, 2025 compared to the three and six months ended June 30, 2024, primarily as a result of lower SG&amp;A expenses as a percentage of service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was $(10.8) million for the six months ended June 30, 2025 compared to $(17.5) million for the six months ended June 30, 2024 ($(3.0) million for the second quarter of 2025 and $(9.6) million for the second quarter of 2024). The change for the three and six months ended June 30, 2025 was primarily driven by lower interest expense, partially offset by higher debt exchange transaction expenses. The lower interest expense was driven by the decrease in outstanding debt and a lower interest rate from the February 19, 2025 Debt Exchange Transaction.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an income tax benefit (provision) of $15.7 million and $(1.4) million for the six months ended June 30, 2025 and 2024, respectively ($16.5 million and $(0.7) million for the second quarter of 2025 and 2024, respectively). The income tax benefit (provision) for the six months ended June 30, 2025 was driven primarily by the reversal of liabilities for uncertain tax positions, income tax expense on transfer pricing income from India and the United States and no tax benefit on the pretax loss from our Luxembourg operating company. For further information, see Note 19.</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Servicer and Real</w:t>
            </w:r>
          </w:p>
        </w:tc>
        <w:tc>
          <w:tcPr>
            <w:tcW w:w="24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31,952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8,835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40,787</w:t>
            </w: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2,425</w:t>
            </w:r>
          </w:p>
        </w:tc>
        <w:tc>
          <w:tcPr>
            <w:tcW w:w="0" w:type="dxa"/>
            <w:vAlign w:val="bottom"/>
          </w:tcPr>
          <w:p>
            <w:pPr>
              <w:spacing w:after="0"/>
              <w:rPr>
                <w:sz w:val="1"/>
                <w:szCs w:val="1"/>
                <w:color w:val="auto"/>
              </w:rPr>
            </w:pPr>
          </w:p>
        </w:tc>
      </w:tr>
      <w:tr>
        <w:trPr>
          <w:trHeight w:val="210"/>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5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34,198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9,090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43,288</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21,886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30,261</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13,027</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9,796</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21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194"/>
        </w:trPr>
        <w:tc>
          <w:tcPr>
            <w:tcW w:w="5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11,271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8"/>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3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0"/>
                <w:szCs w:val="10"/>
                <w:color w:val="auto"/>
              </w:rPr>
            </w:pPr>
          </w:p>
        </w:tc>
        <w:tc>
          <w:tcPr>
            <w:tcW w:w="13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Servicer and Real</w:t>
            </w:r>
          </w:p>
        </w:tc>
        <w:tc>
          <w:tcPr>
            <w:tcW w:w="240" w:type="dxa"/>
            <w:vAlign w:val="bottom"/>
          </w:tcPr>
          <w:p>
            <w:pPr>
              <w:spacing w:after="0"/>
              <w:rPr>
                <w:sz w:val="10"/>
                <w:szCs w:val="10"/>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29,025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36,863</w:t>
            </w: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2,223</w:t>
            </w:r>
          </w:p>
        </w:tc>
        <w:tc>
          <w:tcPr>
            <w:tcW w:w="0" w:type="dxa"/>
            <w:vAlign w:val="bottom"/>
          </w:tcPr>
          <w:p>
            <w:pPr>
              <w:spacing w:after="0"/>
              <w:rPr>
                <w:sz w:val="1"/>
                <w:szCs w:val="1"/>
                <w:color w:val="auto"/>
              </w:rPr>
            </w:pPr>
          </w:p>
        </w:tc>
      </w:tr>
      <w:tr>
        <w:trPr>
          <w:trHeight w:val="210"/>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5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31,124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39,121</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18,716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26,404</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12,717</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10,634</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1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(9,649)</w:t>
            </w:r>
          </w:p>
        </w:tc>
        <w:tc>
          <w:tcPr>
            <w:tcW w:w="0" w:type="dxa"/>
            <w:vAlign w:val="bottom"/>
          </w:tcPr>
          <w:p>
            <w:pPr>
              <w:spacing w:after="0"/>
              <w:rPr>
                <w:sz w:val="1"/>
                <w:szCs w:val="1"/>
                <w:color w:val="auto"/>
              </w:rPr>
            </w:pPr>
          </w:p>
        </w:tc>
      </w:tr>
      <w:tr>
        <w:trPr>
          <w:trHeight w:val="194"/>
        </w:trPr>
        <w:tc>
          <w:tcPr>
            <w:tcW w:w="5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10,012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(7,566)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8"/>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4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64,817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16,865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81,682</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69,355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17,372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86,727</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43,747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13,469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60,375</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25,608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26,352</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3,363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13,090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19,876</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22,245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6,476</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(10,818)</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22,200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(4,342)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40" w:type="dxa"/>
            <w:vAlign w:val="bottom"/>
          </w:tcPr>
          <w:p>
            <w:pPr>
              <w:spacing w:after="0"/>
              <w:rPr>
                <w:sz w:val="10"/>
                <w:szCs w:val="10"/>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58,106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15,648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73,754</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4,760</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62,626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15,964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78,590</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37,848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12,489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53,569</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3,475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25,021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23,486</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(17,536)</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19,284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(16,001)</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47,114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2,494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64,817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31,124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69,355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recognized service revenue of $64.8 million for the six months ended June 30, 2025, a 12% increase compared to the six months ended June 30, 2024 ($32.0 million for the second quarter of 2025, a 10% increase compared to the second quarter of 2024). We also recognized reimbursable expenses revenue of $4.5 million for the six months ended June 30, 2025, a less than 1% increase compared to the six months ended June 30, 2024 ($2.2 million for the second quarter of 2025, a 7% increase compared to the second quarter of 2024). The increase in service revenue for the three and six months ended June 30, 2025 was driven by growth in our Property Renovation Services and Foreclosure Trustee businesses in the Solutions business, partially offset by fewer home sales in the Marketplace business. The relatively flat reimbursable expenses revenue for the six months ended June 30, 2025 was driven by growth in the Foreclosure Trustee business in the Solutions business largely offset by fewer asset resolution and asset management activities in the Marketplace business. The increase in reimbursable expenses for the three months ended June 30, 2025 was primarily driven by growth in the Foreclosure Trustee business in the Solutions business and higher asset resolution and asset management activities in the Marketplace business.</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current default market, home price appreciation and higher mortgage interest rates, the seasonal impact to revenue may not follow historical patterns.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3"/>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21,886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18,716</w:t>
            </w:r>
          </w:p>
        </w:tc>
        <w:tc>
          <w:tcPr>
            <w:tcW w:w="122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six months ended June 30, 2025 of $43.7 million increased by 16% compared to the six months ended June 30, 2024 ($21.9 million for the second quarter of 2025, a 17% increase compared to the second quarter of 2024). The increase in cost of revenue for the three and six months ended June 30, 2025 is primarily driven by higher outside fees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services, technology and telecommunications and compensation and benefits. Outside fees and services for the three and six months ended June 30, 2025 increased from higher revenue in the Property Renovation Services and Foreclosure Trustee businesses and higher preservation services in the Field Services business in the Solutions business. Technology and telecommunications for the three and six months ended June 30, 2025 increased from higher cloud services costs from higher volumes and, for the six months ended June 30, 2025, from a benefit recognized in the first quarter of 2024. Compensation and benefits for the three and six months ended June 30, 2025 increased primarily due to higher annual incentive compensation accruals.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Gross profit increased to $25.6 million, representing 40% of service revenue, for the six months ended June 30, 2025 compared to $24.8 million, representing 43% of service revenue, for the six months ended June 30, 2024 (decreased to $12.3 million, representing 39% of service revenue, for the second quarter of 2025, compared to $12.4 million, representing 43% of service revenue, for the second quarter of 2024). Gross profit as a percentage of service revenue for the three and six months ended June 30, 2025 decreased primarily due to a change in revenue mix from greater growth in the lower margin Property Renovations Services business than in the higher margin Foreclosure Trustee business. Our margins can vary substantially depending upon the service revenue mix.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for the six months ended June 30, 2025 of $3.4 million decreased by 39% compared to the six months ended June 30, 2024 ($1.0 million for the second quarter of 2025, a 57% decrease compared to the second quarter of 2024). The decrease in SG&amp;A for the three and six months ended June 30, 2025 is primarily due to lower professional services. Professional services for the three and six months ended June 30, 2025 decreased primarily due to a settlement received related to a legacy matter.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from operations increased to $22.2 million, representing 34% of service revenue, for the six months ended June 30, 2025 compared to $19.3 million, representing 33% of service revenue, for the six months ended June 30, 2024 (increased to $11.3 million, representing 35% of service revenue, for the second quarter of 2025, compared to $10.0 million, representing 34% of service revenue for the second quarter of 2024). The increase in operating income as a percentage of service revenue for the three and six months ended June 30, 2025 is primarily the result of lower SG&amp;A expenses, partially offset by lower gross profit margins.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13,227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7,997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recognized service revenue of $16.9 million for the six months ended June 30, 2025, an 8% increase compared to the six months ended June 30, 2024 ($8.8 million for the second quarter of 2025, a 13% increase compared to the second quarter of 2024). We also recognized reimbursable expenses revenue of $0.4 million for the six months ended June 30, 2025, a 49% increase compared to the six months ended June 30, 2024 ($0.2 million for the second quarter of 2025, a 44% increase compared to the second quarter of 2024). The increase in service revenue in the Origination segment for the three and six months ended June 30, 2025 is primarily driven by growth in reseller products in the Lenders One business and higher volumes in the loan fulfillment services business within the Solutions business. The increase in reimbursable expenses for the three and six months ended June 30, 2025 was primarily driven by certain Title orders within the Solutions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23"/>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5,032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10,607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6,356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six months ended June 30, 2025 of $13.5 million increased by 8% compared to the six months ended June 30, 2024 ($6.8 million for the second quarter of 2025, a 7% increase compared to the second quarter of 2024). The increase in cost of revenue for the three and six months ended June 30, 2025 was primarily driven by higher outside fees and services from a growth in the reseller products in the Lenders One business.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to $3.9 million, representing 23% of service revenue, for the six months ended June 30, 2025 compared to $3.5 million, representing 22% of service revenue, for the six months ended June 30, 2024 (increased to $2.3 million, representing 26% of service revenue, for the second quarter of 2025, compared to $1.6 million, representing 21% of service revenue for the second quarter of 2024). Gross profit as a percentage of service revenue for the three and six months ended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2025 increased from margin expansion in the Lenders One and loan fulfillment services businesses primarily due to scale benefits of revenue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2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2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for the six months ended June 30, 2025 of $3.4 million decreased by 8% compared to the six months ended June 30, 2024 ($1.8 million for the second quarter of 2025, a 1% increase compared to the second quarter of 2024). The decrease in SG&amp;A for the six months ended June 30, 2025 is primarily due to lower other expenses from lower bad debt expense, partially offset by higher professional services from higher legal-related costs. SG&amp;A for the three months ended June 30, 2025 was relatively flat compared to the three months ended June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(loss) from operations was $0.5 million, representing 3% of service revenue, for the six months ended June 30, 2025 compared to $(0.2) million, representing (1)% of service revenue, for the six months ended June 30, 2024 (increased to $0.6 million, representing 6% of service revenue for the second quarter of 2025, compared to $(0.1) million, representing (1)% of service revenue for the second quarter of 2024). The improvement in operating income as a percentage of service revenue for the three and six months ended June 30, 2025 is primarily from higher gross profit margins and, for the six months ended June 30, 2025, lower SG&amp;A expenses on higher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23"/>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2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Cost of revenue for the six months ended June 30, 2025 of $3.2 million decreased by 2% compared to the six months ended</w:t>
            </w: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June 30, 2024 ($1.6 million for</w:t>
            </w:r>
          </w:p>
        </w:tc>
        <w:tc>
          <w:tcPr>
            <w:tcW w:w="0" w:type="dxa"/>
            <w:vAlign w:val="bottom"/>
          </w:tcPr>
          <w:p>
            <w:pPr>
              <w:spacing w:after="0"/>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8"/>
          <w:szCs w:val="18"/>
          <w:color w:val="auto"/>
        </w:rPr>
        <w:t>the second quarter of 2025, a 20% increase compared to the second quarter of 2024). The decrease in cost of revenue for the six months ended June 30, 2025 is primarily driven by lower depreciation and amortization from the completion of the depreciation periods for certain premises and equipment. The increase in cost of revenue for the three months ended June 30, 2025 is primarily driven by a benefit recognized in 2024, partially offset by lower licensing costs for certain third party technology.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SG&amp;A in Corporate and Others includes costs related to the corporate functions including executive, finance, technology, law, compliance, human resources, vendor management, facilities, risk management and eliminations between reportable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811</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13,090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for the six months ended June 30, 2025 of $13.1 million decreased by 8% compared to the six months ended June 30, 2024 ($7.0 million for the second quarter of 2025, an 8% increase compared to the second quarter of 2024). The decrease in SG&amp;A for the six months ended June 30, 2025 is primarily driven by lower professional services from lower accruals for estimated legal matters and lower compensation and benefits driven by lower share-based compensation. The increase for the three months ended June 30, 2025 is primarily driven by the grant of RSUs to executive officers, which were awarded in connection with the debt refinancing.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was $(10.8) million for the six months ended June 30, 2025 compared to $(17.5) million for the six months ended June 30, 2024 ($(3.0) million for the second quarter of 2025 and $(9.6) million for the second quarter of 2024). The change for the three and six months ended June 30, 2025 was primarily driven by lower interest expense, partially offset by higher debt exchange transaction expenses. The lower interest expense was driven by the decrease in outstanding debt and a lower interest rate from the February 19, 2025 Debt Exchange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primarily due to lower delinquency and foreclosure rates, and higher home equity, revenue has declined significantly compared to pre-pandemic levels (although revenue grew in 2024 compared to 2023 and for the first six months of 2025 compared to the first six months of 2024). The lower revenue, partially offset by efficiency initiatives and cost savings initiatives, has resulted in negative operating cash flow from operations. We believe lower interest expense as a result of the February 2025 Debt Exchange Transaction, more recent revenue growth from the renovation business launched in 2024, the anticipated improvement in the default market, on-boarding sales wins, and revenue mix together with our reduced cost structure, should help improve operating cash flow.</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if necessary. We also use cash for repayments of our long-term debt and capital investments. In addition, from time to time we may consider and evaluate business acquisitions, dispositions, closures, sales of equity securities or other similar actions that are aligned with our strategy.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Renovation business, on June 3, 2024 Altisource Solutions, Inc., an indirect subsidiary of Altisource Portfolio Solutions S.A, entered into a revolving loan agreement with a then related-party, Altisource Asset Management Corporation (“AAMC”) (the “Revolving Loan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maturity date of the Revolving Loan Agreement was June 3, 2025 and can be automatically extended for one year on each anniversary of the maturity date. During any extension period, AAMC may terminate the Revolving Loan Agreement upon 150 days prior written notice and the loan will mature upon such termination. During the second quarter of 2025 the Revolving Loan Agreement was renewed, extending the maturity date to June 3, 2026. The outstanding balance on the Revolving Loan Agreement is due and payable on such maturity date.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there was $1.0 million outstanding debt under the Revolving Loan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six months ended June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income (loss). For the six months ended June 30, 2025, net cash used in operating activities was $(5.3) million compared to net cash used in operating activities of $(2.1) million for the six months ended June 30, 2024. The increase in cash used in operating activities was driven by a $5.1 million higher use of cash for accounts receivable, prepaid expenses and other current assets and accounts payable and accrued expenses, $7.9 million lower non-cash interest expense and $1.3 million lower non-cash share based compensation, partially offset by $11.7 million higher income (loss) before income taxes and non-controlling interests.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 cash provided by (used in) financing activities was $5.5 million and $(0.8) million for the six months ended June 30, 2025 and 2024, respectively. During the six months ended June 30, 2025, we received $11.3 million in proceeds from the Super Senior Credit Facility, net of the original issuance discount. We used $(1.7) million for debt issuance costs and $(3.4) million related to the issuance of equity, in connection to the Debt Exchange Transaction. During the six months ended June 30, 2025, we used $0.3 million to make scheduled repayments of our senior secured term loan (no comparative amount for the six months ended June 30, 2024). During the six months ended June 30, 2025 and 2024, we made payments of $0.3 million and $0.6 million, respectively, to satisfy employee tax withholding obligations on the issuance of restricted share units (“RSUs”)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restricted shares. These payments were made to tax authorities, at the employees’ direction, to satisfy the employees’ tax obligations rather than issuing a portion of vested restricted share units and restricted shares to employees. In addition, during both the six months ended June 30, 2025 and 2024, we distributed less than $0.1 million to non-controlling interests.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amortization of the New Facility, amortization and maturity of the Super Senior Facility, interest expense under the New Facility and the Super Senior Facility, and operating lease payments on certain of our premises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0" w:type="dxa"/>
            <w:vAlign w:val="bottom"/>
          </w:tcPr>
          <w:p>
            <w:pPr>
              <w:spacing w:after="0"/>
              <w:rPr>
                <w:sz w:val="1"/>
                <w:szCs w:val="1"/>
                <w:color w:val="auto"/>
              </w:rPr>
            </w:pPr>
          </w:p>
        </w:tc>
      </w:tr>
      <w:tr>
        <w:trPr>
          <w:trHeight w:val="194"/>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New Facility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Super Senior Facility </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Revolving Loan Agreement </w:t>
            </w:r>
            <w:r>
              <w:rPr>
                <w:rFonts w:ascii="Times New Roman" w:cs="Times New Roman" w:eastAsia="Times New Roman" w:hAnsi="Times New Roman"/>
                <w:sz w:val="20"/>
                <w:szCs w:val="20"/>
                <w:color w:val="auto"/>
                <w:vertAlign w:val="superscript"/>
              </w:rPr>
              <w:t>(3)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0"/>
                <w:szCs w:val="20"/>
                <w:color w:val="auto"/>
                <w:vertAlign w:val="superscript"/>
              </w:rPr>
              <w:t>(4)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25,159</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$158.3 million of the New Facility matures on April 30, 2030 and $1.4 million of the New Facility matures on January 15, 2029.</w:t>
      </w:r>
    </w:p>
    <w:p>
      <w:pPr>
        <w:ind w:left="320" w:hanging="314"/>
        <w:spacing w:after="0" w:line="191"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Super Senior Facility matures on February 19, 2029.</w:t>
      </w:r>
    </w:p>
    <w:p>
      <w:pPr>
        <w:spacing w:after="0" w:line="1" w:lineRule="exact"/>
        <w:rPr>
          <w:rFonts w:ascii="Times New Roman" w:cs="Times New Roman" w:eastAsia="Times New Roman" w:hAnsi="Times New Roman"/>
          <w:sz w:val="23"/>
          <w:szCs w:val="23"/>
          <w:color w:val="auto"/>
          <w:vertAlign w:val="superscript"/>
        </w:rPr>
      </w:pPr>
    </w:p>
    <w:p>
      <w:pPr>
        <w:ind w:left="240" w:hanging="234"/>
        <w:spacing w:after="0" w:line="215" w:lineRule="auto"/>
        <w:tabs>
          <w:tab w:leader="none" w:pos="413"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Revolving Loan Agreement as of June 30, 2025 is $1.0 million and is currently due on June 3, 2026, and can be automatically extended for one year on each anniversary of the maturity date.</w:t>
      </w:r>
    </w:p>
    <w:p>
      <w:pPr>
        <w:spacing w:after="0" w:line="1" w:lineRule="exact"/>
        <w:rPr>
          <w:rFonts w:ascii="Times New Roman" w:cs="Times New Roman" w:eastAsia="Times New Roman" w:hAnsi="Times New Roman"/>
          <w:sz w:val="23"/>
          <w:szCs w:val="23"/>
          <w:color w:val="auto"/>
          <w:vertAlign w:val="superscript"/>
        </w:rPr>
      </w:pPr>
    </w:p>
    <w:p>
      <w:pPr>
        <w:ind w:left="240" w:hanging="234"/>
        <w:spacing w:after="0" w:line="215" w:lineRule="auto"/>
        <w:tabs>
          <w:tab w:leader="none" w:pos="404"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for the New Facility and the Super Senior Facility based on the three-month Secured Overnight Financing Rate (“SOFR”) interest rate as of June 30,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funding future liquidity requirements with a combination of existing cash balances and cash anticipated to be generated by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10 and Note 21 to the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$41.2 million and $24.9 million as of June 30, 2025 and December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2025, there were no significant changes to our contractual obligations from those identified in our Form 10-K for the fiscal year ended December 31, 2024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2024 filed with the SEC on March 31, 2025. There have been no material changes to our critical accounting policies during the six months ended June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New Facility, the interest rate charged on the New Debt is SOFR, with a floor of 3.50%, plus 6.50%. The interest rate charged on the Super Senior Facility is SOFR, with a floor of 3.50%, plus 6.50%. Based on the terms of the New Facility and the Super Senior Facility, a one percentage point increase in SOFR would increase our annual interest expense by approximately $1.2 million, and there would be a $1.2 million decrease in our annual interest expense if there was a one percentage point decrease in SOFR.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second quarter of 2025, a one percentage point increase or decrease in value of the Indian rupee in relation to the United States dollar would increase or decrease our annual expenses by approximately $0.3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As of June 30, 2025,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2025.</w:t>
      </w:r>
    </w:p>
    <w:p>
      <w:pPr>
        <w:spacing w:after="0" w:line="104"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of our Annual Report on Form 10-K for the year ended December 31, 2024 as supplemented or amended with risk factors disclosed in our Quarterly Report on Form 10-Q for the quarter ended March 31, 2025. Capitalized terms used but not defined in this section have the meanings given to them in the 2024 Form 10-K. The risk factors disclosed in our Annual Report, as supplemented, continue to describe risks that could materially affect our business, financial condition, results of operations, and stock price. Additional risks and uncertainties not currently known to us or that we currently deem immaterial may also materially adversely affect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June 30, 2025. On May 16, 2023, our shareholders approved the renewal and amendment of the share repurchase program previously approved by the shareholders on May 15, 2018. Under the program, we are authorized to purchase up to 0.4 million shares of our common stock in the open market, subject to certain parameters, for a period of five years from the date of approval. As of June 30, 2025, the maximum number of shares that may be purchased under the repurchase program is 0.4 million shares of the Company’s common stock. Under the New Facility and the Super Senior Facility, we are not permitted to repurchase shares except for limited circumstances. In addition to the share repurchase program, during the three months ended June 30, 2025, 41,462 common shares were withheld from employees to satisfy tax withholding obligations that arose from the vesting of restricted shares.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20, 2024, the Company issued a total of 29,072 RSUs as equity compensation under the Altisource 2024 Long Term Incentive Plan to the Company’s Chairman and Chief Executive Officer, Chief Financial Officer, and Chief Legal and Compliance Officer as unregistered securities in a private placement exempt from registration pursuant to Rule 4(a)(2) of the Securities Act of 1933, as amended.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6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19"/>
                <w:szCs w:val="19"/>
                <w:color w:val="auto"/>
              </w:rPr>
            </w:pPr>
          </w:p>
        </w:tc>
        <w:tc>
          <w:tcPr>
            <w:tcW w:w="8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92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9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18"/>
                <w:szCs w:val="18"/>
                <w:color w:val="auto"/>
                <w:w w:val="98"/>
              </w:rPr>
              <w:t>period ended June 30, 2025 is formatted in Inline XBRL interactive data files: (i) Condensed Consolidated Balance Sheets as of June 30, 2025</w:t>
            </w:r>
          </w:p>
        </w:tc>
        <w:tc>
          <w:tcPr>
            <w:tcW w:w="0" w:type="dxa"/>
            <w:vAlign w:val="bottom"/>
          </w:tcPr>
          <w:p>
            <w:pPr>
              <w:spacing w:after="0"/>
              <w:rPr>
                <w:sz w:val="1"/>
                <w:szCs w:val="1"/>
                <w:color w:val="auto"/>
              </w:rPr>
            </w:pPr>
          </w:p>
        </w:tc>
      </w:tr>
    </w:tbl>
    <w:p>
      <w:pPr>
        <w:jc w:val="both"/>
        <w:ind w:left="1120" w:right="20"/>
        <w:spacing w:after="0" w:line="211" w:lineRule="auto"/>
        <w:rPr>
          <w:sz w:val="20"/>
          <w:szCs w:val="20"/>
          <w:color w:val="auto"/>
        </w:rPr>
      </w:pPr>
      <w:r>
        <w:rPr>
          <w:rFonts w:ascii="Times New Roman" w:cs="Times New Roman" w:eastAsia="Times New Roman" w:hAnsi="Times New Roman"/>
          <w:sz w:val="17"/>
          <w:szCs w:val="17"/>
          <w:color w:val="auto"/>
        </w:rPr>
        <w:t>and December 31, 2024; (ii) Condensed Consolidated Statements of Operations and Comprehensive Income (Loss) for the three and six months ended June 30, 2025 and 2024; (iii) Condensed Consolidated Statements of Equity for the six months ended June 30, 2025 and 2024;</w:t>
      </w:r>
    </w:p>
    <w:p>
      <w:pPr>
        <w:spacing w:after="0" w:line="1" w:lineRule="exact"/>
        <w:rPr>
          <w:sz w:val="20"/>
          <w:szCs w:val="20"/>
          <w:color w:val="auto"/>
        </w:rPr>
      </w:pPr>
    </w:p>
    <w:p>
      <w:pPr>
        <w:ind w:left="1120" w:right="20" w:hanging="10"/>
        <w:spacing w:after="0" w:line="230" w:lineRule="auto"/>
        <w:tabs>
          <w:tab w:leader="none" w:pos="14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June 30, 2025 and 2024; and (v) Notes to Condensed Consolidated Financial Statements.</w:t>
      </w:r>
    </w:p>
    <w:p>
      <w:pPr>
        <w:spacing w:after="0" w:line="4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4" w:lineRule="exact"/>
        <w:rPr>
          <w:sz w:val="20"/>
          <w:szCs w:val="20"/>
          <w:color w:val="auto"/>
        </w:rPr>
      </w:pPr>
    </w:p>
    <w:p>
      <w:pPr>
        <w:ind w:left="1120" w:hanging="1096"/>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14605</wp:posOffset>
            </wp:positionV>
            <wp:extent cx="27851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ind w:left="6880"/>
        <w:spacing w:after="0" w:line="236" w:lineRule="auto"/>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7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3"/>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5"/>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1"/>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7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3"/>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7"/>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1"/>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7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2025</w:t>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June 30, 2025,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06" w:lineRule="exact"/>
        <w:rPr>
          <w:sz w:val="20"/>
          <w:szCs w:val="20"/>
          <w:color w:val="auto"/>
        </w:rPr>
      </w:pPr>
    </w:p>
    <w:p>
      <w:pPr>
        <w:ind w:left="700" w:hanging="37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3"/>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1"/>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2025</w:t>
            </w:r>
          </w:p>
        </w:tc>
        <w:tc>
          <w:tcPr>
            <w:tcW w:w="1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2025</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5"/>
    </w:lvl>
  </w:abstractNum>
  <w:abstractNum w:abstractNumId="3">
    <w:nsid w:val="7FDCC233"/>
    <w:multiLevelType w:val="hybridMultilevel"/>
    <w:lvl w:ilvl="0">
      <w:lvlJc w:val="left"/>
      <w:lvlText w:val="(%1)"/>
      <w:numFmt w:val="lowerRoman"/>
      <w:start w:val="3"/>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lowerRoman"/>
      <w:start w:val="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2025-07-24T06:08:43Z</dcterms:created>
  <dcterms:modified xsi:type="dcterms:W3CDTF">2025-07-24T06:08:43Z</dcterms:modified>
</cp:coreProperties>
</file>