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779145</wp:posOffset>
            </wp:positionV>
            <wp:extent cx="65963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6380" cy="1714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821055</wp:posOffset>
            </wp:positionV>
            <wp:extent cx="65963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638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109855</wp:posOffset>
            </wp:positionV>
            <wp:extent cx="2002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103505</wp:posOffset>
            </wp:positionV>
            <wp:extent cx="2002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310"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36" w:lineRule="exact"/>
        <w:rPr>
          <w:sz w:val="24"/>
          <w:szCs w:val="24"/>
          <w:color w:val="auto"/>
        </w:rPr>
      </w:pPr>
    </w:p>
    <w:p>
      <w:pPr>
        <w:ind w:left="1020" w:hanging="606"/>
        <w:spacing w:after="0"/>
        <w:tabs>
          <w:tab w:leader="none" w:pos="1020" w:val="left"/>
        </w:tabs>
        <w:numPr>
          <w:ilvl w:val="0"/>
          <w:numId w:val="1"/>
        </w:numPr>
        <w:rPr>
          <w:rFonts w:ascii="MS PGothic" w:cs="MS PGothic" w:eastAsia="MS PGothic" w:hAnsi="MS PGothic"/>
          <w:sz w:val="21"/>
          <w:szCs w:val="2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June 30, 2023</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020" w:hanging="607"/>
        <w:spacing w:after="0"/>
        <w:tabs>
          <w:tab w:leader="none" w:pos="1020" w:val="left"/>
        </w:tabs>
        <w:numPr>
          <w:ilvl w:val="0"/>
          <w:numId w:val="2"/>
        </w:numPr>
        <w:rPr>
          <w:rFonts w:ascii="MS PGothic" w:cs="MS PGothic" w:eastAsia="MS PGothic" w:hAnsi="MS PGothic"/>
          <w:sz w:val="21"/>
          <w:szCs w:val="2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2"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149225</wp:posOffset>
            </wp:positionV>
            <wp:extent cx="2002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112395</wp:posOffset>
            </wp:positionV>
            <wp:extent cx="2002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26"/>
              <w:spacing w:after="0"/>
              <w:rPr>
                <w:sz w:val="20"/>
                <w:szCs w:val="20"/>
                <w:color w:val="auto"/>
              </w:rPr>
            </w:pPr>
            <w:r>
              <w:rPr>
                <w:rFonts w:ascii="Arial" w:cs="Arial" w:eastAsia="Arial" w:hAnsi="Arial"/>
                <w:sz w:val="18"/>
                <w:szCs w:val="18"/>
                <w:b w:val="1"/>
                <w:bCs w:val="1"/>
                <w:color w:val="auto"/>
                <w:w w:val="89"/>
              </w:rPr>
              <w:t>Luxembourg</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80" w:type="dxa"/>
            <w:vAlign w:val="bottom"/>
          </w:tcPr>
          <w:p>
            <w:pPr>
              <w:jc w:val="right"/>
              <w:ind w:right="2325"/>
              <w:spacing w:after="0"/>
              <w:rPr>
                <w:sz w:val="20"/>
                <w:szCs w:val="20"/>
                <w:color w:val="auto"/>
              </w:rPr>
            </w:pPr>
            <w:r>
              <w:rPr>
                <w:rFonts w:ascii="Arial" w:cs="Arial" w:eastAsia="Arial" w:hAnsi="Arial"/>
                <w:sz w:val="18"/>
                <w:szCs w:val="18"/>
                <w:b w:val="1"/>
                <w:bCs w:val="1"/>
                <w:color w:val="auto"/>
              </w:rPr>
              <w:t>98-0554932</w:t>
            </w:r>
          </w:p>
        </w:tc>
      </w:tr>
      <w:tr>
        <w:trPr>
          <w:trHeight w:val="189"/>
        </w:trPr>
        <w:tc>
          <w:tcPr>
            <w:tcW w:w="7260" w:type="dxa"/>
            <w:vAlign w:val="bottom"/>
            <w:gridSpan w:val="6"/>
          </w:tcPr>
          <w:p>
            <w:pPr>
              <w:jc w:val="center"/>
              <w:ind w:right="1640"/>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3980" w:type="dxa"/>
            <w:vAlign w:val="bottom"/>
          </w:tcPr>
          <w:p>
            <w:pPr>
              <w:jc w:val="center"/>
              <w:ind w:right="1605"/>
              <w:spacing w:after="0"/>
              <w:rPr>
                <w:sz w:val="20"/>
                <w:szCs w:val="20"/>
                <w:color w:val="auto"/>
              </w:rPr>
            </w:pPr>
            <w:r>
              <w:rPr>
                <w:rFonts w:ascii="Arial" w:cs="Arial" w:eastAsia="Arial" w:hAnsi="Arial"/>
                <w:sz w:val="14"/>
                <w:szCs w:val="14"/>
                <w:color w:val="auto"/>
                <w:w w:val="95"/>
              </w:rPr>
              <w:t>(I.R.S. Employer Identification No.)</w:t>
            </w:r>
          </w:p>
        </w:tc>
      </w:tr>
      <w:tr>
        <w:trPr>
          <w:trHeight w:val="350"/>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33, Boulevard Prince Henri</w:t>
            </w:r>
          </w:p>
        </w:tc>
        <w:tc>
          <w:tcPr>
            <w:tcW w:w="398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L-1724 Luxembourg</w:t>
            </w:r>
          </w:p>
        </w:tc>
        <w:tc>
          <w:tcPr>
            <w:tcW w:w="3980" w:type="dxa"/>
            <w:vAlign w:val="bottom"/>
          </w:tcPr>
          <w:p>
            <w:pPr>
              <w:spacing w:after="0"/>
              <w:rPr>
                <w:sz w:val="18"/>
                <w:szCs w:val="18"/>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Grand Duchy of Luxembourg</w:t>
            </w:r>
          </w:p>
        </w:tc>
        <w:tc>
          <w:tcPr>
            <w:tcW w:w="3980" w:type="dxa"/>
            <w:vAlign w:val="bottom"/>
          </w:tcPr>
          <w:p>
            <w:pPr>
              <w:spacing w:after="0"/>
              <w:rPr>
                <w:sz w:val="18"/>
                <w:szCs w:val="18"/>
                <w:color w:val="auto"/>
              </w:rPr>
            </w:pPr>
          </w:p>
        </w:tc>
      </w:tr>
      <w:tr>
        <w:trPr>
          <w:trHeight w:val="180"/>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3"/>
          </w:tcPr>
          <w:p>
            <w:pPr>
              <w:jc w:val="center"/>
              <w:ind w:right="500"/>
              <w:spacing w:after="0"/>
              <w:rPr>
                <w:sz w:val="20"/>
                <w:szCs w:val="20"/>
                <w:color w:val="auto"/>
              </w:rPr>
            </w:pPr>
            <w:r>
              <w:rPr>
                <w:rFonts w:ascii="Arial" w:cs="Arial" w:eastAsia="Arial" w:hAnsi="Arial"/>
                <w:sz w:val="14"/>
                <w:szCs w:val="14"/>
                <w:color w:val="auto"/>
                <w:w w:val="93"/>
              </w:rPr>
              <w:t>(Address of principal executive offices)</w:t>
            </w:r>
          </w:p>
        </w:tc>
        <w:tc>
          <w:tcPr>
            <w:tcW w:w="3980" w:type="dxa"/>
            <w:vAlign w:val="bottom"/>
          </w:tcPr>
          <w:p>
            <w:pPr>
              <w:spacing w:after="0"/>
              <w:rPr>
                <w:sz w:val="15"/>
                <w:szCs w:val="15"/>
                <w:color w:val="auto"/>
              </w:rPr>
            </w:pPr>
          </w:p>
        </w:tc>
      </w:tr>
      <w:tr>
        <w:trPr>
          <w:trHeight w:val="310"/>
        </w:trPr>
        <w:tc>
          <w:tcPr>
            <w:tcW w:w="3720" w:type="dxa"/>
            <w:vAlign w:val="bottom"/>
          </w:tcPr>
          <w:p>
            <w:pPr>
              <w:spacing w:after="0"/>
              <w:rPr>
                <w:sz w:val="24"/>
                <w:szCs w:val="24"/>
                <w:color w:val="auto"/>
              </w:rPr>
            </w:pPr>
          </w:p>
        </w:tc>
        <w:tc>
          <w:tcPr>
            <w:tcW w:w="3060" w:type="dxa"/>
            <w:vAlign w:val="bottom"/>
            <w:gridSpan w:val="3"/>
          </w:tcPr>
          <w:p>
            <w:pPr>
              <w:jc w:val="center"/>
              <w:ind w:left="681"/>
              <w:spacing w:after="0"/>
              <w:rPr>
                <w:sz w:val="20"/>
                <w:szCs w:val="20"/>
                <w:color w:val="auto"/>
              </w:rPr>
            </w:pPr>
            <w:r>
              <w:rPr>
                <w:rFonts w:ascii="Arial" w:cs="Arial" w:eastAsia="Arial" w:hAnsi="Arial"/>
                <w:sz w:val="18"/>
                <w:szCs w:val="18"/>
                <w:b w:val="1"/>
                <w:bCs w:val="1"/>
                <w:color w:val="auto"/>
                <w:w w:val="89"/>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0"/>
        </w:trPr>
        <w:tc>
          <w:tcPr>
            <w:tcW w:w="3720" w:type="dxa"/>
            <w:vAlign w:val="bottom"/>
          </w:tcPr>
          <w:p>
            <w:pPr>
              <w:spacing w:after="0"/>
              <w:rPr>
                <w:sz w:val="15"/>
                <w:szCs w:val="15"/>
                <w:color w:val="auto"/>
              </w:rPr>
            </w:pPr>
          </w:p>
        </w:tc>
        <w:tc>
          <w:tcPr>
            <w:tcW w:w="3540" w:type="dxa"/>
            <w:vAlign w:val="bottom"/>
            <w:gridSpan w:val="5"/>
          </w:tcPr>
          <w:p>
            <w:pPr>
              <w:jc w:val="center"/>
              <w:ind w:left="181"/>
              <w:spacing w:after="0"/>
              <w:rPr>
                <w:sz w:val="20"/>
                <w:szCs w:val="20"/>
                <w:color w:val="auto"/>
              </w:rPr>
            </w:pPr>
            <w:r>
              <w:rPr>
                <w:rFonts w:ascii="Arial" w:cs="Arial" w:eastAsia="Arial" w:hAnsi="Arial"/>
                <w:sz w:val="14"/>
                <w:szCs w:val="14"/>
                <w:color w:val="auto"/>
                <w:w w:val="91"/>
              </w:rPr>
              <w:t>(Registrant’s telephone number, including area code)</w:t>
            </w:r>
          </w:p>
        </w:tc>
        <w:tc>
          <w:tcPr>
            <w:tcW w:w="3980" w:type="dxa"/>
            <w:vAlign w:val="bottom"/>
          </w:tcPr>
          <w:p>
            <w:pPr>
              <w:spacing w:after="0"/>
              <w:rPr>
                <w:sz w:val="15"/>
                <w:szCs w:val="15"/>
                <w:color w:val="auto"/>
              </w:rPr>
            </w:pPr>
          </w:p>
        </w:tc>
      </w:tr>
      <w:tr>
        <w:trPr>
          <w:trHeight w:val="225"/>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92"/>
        </w:trPr>
        <w:tc>
          <w:tcPr>
            <w:tcW w:w="3720" w:type="dxa"/>
            <w:vAlign w:val="bottom"/>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Trading Symbol</w:t>
            </w:r>
          </w:p>
        </w:tc>
        <w:tc>
          <w:tcPr>
            <w:tcW w:w="3980" w:type="dxa"/>
            <w:vAlign w:val="bottom"/>
          </w:tcPr>
          <w:p>
            <w:pPr>
              <w:jc w:val="center"/>
              <w:ind w:right="285"/>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173"/>
        </w:trPr>
        <w:tc>
          <w:tcPr>
            <w:tcW w:w="3720" w:type="dxa"/>
            <w:vAlign w:val="bottom"/>
          </w:tcPr>
          <w:p>
            <w:pPr>
              <w:ind w:left="1340"/>
              <w:spacing w:after="0"/>
              <w:rPr>
                <w:sz w:val="20"/>
                <w:szCs w:val="20"/>
                <w:color w:val="auto"/>
              </w:rPr>
            </w:pPr>
            <w:r>
              <w:rPr>
                <w:rFonts w:ascii="Arial" w:cs="Arial" w:eastAsia="Arial" w:hAnsi="Arial"/>
                <w:sz w:val="14"/>
                <w:szCs w:val="14"/>
                <w:color w:val="auto"/>
              </w:rPr>
              <w:t>Common Stock, $1.00 par value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0"/>
              </w:rPr>
              <w:t>ASPS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80" w:type="dxa"/>
            <w:vAlign w:val="bottom"/>
          </w:tcPr>
          <w:p>
            <w:pPr>
              <w:jc w:val="center"/>
              <w:ind w:right="305"/>
              <w:spacing w:after="0"/>
              <w:rPr>
                <w:sz w:val="20"/>
                <w:szCs w:val="20"/>
                <w:color w:val="auto"/>
              </w:rPr>
            </w:pPr>
            <w:r>
              <w:rPr>
                <w:rFonts w:ascii="Arial" w:cs="Arial" w:eastAsia="Arial" w:hAnsi="Arial"/>
                <w:sz w:val="14"/>
                <w:szCs w:val="14"/>
                <w:color w:val="auto"/>
                <w:w w:val="95"/>
              </w:rPr>
              <w:t>NASDAQ Global Select Market</w:t>
            </w:r>
          </w:p>
        </w:tc>
      </w:tr>
    </w:tbl>
    <w:p>
      <w:pPr>
        <w:spacing w:after="0" w:line="80" w:lineRule="exact"/>
        <w:rPr>
          <w:sz w:val="24"/>
          <w:szCs w:val="24"/>
          <w:color w:val="auto"/>
        </w:rPr>
      </w:pPr>
    </w:p>
    <w:p>
      <w:pPr>
        <w:ind w:right="14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66" w:right="339" w:bottom="1440" w:gutter="0" w:footer="0" w:header="0"/>
        </w:sectPr>
      </w:pPr>
    </w:p>
    <w:p>
      <w:pPr>
        <w:spacing w:after="0" w:line="83" w:lineRule="exact"/>
        <w:rPr>
          <w:sz w:val="24"/>
          <w:szCs w:val="24"/>
          <w:color w:val="auto"/>
        </w:rPr>
      </w:pPr>
    </w:p>
    <w:p>
      <w:pPr>
        <w:ind w:left="140"/>
        <w:spacing w:after="0" w:line="418"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61" w:lineRule="exact"/>
        <w:tabs>
          <w:tab w:leader="none" w:pos="130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p>
    <w:p>
      <w:pPr>
        <w:spacing w:after="0" w:line="72"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49"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1" w:lineRule="exact"/>
        <w:rPr>
          <w:sz w:val="24"/>
          <w:szCs w:val="24"/>
          <w:color w:val="auto"/>
        </w:rPr>
      </w:pPr>
    </w:p>
    <w:p>
      <w:pPr>
        <w:sectPr>
          <w:pgSz w:w="11900" w:h="16838" w:orient="portrait"/>
          <w:cols w:equalWidth="0" w:num="4">
            <w:col w:w="1420" w:space="380"/>
            <w:col w:w="5500" w:space="720"/>
            <w:col w:w="1540" w:space="540"/>
            <w:col w:w="1140"/>
          </w:cols>
          <w:pgMar w:left="320" w:top="1366" w:right="339" w:bottom="1440" w:gutter="0" w:footer="0" w:header="0"/>
          <w:type w:val="continuous"/>
        </w:sectPr>
      </w:pPr>
    </w:p>
    <w:p>
      <w:pPr>
        <w:spacing w:after="0" w:line="30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As of July 21, 2023, there were 20,865,944 outstanding shares of the registrant’s common stock (excluding 9,096,804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662305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102870</wp:posOffset>
            </wp:positionV>
            <wp:extent cx="7126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66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136525</wp:posOffset>
            </wp:positionV>
            <wp:extent cx="71266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6605" cy="165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100" w:type="dxa"/>
            <w:vAlign w:val="bottom"/>
            <w:gridSpan w:val="22"/>
            <w:vMerge w:val="restart"/>
          </w:tcPr>
          <w:p>
            <w:pPr>
              <w:spacing w:after="0"/>
              <w:rPr>
                <w:sz w:val="20"/>
                <w:szCs w:val="20"/>
                <w:color w:val="auto"/>
              </w:rPr>
            </w:pPr>
            <w:r>
              <w:rPr>
                <w:rFonts w:ascii="Arial" w:cs="Arial" w:eastAsia="Arial" w:hAnsi="Arial"/>
                <w:sz w:val="18"/>
                <w:szCs w:val="18"/>
                <w:color w:val="0000FF"/>
              </w:rPr>
              <w:t>PART I — Financial Information</w:t>
            </w: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100" w:type="dxa"/>
            <w:vAlign w:val="bottom"/>
            <w:gridSpan w:val="22"/>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980" w:type="dxa"/>
            <w:vAlign w:val="bottom"/>
            <w:gridSpan w:val="17"/>
          </w:tcPr>
          <w:p>
            <w:pPr>
              <w:spacing w:after="0"/>
              <w:rPr>
                <w:sz w:val="20"/>
                <w:szCs w:val="20"/>
                <w:color w:val="auto"/>
              </w:rPr>
            </w:pPr>
            <w:r>
              <w:rPr>
                <w:rFonts w:ascii="Arial" w:cs="Arial" w:eastAsia="Arial" w:hAnsi="Arial"/>
                <w:sz w:val="18"/>
                <w:szCs w:val="18"/>
                <w:color w:val="0000FF"/>
              </w:rPr>
              <w:t>Interim Condensed Consolidated Financial Statements (Unaudited)</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8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5"/>
              </w:rPr>
              <w:t>Condensed Consolidated Balance Sheets</w:t>
            </w:r>
          </w:p>
        </w:tc>
        <w:tc>
          <w:tcPr>
            <w:tcW w:w="1660" w:type="dxa"/>
            <w:vAlign w:val="bottom"/>
            <w:tcBorders>
              <w:top w:val="single" w:sz="8" w:color="0000FF"/>
            </w:tcBorders>
            <w:gridSpan w:val="6"/>
          </w:tcPr>
          <w:p>
            <w:pPr>
              <w:spacing w:after="0"/>
              <w:rPr>
                <w:sz w:val="19"/>
                <w:szCs w:val="19"/>
                <w:color w:val="auto"/>
              </w:rPr>
            </w:pPr>
          </w:p>
        </w:tc>
        <w:tc>
          <w:tcPr>
            <w:tcW w:w="4240" w:type="dxa"/>
            <w:vAlign w:val="bottom"/>
            <w:gridSpan w:val="3"/>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20" w:type="dxa"/>
            <w:vAlign w:val="bottom"/>
            <w:tcBorders>
              <w:bottom w:val="single" w:sz="8" w:color="0000FF"/>
            </w:tcBorders>
            <w:gridSpan w:val="14"/>
          </w:tcPr>
          <w:p>
            <w:pPr>
              <w:spacing w:after="0" w:line="205" w:lineRule="exact"/>
              <w:rPr>
                <w:sz w:val="20"/>
                <w:szCs w:val="20"/>
                <w:color w:val="auto"/>
              </w:rPr>
            </w:pPr>
            <w:r>
              <w:rPr>
                <w:rFonts w:ascii="Arial" w:cs="Arial" w:eastAsia="Arial" w:hAnsi="Arial"/>
                <w:sz w:val="18"/>
                <w:szCs w:val="18"/>
                <w:color w:val="0000FF"/>
                <w:w w:val="87"/>
              </w:rPr>
              <w:t>Condensed Consolidated Statements of Operations and Comprehensive Loss</w:t>
            </w:r>
          </w:p>
        </w:tc>
        <w:tc>
          <w:tcPr>
            <w:tcW w:w="33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89"/>
              </w:rPr>
              <w:t>Condensed Consolidated Statements of Equity (Deficit)</w:t>
            </w:r>
          </w:p>
        </w:tc>
        <w:tc>
          <w:tcPr>
            <w:tcW w:w="484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6"/>
              </w:rPr>
              <w:t>Condensed Consolidated Statements of Cash Flows</w:t>
            </w:r>
          </w:p>
        </w:tc>
        <w:tc>
          <w:tcPr>
            <w:tcW w:w="5140" w:type="dxa"/>
            <w:vAlign w:val="bottom"/>
            <w:gridSpan w:val="8"/>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87"/>
              </w:rPr>
              <w:t>Notes to Condensed Consolidated Financial Statements</w:t>
            </w:r>
          </w:p>
        </w:tc>
        <w:tc>
          <w:tcPr>
            <w:tcW w:w="486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898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89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98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00" w:type="dxa"/>
            <w:vAlign w:val="bottom"/>
            <w:gridSpan w:val="22"/>
          </w:tcPr>
          <w:p>
            <w:pPr>
              <w:spacing w:after="0"/>
              <w:rPr>
                <w:sz w:val="20"/>
                <w:szCs w:val="20"/>
                <w:color w:val="auto"/>
              </w:rPr>
            </w:pPr>
            <w:r>
              <w:rPr>
                <w:rFonts w:ascii="Arial" w:cs="Arial" w:eastAsia="Arial" w:hAnsi="Arial"/>
                <w:sz w:val="18"/>
                <w:szCs w:val="18"/>
                <w:color w:val="0000FF"/>
              </w:rPr>
              <w:t>PART II — Other Information</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98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98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98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Item 6</w:t>
            </w:r>
          </w:p>
        </w:tc>
        <w:tc>
          <w:tcPr>
            <w:tcW w:w="40" w:type="dxa"/>
            <w:vAlign w:val="bottom"/>
          </w:tcPr>
          <w:p>
            <w:pPr>
              <w:spacing w:after="0"/>
              <w:rPr>
                <w:sz w:val="22"/>
                <w:szCs w:val="22"/>
                <w:color w:val="auto"/>
              </w:rPr>
            </w:pPr>
          </w:p>
        </w:tc>
        <w:tc>
          <w:tcPr>
            <w:tcW w:w="42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Exhibits</w:t>
            </w:r>
          </w:p>
        </w:tc>
        <w:tc>
          <w:tcPr>
            <w:tcW w:w="4720" w:type="dxa"/>
            <w:vAlign w:val="bottom"/>
            <w:gridSpan w:val="4"/>
          </w:tcPr>
          <w:p>
            <w:pPr>
              <w:spacing w:after="0"/>
              <w:rPr>
                <w:sz w:val="22"/>
                <w:szCs w:val="22"/>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0000FF"/>
                <w:w w:val="93"/>
              </w:rPr>
              <w:t>SIGNATURES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gridSpan w:val="14"/>
          </w:tcPr>
          <w:p>
            <w:pPr>
              <w:ind w:left="444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93"/>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31"/>
        </w:trPr>
        <w:tc>
          <w:tcPr>
            <w:tcW w:w="8240" w:type="dxa"/>
            <w:vAlign w:val="bottom"/>
          </w:tcPr>
          <w:p>
            <w:pPr>
              <w:ind w:left="140"/>
              <w:spacing w:after="0"/>
              <w:rPr>
                <w:sz w:val="20"/>
                <w:szCs w:val="20"/>
                <w:color w:val="auto"/>
              </w:rPr>
            </w:pPr>
            <w:r>
              <w:rPr>
                <w:rFonts w:ascii="Arial" w:cs="Arial" w:eastAsia="Arial" w:hAnsi="Arial"/>
                <w:sz w:val="18"/>
                <w:szCs w:val="18"/>
                <w:color w:val="auto"/>
              </w:rPr>
              <w:t>Accounts receivable, net of allowance for doubtful accounts of $4,314 and $4,363, respectively</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32"/>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23,544</w:t>
            </w:r>
          </w:p>
        </w:tc>
        <w:tc>
          <w:tcPr>
            <w:tcW w:w="0" w:type="dxa"/>
            <w:vAlign w:val="bottom"/>
          </w:tcPr>
          <w:p>
            <w:pPr>
              <w:spacing w:after="0"/>
              <w:rPr>
                <w:sz w:val="1"/>
                <w:szCs w:val="1"/>
                <w:color w:val="auto"/>
              </w:rPr>
            </w:pPr>
          </w:p>
        </w:tc>
      </w:tr>
      <w:tr>
        <w:trPr>
          <w:trHeight w:val="218"/>
        </w:trPr>
        <w:tc>
          <w:tcPr>
            <w:tcW w:w="824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87,558</w:t>
            </w:r>
          </w:p>
        </w:tc>
        <w:tc>
          <w:tcPr>
            <w:tcW w:w="0" w:type="dxa"/>
            <w:vAlign w:val="bottom"/>
          </w:tcPr>
          <w:p>
            <w:pPr>
              <w:spacing w:after="0"/>
              <w:rPr>
                <w:sz w:val="1"/>
                <w:szCs w:val="1"/>
                <w:color w:val="auto"/>
              </w:rPr>
            </w:pPr>
          </w:p>
        </w:tc>
      </w:tr>
      <w:tr>
        <w:trPr>
          <w:trHeight w:val="159"/>
        </w:trPr>
        <w:tc>
          <w:tcPr>
            <w:tcW w:w="8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55,960</w:t>
            </w:r>
          </w:p>
        </w:tc>
        <w:tc>
          <w:tcPr>
            <w:tcW w:w="0" w:type="dxa"/>
            <w:vAlign w:val="bottom"/>
          </w:tcPr>
          <w:p>
            <w:pPr>
              <w:spacing w:after="0"/>
              <w:rPr>
                <w:sz w:val="1"/>
                <w:szCs w:val="1"/>
                <w:color w:val="auto"/>
              </w:rPr>
            </w:pPr>
          </w:p>
        </w:tc>
      </w:tr>
      <w:tr>
        <w:trPr>
          <w:trHeight w:val="23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31,730</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2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152"/>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660"/>
              <w:spacing w:after="0"/>
              <w:rPr>
                <w:sz w:val="20"/>
                <w:szCs w:val="20"/>
                <w:color w:val="auto"/>
              </w:rPr>
            </w:pPr>
            <w:r>
              <w:rPr>
                <w:rFonts w:ascii="Arial" w:cs="Arial" w:eastAsia="Arial" w:hAnsi="Arial"/>
                <w:sz w:val="16"/>
                <w:szCs w:val="16"/>
                <w:color w:val="auto"/>
              </w:rPr>
              <w:t>LIABILITIES AND DEFICIT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Warrant liability</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40,085</w:t>
            </w:r>
          </w:p>
        </w:tc>
        <w:tc>
          <w:tcPr>
            <w:tcW w:w="0" w:type="dxa"/>
            <w:vAlign w:val="bottom"/>
          </w:tcPr>
          <w:p>
            <w:pPr>
              <w:spacing w:after="0"/>
              <w:rPr>
                <w:sz w:val="1"/>
                <w:szCs w:val="1"/>
                <w:color w:val="auto"/>
              </w:rPr>
            </w:pPr>
          </w:p>
        </w:tc>
      </w:tr>
      <w:tr>
        <w:trPr>
          <w:trHeight w:val="159"/>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245,230</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w:t>
            </w:r>
          </w:p>
        </w:tc>
        <w:tc>
          <w:tcPr>
            <w:tcW w:w="0" w:type="dxa"/>
            <w:vAlign w:val="bottom"/>
          </w:tcPr>
          <w:p>
            <w:pPr>
              <w:spacing w:after="0"/>
              <w:rPr>
                <w:sz w:val="1"/>
                <w:szCs w:val="1"/>
                <w:color w:val="auto"/>
              </w:rPr>
            </w:pPr>
          </w:p>
        </w:tc>
      </w:tr>
      <w:tr>
        <w:trPr>
          <w:trHeight w:val="159"/>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contingencies and regulatory matters (Note 21)</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(deficit):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40" w:type="dxa"/>
            <w:vAlign w:val="bottom"/>
          </w:tcPr>
          <w:p>
            <w:pPr>
              <w:ind w:left="140"/>
              <w:spacing w:after="0" w:line="173" w:lineRule="exact"/>
              <w:rPr>
                <w:sz w:val="20"/>
                <w:szCs w:val="20"/>
                <w:color w:val="auto"/>
              </w:rPr>
            </w:pPr>
            <w:r>
              <w:rPr>
                <w:rFonts w:ascii="Arial" w:cs="Arial" w:eastAsia="Arial" w:hAnsi="Arial"/>
                <w:sz w:val="18"/>
                <w:szCs w:val="18"/>
                <w:color w:val="auto"/>
                <w:w w:val="88"/>
              </w:rPr>
              <w:t>Common stock ($1.00 par value; 100,000 shares authorized, 29,963 issued and 20,866 outstanding as of June 30,</w:t>
            </w: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29,963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2023; 16,129 outstanding as of December 31, 2022)</w:t>
            </w:r>
          </w:p>
        </w:tc>
        <w:tc>
          <w:tcPr>
            <w:tcW w:w="3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149,348</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118,948</w:t>
            </w:r>
          </w:p>
        </w:tc>
        <w:tc>
          <w:tcPr>
            <w:tcW w:w="0" w:type="dxa"/>
            <w:vAlign w:val="bottom"/>
          </w:tcPr>
          <w:p>
            <w:pPr>
              <w:spacing w:after="0"/>
              <w:rPr>
                <w:sz w:val="1"/>
                <w:szCs w:val="1"/>
                <w:color w:val="auto"/>
              </w:rPr>
            </w:pPr>
          </w:p>
        </w:tc>
      </w:tr>
      <w:tr>
        <w:trPr>
          <w:trHeight w:val="23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Treasury stock, at cost (9,097 shares as of June 30, 2023 and 9,284 shares as of December 31, 2022)</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(401,774)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(413,358)</w:t>
            </w:r>
          </w:p>
        </w:tc>
        <w:tc>
          <w:tcPr>
            <w:tcW w:w="0" w:type="dxa"/>
            <w:vAlign w:val="bottom"/>
          </w:tcPr>
          <w:p>
            <w:pPr>
              <w:spacing w:after="0"/>
              <w:rPr>
                <w:sz w:val="1"/>
                <w:szCs w:val="1"/>
                <w:color w:val="auto"/>
              </w:rPr>
            </w:pPr>
          </w:p>
        </w:tc>
      </w:tr>
      <w:tr>
        <w:trPr>
          <w:trHeight w:val="218"/>
        </w:trPr>
        <w:tc>
          <w:tcPr>
            <w:tcW w:w="8240" w:type="dxa"/>
            <w:vAlign w:val="bottom"/>
          </w:tcPr>
          <w:p>
            <w:pPr>
              <w:ind w:left="460"/>
              <w:spacing w:after="0"/>
              <w:rPr>
                <w:sz w:val="20"/>
                <w:szCs w:val="20"/>
                <w:color w:val="auto"/>
              </w:rPr>
            </w:pPr>
            <w:r>
              <w:rPr>
                <w:rFonts w:ascii="Arial" w:cs="Arial" w:eastAsia="Arial" w:hAnsi="Arial"/>
                <w:sz w:val="18"/>
                <w:szCs w:val="18"/>
                <w:color w:val="auto"/>
              </w:rPr>
              <w:t>Altisource deficit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(119,649)</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deficit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(118,874)</w:t>
            </w:r>
          </w:p>
        </w:tc>
        <w:tc>
          <w:tcPr>
            <w:tcW w:w="0" w:type="dxa"/>
            <w:vAlign w:val="bottom"/>
          </w:tcPr>
          <w:p>
            <w:pPr>
              <w:spacing w:after="0"/>
              <w:rPr>
                <w:sz w:val="1"/>
                <w:szCs w:val="1"/>
                <w:color w:val="auto"/>
              </w:rPr>
            </w:pPr>
          </w:p>
        </w:tc>
      </w:tr>
      <w:tr>
        <w:trPr>
          <w:trHeight w:val="152"/>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deficit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1"/>
        </w:trPr>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r>
      <w:tr>
        <w:trPr>
          <w:trHeight w:val="199"/>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8"/>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35,235</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74,696</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79,937</w:t>
            </w: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r>
      <w:tr>
        <w:trPr>
          <w:trHeight w:val="206"/>
        </w:trPr>
        <w:tc>
          <w:tcPr>
            <w:tcW w:w="6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9,713</w:t>
            </w:r>
          </w:p>
        </w:tc>
      </w:tr>
      <w:tr>
        <w:trPr>
          <w:trHeight w:val="213"/>
        </w:trPr>
        <w:tc>
          <w:tcPr>
            <w:tcW w:w="6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w:t>
            </w:r>
          </w:p>
        </w:tc>
      </w:tr>
      <w:tr>
        <w:trPr>
          <w:trHeight w:val="193"/>
        </w:trPr>
        <w:tc>
          <w:tcPr>
            <w:tcW w:w="6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1"/>
        </w:trPr>
        <w:tc>
          <w:tcPr>
            <w:tcW w:w="64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(18,786)</w:t>
            </w:r>
          </w:p>
        </w:tc>
      </w:tr>
      <w:tr>
        <w:trPr>
          <w:trHeight w:val="23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5"/>
        </w:trPr>
        <w:tc>
          <w:tcPr>
            <w:tcW w:w="6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(7,090)</w:t>
            </w:r>
          </w:p>
        </w:tc>
      </w:tr>
      <w:tr>
        <w:trPr>
          <w:trHeight w:val="239"/>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20" w:type="dxa"/>
            <w:vAlign w:val="bottom"/>
          </w:tcPr>
          <w:p>
            <w:pPr>
              <w:ind w:left="140"/>
              <w:spacing w:after="0"/>
              <w:rPr>
                <w:sz w:val="20"/>
                <w:szCs w:val="20"/>
                <w:color w:val="auto"/>
              </w:rPr>
            </w:pPr>
            <w:r>
              <w:rPr>
                <w:rFonts w:ascii="Arial" w:cs="Arial" w:eastAsia="Arial" w:hAnsi="Arial"/>
                <w:sz w:val="18"/>
                <w:szCs w:val="18"/>
                <w:color w:val="auto"/>
              </w:rPr>
              <w:t>Debt amendment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25"/>
        </w:trPr>
        <w:tc>
          <w:tcPr>
            <w:tcW w:w="642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(6,157)</w:t>
            </w:r>
          </w:p>
        </w:tc>
      </w:tr>
      <w:tr>
        <w:trPr>
          <w:trHeight w:val="219"/>
        </w:trPr>
        <w:tc>
          <w:tcPr>
            <w:tcW w:w="6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(24,943)</w:t>
            </w:r>
          </w:p>
        </w:tc>
      </w:tr>
      <w:tr>
        <w:trPr>
          <w:trHeight w:val="22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r>
      <w:tr>
        <w:trPr>
          <w:trHeight w:val="206"/>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w:t>
            </w: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05"/>
        </w:trPr>
        <w:tc>
          <w:tcPr>
            <w:tcW w:w="6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(18,850)</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(15,495)</w:t>
            </w:r>
          </w:p>
        </w:tc>
        <w:tc>
          <w:tcPr>
            <w:tcW w:w="4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(31,797)</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(27,685)</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6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1"/>
        </w:trPr>
        <w:tc>
          <w:tcPr>
            <w:tcW w:w="642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6420" w:type="dxa"/>
            <w:vAlign w:val="bottom"/>
          </w:tcPr>
          <w:p>
            <w:pPr>
              <w:ind w:left="14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(0.90)</w:t>
            </w:r>
          </w:p>
        </w:tc>
        <w:tc>
          <w:tcPr>
            <w:tcW w:w="400" w:type="dxa"/>
            <w:vAlign w:val="bottom"/>
            <w:gridSpan w:val="2"/>
          </w:tcPr>
          <w:p>
            <w:pPr>
              <w:jc w:val="right"/>
              <w:ind w:right="112"/>
              <w:spacing w:after="0" w:line="198"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(0.96)</w:t>
            </w:r>
          </w:p>
        </w:tc>
        <w:tc>
          <w:tcPr>
            <w:tcW w:w="480" w:type="dxa"/>
            <w:vAlign w:val="bottom"/>
            <w:gridSpan w:val="2"/>
          </w:tcPr>
          <w:p>
            <w:pPr>
              <w:jc w:val="right"/>
              <w:ind w:right="72"/>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(1.62)</w:t>
            </w:r>
          </w:p>
        </w:tc>
        <w:tc>
          <w:tcPr>
            <w:tcW w:w="400" w:type="dxa"/>
            <w:vAlign w:val="bottom"/>
            <w:gridSpan w:val="2"/>
          </w:tcPr>
          <w:p>
            <w:pPr>
              <w:jc w:val="right"/>
              <w:ind w:right="112"/>
              <w:spacing w:after="0" w:line="198"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(1.73)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6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1"/>
        </w:trPr>
        <w:tc>
          <w:tcPr>
            <w:tcW w:w="64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7"/>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420" w:type="dxa"/>
            <w:vAlign w:val="bottom"/>
          </w:tcPr>
          <w:p>
            <w:pPr>
              <w:ind w:left="14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20,840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16,083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19,648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16,020</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8"/>
        </w:trPr>
        <w:tc>
          <w:tcPr>
            <w:tcW w:w="6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1"/>
        </w:trPr>
        <w:tc>
          <w:tcPr>
            <w:tcW w:w="64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2"/>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loss, net of tax</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w:t>
            </w:r>
          </w:p>
        </w:tc>
      </w:tr>
      <w:tr>
        <w:trPr>
          <w:trHeight w:val="225"/>
        </w:trPr>
        <w:tc>
          <w:tcPr>
            <w:tcW w:w="6420" w:type="dxa"/>
            <w:vAlign w:val="bottom"/>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06"/>
        </w:trPr>
        <w:tc>
          <w:tcPr>
            <w:tcW w:w="6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Comprehensive loss attributable to Altisource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(18,850)</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(15,495)</w:t>
            </w:r>
          </w:p>
        </w:tc>
        <w:tc>
          <w:tcPr>
            <w:tcW w:w="4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(31,797)</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(27,685)</w:t>
            </w:r>
          </w:p>
        </w:tc>
      </w:tr>
      <w:tr>
        <w:trPr>
          <w:trHeight w:val="20"/>
        </w:trPr>
        <w:tc>
          <w:tcPr>
            <w:tcW w:w="6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20" w:type="dxa"/>
            <w:vAlign w:val="bottom"/>
            <w:gridSpan w:val="7"/>
          </w:tcPr>
          <w:p>
            <w:pPr>
              <w:jc w:val="right"/>
              <w:ind w:right="541"/>
              <w:spacing w:after="0"/>
              <w:rPr>
                <w:sz w:val="20"/>
                <w:szCs w:val="20"/>
                <w:color w:val="auto"/>
              </w:rPr>
            </w:pPr>
            <w:r>
              <w:rPr>
                <w:rFonts w:ascii="Arial" w:cs="Arial" w:eastAsia="Arial" w:hAnsi="Arial"/>
                <w:sz w:val="14"/>
                <w:szCs w:val="14"/>
                <w:b w:val="1"/>
                <w:bCs w:val="1"/>
                <w:color w:val="auto"/>
                <w:w w:val="92"/>
              </w:rPr>
              <w:t>Altisource Equity (Deficit)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4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Treasury stock,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700" w:type="dxa"/>
            <w:vAlign w:val="bottom"/>
            <w:gridSpan w:val="4"/>
            <w:vMerge w:val="restart"/>
          </w:tcPr>
          <w:p>
            <w:pPr>
              <w:jc w:val="right"/>
              <w:ind w:right="301"/>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70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paid-in 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9"/>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186,592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(68,870)</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(12,029)</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163,796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(80,887)</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(15,321)</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145,879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(95,414)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(118,874)</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(12,867)</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20,461</w:t>
            </w:r>
          </w:p>
        </w:tc>
        <w:tc>
          <w:tcPr>
            <w:tcW w:w="0" w:type="dxa"/>
            <w:vAlign w:val="bottom"/>
          </w:tcPr>
          <w:p>
            <w:pPr>
              <w:spacing w:after="0"/>
              <w:rPr>
                <w:sz w:val="1"/>
                <w:szCs w:val="1"/>
                <w:color w:val="auto"/>
              </w:rPr>
            </w:pPr>
          </w:p>
        </w:tc>
      </w:tr>
      <w:tr>
        <w:trPr>
          <w:trHeight w:val="162"/>
        </w:trPr>
        <w:tc>
          <w:tcPr>
            <w:tcW w:w="4040" w:type="dxa"/>
            <w:vAlign w:val="bottom"/>
          </w:tcPr>
          <w:p>
            <w:pPr>
              <w:ind w:left="20"/>
              <w:spacing w:after="0" w:line="162"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Balance, March 31, 2023</w:t>
            </w:r>
          </w:p>
        </w:tc>
        <w:tc>
          <w:tcPr>
            <w:tcW w:w="800" w:type="dxa"/>
            <w:vAlign w:val="bottom"/>
          </w:tcPr>
          <w:p>
            <w:pPr>
              <w:jc w:val="right"/>
              <w:spacing w:after="0"/>
              <w:rPr>
                <w:sz w:val="20"/>
                <w:szCs w:val="20"/>
                <w:color w:val="auto"/>
              </w:rPr>
            </w:pPr>
            <w:r>
              <w:rPr>
                <w:rFonts w:ascii="Arial" w:cs="Arial" w:eastAsia="Arial" w:hAnsi="Arial"/>
                <w:sz w:val="16"/>
                <w:szCs w:val="16"/>
                <w:color w:val="auto"/>
              </w:rPr>
              <w:t>29,963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29,963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166,704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96,243</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(404,060)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(110,397)</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(18,837)</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040" w:type="dxa"/>
            <w:vAlign w:val="bottom"/>
          </w:tcPr>
          <w:p>
            <w:pPr>
              <w:ind w:left="20"/>
              <w:spacing w:after="0" w:line="162"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Arial" w:cs="Arial" w:eastAsia="Arial" w:hAnsi="Arial"/>
                <w:sz w:val="16"/>
                <w:szCs w:val="16"/>
                <w:color w:val="auto"/>
              </w:rPr>
              <w:t>Balance, June 30, 2023</w:t>
            </w:r>
          </w:p>
        </w:tc>
        <w:tc>
          <w:tcPr>
            <w:tcW w:w="800" w:type="dxa"/>
            <w:vAlign w:val="bottom"/>
          </w:tcPr>
          <w:p>
            <w:pPr>
              <w:jc w:val="right"/>
              <w:spacing w:after="0"/>
              <w:rPr>
                <w:sz w:val="20"/>
                <w:szCs w:val="20"/>
                <w:color w:val="auto"/>
              </w:rPr>
            </w:pPr>
            <w:r>
              <w:rPr>
                <w:rFonts w:ascii="Arial" w:cs="Arial" w:eastAsia="Arial" w:hAnsi="Arial"/>
                <w:sz w:val="16"/>
                <w:szCs w:val="16"/>
                <w:color w:val="auto"/>
              </w:rPr>
              <w:t>29,963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29,963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167,946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75,104</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(401,774)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(128,095)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2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40"/>
        </w:trPr>
        <w:tc>
          <w:tcPr>
            <w:tcW w:w="8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7"/>
              </w:rPr>
              <w:t>(31,704)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(27,350)</w:t>
            </w:r>
          </w:p>
        </w:tc>
      </w:tr>
      <w:tr>
        <w:trPr>
          <w:trHeight w:val="214"/>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1,846</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right-of-use assets under operating leases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2,568</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PIK accrual</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215"/>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Amortization of debt discount</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fixed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Change in fair value of warrant liability</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12,504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w:t>
            </w:r>
          </w:p>
        </w:tc>
      </w:tr>
      <w:tr>
        <w:trPr>
          <w:trHeight w:val="210"/>
        </w:trPr>
        <w:tc>
          <w:tcPr>
            <w:tcW w:w="8260" w:type="dxa"/>
            <w:vAlign w:val="bottom"/>
          </w:tcPr>
          <w:p>
            <w:pPr>
              <w:ind w:left="340"/>
              <w:spacing w:after="0"/>
              <w:rPr>
                <w:sz w:val="20"/>
                <w:szCs w:val="20"/>
                <w:color w:val="auto"/>
              </w:rPr>
            </w:pPr>
            <w:r>
              <w:rPr>
                <w:rFonts w:ascii="Arial" w:cs="Arial" w:eastAsia="Arial" w:hAnsi="Arial"/>
                <w:sz w:val="16"/>
                <w:szCs w:val="16"/>
                <w:color w:val="auto"/>
              </w:rPr>
              <w:t>Current and non-current operating lease liabilities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(1,935)</w:t>
            </w:r>
          </w:p>
        </w:tc>
      </w:tr>
      <w:tr>
        <w:trPr>
          <w:trHeight w:val="215"/>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current and non-current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r>
      <w:tr>
        <w:trPr>
          <w:trHeight w:val="205"/>
        </w:trPr>
        <w:tc>
          <w:tcPr>
            <w:tcW w:w="82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(10,940)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(25,784)</w:t>
            </w:r>
          </w:p>
        </w:tc>
      </w:tr>
      <w:tr>
        <w:trPr>
          <w:trHeight w:val="99"/>
        </w:trPr>
        <w:tc>
          <w:tcPr>
            <w:tcW w:w="8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to premises and equipment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199"/>
        </w:trPr>
        <w:tc>
          <w:tcPr>
            <w:tcW w:w="8260" w:type="dxa"/>
            <w:vAlign w:val="bottom"/>
          </w:tcPr>
          <w:p>
            <w:pPr>
              <w:ind w:left="140"/>
              <w:spacing w:after="0"/>
              <w:rPr>
                <w:sz w:val="20"/>
                <w:szCs w:val="20"/>
                <w:color w:val="auto"/>
              </w:rPr>
            </w:pPr>
            <w:r>
              <w:rPr>
                <w:rFonts w:ascii="Arial" w:cs="Arial" w:eastAsia="Arial" w:hAnsi="Arial"/>
                <w:sz w:val="16"/>
                <w:szCs w:val="16"/>
                <w:color w:val="auto"/>
              </w:rPr>
              <w:t>Proceeds from the sale of business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r>
      <w:tr>
        <w:trPr>
          <w:trHeight w:val="20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99"/>
        </w:trPr>
        <w:tc>
          <w:tcPr>
            <w:tcW w:w="8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net of issuance costs</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20,461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and amendment costs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7"/>
              </w:rPr>
              <w:t>(20,000)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non-controlling interests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Payments of tax withholding on issuance of restricted share units and restricted shares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r>
      <w:tr>
        <w:trPr>
          <w:trHeight w:val="205"/>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r>
      <w:tr>
        <w:trPr>
          <w:trHeight w:val="75"/>
        </w:trPr>
        <w:tc>
          <w:tcPr>
            <w:tcW w:w="8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(27,845)</w:t>
            </w:r>
          </w:p>
        </w:tc>
      </w:tr>
      <w:tr>
        <w:trPr>
          <w:trHeight w:val="212"/>
        </w:trPr>
        <w:tc>
          <w:tcPr>
            <w:tcW w:w="82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8"/>
              </w:rPr>
              <w:t>54,273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102,149</w:t>
            </w:r>
          </w:p>
        </w:tc>
      </w:tr>
      <w:tr>
        <w:trPr>
          <w:trHeight w:val="99"/>
        </w:trPr>
        <w:tc>
          <w:tcPr>
            <w:tcW w:w="8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212"/>
        </w:trPr>
        <w:tc>
          <w:tcPr>
            <w:tcW w:w="82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38,243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74,304</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25"/>
        </w:trPr>
        <w:tc>
          <w:tcPr>
            <w:tcW w:w="8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11,022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6,218</w:t>
            </w: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Income taxes (refunded) paid,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3,497</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right-of-use assets with operating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Reduction of right-of-use assets from operating lease modifications or reassessments</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109"/>
        </w:trPr>
        <w:tc>
          <w:tcPr>
            <w:tcW w:w="8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decrease in payables for purchases of premises and equipment</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Warrants issued in connection with Amended Credit Agreement</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8,096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09"/>
        </w:trPr>
        <w:tc>
          <w:tcPr>
            <w:tcW w:w="8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bl>
    <w:p>
      <w:pPr>
        <w:spacing w:after="0" w:line="3" w:lineRule="exact"/>
        <w:rPr>
          <w:sz w:val="20"/>
          <w:szCs w:val="20"/>
          <w:color w:val="auto"/>
        </w:rPr>
      </w:pPr>
    </w:p>
    <w:p>
      <w:pPr>
        <w:ind w:left="20" w:right="580"/>
        <w:spacing w:after="0" w:line="236"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June 30, 2022</w:t>
            </w:r>
          </w:p>
        </w:tc>
      </w:tr>
      <w:tr>
        <w:trPr>
          <w:trHeight w:val="46"/>
        </w:trPr>
        <w:tc>
          <w:tcPr>
            <w:tcW w:w="8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35,041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70,693</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3,611</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reported in the statements of cash flows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38,243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74,304</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conduct our operations through two reportable segments: </w:t>
      </w:r>
      <w:r>
        <w:rPr>
          <w:rFonts w:ascii="Arial" w:cs="Arial" w:eastAsia="Arial" w:hAnsi="Arial"/>
          <w:sz w:val="18"/>
          <w:szCs w:val="18"/>
          <w:i w:val="1"/>
          <w:iCs w:val="1"/>
          <w:color w:val="auto"/>
        </w:rPr>
        <w:t>Servicer and Real Estate</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Origination</w:t>
      </w:r>
      <w:r>
        <w:rPr>
          <w:rFonts w:ascii="Arial" w:cs="Arial" w:eastAsia="Arial" w:hAnsi="Arial"/>
          <w:sz w:val="18"/>
          <w:szCs w:val="18"/>
          <w:color w:val="auto"/>
        </w:rPr>
        <w:t xml:space="preserve">. In addition, we report </w:t>
      </w:r>
      <w:r>
        <w:rPr>
          <w:rFonts w:ascii="Arial" w:cs="Arial" w:eastAsia="Arial" w:hAnsi="Arial"/>
          <w:sz w:val="18"/>
          <w:szCs w:val="18"/>
          <w:i w:val="1"/>
          <w:iCs w:val="1"/>
          <w:color w:val="auto"/>
        </w:rPr>
        <w:t>Corporate and Others</w:t>
      </w:r>
      <w:r>
        <w:rPr>
          <w:rFonts w:ascii="Arial" w:cs="Arial" w:eastAsia="Arial" w:hAnsi="Arial"/>
          <w:sz w:val="18"/>
          <w:szCs w:val="18"/>
          <w:color w:val="auto"/>
        </w:rPr>
        <w:t xml:space="preserve"> separately (see Note 22 for a description of our business segments).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w:t>
      </w:r>
    </w:p>
    <w:p>
      <w:pPr>
        <w:spacing w:after="0" w:line="1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2023, Lenders One had total assets of $0.9 million and total liabilities of $1.1 million. As of December 31, 2022, Lenders One had total assets of $1.2 million and total liabilities of $1.1 million.</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2022, as filed with the SEC on March 30,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loans owned by others.</w:t>
      </w:r>
    </w:p>
    <w:p>
      <w:pPr>
        <w:spacing w:after="0" w:line="12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the three and six months ended June 30, 2023, Ocwen was our largest customer, accounting for 42% of our total revenue for the six months ended June 30, 2023 (40% of our revenue for the second quarter of 2023).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six months ended June 30, 2023 and 2022, we recognized revenue from Ocwen of $31.6 million and $29.9 million, respectively ($14.0 million and $16.2 million for the second quarter of 2023 and 2022, respectively). Revenue from Ocwen as a percentage of segment and consolidated revenue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5"/>
                <w:szCs w:val="15"/>
                <w:color w:val="auto"/>
              </w:rPr>
            </w:pPr>
          </w:p>
        </w:tc>
        <w:tc>
          <w:tcPr>
            <w:tcW w:w="22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66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8"/>
        </w:trPr>
        <w:tc>
          <w:tcPr>
            <w:tcW w:w="58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4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top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rPr>
              <w:t>2022</w:t>
            </w:r>
          </w:p>
        </w:tc>
      </w:tr>
      <w:tr>
        <w:trPr>
          <w:trHeight w:val="206"/>
        </w:trPr>
        <w:tc>
          <w:tcPr>
            <w:tcW w:w="58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25"/>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5"/>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Origination</w:t>
            </w:r>
          </w:p>
        </w:tc>
        <w:tc>
          <w:tcPr>
            <w:tcW w:w="1420" w:type="dxa"/>
            <w:vAlign w:val="bottom"/>
            <w:gridSpan w:val="3"/>
          </w:tcPr>
          <w:p>
            <w:pPr>
              <w:jc w:val="right"/>
              <w:ind w:right="98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Others</w:t>
            </w:r>
          </w:p>
        </w:tc>
        <w:tc>
          <w:tcPr>
            <w:tcW w:w="14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4"/>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Consolidated revenue</w:t>
            </w:r>
          </w:p>
        </w:tc>
        <w:tc>
          <w:tcPr>
            <w:tcW w:w="4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40 %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37 %</w:t>
            </w:r>
          </w:p>
        </w:tc>
      </w:tr>
    </w:tbl>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MSRs owner selects Altisource as the service provider. For the six months ended June 30, 2023 and 2022, we recognized revenue of $5.0 million and $5.1 million, respectively ($2.1 million and $2.7 million for the second quarter of 2023 and 2022, respectively), of such revenue. These amounts are not included in deriving revenue from Ocwen and revenue from Ocwen as a percentage of revenue discussed above.</w:t>
      </w:r>
    </w:p>
    <w:p>
      <w:pPr>
        <w:spacing w:after="0" w:line="13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As of June 30, 2023, accounts receivable from Ocwen totaled $3.7 million, $3.0 million of which was billed and $0.7 million of which was unbilled. As of December 31, 2022, accounts receivable from Ocwen totaled $4.0 million, $3.2 million of which was billed and $0.8 million of which was unbilled.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Rithm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Rithm Capital Corp. (individually, together with one or more of its subsidiaries or one or more of its subsidiaries individually, “Rithm”) (formerly New Residential Investment Corp., or “NRZ”) is a real estate investment trust that invests in and manages investments primarily related to residential real estate, including MSRs and excess MSRs.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 has disclosed that Rithm is a significant client of Ocwen’s. As of March 31, 2023, approximately 16% of loans serviced and subserviced by Ocwen (measured in unpaid principal balance (“UPB”)) and approximately 68% of all delinquent loans that Ocwen services were related to Rithm MSRs or rights to MSRs (the “Subject MSRs”).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six months ended June 30, 2023 and 2022, we recognized revenue from Rithm of $1.6 million and $1.8 million, respectively ($0.80 and $1.0 million for the second quarter of 2023 and 2022, respectively), under the Brokerage Agreement. For the six months ended June 30, 2023 and 2022, we recognized additional revenue of $6.8 million and $7.4 million, respectively ($3.5 million and $3.7 million for the second quarter of 2023 and 2022, respectively), relating to the Subject MSRs when a party other than Rithm selects Altisource as the service provider.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97"/>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Unbilled</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w:t>
            </w:r>
          </w:p>
        </w:tc>
        <w:tc>
          <w:tcPr>
            <w:tcW w:w="0" w:type="dxa"/>
            <w:vAlign w:val="bottom"/>
          </w:tcPr>
          <w:p>
            <w:pPr>
              <w:spacing w:after="0"/>
              <w:rPr>
                <w:sz w:val="1"/>
                <w:szCs w:val="1"/>
                <w:color w:val="auto"/>
              </w:rPr>
            </w:pPr>
          </w:p>
        </w:tc>
      </w:tr>
      <w:tr>
        <w:trPr>
          <w:trHeight w:val="225"/>
        </w:trPr>
        <w:tc>
          <w:tcPr>
            <w:tcW w:w="8140" w:type="dxa"/>
            <w:vAlign w:val="bottom"/>
          </w:tcPr>
          <w:p>
            <w:pPr>
              <w:ind w:left="140"/>
              <w:spacing w:after="0"/>
              <w:rPr>
                <w:sz w:val="20"/>
                <w:szCs w:val="20"/>
                <w:color w:val="auto"/>
              </w:rPr>
            </w:pPr>
            <w:r>
              <w:rPr>
                <w:rFonts w:ascii="Arial" w:cs="Arial" w:eastAsia="Arial" w:hAnsi="Arial"/>
                <w:sz w:val="18"/>
                <w:szCs w:val="18"/>
                <w:color w:val="auto"/>
              </w:rPr>
              <w:t>Less: Allowance for credit losses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06"/>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expected credit losses consist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Balance at Beginning of</w:t>
            </w:r>
          </w:p>
        </w:tc>
        <w:tc>
          <w:tcPr>
            <w:tcW w:w="180" w:type="dxa"/>
            <w:vAlign w:val="bottom"/>
          </w:tcPr>
          <w:p>
            <w:pPr>
              <w:spacing w:after="0"/>
              <w:rPr>
                <w:sz w:val="11"/>
                <w:szCs w:val="11"/>
                <w:color w:val="auto"/>
              </w:rPr>
            </w:pPr>
          </w:p>
        </w:tc>
        <w:tc>
          <w:tcPr>
            <w:tcW w:w="15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0"/>
              </w:rPr>
              <w:t>Charged to Expenses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vMerge w:val="restart"/>
          </w:tcPr>
          <w:p>
            <w:pPr>
              <w:jc w:val="right"/>
              <w:ind w:right="9"/>
              <w:spacing w:after="0"/>
              <w:rPr>
                <w:sz w:val="20"/>
                <w:szCs w:val="20"/>
                <w:color w:val="auto"/>
              </w:rPr>
            </w:pPr>
            <w:r>
              <w:rPr>
                <w:rFonts w:ascii="Arial" w:cs="Arial" w:eastAsia="Arial" w:hAnsi="Arial"/>
                <w:sz w:val="14"/>
                <w:szCs w:val="14"/>
                <w:b w:val="1"/>
                <w:bCs w:val="1"/>
                <w:color w:val="auto"/>
                <w:w w:val="96"/>
              </w:rPr>
              <w:t>Deductions Note</w:t>
            </w:r>
            <w:r>
              <w:rPr>
                <w:rFonts w:ascii="Arial" w:cs="Arial" w:eastAsia="Arial" w:hAnsi="Arial"/>
                <w:sz w:val="9"/>
                <w:szCs w:val="9"/>
                <w:b w:val="1"/>
                <w:bCs w:val="1"/>
                <w:color w:val="auto"/>
                <w:w w:val="96"/>
              </w:rPr>
              <w:t>(1)</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4"/>
            <w:vMerge w:val="restart"/>
          </w:tcPr>
          <w:p>
            <w:pPr>
              <w:jc w:val="right"/>
              <w:ind w:right="15"/>
              <w:spacing w:after="0"/>
              <w:rPr>
                <w:sz w:val="20"/>
                <w:szCs w:val="20"/>
                <w:color w:val="auto"/>
              </w:rPr>
            </w:pPr>
            <w:r>
              <w:rPr>
                <w:rFonts w:ascii="Arial" w:cs="Arial" w:eastAsia="Arial" w:hAnsi="Arial"/>
                <w:sz w:val="14"/>
                <w:szCs w:val="14"/>
                <w:b w:val="1"/>
                <w:bCs w:val="1"/>
                <w:color w:val="auto"/>
                <w:w w:val="96"/>
              </w:rPr>
              <w:t>Balance at End of Period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expected credit losses: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6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Six months ended June 30, 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1,105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88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000" w:type="dxa"/>
            <w:vAlign w:val="bottom"/>
            <w:gridSpan w:val="6"/>
          </w:tcPr>
          <w:p>
            <w:pPr>
              <w:spacing w:after="0"/>
              <w:rPr>
                <w:sz w:val="20"/>
                <w:szCs w:val="20"/>
                <w:color w:val="auto"/>
              </w:rPr>
            </w:pPr>
            <w:r>
              <w:rPr>
                <w:rFonts w:ascii="Arial" w:cs="Arial" w:eastAsia="Arial" w:hAnsi="Arial"/>
                <w:sz w:val="22"/>
                <w:szCs w:val="22"/>
                <w:color w:val="auto"/>
                <w:w w:val="90"/>
                <w:vertAlign w:val="superscript"/>
              </w:rPr>
              <w:t>(1)</w:t>
            </w:r>
            <w:r>
              <w:rPr>
                <w:rFonts w:ascii="Arial" w:cs="Arial" w:eastAsia="Arial" w:hAnsi="Arial"/>
                <w:sz w:val="18"/>
                <w:szCs w:val="18"/>
                <w:color w:val="auto"/>
                <w:w w:val="90"/>
              </w:rPr>
              <w:t xml:space="preserve">   Amounts written off as uncollectible or transferred to other accounts or utilized.</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820" w:type="dxa"/>
            <w:vAlign w:val="bottom"/>
            <w:gridSpan w:val="5"/>
          </w:tcPr>
          <w:p>
            <w:pPr>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8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rPr>
              <w:t>3,527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88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3"/>
          </w:tcPr>
          <w:p>
            <w:pPr>
              <w:jc w:val="right"/>
              <w:ind w:right="9"/>
              <w:spacing w:after="0"/>
              <w:rPr>
                <w:sz w:val="20"/>
                <w:szCs w:val="20"/>
                <w:color w:val="auto"/>
              </w:rPr>
            </w:pPr>
            <w:r>
              <w:rPr>
                <w:rFonts w:ascii="Arial" w:cs="Arial" w:eastAsia="Arial" w:hAnsi="Arial"/>
                <w:sz w:val="18"/>
                <w:szCs w:val="18"/>
                <w:color w:val="auto"/>
                <w:w w:val="86"/>
              </w:rPr>
              <w:t>291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agreements, current portion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Indemnity escrow receivable from Pointillist sale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4"/>
          </w:tcPr>
          <w:p>
            <w:pPr>
              <w:jc w:val="right"/>
              <w:ind w:right="9"/>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Surety bond collateral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w w:val="83"/>
              </w:rPr>
              <w:t>11,063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49,339</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3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equipment and other</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25"/>
        </w:trPr>
        <w:tc>
          <w:tcPr>
            <w:tcW w:w="816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(55,089)</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2,842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Depreciation and amortization expense amounted to $1.4 million and $1.8 million for the six months ended June 30, 2023 and 2022, respectively ($0.7 million and $0.9 million for the second quarter of 2023 and 2022, respectively), and is included in cost of revenue for operating assets and in selling, general and administrative expenses for non-operating assets in the accompanying condensed consolidated statements of operations and comprehensive loss.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8"/>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3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Arial" w:cs="Arial" w:eastAsia="Arial" w:hAnsi="Arial"/>
                <w:sz w:val="18"/>
                <w:szCs w:val="18"/>
                <w:color w:val="auto"/>
              </w:rPr>
              <w:t>Uruguay</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2,842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NOTE 6 — RIGHT-OF-USE ASSETS UNDER OPERATING LEASES, NET</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160" w:type="dxa"/>
            <w:vAlign w:val="bottom"/>
          </w:tcPr>
          <w:p>
            <w:pPr>
              <w:spacing w:after="0"/>
              <w:rPr>
                <w:sz w:val="20"/>
                <w:szCs w:val="20"/>
                <w:color w:val="auto"/>
              </w:rPr>
            </w:pPr>
            <w:r>
              <w:rPr>
                <w:rFonts w:ascii="Arial" w:cs="Arial" w:eastAsia="Arial" w:hAnsi="Arial"/>
                <w:sz w:val="18"/>
                <w:szCs w:val="18"/>
                <w:color w:val="auto"/>
              </w:rPr>
              <w:t>Right-of-use assets under operating leases, net consists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8"/>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0" w:type="dxa"/>
            <w:vAlign w:val="bottom"/>
          </w:tcPr>
          <w:p>
            <w:pPr>
              <w:spacing w:after="0"/>
              <w:rPr>
                <w:sz w:val="1"/>
                <w:szCs w:val="1"/>
                <w:color w:val="auto"/>
              </w:rPr>
            </w:pPr>
          </w:p>
        </w:tc>
      </w:tr>
      <w:tr>
        <w:trPr>
          <w:trHeight w:val="225"/>
        </w:trPr>
        <w:tc>
          <w:tcPr>
            <w:tcW w:w="8160" w:type="dxa"/>
            <w:vAlign w:val="bottom"/>
          </w:tcPr>
          <w:p>
            <w:pPr>
              <w:ind w:left="140"/>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45"/>
        </w:trPr>
        <w:tc>
          <w:tcPr>
            <w:tcW w:w="81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4,689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Amortization of operating leases was $0.9 million and $1.7 million for the six months ended June 30, 2023 and 2022, respectively ($0.5 million and $0.6 million for the second quarter of 2023 and 2022, respectively), and is included in cost of revenue for operating assets and in selling, general and administrative expenses for non-operating assets in the accompanying condensed consolidated statements of operations and comprehensive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Servicer and Real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Origination</w:t>
            </w:r>
          </w:p>
        </w:tc>
        <w:tc>
          <w:tcPr>
            <w:tcW w:w="100" w:type="dxa"/>
            <w:vAlign w:val="bottom"/>
          </w:tcPr>
          <w:p>
            <w:pPr>
              <w:spacing w:after="0"/>
              <w:rPr>
                <w:sz w:val="17"/>
                <w:szCs w:val="17"/>
                <w:color w:val="auto"/>
              </w:rPr>
            </w:pP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 and Others</w:t>
            </w: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 and December 31, 2022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30,681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25,279</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5"/>
                <w:szCs w:val="15"/>
                <w:color w:val="auto"/>
              </w:rPr>
            </w:pPr>
          </w:p>
        </w:tc>
        <w:tc>
          <w:tcPr>
            <w:tcW w:w="2220" w:type="dxa"/>
            <w:vAlign w:val="bottom"/>
            <w:gridSpan w:val="4"/>
          </w:tcPr>
          <w:p>
            <w:pPr>
              <w:jc w:val="right"/>
              <w:ind w:right="438"/>
              <w:spacing w:after="0"/>
              <w:rPr>
                <w:sz w:val="20"/>
                <w:szCs w:val="20"/>
                <w:color w:val="auto"/>
              </w:rPr>
            </w:pPr>
            <w:r>
              <w:rPr>
                <w:rFonts w:ascii="Arial" w:cs="Arial" w:eastAsia="Arial" w:hAnsi="Arial"/>
                <w:sz w:val="14"/>
                <w:szCs w:val="14"/>
                <w:b w:val="1"/>
                <w:bCs w:val="1"/>
                <w:color w:val="auto"/>
              </w:rPr>
              <w:t>Gross carrying 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rPr>
              <w:t>Accumulated amortization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4"/>
          </w:tcPr>
          <w:p>
            <w:pPr>
              <w:jc w:val="right"/>
              <w:ind w:right="67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3"/>
        </w:trPr>
        <w:tc>
          <w:tcPr>
            <w:tcW w:w="26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980" w:type="dxa"/>
            <w:vAlign w:val="bottom"/>
            <w:gridSpan w:val="2"/>
            <w:vMerge w:val="restart"/>
          </w:tcPr>
          <w:p>
            <w:pPr>
              <w:jc w:val="center"/>
              <w:ind w:right="80"/>
              <w:spacing w:after="0" w:line="97" w:lineRule="exact"/>
              <w:rPr>
                <w:sz w:val="20"/>
                <w:szCs w:val="20"/>
                <w:color w:val="auto"/>
              </w:rPr>
            </w:pPr>
            <w:r>
              <w:rPr>
                <w:rFonts w:ascii="Arial" w:cs="Arial" w:eastAsia="Arial" w:hAnsi="Arial"/>
                <w:sz w:val="11"/>
                <w:szCs w:val="11"/>
                <w:b w:val="1"/>
                <w:bCs w:val="1"/>
                <w:color w:val="auto"/>
              </w:rPr>
              <w:t>estimated</w:t>
            </w: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46"/>
        </w:trPr>
        <w:tc>
          <w:tcPr>
            <w:tcW w:w="2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88"/>
              </w:rPr>
              <w:t>useful life</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w w:val="86"/>
              </w:rPr>
              <w:t>(in years)</w:t>
            </w:r>
          </w:p>
        </w:tc>
        <w:tc>
          <w:tcPr>
            <w:tcW w:w="24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2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Definite lived intangible assets: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600" w:type="dxa"/>
            <w:vAlign w:val="bottom"/>
          </w:tcPr>
          <w:p>
            <w:pPr>
              <w:ind w:left="180"/>
              <w:spacing w:after="0" w:line="173" w:lineRule="exact"/>
              <w:rPr>
                <w:sz w:val="20"/>
                <w:szCs w:val="20"/>
                <w:color w:val="auto"/>
              </w:rPr>
            </w:pPr>
            <w:r>
              <w:rPr>
                <w:rFonts w:ascii="Arial" w:cs="Arial" w:eastAsia="Arial" w:hAnsi="Arial"/>
                <w:sz w:val="18"/>
                <w:szCs w:val="18"/>
                <w:color w:val="auto"/>
              </w:rPr>
              <w:t>Customer related intangible</w:t>
            </w:r>
          </w:p>
        </w:tc>
        <w:tc>
          <w:tcPr>
            <w:tcW w:w="980" w:type="dxa"/>
            <w:vAlign w:val="bottom"/>
            <w:gridSpan w:val="2"/>
            <w:vMerge w:val="restart"/>
          </w:tcPr>
          <w:p>
            <w:pPr>
              <w:jc w:val="center"/>
              <w:ind w:left="32"/>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5"/>
                <w:szCs w:val="15"/>
                <w:color w:val="auto"/>
              </w:rPr>
            </w:pPr>
          </w:p>
        </w:tc>
        <w:tc>
          <w:tcPr>
            <w:tcW w:w="240" w:type="dxa"/>
            <w:vAlign w:val="bottom"/>
            <w:vMerge w:val="restart"/>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214,307</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214,307</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(199,094)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(197,594)</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15,213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16,713</w:t>
            </w: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assets</w:t>
            </w: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25"/>
        </w:trPr>
        <w:tc>
          <w:tcPr>
            <w:tcW w:w="2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Trademarks and trade names</w:t>
            </w:r>
          </w:p>
        </w:tc>
        <w:tc>
          <w:tcPr>
            <w:tcW w:w="98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193"/>
        </w:trPr>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259,016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259,016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(229,846)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(227,286)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31,730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expense for definite lived intangible assets was $2.6 million and $2.6 million for the six months ended June 30, 2023 and 2022, respectively ($1.3 million and $1.3 million for the second quarter of 2023 and 2022, respectively). Forecasted annual definite lived intangible asset amortization expense for 2023 through 2027 is $5.1 million, $5.1 million, $5.1 million, $4.9 million and $4.7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06"/>
        </w:trPr>
        <w:tc>
          <w:tcPr>
            <w:tcW w:w="816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5"/>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6"/>
        </w:trPr>
        <w:tc>
          <w:tcPr>
            <w:tcW w:w="8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9 — ACCOUNTS PAYABLE, ACCRUED EXPENSES AND OTHER CURRENT LIABILITIES</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8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1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1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8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8"/>
        </w:trPr>
        <w:tc>
          <w:tcPr>
            <w:tcW w:w="8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25"/>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11,858</w:t>
            </w:r>
          </w:p>
        </w:tc>
        <w:tc>
          <w:tcPr>
            <w:tcW w:w="0" w:type="dxa"/>
            <w:vAlign w:val="bottom"/>
          </w:tcPr>
          <w:p>
            <w:pPr>
              <w:spacing w:after="0"/>
              <w:rPr>
                <w:sz w:val="1"/>
                <w:szCs w:val="1"/>
                <w:color w:val="auto"/>
              </w:rPr>
            </w:pPr>
          </w:p>
        </w:tc>
      </w:tr>
      <w:tr>
        <w:trPr>
          <w:trHeight w:val="22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193"/>
        </w:trPr>
        <w:tc>
          <w:tcPr>
            <w:tcW w:w="8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32,320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33,507</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1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06"/>
        </w:trPr>
        <w:tc>
          <w:tcPr>
            <w:tcW w:w="816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4"/>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93"/>
        </w:trPr>
        <w:tc>
          <w:tcPr>
            <w:tcW w:w="8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2,585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WARRANT LIABILITY</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14, 2023, the lenders under the Amended Credit Agreement (see Note 11 for additional information) received warrants (the “Warrants”) to purchase 3,223,851 shares of Altisource common stock (the “Warrant Shares”). The number of Warrant Shares is subject to reduction based on the amount of par paydowns on the senior secured term loans (“SSTL”) in the aggregate using proceeds from issuances of equity interests or from junior indebtedness made prior to February 14, 2024 (“Aggregate Paydowns”) as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Aggregate Paydowns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 Shares</w:t>
            </w:r>
          </w:p>
        </w:tc>
      </w:tr>
      <w:tr>
        <w:trPr>
          <w:trHeight w:val="237"/>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$20 million</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3,223,851</w:t>
            </w:r>
          </w:p>
        </w:tc>
      </w:tr>
      <w:tr>
        <w:trPr>
          <w:trHeight w:val="231"/>
        </w:trPr>
        <w:tc>
          <w:tcPr>
            <w:tcW w:w="920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2,578,743</w:t>
            </w:r>
          </w:p>
        </w:tc>
      </w:tr>
      <w:tr>
        <w:trPr>
          <w:trHeight w:val="246"/>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r>
    </w:tbl>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2023, the Company made payments toward the determination of Aggregate Paydowns of $20 million. As a result, the number of Warrant Shares as of June 30, 2023 is 2,578,743.</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 exercised on May 22, 2027. The Warrants are subject to a lock-up agreement, subject to customary exceptions, ending two business days after the paydown measurement date.</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Company determined that the Warrants are free standing financial instruments that are legally detachable and separately exercisable from the term loans under the Amended Credit Agreement. The Company also determined that the Warrants are not considered to be indexed to the Company’s stock because the number of Warrant Shares varies based on Aggregate Paydowns and as such are required to be classified as a liability pursuant to ASC 815-40,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Hedging–Contracts in Entity’s Own Equity</w:t>
      </w:r>
      <w:r>
        <w:rPr>
          <w:rFonts w:ascii="Arial" w:cs="Arial" w:eastAsia="Arial" w:hAnsi="Arial"/>
          <w:sz w:val="18"/>
          <w:szCs w:val="18"/>
          <w:color w:val="auto"/>
        </w:rPr>
        <w:t>. The outstanding Warrants are recognized as a warrant liability on the balance sheet and are measured at their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date fair value and subsequently re-measured at each reporting period with changes being recorded as a component of other income (expense) in the statement of operations.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warrant liability is based on the number of Warrant Shares that are expected to be exercisable on and after February 14, 2024 and the Altisource share price less $0.01 at the measurement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warrant liability at each of the respective valuation dates is summarized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Warrant Liability</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Warrant Shares based on</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1"/>
              </w:rPr>
              <w:t>Expected Warrant Shares that will be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 per</w:t>
            </w:r>
          </w:p>
        </w:tc>
        <w:tc>
          <w:tcPr>
            <w:tcW w:w="24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Aggregate Paydowns</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exercisable on February 14, 2024</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Warrant Share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65"/>
        </w:trPr>
        <w:tc>
          <w:tcPr>
            <w:tcW w:w="32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Fair value at initial measurement date of</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3,223,851</w:t>
            </w:r>
          </w:p>
        </w:tc>
        <w:tc>
          <w:tcPr>
            <w:tcW w:w="2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$5.02</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14, 2023</w:t>
            </w:r>
          </w:p>
        </w:tc>
        <w:tc>
          <w:tcPr>
            <w:tcW w:w="2180" w:type="dxa"/>
            <w:vAlign w:val="bottom"/>
            <w:vMerge w:val="continue"/>
            <w:shd w:val="clear" w:color="auto" w:fill="CCEEFF"/>
          </w:tcPr>
          <w:p>
            <w:pPr>
              <w:spacing w:after="0"/>
              <w:rPr>
                <w:sz w:val="19"/>
                <w:szCs w:val="19"/>
                <w:color w:val="auto"/>
              </w:rPr>
            </w:pPr>
          </w:p>
        </w:tc>
        <w:tc>
          <w:tcPr>
            <w:tcW w:w="28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20"/>
              <w:spacing w:after="0" w:line="173" w:lineRule="exact"/>
              <w:rPr>
                <w:sz w:val="20"/>
                <w:szCs w:val="20"/>
                <w:color w:val="auto"/>
              </w:rPr>
            </w:pPr>
            <w:r>
              <w:rPr>
                <w:rFonts w:ascii="Arial" w:cs="Arial" w:eastAsia="Arial" w:hAnsi="Arial"/>
                <w:sz w:val="18"/>
                <w:szCs w:val="18"/>
                <w:color w:val="auto"/>
              </w:rPr>
              <w:t>Gain on change in fair value of warrant</w:t>
            </w:r>
          </w:p>
        </w:tc>
        <w:tc>
          <w:tcPr>
            <w:tcW w:w="21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4"/>
        </w:trPr>
        <w:tc>
          <w:tcPr>
            <w:tcW w:w="3220" w:type="dxa"/>
            <w:vAlign w:val="bottom"/>
          </w:tcPr>
          <w:p>
            <w:pPr>
              <w:ind w:left="20"/>
              <w:spacing w:after="0"/>
              <w:rPr>
                <w:sz w:val="20"/>
                <w:szCs w:val="20"/>
                <w:color w:val="auto"/>
              </w:rPr>
            </w:pPr>
            <w:r>
              <w:rPr>
                <w:rFonts w:ascii="Arial" w:cs="Arial" w:eastAsia="Arial" w:hAnsi="Arial"/>
                <w:sz w:val="18"/>
                <w:szCs w:val="18"/>
                <w:color w:val="auto"/>
              </w:rPr>
              <w:t>liability</w:t>
            </w:r>
          </w:p>
        </w:tc>
        <w:tc>
          <w:tcPr>
            <w:tcW w:w="21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March 31, 2023</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2,578,743</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$4.59</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173"/>
        </w:trPr>
        <w:tc>
          <w:tcPr>
            <w:tcW w:w="3220" w:type="dxa"/>
            <w:vAlign w:val="bottom"/>
          </w:tcPr>
          <w:p>
            <w:pPr>
              <w:ind w:left="20"/>
              <w:spacing w:after="0" w:line="173" w:lineRule="exact"/>
              <w:rPr>
                <w:sz w:val="20"/>
                <w:szCs w:val="20"/>
                <w:color w:val="auto"/>
              </w:rPr>
            </w:pPr>
            <w:r>
              <w:rPr>
                <w:rFonts w:ascii="Arial" w:cs="Arial" w:eastAsia="Arial" w:hAnsi="Arial"/>
                <w:sz w:val="18"/>
                <w:szCs w:val="18"/>
                <w:color w:val="auto"/>
              </w:rPr>
              <w:t>Loss on change in fair value of warrant</w:t>
            </w:r>
          </w:p>
        </w:tc>
        <w:tc>
          <w:tcPr>
            <w:tcW w:w="21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24"/>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liability</w:t>
            </w:r>
          </w:p>
        </w:tc>
        <w:tc>
          <w:tcPr>
            <w:tcW w:w="21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June 30, 2023</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2,578,743</w:t>
            </w:r>
          </w:p>
        </w:tc>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$5.69</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2023, the Company recorded a loss on changes in fair value of warrant liability of $1.1 million ($1.8 million for the second quarter of 2023). During the three and six months ended June 30, 2022, there were no warrant liabilities outstanding.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25"/>
        </w:trPr>
        <w:tc>
          <w:tcPr>
            <w:tcW w:w="8140" w:type="dxa"/>
            <w:vAlign w:val="bottom"/>
          </w:tcPr>
          <w:p>
            <w:pPr>
              <w:ind w:left="140"/>
              <w:spacing w:after="0"/>
              <w:rPr>
                <w:sz w:val="20"/>
                <w:szCs w:val="20"/>
                <w:color w:val="auto"/>
              </w:rPr>
            </w:pPr>
            <w:r>
              <w:rPr>
                <w:rFonts w:ascii="Arial" w:cs="Arial" w:eastAsia="Arial" w:hAnsi="Arial"/>
                <w:sz w:val="18"/>
                <w:szCs w:val="18"/>
                <w:color w:val="auto"/>
              </w:rPr>
              <w:t>Less: Debt issuance and amendment costs,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Unamortized discount, net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Net Senior secured term loans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218,084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245,493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Revolver</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Debt issuance costs, net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Arial" w:cs="Arial" w:eastAsia="Arial" w:hAnsi="Arial"/>
                <w:sz w:val="18"/>
                <w:szCs w:val="18"/>
                <w:color w:val="auto"/>
              </w:rPr>
              <w:t>Net Revolver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6"/>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217,881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245,230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SSTL. Effective February 14, 2023, Altisource Portfolio Solutions S.A. and Altisource S.à r.l. entered into Amendment No. 2 to the Credit Agreement (as amended by Amendment No. 2, the “Amended Credit Agreement”). Altisource Portfolio Solutions S.A. and certain subsidiaries are guarantors of the SSTL (collectively, the “Guarantors”).</w:t>
      </w:r>
    </w:p>
    <w:p>
      <w:pPr>
        <w:spacing w:after="0" w:line="14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maturity date of the SSTL under the Amended Credit Agreement is April 30, 2025. If Aggregate Paydowns are equal to or greater than $30 million, then (subject to the representations and warranties being true and correct as of such date and there being no default or event of default being in existence as of such date) the maturity date of the SSTL may be extended at the Company’s option to April 30, 2026. Such extension is conditioned upon the Company’s payment of a 2% payment-in-kind extension fee. In February 2023, the Company made payments of $20 million toward the determination of Aggregate Paydowns.</w:t>
      </w:r>
    </w:p>
    <w:p>
      <w:pPr>
        <w:spacing w:after="0" w:line="9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35" w:lineRule="exact"/>
        <w:rPr>
          <w:sz w:val="20"/>
          <w:szCs w:val="20"/>
          <w:color w:val="auto"/>
        </w:rPr>
      </w:pPr>
    </w:p>
    <w:p>
      <w:pPr>
        <w:jc w:val="both"/>
        <w:ind w:right="80"/>
        <w:spacing w:after="0" w:line="306" w:lineRule="auto"/>
        <w:rPr>
          <w:sz w:val="20"/>
          <w:szCs w:val="20"/>
          <w:color w:val="auto"/>
        </w:rPr>
      </w:pPr>
      <w:r>
        <w:rPr>
          <w:rFonts w:ascii="Arial" w:cs="Arial" w:eastAsia="Arial" w:hAnsi="Arial"/>
          <w:sz w:val="15"/>
          <w:szCs w:val="15"/>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If the Company selects SOFR, the term loans initially bear interest at a rate per annum equal to SOFR plus 5.00% payable in cash plus 5.00% payable in kind (“PIK”). If the Company selects Base Rate, the loans initially bear interest at a rate per annum equal to the Base Rate plus 4.00% payable in cash plus 5.00% PIK. Base Rate term loans bear interest at a rate per annum equal to the sum of (i) the greater of (x) the Base Rate and (y) 2.00% plus (ii) 4.00%. The PIK component of the interest rate is subject to adjustment based on the amount of Aggregate Paydowns as set forth in the table below. Based on Aggregate Paydowns of $20 million through June 30, 2023, the PIK component of the interest rate was 4.50%. The interest rate as of June 30, 2023 was 14.49%.</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ind w:left="3940"/>
              <w:spacing w:after="0"/>
              <w:rPr>
                <w:sz w:val="20"/>
                <w:szCs w:val="20"/>
                <w:color w:val="auto"/>
              </w:rPr>
            </w:pPr>
            <w:r>
              <w:rPr>
                <w:rFonts w:ascii="Arial" w:cs="Arial" w:eastAsia="Arial" w:hAnsi="Arial"/>
                <w:sz w:val="14"/>
                <w:szCs w:val="14"/>
                <w:b w:val="1"/>
                <w:bCs w:val="1"/>
                <w:color w:val="auto"/>
              </w:rPr>
              <w:t>Aggregate Paydowns</w:t>
            </w:r>
          </w:p>
        </w:tc>
        <w:tc>
          <w:tcPr>
            <w:tcW w:w="3980" w:type="dxa"/>
            <w:vAlign w:val="bottom"/>
          </w:tcPr>
          <w:p>
            <w:pPr>
              <w:jc w:val="center"/>
              <w:ind w:left="1873"/>
              <w:spacing w:after="0"/>
              <w:rPr>
                <w:sz w:val="20"/>
                <w:szCs w:val="20"/>
                <w:color w:val="auto"/>
              </w:rPr>
            </w:pPr>
            <w:r>
              <w:rPr>
                <w:rFonts w:ascii="Arial" w:cs="Arial" w:eastAsia="Arial" w:hAnsi="Arial"/>
                <w:sz w:val="14"/>
                <w:szCs w:val="14"/>
                <w:b w:val="1"/>
                <w:bCs w:val="1"/>
                <w:color w:val="auto"/>
                <w:w w:val="93"/>
              </w:rPr>
              <w:t>PIK Component of Interest Rate</w:t>
            </w:r>
          </w:p>
        </w:tc>
      </w:tr>
      <w:tr>
        <w:trPr>
          <w:trHeight w:val="24"/>
        </w:trPr>
        <w:tc>
          <w:tcPr>
            <w:tcW w:w="71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$20 million</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5.00%</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4.50%</w:t>
            </w:r>
          </w:p>
        </w:tc>
      </w:tr>
      <w:tr>
        <w:trPr>
          <w:trHeight w:val="24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 but less than below</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3.75%</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$40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3.50%</w:t>
            </w:r>
          </w:p>
        </w:tc>
      </w:tr>
      <w:tr>
        <w:trPr>
          <w:trHeight w:val="24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 million+ but less than below</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3.00%</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$50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2.50%</w:t>
            </w:r>
          </w:p>
        </w:tc>
      </w:tr>
      <w:tr>
        <w:trPr>
          <w:trHeight w:val="23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 million+ but less than below</w:t>
            </w:r>
          </w:p>
        </w:tc>
        <w:tc>
          <w:tcPr>
            <w:tcW w:w="3980" w:type="dxa"/>
            <w:vAlign w:val="bottom"/>
            <w:tcBorders>
              <w:bottom w:val="single" w:sz="8" w:color="CCEEFF"/>
            </w:tcBorders>
            <w:shd w:val="clear" w:color="auto" w:fill="CCEEFF"/>
          </w:tcPr>
          <w:p>
            <w:pPr>
              <w:jc w:val="center"/>
              <w:ind w:left="1873"/>
              <w:spacing w:after="0"/>
              <w:rPr>
                <w:sz w:val="20"/>
                <w:szCs w:val="20"/>
                <w:color w:val="auto"/>
              </w:rPr>
            </w:pPr>
            <w:r>
              <w:rPr>
                <w:rFonts w:ascii="Arial" w:cs="Arial" w:eastAsia="Arial" w:hAnsi="Arial"/>
                <w:sz w:val="18"/>
                <w:szCs w:val="18"/>
                <w:color w:val="auto"/>
                <w:w w:val="90"/>
              </w:rPr>
              <w:t>2.00%</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$60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1.00%</w:t>
            </w:r>
          </w:p>
        </w:tc>
      </w:tr>
      <w:tr>
        <w:trPr>
          <w:trHeight w:val="24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 million+ but less than below</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0.50%</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$70 million+</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0.00%</w:t>
            </w:r>
          </w:p>
        </w:tc>
      </w:tr>
    </w:tbl>
    <w:p>
      <w:pPr>
        <w:spacing w:after="0" w:line="254"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 (iii) breach of certain other covenants, subject to cure periods described in the Amended Credit Agreement, (iv) failure to pay principal or interest on any other debt that equals or exceeds $5.0 million when due, (v) default on any other debt that equals or exceeds $5.0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$10.0 million that remain unbonded, undischarged or unstayed for a certain number of days after the entry thereof, (ix) the occurrence of certain ERISA events, (x) the failure of certain Loan Documents to be in full force and effect and (xi) failure to comply in any material respects with the terms of the Warrants or the Warrant Purchase Agreement. If any event of default occurs and is not cured within applicable grace periods set forth in the Credit Agreement or waived, all loans and other obligations could become due and immediately payable and the facility could be terminated.</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lenders under the Amended Credit Agreement received Warrants to purchase 3,223,851 shares of Altisource common stock. The number of Warrant Shares is subject to reduction based on the amount of Aggregate Paydowns (see Note 10 for additional information).</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the Warrants on February 14, 2023 was $8.1 million and was recorded as an increase in debt discount. In connection with Amendment No. 2, the Company paid $4.8 million to the lenders and to third parties on behalf of the lenders. The $4.8 million payment was recorded as an increase in debt issuance and amendment costs. In connection with Amendment No. 2, the Company paid $3.3 million to advisors and recorded these payments as other expense in the condensed consolidated statements of operations and comprehensive loss.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Deer Park Road Management Company, LP (“Deer Park”), a related party, owns approximately 20% of Altisource’s common stock and $41.6 million of Altisource debt under the Amended Credit Agreement as of June 30, 2023. Deer Park’s Chief Investment Officer and managing partner was a member of Altisource’s Board of Directors until his resignation on March 1, 2022. The replacement director appointed by the Board of Directors is a current employee of Deer Park. In connection with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Deer Park received 583 thousand Warrants. During the six months ended June 30, 2023, Deer Park received interest of $2.0 million from the Altisource SSTL.</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2023, debt issuance and amendment costs were $4.6 million, net of $4.8 million of accumulated amortization. As of December 31, 2022, debt issuance costs were $0.9 million, net of $3.6 million of accumulated amortization.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On June 22, 2021 Altisource S.à r.l, a subsidiary of Altisource Portfolio Solutions S.A., entered into a revolving credit facility with STS Master Fund, Ltd.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(“STS”) (the “Revolver”). STS is an investment fund managed by Deer Park.</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2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Amended Revolver or waived, all loans and other obligations could become due and immediately payable and the facility could be terminated.</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and December 31, 2022, there was no outstanding debt under the Amended Revolver and Revolver, respectively. As of June 30, 2023 and December 31, 2022, debt issuance costs were $0.2 million, net of $0.3 million of accumulated amortization, and $0.3 million, net of $0.3 million of accumulated amortization,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97"/>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4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4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3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4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18,869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19,536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380" w:type="dxa"/>
            <w:vAlign w:val="bottom"/>
            <w:vMerge w:val="restart"/>
          </w:tcPr>
          <w:p>
            <w:pPr>
              <w:jc w:val="right"/>
              <w:ind w:right="23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37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76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AND FINANCIAL INSTRUMENTS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June 30, 2023 and December 31, 2022. The following fair values are estimated using market information and what the Company believes to be appropriate valuation methodologies under GAAP: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6"/>
          </w:tcPr>
          <w:p>
            <w:pPr>
              <w:ind w:left="440"/>
              <w:spacing w:after="0"/>
              <w:rPr>
                <w:sz w:val="20"/>
                <w:szCs w:val="20"/>
                <w:color w:val="auto"/>
              </w:rPr>
            </w:pPr>
            <w:r>
              <w:rPr>
                <w:rFonts w:ascii="Arial" w:cs="Arial" w:eastAsia="Arial" w:hAnsi="Arial"/>
                <w:sz w:val="14"/>
                <w:szCs w:val="14"/>
                <w:b w:val="1"/>
                <w:bCs w:val="1"/>
                <w:color w:val="auto"/>
              </w:rPr>
              <w:t>June 30, 2023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2022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0"/>
                <w:szCs w:val="10"/>
                <w:color w:val="auto"/>
              </w:rPr>
            </w:pPr>
          </w:p>
        </w:tc>
        <w:tc>
          <w:tcPr>
            <w:tcW w:w="800" w:type="dxa"/>
            <w:vAlign w:val="bottom"/>
          </w:tcPr>
          <w:p>
            <w:pPr>
              <w:jc w:val="right"/>
              <w:ind w:right="117"/>
              <w:spacing w:after="0" w:line="126"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97"/>
              <w:spacing w:after="0" w:line="126"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1"/>
              </w:rPr>
              <w:t>Fair value</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76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8"/>
              </w:rPr>
              <w:t>Level 2</w:t>
            </w:r>
          </w:p>
        </w:tc>
        <w:tc>
          <w:tcPr>
            <w:tcW w:w="78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receivable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term loans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our SSTL is based on quoted market prices. Based on the frequency of trading, we do not believe that there is an active market for our debt.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Therefore, the quoted prices are considered Level 2 inputs.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We measure short-term receivables without a stated interest rate based on the present value of the future payments.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Warrant liability is carried at fair value. The fair value of the warrant liability is based on the number of Warrant Shares that are expected to be exercisable and the Altisource share price less $0.01 at the measurement date. The Warrant liability is measured using Level 3 inputs as the determination of fair value includes various assumptions of future Aggregate Paydowns (see Note 10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40% and 42% of its revenue from Ocwen for the three and six months ended June 30, 2023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35" w:lineRule="exact"/>
        <w:rPr>
          <w:sz w:val="20"/>
          <w:szCs w:val="20"/>
          <w:color w:val="auto"/>
        </w:rPr>
      </w:pPr>
    </w:p>
    <w:p>
      <w:pPr>
        <w:ind w:right="4780"/>
        <w:spacing w:after="0" w:line="433" w:lineRule="auto"/>
        <w:rPr>
          <w:sz w:val="20"/>
          <w:szCs w:val="20"/>
          <w:color w:val="auto"/>
        </w:rPr>
      </w:pPr>
      <w:r>
        <w:rPr>
          <w:rFonts w:ascii="Arial" w:cs="Arial" w:eastAsia="Arial" w:hAnsi="Arial"/>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June 30, 2023, approximately 3.1 million shares of common stock remain available for repurchase under the program. There were no purchases of shares of common stock during the six months ended June 30, 2023 and 2022. Luxembourg law limits share repurchases to the balance of Altisource Portfolio Solutions S.A. (unconsolidated parent company) retained earnings, less the value of shares repurchased. As of June 30, 2023, we can repurchase up to approximately $61 million of our common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2" w:lineRule="exact"/>
        <w:rPr>
          <w:sz w:val="20"/>
          <w:szCs w:val="20"/>
          <w:color w:val="auto"/>
        </w:rPr>
      </w:pPr>
    </w:p>
    <w:p>
      <w:pPr>
        <w:ind w:right="1360"/>
        <w:spacing w:after="0" w:line="430" w:lineRule="auto"/>
        <w:rPr>
          <w:sz w:val="20"/>
          <w:szCs w:val="20"/>
          <w:color w:val="auto"/>
        </w:rPr>
      </w:pPr>
      <w:r>
        <w:rPr>
          <w:rFonts w:ascii="Arial" w:cs="Arial" w:eastAsia="Arial" w:hAnsi="Arial"/>
          <w:sz w:val="18"/>
          <w:szCs w:val="18"/>
          <w:color w:val="auto"/>
        </w:rPr>
        <w:t xml:space="preserve">under Luxembourg law. Under the Amended Credit Agreement, we are not permitted to repurchase shares except for limited circumstances. </w:t>
      </w:r>
      <w:r>
        <w:rPr>
          <w:rFonts w:ascii="Arial" w:cs="Arial" w:eastAsia="Arial" w:hAnsi="Arial"/>
          <w:sz w:val="18"/>
          <w:szCs w:val="18"/>
          <w:b w:val="1"/>
          <w:bCs w:val="1"/>
          <w:color w:val="auto"/>
        </w:rPr>
        <w:t>Public offering of Common Stock</w:t>
      </w:r>
    </w:p>
    <w:p>
      <w:pPr>
        <w:jc w:val="both"/>
        <w:spacing w:after="0" w:line="294" w:lineRule="auto"/>
        <w:rPr>
          <w:sz w:val="20"/>
          <w:szCs w:val="20"/>
          <w:color w:val="auto"/>
        </w:rPr>
      </w:pPr>
      <w:r>
        <w:rPr>
          <w:rFonts w:ascii="Arial" w:cs="Arial" w:eastAsia="Arial" w:hAnsi="Arial"/>
          <w:sz w:val="17"/>
          <w:szCs w:val="17"/>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$2.7 million and $2.6 million for the six months ended June 30, 2023 and 2022, respectively ($1.2 million and $1.3 million for the second quarter of 2023 and 2022, respectively). As of June 30, 2023, estimated unrecognized compensation costs related to share-based awards amounted to $4.5 million, which we expect to recognize over a weighted average remaining requisite service period of approximately 1.28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64" w:lineRule="exact"/>
        <w:rPr>
          <w:sz w:val="20"/>
          <w:szCs w:val="20"/>
          <w:color w:val="auto"/>
        </w:rPr>
      </w:pPr>
    </w:p>
    <w:p>
      <w:pPr>
        <w:jc w:val="both"/>
        <w:ind w:left="320"/>
        <w:spacing w:after="0" w:line="365" w:lineRule="auto"/>
        <w:rPr>
          <w:sz w:val="20"/>
          <w:szCs w:val="20"/>
          <w:color w:val="auto"/>
        </w:rPr>
      </w:pPr>
      <w:r>
        <w:rPr>
          <w:rFonts w:ascii="Arial" w:cs="Arial" w:eastAsia="Arial" w:hAnsi="Arial"/>
          <w:sz w:val="15"/>
          <w:szCs w:val="15"/>
          <w:i w:val="1"/>
          <w:iCs w:val="1"/>
          <w:color w:val="auto"/>
        </w:rPr>
        <w:t xml:space="preserve">Service-Based Options. </w:t>
      </w:r>
      <w:r>
        <w:rPr>
          <w:rFonts w:ascii="Arial" w:cs="Arial" w:eastAsia="Arial" w:hAnsi="Arial"/>
          <w:sz w:val="15"/>
          <w:szCs w:val="15"/>
          <w:color w:val="auto"/>
        </w:rPr>
        <w:t>These options generally vest over three or four years with equal annual vesting and generally expire on the earlier of ten years</w:t>
      </w:r>
      <w:r>
        <w:rPr>
          <w:rFonts w:ascii="Arial" w:cs="Arial" w:eastAsia="Arial" w:hAnsi="Arial"/>
          <w:sz w:val="15"/>
          <w:szCs w:val="15"/>
          <w:i w:val="1"/>
          <w:iCs w:val="1"/>
          <w:color w:val="auto"/>
        </w:rPr>
        <w:t xml:space="preserve"> </w:t>
      </w:r>
      <w:r>
        <w:rPr>
          <w:rFonts w:ascii="Arial" w:cs="Arial" w:eastAsia="Arial" w:hAnsi="Arial"/>
          <w:sz w:val="15"/>
          <w:szCs w:val="15"/>
          <w:color w:val="auto"/>
        </w:rPr>
        <w:t>after the date of grant or following termination of service. A total of 186 thousand service-based options were outstanding as of June 30, 2023.</w:t>
      </w:r>
    </w:p>
    <w:p>
      <w:pPr>
        <w:spacing w:after="0" w:line="58" w:lineRule="exact"/>
        <w:rPr>
          <w:sz w:val="20"/>
          <w:szCs w:val="20"/>
          <w:color w:val="auto"/>
        </w:rPr>
      </w:pPr>
    </w:p>
    <w:p>
      <w:pPr>
        <w:jc w:val="both"/>
        <w:ind w:left="320"/>
        <w:spacing w:after="0" w:line="303" w:lineRule="auto"/>
        <w:rPr>
          <w:sz w:val="20"/>
          <w:szCs w:val="20"/>
          <w:color w:val="auto"/>
        </w:rPr>
      </w:pPr>
      <w:r>
        <w:rPr>
          <w:rFonts w:ascii="Arial" w:cs="Arial" w:eastAsia="Arial" w:hAnsi="Arial"/>
          <w:sz w:val="15"/>
          <w:szCs w:val="15"/>
          <w:i w:val="1"/>
          <w:iCs w:val="1"/>
          <w:color w:val="auto"/>
        </w:rPr>
        <w:t>Market-Based Options</w:t>
      </w:r>
      <w:r>
        <w:rPr>
          <w:rFonts w:ascii="Arial" w:cs="Arial" w:eastAsia="Arial" w:hAnsi="Arial"/>
          <w:sz w:val="15"/>
          <w:szCs w:val="15"/>
          <w:color w:val="auto"/>
        </w:rPr>
        <w:t>. These option grants generally have two components, each of which vests only upon the achievement of certain criteria. The first</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June 30, 2023.</w:t>
      </w:r>
    </w:p>
    <w:p>
      <w:pPr>
        <w:spacing w:after="0" w:line="107"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generally will vest if certain specific financial measures are achieved; typically with one-fourth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June 30, 2023.</w:t>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stock option grants during the six months ended June 30, 2023. The Company granted 105 thousand stock options (at a weighted average exercise price of $11.86 per share) for the six months ended June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performance-based options are determined using the Black-Scholes option pricing model. The following assumptions were used to determine the fair values as of the grant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89"/>
        </w:trPr>
        <w:tc>
          <w:tcPr>
            <w:tcW w:w="9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2022</w:t>
            </w:r>
          </w:p>
        </w:tc>
      </w:tr>
      <w:tr>
        <w:trPr>
          <w:trHeight w:val="191"/>
        </w:trPr>
        <w:tc>
          <w:tcPr>
            <w:tcW w:w="9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Black-Scholes</w:t>
            </w:r>
          </w:p>
        </w:tc>
      </w:tr>
      <w:tr>
        <w:trPr>
          <w:trHeight w:val="199"/>
        </w:trPr>
        <w:tc>
          <w:tcPr>
            <w:tcW w:w="9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8"/>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5"/>
        </w:trPr>
        <w:tc>
          <w:tcPr>
            <w:tcW w:w="9580" w:type="dxa"/>
            <w:vAlign w:val="bottom"/>
          </w:tcPr>
          <w:p>
            <w:pPr>
              <w:ind w:left="20"/>
              <w:spacing w:after="0"/>
              <w:rPr>
                <w:sz w:val="20"/>
                <w:szCs w:val="20"/>
                <w:color w:val="auto"/>
              </w:rPr>
            </w:pPr>
            <w:r>
              <w:rPr>
                <w:rFonts w:ascii="Arial" w:cs="Arial" w:eastAsia="Arial" w:hAnsi="Arial"/>
                <w:sz w:val="18"/>
                <w:szCs w:val="18"/>
                <w:color w:val="auto"/>
              </w:rPr>
              <w:t>Expected stock price volatility (%)</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67.75</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9580" w:type="dxa"/>
            <w:vAlign w:val="bottom"/>
          </w:tcPr>
          <w:p>
            <w:pPr>
              <w:ind w:left="20"/>
              <w:spacing w:after="0"/>
              <w:rPr>
                <w:sz w:val="20"/>
                <w:szCs w:val="20"/>
                <w:color w:val="auto"/>
              </w:rPr>
            </w:pPr>
            <w:r>
              <w:rPr>
                <w:rFonts w:ascii="Arial" w:cs="Arial" w:eastAsia="Arial" w:hAnsi="Arial"/>
                <w:sz w:val="18"/>
                <w:szCs w:val="18"/>
                <w:color w:val="auto"/>
              </w:rPr>
              <w:t>Expected option life (in years)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2"/>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bl>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 date fair value of stock options that vested during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609"/>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Weighted average grant date fair value of stock options granted per share</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5"/>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Intrinsic value of options exercised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463"/>
        </w:trPr>
        <w:tc>
          <w:tcPr>
            <w:tcW w:w="5240" w:type="dxa"/>
            <w:vAlign w:val="bottom"/>
            <w:gridSpan w:val="2"/>
          </w:tcPr>
          <w:p>
            <w:pPr>
              <w:spacing w:after="0"/>
              <w:rPr>
                <w:sz w:val="20"/>
                <w:szCs w:val="20"/>
                <w:color w:val="auto"/>
              </w:rPr>
            </w:pPr>
            <w:r>
              <w:rPr>
                <w:rFonts w:ascii="Arial" w:cs="Arial" w:eastAsia="Arial" w:hAnsi="Arial"/>
                <w:sz w:val="18"/>
                <w:szCs w:val="18"/>
                <w:color w:val="auto"/>
                <w:w w:val="91"/>
              </w:rPr>
              <w:t>The following table summarizes the activity related to our stock options: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Weighted average</w:t>
            </w:r>
          </w:p>
        </w:tc>
        <w:tc>
          <w:tcPr>
            <w:tcW w:w="126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60" w:type="dxa"/>
            <w:vAlign w:val="bottom"/>
          </w:tcPr>
          <w:p>
            <w:pPr>
              <w:jc w:val="center"/>
              <w:ind w:right="78"/>
              <w:spacing w:after="0" w:line="142" w:lineRule="exact"/>
              <w:rPr>
                <w:sz w:val="20"/>
                <w:szCs w:val="20"/>
                <w:color w:val="auto"/>
              </w:rPr>
            </w:pPr>
            <w:r>
              <w:rPr>
                <w:rFonts w:ascii="Arial" w:cs="Arial" w:eastAsia="Arial" w:hAnsi="Arial"/>
                <w:sz w:val="14"/>
                <w:szCs w:val="14"/>
                <w:b w:val="1"/>
                <w:bCs w:val="1"/>
                <w:color w:val="auto"/>
                <w:w w:val="92"/>
              </w:rPr>
              <w:t>contractual term</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38"/>
              <w:spacing w:after="0" w:line="142"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exercise price</w:t>
            </w:r>
          </w:p>
        </w:tc>
        <w:tc>
          <w:tcPr>
            <w:tcW w:w="1260" w:type="dxa"/>
            <w:vAlign w:val="bottom"/>
          </w:tcPr>
          <w:p>
            <w:pPr>
              <w:jc w:val="center"/>
              <w:ind w:right="78"/>
              <w:spacing w:after="0"/>
              <w:rPr>
                <w:sz w:val="20"/>
                <w:szCs w:val="20"/>
                <w:color w:val="auto"/>
              </w:rPr>
            </w:pPr>
            <w:r>
              <w:rPr>
                <w:rFonts w:ascii="Arial" w:cs="Arial" w:eastAsia="Arial" w:hAnsi="Arial"/>
                <w:sz w:val="14"/>
                <w:szCs w:val="14"/>
                <w:b w:val="1"/>
                <w:bCs w:val="1"/>
                <w:i w:val="1"/>
                <w:iCs w:val="1"/>
                <w:color w:val="auto"/>
                <w:w w:val="86"/>
              </w:rPr>
              <w:t>(in years)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i w:val="1"/>
                <w:iCs w:val="1"/>
                <w:color w:val="auto"/>
                <w:w w:val="87"/>
              </w:rPr>
              <w:t>(in thousands)</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Exercisable as of June 30, 2023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13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one-to-four-year periods. A total of 948 thousand service-based awards were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w:t>
      </w:r>
    </w:p>
    <w:p>
      <w:pPr>
        <w:spacing w:after="0" w:line="128"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generally one-third vests on each anniversary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143 thousand performance-based awards were outstanding as of June 30, 2023.</w:t>
      </w:r>
    </w:p>
    <w:p>
      <w:pPr>
        <w:spacing w:after="0" w:line="126"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i w:val="1"/>
          <w:iCs w:val="1"/>
          <w:color w:val="auto"/>
        </w:rPr>
        <w:t xml:space="preserve">Market-Based Awards. </w:t>
      </w:r>
      <w:r>
        <w:rPr>
          <w:rFonts w:ascii="Arial" w:cs="Arial" w:eastAsia="Arial" w:hAnsi="Arial"/>
          <w:sz w:val="18"/>
          <w:szCs w:val="18"/>
          <w:color w:val="auto"/>
        </w:rPr>
        <w:t>50% of these awards generally vest if certain specific market conditions are achieved over a 30-day period and the remaining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awards generally vest on the one year anniversary of the initial vesting. The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2"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Company estimates the grant date fair value of these awards using a lattice (binomial) model. A total of 112 thousand market-based awards were outstanding as of June 30, 2023.</w:t>
      </w:r>
    </w:p>
    <w:p>
      <w:pPr>
        <w:spacing w:after="0" w:line="128" w:lineRule="exact"/>
        <w:rPr>
          <w:sz w:val="20"/>
          <w:szCs w:val="20"/>
          <w:color w:val="auto"/>
        </w:rPr>
      </w:pPr>
    </w:p>
    <w:p>
      <w:pPr>
        <w:jc w:val="both"/>
        <w:ind w:left="320"/>
        <w:spacing w:after="0" w:line="249"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127 thousand performance-based and market-based awards were outstanding as of June 30, 2023.</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granted 891 thousand restricted share units (at a weighted average grant date fair value of $4.82 per share) during the six months ended June 30, 2023. These grants include 57 thousand awards that include both a performance condition and a market condition and 57 thousand performance-based awards, for the six months ended June 30, 2023. The Company granted 46 thousand awards that include both a performance condition and a market condition and 46 thousand performance-based awards, for the six months ended June 30,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restricted</w:t>
            </w:r>
          </w:p>
        </w:tc>
      </w:tr>
      <w:tr>
        <w:trPr>
          <w:trHeight w:val="142"/>
        </w:trPr>
        <w:tc>
          <w:tcPr>
            <w:tcW w:w="9580" w:type="dxa"/>
            <w:vAlign w:val="bottom"/>
          </w:tcPr>
          <w:p>
            <w:pPr>
              <w:spacing w:after="0"/>
              <w:rPr>
                <w:sz w:val="12"/>
                <w:szCs w:val="12"/>
                <w:color w:val="auto"/>
              </w:rPr>
            </w:pP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shares and restricted share</w:t>
            </w:r>
          </w:p>
        </w:tc>
      </w:tr>
      <w:tr>
        <w:trPr>
          <w:trHeight w:val="192"/>
        </w:trPr>
        <w:tc>
          <w:tcPr>
            <w:tcW w:w="95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w:t>
            </w:r>
          </w:p>
        </w:tc>
      </w:tr>
      <w:tr>
        <w:trPr>
          <w:trHeight w:val="199"/>
        </w:trPr>
        <w:tc>
          <w:tcPr>
            <w:tcW w:w="95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8"/>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755,006</w:t>
            </w:r>
          </w:p>
        </w:tc>
      </w:tr>
      <w:tr>
        <w:trPr>
          <w:trHeight w:val="225"/>
        </w:trPr>
        <w:tc>
          <w:tcPr>
            <w:tcW w:w="95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890,810</w:t>
            </w:r>
          </w:p>
        </w:tc>
      </w:tr>
      <w:tr>
        <w:trPr>
          <w:trHeight w:val="226"/>
        </w:trPr>
        <w:tc>
          <w:tcPr>
            <w:tcW w:w="9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(187,424)</w:t>
            </w:r>
          </w:p>
        </w:tc>
      </w:tr>
      <w:tr>
        <w:trPr>
          <w:trHeight w:val="238"/>
        </w:trPr>
        <w:tc>
          <w:tcPr>
            <w:tcW w:w="9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Forfeited/canceled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(128,596)</w:t>
            </w:r>
          </w:p>
        </w:tc>
      </w:tr>
      <w:tr>
        <w:trPr>
          <w:trHeight w:val="193"/>
        </w:trPr>
        <w:tc>
          <w:tcPr>
            <w:tcW w:w="95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39"/>
        </w:trPr>
        <w:tc>
          <w:tcPr>
            <w:tcW w:w="9580" w:type="dxa"/>
            <w:vAlign w:val="bottom"/>
          </w:tcPr>
          <w:p>
            <w:pPr>
              <w:ind w:left="20"/>
              <w:spacing w:after="0"/>
              <w:rPr>
                <w:sz w:val="20"/>
                <w:szCs w:val="20"/>
                <w:color w:val="auto"/>
              </w:rPr>
            </w:pPr>
            <w:r>
              <w:rPr>
                <w:rFonts w:ascii="Arial" w:cs="Arial" w:eastAsia="Arial" w:hAnsi="Arial"/>
                <w:sz w:val="18"/>
                <w:szCs w:val="18"/>
                <w:color w:val="auto"/>
              </w:rPr>
              <w:t>Outstanding as of June 30, 2023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1,329,796</w:t>
            </w:r>
          </w:p>
        </w:tc>
      </w:tr>
      <w:tr>
        <w:trPr>
          <w:trHeight w:val="20"/>
        </w:trPr>
        <w:tc>
          <w:tcPr>
            <w:tcW w:w="95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vMerge w:val="restart"/>
          </w:tcPr>
          <w:p>
            <w:pPr>
              <w:jc w:val="right"/>
              <w:ind w:right="175"/>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75,401</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38"/>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572"/>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36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66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segment and major source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3"/>
          </w:tcPr>
          <w:p>
            <w:pPr>
              <w:ind w:left="460"/>
              <w:spacing w:after="0"/>
              <w:rPr>
                <w:sz w:val="20"/>
                <w:szCs w:val="20"/>
                <w:color w:val="auto"/>
              </w:rPr>
            </w:pPr>
            <w:r>
              <w:rPr>
                <w:rFonts w:ascii="Arial" w:cs="Arial" w:eastAsia="Arial" w:hAnsi="Arial"/>
                <w:sz w:val="14"/>
                <w:szCs w:val="14"/>
                <w:b w:val="1"/>
                <w:bCs w:val="1"/>
                <w:color w:val="auto"/>
              </w:rPr>
              <w:t>Three months ended June 30, 2023</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Revenue recognized</w:t>
            </w:r>
          </w:p>
        </w:tc>
        <w:tc>
          <w:tcPr>
            <w:tcW w:w="100" w:type="dxa"/>
            <w:vAlign w:val="bottom"/>
          </w:tcPr>
          <w:p>
            <w:pPr>
              <w:spacing w:after="0"/>
              <w:rPr>
                <w:sz w:val="10"/>
                <w:szCs w:val="10"/>
                <w:color w:val="auto"/>
              </w:rPr>
            </w:pPr>
          </w:p>
        </w:tc>
        <w:tc>
          <w:tcPr>
            <w:tcW w:w="14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9"/>
              </w:rPr>
              <w:t>Revenue related to</w:t>
            </w: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7"/>
              </w:rPr>
              <w:t>when services are</w:t>
            </w:r>
          </w:p>
        </w:tc>
        <w:tc>
          <w:tcPr>
            <w:tcW w:w="100" w:type="dxa"/>
            <w:vAlign w:val="bottom"/>
          </w:tcPr>
          <w:p>
            <w:pPr>
              <w:spacing w:after="0"/>
              <w:rPr>
                <w:sz w:val="11"/>
                <w:szCs w:val="11"/>
                <w:color w:val="auto"/>
              </w:rPr>
            </w:pPr>
          </w:p>
        </w:tc>
        <w:tc>
          <w:tcPr>
            <w:tcW w:w="14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9"/>
              </w:rPr>
              <w:t>technology platforms</w:t>
            </w: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Reimbursable expenses</w:t>
            </w: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vMerge w:val="restart"/>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7"/>
              </w:rPr>
              <w:t>performed or assets</w:t>
            </w:r>
          </w:p>
        </w:tc>
        <w:tc>
          <w:tcPr>
            <w:tcW w:w="10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7"/>
              </w:rPr>
              <w:t>and professional</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are sold</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22,538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2,380</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8,262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30,800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90"/>
              </w:rPr>
              <w:t>Three months ended June 30, 2022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center"/>
              <w:ind w:right="21"/>
              <w:spacing w:after="0" w:line="126" w:lineRule="exact"/>
              <w:rPr>
                <w:sz w:val="20"/>
                <w:szCs w:val="20"/>
                <w:color w:val="auto"/>
              </w:rPr>
            </w:pPr>
            <w:r>
              <w:rPr>
                <w:rFonts w:ascii="Arial" w:cs="Arial" w:eastAsia="Arial" w:hAnsi="Arial"/>
                <w:sz w:val="14"/>
                <w:szCs w:val="14"/>
                <w:b w:val="1"/>
                <w:bCs w:val="1"/>
                <w:color w:val="auto"/>
                <w:w w:val="88"/>
              </w:rPr>
              <w:t>Revenue recognized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81"/>
              <w:spacing w:after="0" w:line="126" w:lineRule="exact"/>
              <w:rPr>
                <w:sz w:val="20"/>
                <w:szCs w:val="20"/>
                <w:color w:val="auto"/>
              </w:rPr>
            </w:pPr>
            <w:r>
              <w:rPr>
                <w:rFonts w:ascii="Arial" w:cs="Arial" w:eastAsia="Arial" w:hAnsi="Arial"/>
                <w:sz w:val="14"/>
                <w:szCs w:val="14"/>
                <w:b w:val="1"/>
                <w:bCs w:val="1"/>
                <w:color w:val="auto"/>
                <w:w w:val="89"/>
              </w:rPr>
              <w:t>Revenue related to</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1"/>
              <w:spacing w:after="0" w:line="137" w:lineRule="exact"/>
              <w:rPr>
                <w:sz w:val="20"/>
                <w:szCs w:val="20"/>
                <w:color w:val="auto"/>
              </w:rPr>
            </w:pPr>
            <w:r>
              <w:rPr>
                <w:rFonts w:ascii="Arial" w:cs="Arial" w:eastAsia="Arial" w:hAnsi="Arial"/>
                <w:sz w:val="14"/>
                <w:szCs w:val="14"/>
                <w:b w:val="1"/>
                <w:bCs w:val="1"/>
                <w:color w:val="auto"/>
                <w:w w:val="87"/>
              </w:rPr>
              <w:t>when services are</w:t>
            </w:r>
          </w:p>
        </w:tc>
        <w:tc>
          <w:tcPr>
            <w:tcW w:w="100" w:type="dxa"/>
            <w:vAlign w:val="bottom"/>
          </w:tcPr>
          <w:p>
            <w:pPr>
              <w:spacing w:after="0"/>
              <w:rPr>
                <w:sz w:val="11"/>
                <w:szCs w:val="11"/>
                <w:color w:val="auto"/>
              </w:rPr>
            </w:pPr>
          </w:p>
        </w:tc>
        <w:tc>
          <w:tcPr>
            <w:tcW w:w="146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technology platforms</w:t>
            </w:r>
          </w:p>
        </w:tc>
        <w:tc>
          <w:tcPr>
            <w:tcW w:w="10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Reimbursable expenses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tcPr>
          <w:p>
            <w:pPr>
              <w:jc w:val="center"/>
              <w:ind w:right="41"/>
              <w:spacing w:after="0" w:line="146" w:lineRule="exact"/>
              <w:rPr>
                <w:sz w:val="20"/>
                <w:szCs w:val="20"/>
                <w:color w:val="auto"/>
              </w:rPr>
            </w:pPr>
            <w:r>
              <w:rPr>
                <w:rFonts w:ascii="Arial" w:cs="Arial" w:eastAsia="Arial" w:hAnsi="Arial"/>
                <w:sz w:val="14"/>
                <w:szCs w:val="14"/>
                <w:b w:val="1"/>
                <w:bCs w:val="1"/>
                <w:color w:val="auto"/>
                <w:w w:val="87"/>
              </w:rPr>
              <w:t>performed or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61"/>
              <w:spacing w:after="0" w:line="146" w:lineRule="exact"/>
              <w:rPr>
                <w:sz w:val="20"/>
                <w:szCs w:val="20"/>
                <w:color w:val="auto"/>
              </w:rPr>
            </w:pPr>
            <w:r>
              <w:rPr>
                <w:rFonts w:ascii="Arial" w:cs="Arial" w:eastAsia="Arial" w:hAnsi="Arial"/>
                <w:sz w:val="14"/>
                <w:szCs w:val="14"/>
                <w:b w:val="1"/>
                <w:bCs w:val="1"/>
                <w:color w:val="auto"/>
                <w:w w:val="87"/>
              </w:rPr>
              <w:t>and professional</w:t>
            </w: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2"/>
        </w:trPr>
        <w:tc>
          <w:tcPr>
            <w:tcW w:w="4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are sold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6"/>
                <w:szCs w:val="16"/>
                <w:color w:val="auto"/>
              </w:rPr>
            </w:pPr>
          </w:p>
        </w:tc>
        <w:tc>
          <w:tcPr>
            <w:tcW w:w="980" w:type="dxa"/>
            <w:vAlign w:val="bottom"/>
          </w:tcPr>
          <w:p>
            <w:pPr>
              <w:ind w:left="500"/>
              <w:spacing w:after="0"/>
              <w:rPr>
                <w:sz w:val="20"/>
                <w:szCs w:val="20"/>
                <w:color w:val="auto"/>
              </w:rPr>
            </w:pPr>
            <w:r>
              <w:rPr>
                <w:rFonts w:ascii="Arial" w:cs="Arial" w:eastAsia="Arial" w:hAnsi="Arial"/>
                <w:sz w:val="14"/>
                <w:szCs w:val="14"/>
                <w:b w:val="1"/>
                <w:bCs w:val="1"/>
                <w:color w:val="auto"/>
                <w:w w:val="85"/>
              </w:rPr>
              <w:t>revenue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26,901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2,523</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8,382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35,283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89"/>
              </w:rPr>
              <w:t>Six months ended June 30, 2023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center"/>
              <w:ind w:right="21"/>
              <w:spacing w:after="0" w:line="126" w:lineRule="exact"/>
              <w:rPr>
                <w:sz w:val="20"/>
                <w:szCs w:val="20"/>
                <w:color w:val="auto"/>
              </w:rPr>
            </w:pPr>
            <w:r>
              <w:rPr>
                <w:rFonts w:ascii="Arial" w:cs="Arial" w:eastAsia="Arial" w:hAnsi="Arial"/>
                <w:sz w:val="14"/>
                <w:szCs w:val="14"/>
                <w:b w:val="1"/>
                <w:bCs w:val="1"/>
                <w:color w:val="auto"/>
                <w:w w:val="88"/>
              </w:rPr>
              <w:t>Revenue recognized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81"/>
              <w:spacing w:after="0" w:line="126" w:lineRule="exact"/>
              <w:rPr>
                <w:sz w:val="20"/>
                <w:szCs w:val="20"/>
                <w:color w:val="auto"/>
              </w:rPr>
            </w:pPr>
            <w:r>
              <w:rPr>
                <w:rFonts w:ascii="Arial" w:cs="Arial" w:eastAsia="Arial" w:hAnsi="Arial"/>
                <w:sz w:val="14"/>
                <w:szCs w:val="14"/>
                <w:b w:val="1"/>
                <w:bCs w:val="1"/>
                <w:color w:val="auto"/>
                <w:w w:val="89"/>
              </w:rPr>
              <w:t>Revenue related to</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1"/>
              <w:spacing w:after="0" w:line="137" w:lineRule="exact"/>
              <w:rPr>
                <w:sz w:val="20"/>
                <w:szCs w:val="20"/>
                <w:color w:val="auto"/>
              </w:rPr>
            </w:pPr>
            <w:r>
              <w:rPr>
                <w:rFonts w:ascii="Arial" w:cs="Arial" w:eastAsia="Arial" w:hAnsi="Arial"/>
                <w:sz w:val="14"/>
                <w:szCs w:val="14"/>
                <w:b w:val="1"/>
                <w:bCs w:val="1"/>
                <w:color w:val="auto"/>
                <w:w w:val="87"/>
              </w:rPr>
              <w:t>when services are</w:t>
            </w:r>
          </w:p>
        </w:tc>
        <w:tc>
          <w:tcPr>
            <w:tcW w:w="100" w:type="dxa"/>
            <w:vAlign w:val="bottom"/>
          </w:tcPr>
          <w:p>
            <w:pPr>
              <w:spacing w:after="0"/>
              <w:rPr>
                <w:sz w:val="11"/>
                <w:szCs w:val="11"/>
                <w:color w:val="auto"/>
              </w:rPr>
            </w:pPr>
          </w:p>
        </w:tc>
        <w:tc>
          <w:tcPr>
            <w:tcW w:w="146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technology platforms</w:t>
            </w:r>
          </w:p>
        </w:tc>
        <w:tc>
          <w:tcPr>
            <w:tcW w:w="10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Reimbursable expenses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7"/>
              </w:rPr>
              <w:t>performed or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87"/>
              </w:rPr>
              <w:t>and professional</w:t>
            </w: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6"/>
        </w:trPr>
        <w:tc>
          <w:tcPr>
            <w:tcW w:w="4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are sold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7"/>
                <w:szCs w:val="17"/>
                <w:color w:val="auto"/>
              </w:rPr>
            </w:pPr>
          </w:p>
        </w:tc>
        <w:tc>
          <w:tcPr>
            <w:tcW w:w="980" w:type="dxa"/>
            <w:vAlign w:val="bottom"/>
          </w:tcPr>
          <w:p>
            <w:pPr>
              <w:ind w:left="500"/>
              <w:spacing w:after="0"/>
              <w:rPr>
                <w:sz w:val="20"/>
                <w:szCs w:val="20"/>
                <w:color w:val="auto"/>
              </w:rPr>
            </w:pPr>
            <w:r>
              <w:rPr>
                <w:rFonts w:ascii="Arial" w:cs="Arial" w:eastAsia="Arial" w:hAnsi="Arial"/>
                <w:sz w:val="14"/>
                <w:szCs w:val="14"/>
                <w:b w:val="1"/>
                <w:bCs w:val="1"/>
                <w:color w:val="auto"/>
                <w:w w:val="85"/>
              </w:rPr>
              <w:t>revenue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49,091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5,588</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4,114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58,793</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15,644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64,735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5,602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4"/>
                <w:szCs w:val="14"/>
                <w:b w:val="1"/>
                <w:bCs w:val="1"/>
                <w:color w:val="auto"/>
                <w:w w:val="89"/>
              </w:rPr>
              <w:t>Six months ended June 30, 2022</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88"/>
              </w:rPr>
              <w:t>Revenue recognized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89"/>
              </w:rPr>
              <w:t>Revenue related to</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1"/>
              <w:spacing w:after="0" w:line="146" w:lineRule="exact"/>
              <w:rPr>
                <w:sz w:val="20"/>
                <w:szCs w:val="20"/>
                <w:color w:val="auto"/>
              </w:rPr>
            </w:pPr>
            <w:r>
              <w:rPr>
                <w:rFonts w:ascii="Arial" w:cs="Arial" w:eastAsia="Arial" w:hAnsi="Arial"/>
                <w:sz w:val="14"/>
                <w:szCs w:val="14"/>
                <w:b w:val="1"/>
                <w:bCs w:val="1"/>
                <w:color w:val="auto"/>
                <w:w w:val="87"/>
              </w:rPr>
              <w:t>when services are</w:t>
            </w:r>
          </w:p>
        </w:tc>
        <w:tc>
          <w:tcPr>
            <w:tcW w:w="100" w:type="dxa"/>
            <w:vAlign w:val="bottom"/>
          </w:tcPr>
          <w:p>
            <w:pPr>
              <w:spacing w:after="0"/>
              <w:rPr>
                <w:sz w:val="12"/>
                <w:szCs w:val="12"/>
                <w:color w:val="auto"/>
              </w:rPr>
            </w:pPr>
          </w:p>
        </w:tc>
        <w:tc>
          <w:tcPr>
            <w:tcW w:w="14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89"/>
              </w:rPr>
              <w:t>technology platforms</w:t>
            </w:r>
          </w:p>
        </w:tc>
        <w:tc>
          <w:tcPr>
            <w:tcW w:w="10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Reimbursable expenses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7"/>
              </w:rPr>
              <w:t>performed or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87"/>
              </w:rPr>
              <w:t>and professional</w:t>
            </w: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6"/>
        </w:trPr>
        <w:tc>
          <w:tcPr>
            <w:tcW w:w="4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are sold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7"/>
                <w:szCs w:val="17"/>
                <w:color w:val="auto"/>
              </w:rPr>
            </w:pPr>
          </w:p>
        </w:tc>
        <w:tc>
          <w:tcPr>
            <w:tcW w:w="980" w:type="dxa"/>
            <w:vAlign w:val="bottom"/>
          </w:tcPr>
          <w:p>
            <w:pPr>
              <w:ind w:left="500"/>
              <w:spacing w:after="0"/>
              <w:rPr>
                <w:sz w:val="20"/>
                <w:szCs w:val="20"/>
                <w:color w:val="auto"/>
              </w:rPr>
            </w:pPr>
            <w:r>
              <w:rPr>
                <w:rFonts w:ascii="Arial" w:cs="Arial" w:eastAsia="Arial" w:hAnsi="Arial"/>
                <w:sz w:val="14"/>
                <w:szCs w:val="14"/>
                <w:b w:val="1"/>
                <w:bCs w:val="1"/>
                <w:color w:val="auto"/>
                <w:w w:val="85"/>
              </w:rPr>
              <w:t>revenue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51,560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5,021</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3,902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60,483</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19,141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39"/>
        </w:trPr>
        <w:tc>
          <w:tcPr>
            <w:tcW w:w="4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70,701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5,035</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4,201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Revenue recognized that was included in the contract liability at the beginning of the period was $2.8 million and $2.9 million for the six months ended June 30, 2023 and 2022, respectively ($0.9 million and $1.2 million for the second quarter of 2023 and 2022,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10"/>
        </w:trPr>
        <w:tc>
          <w:tcPr>
            <w:tcW w:w="65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r>
      <w:tr>
        <w:trPr>
          <w:trHeight w:val="194"/>
        </w:trPr>
        <w:tc>
          <w:tcPr>
            <w:tcW w:w="6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8"/>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r>
      <w:tr>
        <w:trPr>
          <w:trHeight w:val="225"/>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27,346</w:t>
            </w:r>
          </w:p>
        </w:tc>
      </w:tr>
      <w:tr>
        <w:trPr>
          <w:trHeight w:val="22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w:t>
            </w:r>
          </w:p>
        </w:tc>
      </w:tr>
      <w:tr>
        <w:trPr>
          <w:trHeight w:val="231"/>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4,201</w:t>
            </w:r>
          </w:p>
        </w:tc>
      </w:tr>
      <w:tr>
        <w:trPr>
          <w:trHeight w:val="232"/>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193"/>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8"/>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2022, John G. Aldridge, Jr., the Managing Partner of Aldridge Pite LLP (“Aldridge Pite”), joined the Board of Directors of Altisource. Aldridge Pite provides eviction and other real estate related services to the Company. The Company recognized $0.3 million and $0.5 million for the three and six months ended June 30, 2023 of reimbursable expenses relating to services provided to Aldridge Pite (no comparable amount for the three and six months ended June 30, 2022). As of June 30, 2023, the Company had no payable to Aldridge Pite.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3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2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1"/>
        </w:trPr>
        <w:tc>
          <w:tcPr>
            <w:tcW w:w="3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2"/>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06"/>
        </w:trPr>
        <w:tc>
          <w:tcPr>
            <w:tcW w:w="39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572"/>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39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94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INCOME (EXPENSE),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16"/>
              <w:spacing w:after="0"/>
              <w:rPr>
                <w:sz w:val="20"/>
                <w:szCs w:val="20"/>
                <w:color w:val="auto"/>
              </w:rPr>
            </w:pPr>
            <w:r>
              <w:rPr>
                <w:rFonts w:ascii="Arial" w:cs="Arial" w:eastAsia="Arial" w:hAnsi="Arial"/>
                <w:sz w:val="14"/>
                <w:szCs w:val="14"/>
                <w:b w:val="1"/>
                <w:bCs w:val="1"/>
                <w:color w:val="auto"/>
              </w:rPr>
              <w:t>2022</w:t>
            </w:r>
          </w:p>
        </w:tc>
      </w:tr>
      <w:tr>
        <w:trPr>
          <w:trHeight w:val="194"/>
        </w:trPr>
        <w:tc>
          <w:tcPr>
            <w:tcW w:w="6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315</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193"/>
        </w:trPr>
        <w:tc>
          <w:tcPr>
            <w:tcW w:w="6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8"/>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541"/>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390</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193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an income tax provision of $2.2 million and $2.4 million for the six months ended June 30, 2023 and 2022, respectively ($0.6 million and $1.5 million for the second quarter of 2023 and 2022, respectively). The income tax provision for the three and six months ended June 30,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LOSS PER SHARE</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5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6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500" w:type="dxa"/>
            <w:vAlign w:val="bottom"/>
            <w:tcBorders>
              <w:bottom w:val="single" w:sz="8" w:color="CCEEFF"/>
            </w:tcBorders>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80"/>
              <w:spacing w:after="0" w:line="199" w:lineRule="exact"/>
              <w:rPr>
                <w:sz w:val="20"/>
                <w:szCs w:val="20"/>
                <w:color w:val="auto"/>
              </w:rPr>
            </w:pPr>
            <w:r>
              <w:rPr>
                <w:rFonts w:ascii="Arial" w:cs="Arial" w:eastAsia="Arial" w:hAnsi="Arial"/>
                <w:sz w:val="18"/>
                <w:szCs w:val="18"/>
                <w:color w:val="auto"/>
                <w:w w:val="98"/>
              </w:rPr>
              <w:t>20,840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16,083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19,648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20,840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2023 and 2022, 3.5 million and 1.3 million, respectively (4.1 million and 1.2 million for the second quarter of 2023 and 2022, respectively), warrants, stock options, restricted shares and restricted share units, were excluded from the computation of loss per share, as a result of the following:</w:t>
      </w:r>
    </w:p>
    <w:p>
      <w:pPr>
        <w:spacing w:after="0" w:line="175" w:lineRule="exact"/>
        <w:rPr>
          <w:sz w:val="20"/>
          <w:szCs w:val="20"/>
          <w:color w:val="auto"/>
        </w:rPr>
      </w:pPr>
    </w:p>
    <w:p>
      <w:pPr>
        <w:jc w:val="both"/>
        <w:ind w:left="480" w:hanging="315"/>
        <w:spacing w:after="0" w:line="242" w:lineRule="auto"/>
        <w:tabs>
          <w:tab w:leader="none" w:pos="480" w:val="left"/>
        </w:tabs>
        <w:numPr>
          <w:ilvl w:val="0"/>
          <w:numId w:val="3"/>
        </w:numPr>
        <w:rPr>
          <w:rFonts w:ascii="Arial" w:cs="Arial" w:eastAsia="Arial" w:hAnsi="Arial"/>
          <w:sz w:val="21"/>
          <w:szCs w:val="21"/>
          <w:color w:val="auto"/>
        </w:rPr>
      </w:pPr>
      <w:r>
        <w:rPr>
          <w:rFonts w:ascii="Arial" w:cs="Arial" w:eastAsia="Arial" w:hAnsi="Arial"/>
          <w:sz w:val="18"/>
          <w:szCs w:val="18"/>
          <w:color w:val="auto"/>
        </w:rPr>
        <w:t>For the six months ended June 30, 2023 and 2022, 2.2 million and 0.2 million, respectively (2.8 million and 0.1 million for the second quarter of 2023 and 2022, respectively), warrants, stock options, restricted shares and restricted share units were anti-dilutive and have been excluded from the computation of diluted loss per share because the Company incurred a net loss</w:t>
      </w:r>
    </w:p>
    <w:p>
      <w:pPr>
        <w:spacing w:after="0" w:line="41" w:lineRule="exact"/>
        <w:rPr>
          <w:rFonts w:ascii="Arial" w:cs="Arial" w:eastAsia="Arial" w:hAnsi="Arial"/>
          <w:sz w:val="21"/>
          <w:szCs w:val="21"/>
          <w:color w:val="auto"/>
        </w:rPr>
      </w:pPr>
    </w:p>
    <w:p>
      <w:pPr>
        <w:jc w:val="both"/>
        <w:ind w:left="480" w:hanging="315"/>
        <w:spacing w:after="0" w:line="25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six months ended June 30, 2023 and 2022, 0.3 million and 0.2 million, respectively (0.3 million and 0.2 million for the second quarter of 2023 and 2022, respectively), stock options were anti-dilutive and have been excluded from the computation of diluted loss per share because their exercise price was greater than the average market price of our common stock</w:t>
      </w:r>
    </w:p>
    <w:p>
      <w:pPr>
        <w:spacing w:after="0" w:line="29" w:lineRule="exact"/>
        <w:rPr>
          <w:rFonts w:ascii="Arial" w:cs="Arial" w:eastAsia="Arial" w:hAnsi="Arial"/>
          <w:sz w:val="18"/>
          <w:szCs w:val="18"/>
          <w:color w:val="auto"/>
        </w:rPr>
      </w:pPr>
    </w:p>
    <w:p>
      <w:pPr>
        <w:jc w:val="both"/>
        <w:ind w:left="480" w:hanging="315"/>
        <w:spacing w:after="0" w:line="25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six months ended June 30, 2023 and 2022, 1.0 million and 0.9 million, respectively (1.0 million and 0.9 million for the second quarter of 2023 and 2022, respectively) , stock options, restricted shares and restricted share units, which begin to vest upon the achievement of certain market criteria related to our common stock price, performance criteria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2"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a total shareholder return compared to the market benchmark, that have not yet been met in each period have been excluded from the computation of diluted loss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CONTINGENCIES AND REGULATORY MATTERS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As discussed in Note 2, during the six months ended June 30, 2023, Ocwen was our largest customer, accounting for 42% of our total revenue (40% of our revenue for the second quarter of 2023). Additionally, 7% of our revenue for the the six months ended June 30, 2023 (6% of our revenue for the second quarter of 2023) was earned on the loan portfolios serviced by Ocwen, when a party other than Ocwen or the MSRs owner selected Altisource as the service provider.</w:t>
      </w:r>
    </w:p>
    <w:p>
      <w:pPr>
        <w:spacing w:after="0" w:line="8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Ocwen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9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Ocwen has disclosed that Rithm is a significant client of Ocwen’s. As of March 31, 2023, approximately 16% of loans serviced and subserviced by Ocwen (measured in UPB) and approximately 68% of all delinquent loans that Ocwen services were related to Rithm MSRs or rights to MSRs.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5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5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2" w:lineRule="exact"/>
        <w:rPr>
          <w:sz w:val="20"/>
          <w:szCs w:val="20"/>
          <w:color w:val="auto"/>
        </w:rPr>
      </w:pPr>
    </w:p>
    <w:p>
      <w:pPr>
        <w:ind w:left="640" w:hanging="316"/>
        <w:spacing w:after="0" w:line="292"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58"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Management cannot predict whether any of these events will occur or the amount of any impact they may have on Altisource.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$0.1 million and $0.4 million for the six months ended June 30, 2023 and 2022, respectively (less than $0.1 million and $0.1 million for the second quarter of 2023 and 2022, respectively). The amortization periods of right-of-use assets are generally limited by the expected lease term. Our leases generally have expected lease terms at adoption of one to six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were as follows for the six months ended June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4"/>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left="415"/>
              <w:spacing w:after="0"/>
              <w:rPr>
                <w:sz w:val="20"/>
                <w:szCs w:val="20"/>
                <w:color w:val="auto"/>
              </w:rPr>
            </w:pPr>
            <w:r>
              <w:rPr>
                <w:rFonts w:ascii="Arial" w:cs="Arial" w:eastAsia="Arial" w:hAnsi="Arial"/>
                <w:sz w:val="18"/>
                <w:szCs w:val="18"/>
                <w:color w:val="auto"/>
                <w:w w:val="89"/>
              </w:rPr>
              <w:t>5.66 %</w:t>
            </w:r>
          </w:p>
        </w:tc>
        <w:tc>
          <w:tcPr>
            <w:tcW w:w="0" w:type="dxa"/>
            <w:vAlign w:val="bottom"/>
          </w:tcPr>
          <w:p>
            <w:pPr>
              <w:spacing w:after="0"/>
              <w:rPr>
                <w:sz w:val="1"/>
                <w:szCs w:val="1"/>
                <w:color w:val="auto"/>
              </w:rPr>
            </w:pPr>
          </w:p>
        </w:tc>
      </w:tr>
      <w:tr>
        <w:trPr>
          <w:trHeight w:val="464"/>
        </w:trPr>
        <w:tc>
          <w:tcPr>
            <w:tcW w:w="6500" w:type="dxa"/>
            <w:vAlign w:val="bottom"/>
            <w:gridSpan w:val="2"/>
          </w:tcPr>
          <w:p>
            <w:pPr>
              <w:spacing w:after="0"/>
              <w:rPr>
                <w:sz w:val="20"/>
                <w:szCs w:val="20"/>
                <w:color w:val="auto"/>
              </w:rPr>
            </w:pPr>
            <w:r>
              <w:rPr>
                <w:rFonts w:ascii="Arial" w:cs="Arial" w:eastAsia="Arial" w:hAnsi="Arial"/>
                <w:sz w:val="18"/>
                <w:szCs w:val="18"/>
                <w:color w:val="auto"/>
              </w:rPr>
              <w:t>Our lease activity during the period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4"/>
        </w:trPr>
        <w:tc>
          <w:tcPr>
            <w:tcW w:w="65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6"/>
              </w:rPr>
              <w:t>265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50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w w:val="97"/>
              </w:rPr>
              <w:t>Cash used in operating activities for amounts included in the measurement of lease</w:t>
            </w:r>
          </w:p>
        </w:tc>
        <w:tc>
          <w:tcPr>
            <w:tcW w:w="2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4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Short-term (twelve months or less) lease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left="475"/>
              <w:spacing w:after="0"/>
              <w:rPr>
                <w:sz w:val="20"/>
                <w:szCs w:val="20"/>
                <w:color w:val="auto"/>
              </w:rPr>
            </w:pPr>
            <w:r>
              <w:rPr>
                <w:rFonts w:ascii="Arial" w:cs="Arial" w:eastAsia="Arial" w:hAnsi="Arial"/>
                <w:sz w:val="18"/>
                <w:szCs w:val="18"/>
                <w:color w:val="auto"/>
                <w:w w:val="86"/>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650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June 30, 2023 are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5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Operating lease</w:t>
            </w:r>
          </w:p>
        </w:tc>
        <w:tc>
          <w:tcPr>
            <w:tcW w:w="0" w:type="dxa"/>
            <w:vAlign w:val="bottom"/>
          </w:tcPr>
          <w:p>
            <w:pPr>
              <w:spacing w:after="0"/>
              <w:rPr>
                <w:sz w:val="1"/>
                <w:szCs w:val="1"/>
                <w:color w:val="auto"/>
              </w:rPr>
            </w:pPr>
          </w:p>
        </w:tc>
      </w:tr>
      <w:tr>
        <w:trPr>
          <w:trHeight w:val="206"/>
        </w:trPr>
        <w:tc>
          <w:tcPr>
            <w:tcW w:w="65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88"/>
              </w:rPr>
              <w:t>obligations</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4"/>
              </w:rPr>
              <w:t>1,198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left="475"/>
              <w:spacing w:after="0"/>
              <w:rPr>
                <w:sz w:val="20"/>
                <w:szCs w:val="20"/>
                <w:color w:val="auto"/>
              </w:rPr>
            </w:pPr>
            <w:r>
              <w:rPr>
                <w:rFonts w:ascii="Arial" w:cs="Arial" w:eastAsia="Arial" w:hAnsi="Arial"/>
                <w:sz w:val="18"/>
                <w:szCs w:val="18"/>
                <w:color w:val="auto"/>
                <w:w w:val="84"/>
              </w:rPr>
              <w:t>1,887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4"/>
              </w:rPr>
              <w:t>1,404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4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left="475"/>
              <w:spacing w:after="0"/>
              <w:rPr>
                <w:sz w:val="20"/>
                <w:szCs w:val="20"/>
                <w:color w:val="auto"/>
              </w:rPr>
            </w:pPr>
            <w:r>
              <w:rPr>
                <w:rFonts w:ascii="Arial" w:cs="Arial" w:eastAsia="Arial" w:hAnsi="Arial"/>
                <w:sz w:val="18"/>
                <w:szCs w:val="18"/>
                <w:color w:val="auto"/>
                <w:w w:val="84"/>
              </w:rPr>
              <w:t>5,166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6"/>
        </w:trPr>
        <w:tc>
          <w:tcPr>
            <w:tcW w:w="65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4"/>
              </w:rPr>
              <w:t>4,806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6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$19.2 million and $13.2 million as of June 30, 2023 and December 31, 2022,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REPORTING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conduct our operations through two reportable segments: </w:t>
      </w:r>
      <w:r>
        <w:rPr>
          <w:rFonts w:ascii="Arial" w:cs="Arial" w:eastAsia="Arial" w:hAnsi="Arial"/>
          <w:sz w:val="18"/>
          <w:szCs w:val="18"/>
          <w:i w:val="1"/>
          <w:iCs w:val="1"/>
          <w:color w:val="auto"/>
        </w:rPr>
        <w:t>Servicer and Real Estate</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Origination</w:t>
      </w:r>
      <w:r>
        <w:rPr>
          <w:rFonts w:ascii="Arial" w:cs="Arial" w:eastAsia="Arial" w:hAnsi="Arial"/>
          <w:sz w:val="18"/>
          <w:szCs w:val="18"/>
          <w:color w:val="auto"/>
        </w:rPr>
        <w:t xml:space="preserve">. In addition, we report </w:t>
      </w:r>
      <w:r>
        <w:rPr>
          <w:rFonts w:ascii="Arial" w:cs="Arial" w:eastAsia="Arial" w:hAnsi="Arial"/>
          <w:sz w:val="18"/>
          <w:szCs w:val="18"/>
          <w:i w:val="1"/>
          <w:iCs w:val="1"/>
          <w:color w:val="auto"/>
        </w:rPr>
        <w:t>Corporate and Others</w:t>
      </w:r>
      <w:r>
        <w:rPr>
          <w:rFonts w:ascii="Arial" w:cs="Arial" w:eastAsia="Arial" w:hAnsi="Arial"/>
          <w:sz w:val="18"/>
          <w:szCs w:val="18"/>
          <w:color w:val="auto"/>
        </w:rPr>
        <w:t xml:space="preserve"> separately.</w:t>
      </w:r>
    </w:p>
    <w:p>
      <w:pPr>
        <w:spacing w:after="0" w:line="12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Servicer and Real Estate</w:t>
      </w:r>
      <w:r>
        <w:rPr>
          <w:rFonts w:ascii="Arial" w:cs="Arial" w:eastAsia="Arial" w:hAnsi="Arial"/>
          <w:sz w:val="15"/>
          <w:szCs w:val="15"/>
          <w:color w:val="auto"/>
        </w:rPr>
        <w:t xml:space="preserve"> segment provides loan servicers and real estate investors with solutions and technologies that span the mortgage and real estate lifecycle. The </w:t>
      </w:r>
      <w:r>
        <w:rPr>
          <w:rFonts w:ascii="Arial" w:cs="Arial" w:eastAsia="Arial" w:hAnsi="Arial"/>
          <w:sz w:val="15"/>
          <w:szCs w:val="15"/>
          <w:i w:val="1"/>
          <w:iCs w:val="1"/>
          <w:color w:val="auto"/>
        </w:rPr>
        <w:t>Origination</w:t>
      </w:r>
      <w:r>
        <w:rPr>
          <w:rFonts w:ascii="Arial" w:cs="Arial" w:eastAsia="Arial" w:hAnsi="Arial"/>
          <w:sz w:val="15"/>
          <w:szCs w:val="15"/>
          <w:color w:val="auto"/>
        </w:rPr>
        <w:t xml:space="preserve"> segment provides originators with solutions and technologies that span the mortgage origination lifecycle. </w:t>
      </w:r>
      <w:r>
        <w:rPr>
          <w:rFonts w:ascii="Arial" w:cs="Arial" w:eastAsia="Arial" w:hAnsi="Arial"/>
          <w:sz w:val="15"/>
          <w:szCs w:val="15"/>
          <w:i w:val="1"/>
          <w:iCs w:val="1"/>
          <w:color w:val="auto"/>
        </w:rPr>
        <w:t>Corporate and Others</w:t>
      </w:r>
      <w:r>
        <w:rPr>
          <w:rFonts w:ascii="Arial" w:cs="Arial" w:eastAsia="Arial" w:hAnsi="Arial"/>
          <w:sz w:val="15"/>
          <w:szCs w:val="15"/>
          <w:color w:val="auto"/>
        </w:rPr>
        <w:t xml:space="preserve"> includes interest expense and costs related to corporate functions including executive, infrastructure and certain technology groups, finance, law, compliance, human resources, vendor management, facilities, risk management, as well as eliminations between reportable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 2023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0"/>
                <w:szCs w:val="10"/>
                <w:color w:val="auto"/>
              </w:rPr>
            </w:pPr>
          </w:p>
        </w:tc>
        <w:tc>
          <w:tcPr>
            <w:tcW w:w="1200" w:type="dxa"/>
            <w:vAlign w:val="bottom"/>
          </w:tcPr>
          <w:p>
            <w:pPr>
              <w:jc w:val="right"/>
              <w:ind w:right="36"/>
              <w:spacing w:after="0" w:line="126" w:lineRule="exact"/>
              <w:rPr>
                <w:sz w:val="20"/>
                <w:szCs w:val="20"/>
                <w:color w:val="auto"/>
              </w:rPr>
            </w:pPr>
            <w:r>
              <w:rPr>
                <w:rFonts w:ascii="Arial" w:cs="Arial" w:eastAsia="Arial" w:hAnsi="Arial"/>
                <w:sz w:val="14"/>
                <w:szCs w:val="14"/>
                <w:b w:val="1"/>
                <w:bCs w:val="1"/>
                <w:color w:val="auto"/>
                <w:w w:val="90"/>
              </w:rPr>
              <w:t>Servicer and Real</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Origination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3"/>
          </w:tcPr>
          <w:p>
            <w:pPr>
              <w:jc w:val="center"/>
              <w:ind w:right="460"/>
              <w:spacing w:after="0" w:line="126" w:lineRule="exact"/>
              <w:rPr>
                <w:sz w:val="20"/>
                <w:szCs w:val="20"/>
                <w:color w:val="auto"/>
              </w:rPr>
            </w:pPr>
            <w:r>
              <w:rPr>
                <w:rFonts w:ascii="Arial" w:cs="Arial" w:eastAsia="Arial" w:hAnsi="Arial"/>
                <w:sz w:val="14"/>
                <w:szCs w:val="14"/>
                <w:b w:val="1"/>
                <w:bCs w:val="1"/>
                <w:color w:val="auto"/>
                <w:w w:val="91"/>
              </w:rPr>
              <w:t>Corporate and</w:t>
            </w:r>
          </w:p>
        </w:tc>
        <w:tc>
          <w:tcPr>
            <w:tcW w:w="1120" w:type="dxa"/>
            <w:vAlign w:val="bottom"/>
          </w:tcPr>
          <w:p>
            <w:pPr>
              <w:jc w:val="right"/>
              <w:ind w:right="176"/>
              <w:spacing w:after="0" w:line="126"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5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Estate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Others</w:t>
            </w: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29,703</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
        <w:spacing w:after="0"/>
        <w:rPr>
          <w:sz w:val="20"/>
          <w:szCs w:val="20"/>
          <w:color w:val="auto"/>
        </w:rPr>
      </w:pPr>
      <w:r>
        <w:rPr>
          <w:rFonts w:ascii="Arial" w:cs="Arial" w:eastAsia="Arial" w:hAnsi="Arial"/>
          <w:sz w:val="15"/>
          <w:szCs w:val="15"/>
          <w:color w:val="auto"/>
        </w:rPr>
        <w:t>Income (loss) before income taxes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5001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0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4"/>
              </w:rPr>
              <w:t>Three months ended June 30, 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1200" w:type="dxa"/>
            <w:vAlign w:val="bottom"/>
          </w:tcPr>
          <w:p>
            <w:pPr>
              <w:jc w:val="center"/>
              <w:ind w:right="23"/>
              <w:spacing w:after="0" w:line="130" w:lineRule="exact"/>
              <w:rPr>
                <w:sz w:val="20"/>
                <w:szCs w:val="20"/>
                <w:color w:val="auto"/>
              </w:rPr>
            </w:pPr>
            <w:r>
              <w:rPr>
                <w:rFonts w:ascii="Arial" w:cs="Arial" w:eastAsia="Arial" w:hAnsi="Arial"/>
                <w:sz w:val="14"/>
                <w:szCs w:val="14"/>
                <w:b w:val="1"/>
                <w:bCs w:val="1"/>
                <w:color w:val="auto"/>
                <w:w w:val="90"/>
              </w:rPr>
              <w:t>Servicer and Real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Origination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3"/>
              <w:spacing w:after="0" w:line="130" w:lineRule="exact"/>
              <w:rPr>
                <w:sz w:val="20"/>
                <w:szCs w:val="20"/>
                <w:color w:val="auto"/>
              </w:rPr>
            </w:pPr>
            <w:r>
              <w:rPr>
                <w:rFonts w:ascii="Arial" w:cs="Arial" w:eastAsia="Arial" w:hAnsi="Arial"/>
                <w:sz w:val="14"/>
                <w:szCs w:val="14"/>
                <w:b w:val="1"/>
                <w:bCs w:val="1"/>
                <w:color w:val="auto"/>
                <w:w w:val="91"/>
              </w:rPr>
              <w:t>Corporate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03"/>
              <w:spacing w:after="0" w:line="130"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8"/>
              </w:rPr>
              <w:t>Others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20" w:space="720"/>
            <w:col w:w="5600"/>
          </w:cols>
          <w:pgMar w:left="320" w:top="127"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36,355</w:t>
            </w:r>
          </w:p>
        </w:tc>
        <w:tc>
          <w:tcPr>
            <w:tcW w:w="0" w:type="dxa"/>
            <w:vAlign w:val="bottom"/>
          </w:tcPr>
          <w:p>
            <w:pPr>
              <w:spacing w:after="0"/>
              <w:rPr>
                <w:sz w:val="1"/>
                <w:szCs w:val="1"/>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193"/>
        </w:trPr>
        <w:tc>
          <w:tcPr>
            <w:tcW w:w="5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tcPr>
          <w:p>
            <w:pPr>
              <w:ind w:left="20"/>
              <w:spacing w:after="0" w:line="187" w:lineRule="exact"/>
              <w:rPr>
                <w:sz w:val="20"/>
                <w:szCs w:val="20"/>
                <w:color w:val="auto"/>
              </w:rPr>
            </w:pPr>
            <w:r>
              <w:rPr>
                <w:rFonts w:ascii="Arial" w:cs="Arial" w:eastAsia="Arial" w:hAnsi="Arial"/>
                <w:sz w:val="18"/>
                <w:szCs w:val="18"/>
                <w:color w:val="auto"/>
              </w:rPr>
              <w:t>Income (loss) before income taxes and</w:t>
            </w: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6,297</w:t>
            </w:r>
          </w:p>
        </w:tc>
        <w:tc>
          <w:tcPr>
            <w:tcW w:w="5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(2,991)</w:t>
            </w:r>
          </w:p>
        </w:tc>
        <w:tc>
          <w:tcPr>
            <w:tcW w:w="5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(17,106)</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line="198" w:lineRule="exact"/>
              <w:rPr>
                <w:sz w:val="20"/>
                <w:szCs w:val="20"/>
                <w:color w:val="auto"/>
              </w:rPr>
            </w:pPr>
            <w:r>
              <w:rPr>
                <w:rFonts w:ascii="Arial" w:cs="Arial" w:eastAsia="Arial" w:hAnsi="Arial"/>
                <w:sz w:val="18"/>
                <w:szCs w:val="18"/>
                <w:color w:val="auto"/>
              </w:rPr>
              <w:t>non-controlling interests</w:t>
            </w:r>
          </w:p>
        </w:tc>
        <w:tc>
          <w:tcPr>
            <w:tcW w:w="4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June 30, 2023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0"/>
                <w:szCs w:val="10"/>
                <w:color w:val="auto"/>
              </w:rPr>
            </w:pPr>
          </w:p>
        </w:tc>
        <w:tc>
          <w:tcPr>
            <w:tcW w:w="1200" w:type="dxa"/>
            <w:vAlign w:val="bottom"/>
          </w:tcPr>
          <w:p>
            <w:pPr>
              <w:jc w:val="right"/>
              <w:ind w:right="36"/>
              <w:spacing w:after="0" w:line="126" w:lineRule="exact"/>
              <w:rPr>
                <w:sz w:val="20"/>
                <w:szCs w:val="20"/>
                <w:color w:val="auto"/>
              </w:rPr>
            </w:pPr>
            <w:r>
              <w:rPr>
                <w:rFonts w:ascii="Arial" w:cs="Arial" w:eastAsia="Arial" w:hAnsi="Arial"/>
                <w:sz w:val="14"/>
                <w:szCs w:val="14"/>
                <w:b w:val="1"/>
                <w:bCs w:val="1"/>
                <w:color w:val="auto"/>
                <w:w w:val="90"/>
              </w:rPr>
              <w:t>Servicer and Real</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Origination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3"/>
          </w:tcPr>
          <w:p>
            <w:pPr>
              <w:jc w:val="center"/>
              <w:ind w:right="460"/>
              <w:spacing w:after="0" w:line="126" w:lineRule="exact"/>
              <w:rPr>
                <w:sz w:val="20"/>
                <w:szCs w:val="20"/>
                <w:color w:val="auto"/>
              </w:rPr>
            </w:pPr>
            <w:r>
              <w:rPr>
                <w:rFonts w:ascii="Arial" w:cs="Arial" w:eastAsia="Arial" w:hAnsi="Arial"/>
                <w:sz w:val="14"/>
                <w:szCs w:val="14"/>
                <w:b w:val="1"/>
                <w:bCs w:val="1"/>
                <w:color w:val="auto"/>
                <w:w w:val="91"/>
              </w:rPr>
              <w:t>Corporate and</w:t>
            </w:r>
          </w:p>
        </w:tc>
        <w:tc>
          <w:tcPr>
            <w:tcW w:w="1120" w:type="dxa"/>
            <w:vAlign w:val="bottom"/>
          </w:tcPr>
          <w:p>
            <w:pPr>
              <w:jc w:val="center"/>
              <w:ind w:right="116"/>
              <w:spacing w:after="0" w:line="126"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5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Estate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Others</w:t>
            </w: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90"/>
              </w:rPr>
              <w:t>74,696</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16"/>
              <w:spacing w:after="0"/>
              <w:rPr>
                <w:sz w:val="20"/>
                <w:szCs w:val="20"/>
                <w:color w:val="auto"/>
              </w:rPr>
            </w:pPr>
            <w:r>
              <w:rPr>
                <w:rFonts w:ascii="Arial" w:cs="Arial" w:eastAsia="Arial" w:hAnsi="Arial"/>
                <w:sz w:val="18"/>
                <w:szCs w:val="18"/>
                <w:color w:val="auto"/>
                <w:w w:val="90"/>
              </w:rPr>
              <w:t>60,660</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90"/>
              </w:rPr>
              <w:t>14,036</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16"/>
              <w:spacing w:after="0"/>
              <w:rPr>
                <w:sz w:val="20"/>
                <w:szCs w:val="20"/>
                <w:color w:val="auto"/>
              </w:rPr>
            </w:pPr>
            <w:r>
              <w:rPr>
                <w:rFonts w:ascii="Arial" w:cs="Arial" w:eastAsia="Arial" w:hAnsi="Arial"/>
                <w:sz w:val="18"/>
                <w:szCs w:val="18"/>
                <w:color w:val="auto"/>
                <w:w w:val="90"/>
              </w:rPr>
              <w:t>24,435</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96"/>
              <w:spacing w:after="0"/>
              <w:rPr>
                <w:sz w:val="20"/>
                <w:szCs w:val="20"/>
                <w:color w:val="auto"/>
              </w:rPr>
            </w:pPr>
            <w:r>
              <w:rPr>
                <w:rFonts w:ascii="Arial" w:cs="Arial" w:eastAsia="Arial" w:hAnsi="Arial"/>
                <w:sz w:val="18"/>
                <w:szCs w:val="18"/>
                <w:color w:val="auto"/>
                <w:w w:val="89"/>
              </w:rPr>
              <w:t>(10,399)</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96"/>
              <w:spacing w:after="0"/>
              <w:rPr>
                <w:sz w:val="20"/>
                <w:szCs w:val="20"/>
                <w:color w:val="auto"/>
              </w:rPr>
            </w:pPr>
            <w:r>
              <w:rPr>
                <w:rFonts w:ascii="Arial" w:cs="Arial" w:eastAsia="Arial" w:hAnsi="Arial"/>
                <w:sz w:val="18"/>
                <w:szCs w:val="18"/>
                <w:color w:val="auto"/>
                <w:w w:val="89"/>
              </w:rPr>
              <w:t>(19,137)</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
        <w:spacing w:after="0"/>
        <w:rPr>
          <w:sz w:val="20"/>
          <w:szCs w:val="20"/>
          <w:color w:val="auto"/>
        </w:rPr>
      </w:pPr>
      <w:r>
        <w:rPr>
          <w:rFonts w:ascii="Arial" w:cs="Arial" w:eastAsia="Arial" w:hAnsi="Arial"/>
          <w:sz w:val="15"/>
          <w:szCs w:val="15"/>
          <w:color w:val="auto"/>
        </w:rPr>
        <w:t>Income (loss) before income taxes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508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0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jc w:val="right"/>
              <w:ind w:right="323"/>
              <w:spacing w:after="0"/>
              <w:rPr>
                <w:sz w:val="20"/>
                <w:szCs w:val="20"/>
                <w:color w:val="auto"/>
              </w:rPr>
            </w:pPr>
            <w:r>
              <w:rPr>
                <w:rFonts w:ascii="Arial" w:cs="Arial" w:eastAsia="Arial" w:hAnsi="Arial"/>
                <w:sz w:val="14"/>
                <w:szCs w:val="14"/>
                <w:b w:val="1"/>
                <w:bCs w:val="1"/>
                <w:color w:val="auto"/>
                <w:w w:val="98"/>
              </w:rPr>
              <w:t>Six months ended June 30, 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1200" w:type="dxa"/>
            <w:vAlign w:val="bottom"/>
          </w:tcPr>
          <w:p>
            <w:pPr>
              <w:jc w:val="center"/>
              <w:ind w:right="23"/>
              <w:spacing w:after="0" w:line="130" w:lineRule="exact"/>
              <w:rPr>
                <w:sz w:val="20"/>
                <w:szCs w:val="20"/>
                <w:color w:val="auto"/>
              </w:rPr>
            </w:pPr>
            <w:r>
              <w:rPr>
                <w:rFonts w:ascii="Arial" w:cs="Arial" w:eastAsia="Arial" w:hAnsi="Arial"/>
                <w:sz w:val="14"/>
                <w:szCs w:val="14"/>
                <w:b w:val="1"/>
                <w:bCs w:val="1"/>
                <w:color w:val="auto"/>
                <w:w w:val="90"/>
              </w:rPr>
              <w:t>Servicer and Real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Origination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3"/>
              <w:spacing w:after="0" w:line="130" w:lineRule="exact"/>
              <w:rPr>
                <w:sz w:val="20"/>
                <w:szCs w:val="20"/>
                <w:color w:val="auto"/>
              </w:rPr>
            </w:pPr>
            <w:r>
              <w:rPr>
                <w:rFonts w:ascii="Arial" w:cs="Arial" w:eastAsia="Arial" w:hAnsi="Arial"/>
                <w:sz w:val="14"/>
                <w:szCs w:val="14"/>
                <w:b w:val="1"/>
                <w:bCs w:val="1"/>
                <w:color w:val="auto"/>
                <w:w w:val="91"/>
              </w:rPr>
              <w:t>Corporate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23"/>
              <w:spacing w:after="0" w:line="130"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8"/>
              </w:rPr>
              <w:t>Others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20" w:space="720"/>
            <w:col w:w="5600"/>
          </w:cols>
          <w:pgMar w:left="320" w:top="127"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tcPr>
          <w:p>
            <w:pPr>
              <w:ind w:left="20"/>
              <w:spacing w:after="0" w:line="187" w:lineRule="exact"/>
              <w:rPr>
                <w:sz w:val="20"/>
                <w:szCs w:val="20"/>
                <w:color w:val="auto"/>
              </w:rPr>
            </w:pPr>
            <w:r>
              <w:rPr>
                <w:rFonts w:ascii="Arial" w:cs="Arial" w:eastAsia="Arial" w:hAnsi="Arial"/>
                <w:sz w:val="18"/>
                <w:szCs w:val="18"/>
                <w:color w:val="auto"/>
              </w:rPr>
              <w:t>Income (loss) before income taxes and</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12,034</w:t>
            </w:r>
          </w:p>
        </w:tc>
        <w:tc>
          <w:tcPr>
            <w:tcW w:w="120" w:type="dxa"/>
            <w:vAlign w:val="bottom"/>
            <w:vMerge w:val="restart"/>
          </w:tcPr>
          <w:p>
            <w:pPr>
              <w:spacing w:after="0"/>
              <w:rPr>
                <w:sz w:val="16"/>
                <w:szCs w:val="16"/>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(3,438)</w:t>
            </w:r>
          </w:p>
        </w:tc>
        <w:tc>
          <w:tcPr>
            <w:tcW w:w="120" w:type="dxa"/>
            <w:vAlign w:val="bottom"/>
            <w:gridSpan w:val="2"/>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vMerge w:val="restart"/>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(24,943)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198" w:lineRule="exact"/>
              <w:rPr>
                <w:sz w:val="20"/>
                <w:szCs w:val="20"/>
                <w:color w:val="auto"/>
              </w:rPr>
            </w:pPr>
            <w:r>
              <w:rPr>
                <w:rFonts w:ascii="Arial" w:cs="Arial" w:eastAsia="Arial" w:hAnsi="Arial"/>
                <w:sz w:val="18"/>
                <w:szCs w:val="18"/>
                <w:color w:val="auto"/>
              </w:rPr>
              <w:t>non-controlling interests</w:t>
            </w:r>
          </w:p>
        </w:tc>
        <w:tc>
          <w:tcPr>
            <w:tcW w:w="10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5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Servicer and Real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Origination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Corporate and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Arial" w:cs="Arial" w:eastAsia="Arial" w:hAnsi="Arial"/>
                <w:sz w:val="14"/>
                <w:szCs w:val="14"/>
                <w:b w:val="1"/>
                <w:bCs w:val="1"/>
                <w:color w:val="auto"/>
              </w:rPr>
              <w:t>Estate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Others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120"/>
              <w:spacing w:after="0"/>
              <w:rPr>
                <w:sz w:val="20"/>
                <w:szCs w:val="20"/>
                <w:color w:val="auto"/>
              </w:rPr>
            </w:pPr>
            <w:r>
              <w:rPr>
                <w:rFonts w:ascii="Arial" w:cs="Arial" w:eastAsia="Arial" w:hAnsi="Arial"/>
                <w:sz w:val="18"/>
                <w:szCs w:val="18"/>
                <w:color w:val="auto"/>
              </w:rPr>
              <w:t>June 30, 2023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57,808</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54,598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52,150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7"/>
        </w:trPr>
        <w:tc>
          <w:tcPr>
            <w:tcW w:w="55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9"/>
              </w:rPr>
              <w:t>26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2022 filed with the Securities and Exchange Commission (“SEC”) on March 30,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99"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58"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in response to lower revenue due to COVID-19 or other factors;</w:t>
      </w:r>
    </w:p>
    <w:p>
      <w:pPr>
        <w:spacing w:after="0" w:line="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56"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of our Form 10-K for the year ended December 31, 2022 including:</w:t>
      </w:r>
    </w:p>
    <w:p>
      <w:pPr>
        <w:spacing w:after="0" w:line="128" w:lineRule="exact"/>
        <w:rPr>
          <w:sz w:val="20"/>
          <w:szCs w:val="20"/>
          <w:color w:val="auto"/>
        </w:rPr>
      </w:pPr>
    </w:p>
    <w:p>
      <w:pPr>
        <w:jc w:val="both"/>
        <w:ind w:left="640" w:hanging="316"/>
        <w:spacing w:after="0" w:line="25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the anticipated increase in default related referrals following the expiration of foreclosure and eviction moratoriums, forbearance programs and temporary governmental or servicer loss mitigation requirements, the timing of the expiration of such moratoriums, programs and requirements, and any other delays occasioned by government, investor or servicer actions;</w:t>
      </w:r>
    </w:p>
    <w:p>
      <w:pPr>
        <w:spacing w:after="0" w:line="29"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8"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Rithm Capital Corp. (individually, together with one or more of its subsidiaries, or one or more of its subsidiaries individually, “Rithm”) (formerly New Residential Investment Corp., or “NRZ”) as a customer or our ability to receive the anticipated volume of referrals from Rithm;</w:t>
      </w:r>
    </w:p>
    <w:p>
      <w:pPr>
        <w:spacing w:after="0" w:line="15" w:lineRule="exact"/>
        <w:rPr>
          <w:rFonts w:ascii="Arial" w:cs="Arial" w:eastAsia="Arial" w:hAnsi="Arial"/>
          <w:sz w:val="18"/>
          <w:szCs w:val="18"/>
          <w:color w:val="auto"/>
        </w:rPr>
      </w:pPr>
    </w:p>
    <w:p>
      <w:pPr>
        <w:ind w:left="640" w:hanging="316"/>
        <w:spacing w:after="0" w:line="292"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develop, launch and gain market acceptance of new solutions or recoup our investments in developing such new solutions;</w:t>
      </w:r>
    </w:p>
    <w:p>
      <w:pPr>
        <w:spacing w:after="0" w:line="56"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44" w:lineRule="exact"/>
        <w:rPr>
          <w:rFonts w:ascii="Arial" w:cs="Arial" w:eastAsia="Arial" w:hAnsi="Arial"/>
          <w:sz w:val="18"/>
          <w:szCs w:val="18"/>
          <w:color w:val="auto"/>
        </w:rPr>
      </w:pPr>
    </w:p>
    <w:p>
      <w:pPr>
        <w:jc w:val="both"/>
        <w:ind w:left="640" w:hanging="316"/>
        <w:spacing w:after="0" w:line="318"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risks and uncertainties related to pandemics, epidemics or other force majeure events, including the COVID-19 pandemic, and associated impacts and the duration of such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conduct our operations through two reportable segments: </w:t>
      </w:r>
      <w:r>
        <w:rPr>
          <w:rFonts w:ascii="Arial" w:cs="Arial" w:eastAsia="Arial" w:hAnsi="Arial"/>
          <w:sz w:val="18"/>
          <w:szCs w:val="18"/>
          <w:i w:val="1"/>
          <w:iCs w:val="1"/>
          <w:color w:val="auto"/>
        </w:rPr>
        <w:t>Servicer and Real Estate and Origination.</w:t>
      </w:r>
      <w:r>
        <w:rPr>
          <w:rFonts w:ascii="Arial" w:cs="Arial" w:eastAsia="Arial" w:hAnsi="Arial"/>
          <w:sz w:val="18"/>
          <w:szCs w:val="18"/>
          <w:color w:val="auto"/>
        </w:rPr>
        <w:t xml:space="preserve"> In addition, we report </w:t>
      </w:r>
      <w:r>
        <w:rPr>
          <w:rFonts w:ascii="Arial" w:cs="Arial" w:eastAsia="Arial" w:hAnsi="Arial"/>
          <w:sz w:val="18"/>
          <w:szCs w:val="18"/>
          <w:i w:val="1"/>
          <w:iCs w:val="1"/>
          <w:color w:val="auto"/>
        </w:rPr>
        <w:t>Corporate and Others</w:t>
      </w:r>
      <w:r>
        <w:rPr>
          <w:rFonts w:ascii="Arial" w:cs="Arial" w:eastAsia="Arial" w:hAnsi="Arial"/>
          <w:sz w:val="18"/>
          <w:szCs w:val="18"/>
          <w:color w:val="auto"/>
        </w:rPr>
        <w:t xml:space="preserve"> separately.</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Servicer and Real Estate</w:t>
      </w:r>
      <w:r>
        <w:rPr>
          <w:rFonts w:ascii="Arial" w:cs="Arial" w:eastAsia="Arial" w:hAnsi="Arial"/>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Solutions</w:t>
      </w:r>
    </w:p>
    <w:p>
      <w:pPr>
        <w:spacing w:after="0" w:line="98"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Marketplace</w:t>
      </w:r>
    </w:p>
    <w:p>
      <w:pPr>
        <w:spacing w:after="0" w:line="104" w:lineRule="exact"/>
        <w:rPr>
          <w:sz w:val="20"/>
          <w:szCs w:val="20"/>
          <w:color w:val="auto"/>
        </w:rPr>
      </w:pPr>
    </w:p>
    <w:p>
      <w:pPr>
        <w:jc w:val="both"/>
        <w:ind w:left="640"/>
        <w:spacing w:after="0" w:line="230" w:lineRule="auto"/>
        <w:rPr>
          <w:sz w:val="20"/>
          <w:szCs w:val="20"/>
          <w:color w:val="auto"/>
        </w:rPr>
      </w:pPr>
      <w:r>
        <w:rPr>
          <w:rFonts w:ascii="Arial" w:cs="Arial" w:eastAsia="Arial" w:hAnsi="Arial"/>
          <w:sz w:val="18"/>
          <w:szCs w:val="18"/>
          <w:color w:val="auto"/>
        </w:rPr>
        <w:t>Our Marketplace business includes the Hubzu</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online real estate auction platform and real estate auction, real estate brokerage and asset management services.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Technology and software-as-a-service (“SaaS”) Products</w:t>
      </w:r>
    </w:p>
    <w:p>
      <w:pPr>
        <w:spacing w:after="0" w:line="104" w:lineRule="exact"/>
        <w:rPr>
          <w:sz w:val="20"/>
          <w:szCs w:val="20"/>
          <w:color w:val="auto"/>
        </w:rPr>
      </w:pPr>
    </w:p>
    <w:p>
      <w:pPr>
        <w:jc w:val="both"/>
        <w:ind w:left="640"/>
        <w:spacing w:after="0" w:line="215" w:lineRule="auto"/>
        <w:rPr>
          <w:sz w:val="20"/>
          <w:szCs w:val="20"/>
          <w:color w:val="auto"/>
        </w:rPr>
      </w:pPr>
      <w:r>
        <w:rPr>
          <w:rFonts w:ascii="Arial" w:cs="Arial" w:eastAsia="Arial" w:hAnsi="Arial"/>
          <w:sz w:val="18"/>
          <w:szCs w:val="18"/>
          <w:color w:val="auto"/>
        </w:rPr>
        <w:t>Our Technology and SaaS Products business includes Equator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 SaaS-based technology to manage real estate owned (“REO”), short sales, foreclosure, bankruptcy and eviction processes), Vendorly Invoice (a vendor invoicing and payment system), RentRange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 single family rental data, analytics and rent-based valuation solution), REALSynergy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 commercial loan servicing platform), and NestRange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(an automated valuation model and analytics solution).</w:t>
      </w:r>
    </w:p>
    <w:p>
      <w:pPr>
        <w:spacing w:after="0" w:line="1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Origination</w:t>
      </w:r>
      <w:r>
        <w:rPr>
          <w:rFonts w:ascii="Arial" w:cs="Arial" w:eastAsia="Arial" w:hAnsi="Arial"/>
          <w:sz w:val="18"/>
          <w:szCs w:val="18"/>
          <w:color w:val="auto"/>
        </w:rPr>
        <w:t xml:space="preserve"> segment provides originators with solutions and technologies that span the mortgage origination lifecycle. Within the Origination segment we provide: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Solutions</w:t>
      </w:r>
    </w:p>
    <w:p>
      <w:pPr>
        <w:spacing w:after="0" w:line="111"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Lenders One</w:t>
      </w:r>
    </w:p>
    <w:p>
      <w:pPr>
        <w:spacing w:after="0" w:line="104" w:lineRule="exact"/>
        <w:rPr>
          <w:sz w:val="20"/>
          <w:szCs w:val="20"/>
          <w:color w:val="auto"/>
        </w:rPr>
      </w:pPr>
    </w:p>
    <w:p>
      <w:pPr>
        <w:jc w:val="both"/>
        <w:ind w:left="640"/>
        <w:spacing w:after="0" w:line="269" w:lineRule="auto"/>
        <w:rPr>
          <w:sz w:val="20"/>
          <w:szCs w:val="20"/>
          <w:color w:val="auto"/>
        </w:rPr>
      </w:pPr>
      <w:r>
        <w:rPr>
          <w:rFonts w:ascii="Arial" w:cs="Arial" w:eastAsia="Arial" w:hAnsi="Arial"/>
          <w:sz w:val="16"/>
          <w:szCs w:val="16"/>
          <w:color w:val="auto"/>
        </w:rPr>
        <w:t>Our Lenders One business includes management services provided to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and certain loan manufacturing and capital markets services provided to the members of the Lenders One cooperative.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Technology and SaaS Products</w:t>
      </w:r>
    </w:p>
    <w:p>
      <w:pPr>
        <w:spacing w:after="0" w:line="111"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(technology to manage the workflow and automate components of the loan fulfillment, pre and post-close quality control and service transfer processes), and ADMS (a document management and data analytics delivery platform).</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i w:val="1"/>
          <w:iCs w:val="1"/>
          <w:color w:val="auto"/>
        </w:rPr>
        <w:t xml:space="preserve">Corporate and Others </w:t>
      </w:r>
      <w:r>
        <w:rPr>
          <w:rFonts w:ascii="Arial" w:cs="Arial" w:eastAsia="Arial" w:hAnsi="Arial"/>
          <w:sz w:val="17"/>
          <w:szCs w:val="17"/>
          <w:color w:val="auto"/>
        </w:rPr>
        <w:t>includes interest expense and costs related to corporate functions including executive, infrastructure and certain technology groups,</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law, compliance, human resources, vendor management, facilities, risk management and eliminations between reportable segments.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our businesses to provide long term value to our customers and shareholders.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and Real Estate:</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Through our offerings that support residential real estate and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Rithm. We believe we are one of only a few providers with a broad suite of servicer solutions, nationwide coverage and scalability. Further, we believe we are well positioned to gain market share from existing and new customers as they consolidate to larger, full-service providers or outsource services that have historically been performed in-house.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i w:val="1"/>
          <w:iCs w:val="1"/>
          <w:color w:val="auto"/>
        </w:rPr>
        <w:t xml:space="preserve">Corporate and Others </w:t>
      </w:r>
      <w:r>
        <w:rPr>
          <w:rFonts w:ascii="Arial" w:cs="Arial" w:eastAsia="Arial" w:hAnsi="Arial"/>
          <w:sz w:val="17"/>
          <w:szCs w:val="17"/>
          <w:color w:val="auto"/>
        </w:rPr>
        <w:t>includes interest expense and costs related to corporate functions including executive, infrastructure and certain technology groups,</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law, compliance, human resources, vendor management, facilities, risk management and eliminations between reportable segments.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response to the COVID-19 pandemic, beginning in March 2020, various governmental entities and servicers implemented unprecedented foreclosure and eviction moratoriums, forbearance programs and loss mitigation measures to help mitigate the impact to borrowers and renters. The Federal government’s foreclosure moratorium expired on July 31, 2021 and the Consumer Financial Protection Bureau’s (“CFPB’s”) temporary loss mitigation measures expired on December 31, 2021. Despite the expiration of such governmental measures, we believe servicers are proceeding slowly with foreclosure initiations for borrowers in default. Industrywide foreclosure initiations were 13% lower from January through May 2023 compared to the same period in 2022, and 31% lower than the same period in 2019. Industrywide foreclosure sales were 23% higher from January through May 2023 compared to the same period in 2022, although still 46% lower than the same pre-COVID-19 period in 2019. The decline in foreclosure initiations and foreclosure sales throughout the pandemic, partially offset by the restart of the default market, significantly decreased default related referrals to Altisource and continues to negatively impact virtually all of Altisource’s default related services revenue.</w:t>
      </w:r>
    </w:p>
    <w:p>
      <w:pPr>
        <w:spacing w:after="0" w:line="13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cannot predict whether the default market will return to a pre-pandemic operating environment or the timing of such return or future government and industry actions. Based on the expirations of the Federal government’s foreclosure and eviction moratoriums and the CFPB’s rules on temporary loss mitigation measures, we believe the demand for our Default business will grow. We estimate that in today’s environment it typically takes on average two years to convert foreclosure initiations to foreclosure sales and six months to market and sell the REO. Due to this timing, we anticipate that our later stage foreclosure auction and REO asset management services will not fully benefit from the early 2022 higher foreclosure initiations until late 2023 or early 2024.</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2022 and the six months ended June 2023,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and (3) grow Lenders One membership, launch new solutions and increase customer adoption of our solutions to accelerate the growth of our origination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June 30, 2023, approximately 3.1 million shares of common stock remain available for repurchase under the program. There were no purchases of shares of common stock during the six months ended June 30, 2023 and 2022. Luxembourg law limits share repurchases to the balance of Altisource Portfolio Solutions S.A. (unconsolidated parent company) retained earnings, less the value of shares repurchased. As of June 30, 2023, we can repurchase up to approximately $61 million of our common stock under Luxembourg law. Under the Amended Credit Agreement, we are not permitted to repurchase shares except for limited circumstances.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six months ended June 30, 2023, Ocwen was our largest customer, accounting for 42% of our total revenue for the six months ended June 30, 2023 (40% of our revenue for the second quarter of 2023). Additionally, 7% of our revenue for the three and six months ended June 30, 2023 (6% of our revenue for the second quarter of 2023) was earned on the loan portfolios serviced by Ocwen, when a party other than Ocwen or the mortgage servicing rights (“MSRs”) owner selected Altisource as the service provider.</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Ocwen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Ocwen has disclosed that Rithm is a significant client of Ocwen’s. As of March 31, 2023, approximately 16% of loans serviced and subserviced by Ocwen (measured in unpaid principal balance) and approximately 68% of all delinquent loans that Ocwen services were related to Rithm MSRs or rights to MSRs.</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58"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58" w:lineRule="exact"/>
        <w:rPr>
          <w:rFonts w:ascii="Arial" w:cs="Arial" w:eastAsia="Arial" w:hAnsi="Arial"/>
          <w:sz w:val="18"/>
          <w:szCs w:val="18"/>
          <w:color w:val="auto"/>
        </w:rPr>
      </w:pPr>
    </w:p>
    <w:p>
      <w:pPr>
        <w:ind w:left="640" w:hanging="316"/>
        <w:spacing w:after="0" w:line="292"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Arial" w:cs="Arial" w:eastAsia="Arial" w:hAnsi="Arial"/>
          <w:sz w:val="17"/>
          <w:szCs w:val="17"/>
          <w:color w:val="auto"/>
        </w:rPr>
      </w:pPr>
    </w:p>
    <w:p>
      <w:pPr>
        <w:ind w:left="640" w:hanging="316"/>
        <w:spacing w:after="0" w:line="292"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Ocwen is subject to stays, moratoriums, suspensions or other restrictions that limit or delay default-related actions on the loans it services</w:t>
      </w:r>
    </w:p>
    <w:p>
      <w:pPr>
        <w:spacing w:after="0" w:line="69" w:lineRule="exact"/>
        <w:rPr>
          <w:rFonts w:ascii="Arial" w:cs="Arial" w:eastAsia="Arial" w:hAnsi="Arial"/>
          <w:sz w:val="17"/>
          <w:szCs w:val="17"/>
          <w:color w:val="auto"/>
        </w:rPr>
      </w:pPr>
    </w:p>
    <w:p>
      <w:pPr>
        <w:ind w:left="640" w:hanging="316"/>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foregoing list is not intended to be exhaustive. Management cannot predict whether any of these events or other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Industrywide foreclosure initiations were 13% lower for the six months ended June 30, 2023 compared to the same period in 2022 (and 31% lower than the same pre-COVID-19 period in 2019)</w:t>
      </w:r>
    </w:p>
    <w:p>
      <w:pPr>
        <w:spacing w:after="0" w:line="21"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Industrywide foreclosure sales were 23% higher for the six months ended June 30, 2023 compared to the same period in 2022 (and 46% lower than the same pre-COVID-19 period in 2019)</w:t>
      </w:r>
    </w:p>
    <w:p>
      <w:pPr>
        <w:spacing w:after="0" w:line="21"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Temporary delay in certain California foreclosures during the three months ended June 30, 2023 negatively impacted revenue in the Servicer and Real Estate segment</w:t>
      </w:r>
    </w:p>
    <w:p>
      <w:pPr>
        <w:spacing w:after="0" w:line="21"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on the Company’s senior secured term loans was 14.49% for the six months ended June 30, 2023 compared to 5.01% for the same period in 2022</w:t>
      </w:r>
    </w:p>
    <w:p>
      <w:pPr>
        <w:spacing w:after="0" w:line="21"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14, 2023, Altisource Portfolio Solutions S.A. and its wholly-owned subsidiary, Altisource S.à r.l., entered into Amendment No. 2 to the Credit Agreement. In connection with Amendment No. 2, the Company paid $3.3 million to advisors and recorded these payments as other expense in the condensed consolidated statements of operations and comprehensive loss</w:t>
      </w:r>
    </w:p>
    <w:p>
      <w:pPr>
        <w:spacing w:after="0" w:line="29"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recognized an income tax provision of $2.2 million and $2.4 million for the six months ended June 30,</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2023 and 2022, respectively ($0.6 million and $1.5 million for the second quarter of 2023 and 2022, respectively). The income tax provision for the three and six months ended June 30,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5"/>
          </w:tcPr>
          <w:p>
            <w:pPr>
              <w:ind w:left="720"/>
              <w:spacing w:after="0"/>
              <w:rPr>
                <w:sz w:val="20"/>
                <w:szCs w:val="20"/>
                <w:color w:val="auto"/>
              </w:rPr>
            </w:pPr>
            <w:r>
              <w:rPr>
                <w:rFonts w:ascii="Arial" w:cs="Arial" w:eastAsia="Arial" w:hAnsi="Arial"/>
                <w:sz w:val="14"/>
                <w:szCs w:val="14"/>
                <w:b w:val="1"/>
                <w:bCs w:val="1"/>
                <w:color w:val="auto"/>
                <w:w w:val="93"/>
              </w:rPr>
              <w:t>Three months ended June 30,</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4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0"/>
                <w:szCs w:val="10"/>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 Increase</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940" w:type="dxa"/>
            <w:vAlign w:val="bottom"/>
          </w:tcPr>
          <w:p>
            <w:pPr>
              <w:jc w:val="right"/>
              <w:ind w:right="49"/>
              <w:spacing w:after="0" w:line="126"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Servicer and Real Estate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24,918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29,424</w:t>
            </w:r>
          </w:p>
        </w:tc>
        <w:tc>
          <w:tcPr>
            <w:tcW w:w="120" w:type="dxa"/>
            <w:vAlign w:val="bottom"/>
          </w:tcPr>
          <w:p>
            <w:pPr>
              <w:spacing w:after="0"/>
              <w:rPr>
                <w:sz w:val="19"/>
                <w:szCs w:val="19"/>
                <w:color w:val="auto"/>
              </w:rPr>
            </w:pPr>
          </w:p>
        </w:tc>
        <w:tc>
          <w:tcPr>
            <w:tcW w:w="940" w:type="dxa"/>
            <w:vAlign w:val="bottom"/>
          </w:tcPr>
          <w:p>
            <w:pPr>
              <w:jc w:val="center"/>
              <w:ind w:left="475"/>
              <w:spacing w:after="0"/>
              <w:rPr>
                <w:sz w:val="20"/>
                <w:szCs w:val="20"/>
                <w:color w:val="auto"/>
              </w:rPr>
            </w:pPr>
            <w:r>
              <w:rPr>
                <w:rFonts w:ascii="Arial" w:cs="Arial" w:eastAsia="Arial" w:hAnsi="Arial"/>
                <w:sz w:val="18"/>
                <w:szCs w:val="18"/>
                <w:color w:val="auto"/>
                <w:w w:val="93"/>
              </w:rPr>
              <w:t>(15)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54,679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56,581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Origination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8,255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8,214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18,820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3460" w:type="dxa"/>
            <w:vAlign w:val="bottom"/>
            <w:gridSpan w:val="2"/>
          </w:tcPr>
          <w:p>
            <w:pPr>
              <w:ind w:left="240"/>
              <w:spacing w:after="0"/>
              <w:rPr>
                <w:sz w:val="20"/>
                <w:szCs w:val="20"/>
                <w:color w:val="auto"/>
              </w:rPr>
            </w:pPr>
            <w:r>
              <w:rPr>
                <w:rFonts w:ascii="Arial" w:cs="Arial" w:eastAsia="Arial" w:hAnsi="Arial"/>
                <w:sz w:val="18"/>
                <w:szCs w:val="18"/>
                <w:color w:val="auto"/>
              </w:rPr>
              <w:t>Total service revenue</w:t>
            </w:r>
          </w:p>
        </w:tc>
        <w:tc>
          <w:tcPr>
            <w:tcW w:w="320" w:type="dxa"/>
            <w:vAlign w:val="bottom"/>
          </w:tcPr>
          <w:p>
            <w:pPr>
              <w:spacing w:after="0"/>
              <w:rPr>
                <w:sz w:val="18"/>
                <w:szCs w:val="18"/>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33,173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37,638</w:t>
            </w:r>
          </w:p>
        </w:tc>
        <w:tc>
          <w:tcPr>
            <w:tcW w:w="120" w:type="dxa"/>
            <w:vAlign w:val="bottom"/>
          </w:tcPr>
          <w:p>
            <w:pPr>
              <w:spacing w:after="0"/>
              <w:rPr>
                <w:sz w:val="18"/>
                <w:szCs w:val="18"/>
                <w:color w:val="auto"/>
              </w:rPr>
            </w:pPr>
          </w:p>
        </w:tc>
        <w:tc>
          <w:tcPr>
            <w:tcW w:w="940" w:type="dxa"/>
            <w:vAlign w:val="bottom"/>
          </w:tcPr>
          <w:p>
            <w:pPr>
              <w:jc w:val="center"/>
              <w:ind w:left="475"/>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70,244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75,401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3"/>
              </w:rPr>
              <w:t>(21)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4,201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ind w:left="475"/>
              <w:spacing w:after="0"/>
              <w:rPr>
                <w:sz w:val="20"/>
                <w:szCs w:val="20"/>
                <w:color w:val="auto"/>
              </w:rPr>
            </w:pPr>
            <w:r>
              <w:rPr>
                <w:rFonts w:ascii="Arial" w:cs="Arial" w:eastAsia="Arial" w:hAnsi="Arial"/>
                <w:sz w:val="18"/>
                <w:szCs w:val="18"/>
                <w:color w:val="auto"/>
                <w:w w:val="93"/>
              </w:rPr>
              <w:t>(93)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335</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35,235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40,421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3"/>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74,696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79,937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29,703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36,355</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center"/>
              <w:ind w:left="475"/>
              <w:spacing w:after="0"/>
              <w:rPr>
                <w:sz w:val="20"/>
                <w:szCs w:val="20"/>
                <w:color w:val="auto"/>
              </w:rPr>
            </w:pPr>
            <w:r>
              <w:rPr>
                <w:rFonts w:ascii="Arial" w:cs="Arial" w:eastAsia="Arial" w:hAnsi="Arial"/>
                <w:sz w:val="18"/>
                <w:szCs w:val="18"/>
                <w:color w:val="auto"/>
                <w:w w:val="93"/>
              </w:rPr>
              <w:t>(18)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60,660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70,224</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4,066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3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5"/>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12,341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14,525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ind w:left="475"/>
              <w:spacing w:after="0"/>
              <w:rPr>
                <w:sz w:val="20"/>
                <w:szCs w:val="20"/>
                <w:color w:val="auto"/>
              </w:rPr>
            </w:pPr>
            <w:r>
              <w:rPr>
                <w:rFonts w:ascii="Arial" w:cs="Arial" w:eastAsia="Arial" w:hAnsi="Arial"/>
                <w:sz w:val="18"/>
                <w:szCs w:val="18"/>
                <w:color w:val="auto"/>
                <w:w w:val="93"/>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24,435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28,499</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(10,459)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(18,786)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39"/>
        </w:trPr>
        <w:tc>
          <w:tcPr>
            <w:tcW w:w="344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440" w:type="dxa"/>
            <w:vAlign w:val="bottom"/>
          </w:tcPr>
          <w:p>
            <w:pPr>
              <w:ind w:left="120"/>
              <w:spacing w:after="0"/>
              <w:rPr>
                <w:sz w:val="20"/>
                <w:szCs w:val="20"/>
                <w:color w:val="auto"/>
              </w:rPr>
            </w:pPr>
            <w:r>
              <w:rPr>
                <w:rFonts w:ascii="Arial" w:cs="Arial" w:eastAsia="Arial" w:hAnsi="Arial"/>
                <w:sz w:val="18"/>
                <w:szCs w:val="18"/>
                <w:color w:val="auto"/>
              </w:rPr>
              <w:t>Debt amendment costs</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4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8"/>
        </w:trPr>
        <w:tc>
          <w:tcPr>
            <w:tcW w:w="3440" w:type="dxa"/>
            <w:vAlign w:val="bottom"/>
          </w:tcPr>
          <w:p>
            <w:pPr>
              <w:ind w:left="3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386"/>
        </w:trPr>
        <w:tc>
          <w:tcPr>
            <w:tcW w:w="3440" w:type="dxa"/>
            <w:vAlign w:val="bottom"/>
          </w:tcPr>
          <w:p>
            <w:pPr>
              <w:ind w:left="20"/>
              <w:spacing w:after="0"/>
              <w:rPr>
                <w:sz w:val="20"/>
                <w:szCs w:val="20"/>
                <w:color w:val="auto"/>
              </w:rPr>
            </w:pPr>
            <w:r>
              <w:rPr>
                <w:rFonts w:ascii="Arial" w:cs="Arial" w:eastAsia="Arial" w:hAnsi="Arial"/>
                <w:sz w:val="18"/>
                <w:szCs w:val="18"/>
                <w:color w:val="auto"/>
                <w:w w:val="93"/>
              </w:rPr>
              <w:t>Loss before income taxes and non-controlling</w:t>
            </w:r>
          </w:p>
        </w:tc>
        <w:tc>
          <w:tcPr>
            <w:tcW w:w="340" w:type="dxa"/>
            <w:vAlign w:val="bottom"/>
          </w:tcPr>
          <w:p>
            <w:pPr>
              <w:spacing w:after="0"/>
              <w:rPr>
                <w:sz w:val="24"/>
                <w:szCs w:val="2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8"/>
                <w:szCs w:val="18"/>
                <w:color w:val="auto"/>
              </w:rPr>
              <w:t>(18,198)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23"/>
        </w:trPr>
        <w:tc>
          <w:tcPr>
            <w:tcW w:w="34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430"/>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(18,837)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174"/>
        </w:trPr>
        <w:tc>
          <w:tcPr>
            <w:tcW w:w="3440" w:type="dxa"/>
            <w:vAlign w:val="bottom"/>
          </w:tcPr>
          <w:p>
            <w:pPr>
              <w:ind w:left="20"/>
              <w:spacing w:after="0" w:line="174" w:lineRule="exact"/>
              <w:rPr>
                <w:sz w:val="20"/>
                <w:szCs w:val="20"/>
                <w:color w:val="auto"/>
              </w:rPr>
            </w:pPr>
            <w:r>
              <w:rPr>
                <w:rFonts w:ascii="Arial" w:cs="Arial" w:eastAsia="Arial" w:hAnsi="Arial"/>
                <w:sz w:val="18"/>
                <w:szCs w:val="18"/>
                <w:color w:val="auto"/>
              </w:rPr>
              <w:t>Net income attributable to non-controlling</w:t>
            </w:r>
          </w:p>
        </w:tc>
        <w:tc>
          <w:tcPr>
            <w:tcW w:w="340" w:type="dxa"/>
            <w:vAlign w:val="bottom"/>
          </w:tcPr>
          <w:p>
            <w:pPr>
              <w:spacing w:after="0"/>
              <w:rPr>
                <w:sz w:val="15"/>
                <w:szCs w:val="15"/>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4"/>
        </w:trPr>
        <w:tc>
          <w:tcPr>
            <w:tcW w:w="34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44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(18,850)</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Margins: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20"/>
              <w:spacing w:after="0"/>
              <w:rPr>
                <w:sz w:val="20"/>
                <w:szCs w:val="20"/>
                <w:color w:val="auto"/>
              </w:rPr>
            </w:pPr>
            <w:r>
              <w:rPr>
                <w:rFonts w:ascii="Arial" w:cs="Arial" w:eastAsia="Arial" w:hAnsi="Arial"/>
                <w:sz w:val="18"/>
                <w:szCs w:val="18"/>
                <w:color w:val="auto"/>
              </w:rPr>
              <w:t>Gross profit/service revenue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8"/>
        </w:trPr>
        <w:tc>
          <w:tcPr>
            <w:tcW w:w="3440" w:type="dxa"/>
            <w:vAlign w:val="bottom"/>
          </w:tcPr>
          <w:p>
            <w:pPr>
              <w:ind w:left="120"/>
              <w:spacing w:after="0"/>
              <w:rPr>
                <w:sz w:val="20"/>
                <w:szCs w:val="20"/>
                <w:color w:val="auto"/>
              </w:rPr>
            </w:pPr>
            <w:r>
              <w:rPr>
                <w:rFonts w:ascii="Arial" w:cs="Arial" w:eastAsia="Arial" w:hAnsi="Arial"/>
                <w:sz w:val="18"/>
                <w:szCs w:val="18"/>
                <w:color w:val="auto"/>
              </w:rPr>
              <w:t>Loss from operations/service revenue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7"/>
        </w:trPr>
        <w:tc>
          <w:tcPr>
            <w:tcW w:w="3440" w:type="dxa"/>
            <w:vAlign w:val="bottom"/>
          </w:tcPr>
          <w:p>
            <w:pPr>
              <w:spacing w:after="0"/>
              <w:rPr>
                <w:sz w:val="20"/>
                <w:szCs w:val="20"/>
                <w:color w:val="auto"/>
              </w:rPr>
            </w:pPr>
            <w:r>
              <w:rPr>
                <w:rFonts w:ascii="Arial" w:cs="Arial" w:eastAsia="Arial" w:hAnsi="Arial"/>
                <w:sz w:val="18"/>
                <w:szCs w:val="18"/>
                <w:color w:val="auto"/>
              </w:rPr>
              <w:t>Loss per share:</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4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4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(0.90)</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4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20,840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4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20,840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-3953510</wp:posOffset>
            </wp:positionV>
            <wp:extent cx="7126605" cy="151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6605"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-3659505</wp:posOffset>
            </wp:positionV>
            <wp:extent cx="7126605"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660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-3364865</wp:posOffset>
            </wp:positionV>
            <wp:extent cx="7126605" cy="151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6605"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-3079115</wp:posOffset>
            </wp:positionV>
            <wp:extent cx="7126605" cy="260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6605"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-2666365</wp:posOffset>
            </wp:positionV>
            <wp:extent cx="7126605"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6605"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-2388870</wp:posOffset>
            </wp:positionV>
            <wp:extent cx="7126605" cy="260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6605"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-1993265</wp:posOffset>
            </wp:positionV>
            <wp:extent cx="7126605" cy="16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6605"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-1698625</wp:posOffset>
            </wp:positionV>
            <wp:extent cx="7126605"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660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-1404620</wp:posOffset>
            </wp:positionV>
            <wp:extent cx="7126605"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660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-1126490</wp:posOffset>
            </wp:positionV>
            <wp:extent cx="7126605" cy="142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660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-823595</wp:posOffset>
            </wp:positionV>
            <wp:extent cx="7126605" cy="184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6605" cy="1847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-504190</wp:posOffset>
            </wp:positionV>
            <wp:extent cx="7126605"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660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-201295</wp:posOffset>
            </wp:positionV>
            <wp:extent cx="7126605" cy="184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6605" cy="1847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180</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(16,664)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(7,090)</w:t>
            </w:r>
          </w:p>
        </w:tc>
      </w:tr>
      <w:tr>
        <w:trPr>
          <w:trHeight w:val="239"/>
        </w:trPr>
        <w:tc>
          <w:tcPr>
            <w:tcW w:w="460" w:type="dxa"/>
            <w:vAlign w:val="bottom"/>
          </w:tcPr>
          <w:p>
            <w:pPr>
              <w:jc w:val="center"/>
              <w:ind w:right="32"/>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25"/>
        </w:trPr>
        <w:tc>
          <w:tcPr>
            <w:tcW w:w="460" w:type="dxa"/>
            <w:vAlign w:val="bottom"/>
          </w:tcPr>
          <w:p>
            <w:pPr>
              <w:jc w:val="center"/>
              <w:ind w:right="32"/>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38"/>
        </w:trPr>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102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933</w:t>
            </w:r>
          </w:p>
        </w:tc>
      </w:tr>
      <w:tr>
        <w:trPr>
          <w:trHeight w:val="218"/>
        </w:trPr>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241</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(6,157)</w:t>
            </w:r>
          </w:p>
        </w:tc>
      </w:tr>
      <w:tr>
        <w:trPr>
          <w:trHeight w:val="610"/>
        </w:trPr>
        <w:tc>
          <w:tcPr>
            <w:tcW w:w="460" w:type="dxa"/>
            <w:vAlign w:val="bottom"/>
          </w:tcPr>
          <w:p>
            <w:pPr>
              <w:jc w:val="center"/>
              <w:ind w:right="32"/>
              <w:spacing w:after="0"/>
              <w:rPr>
                <w:sz w:val="20"/>
                <w:szCs w:val="20"/>
                <w:color w:val="auto"/>
              </w:rPr>
            </w:pPr>
            <w:r>
              <w:rPr>
                <w:rFonts w:ascii="Arial" w:cs="Arial" w:eastAsia="Arial" w:hAnsi="Arial"/>
                <w:sz w:val="18"/>
                <w:szCs w:val="18"/>
                <w:color w:val="auto"/>
                <w:w w:val="93"/>
              </w:rPr>
              <w:t>(32)</w:t>
            </w: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(29,536)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(24,943)</w:t>
            </w:r>
          </w:p>
        </w:tc>
      </w:tr>
      <w:tr>
        <w:trPr>
          <w:trHeight w:val="239"/>
        </w:trPr>
        <w:tc>
          <w:tcPr>
            <w:tcW w:w="460" w:type="dxa"/>
            <w:vAlign w:val="bottom"/>
          </w:tcPr>
          <w:p>
            <w:pPr>
              <w:jc w:val="center"/>
              <w:ind w:right="32"/>
              <w:spacing w:after="0"/>
              <w:rPr>
                <w:sz w:val="20"/>
                <w:szCs w:val="20"/>
                <w:color w:val="auto"/>
              </w:rPr>
            </w:pPr>
            <w:r>
              <w:rPr>
                <w:rFonts w:ascii="Arial" w:cs="Arial" w:eastAsia="Arial" w:hAnsi="Arial"/>
                <w:sz w:val="18"/>
                <w:szCs w:val="18"/>
                <w:color w:val="auto"/>
                <w:w w:val="93"/>
              </w:rPr>
              <w:t>(58)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(2,407)</w:t>
            </w:r>
          </w:p>
        </w:tc>
      </w:tr>
      <w:tr>
        <w:trPr>
          <w:trHeight w:val="430"/>
        </w:trPr>
        <w:tc>
          <w:tcPr>
            <w:tcW w:w="460" w:type="dxa"/>
            <w:vAlign w:val="bottom"/>
          </w:tcPr>
          <w:p>
            <w:pPr>
              <w:jc w:val="center"/>
              <w:ind w:right="32"/>
              <w:spacing w:after="0"/>
              <w:rPr>
                <w:sz w:val="20"/>
                <w:szCs w:val="20"/>
                <w:color w:val="auto"/>
              </w:rPr>
            </w:pPr>
            <w:r>
              <w:rPr>
                <w:rFonts w:ascii="Arial" w:cs="Arial" w:eastAsia="Arial" w:hAnsi="Arial"/>
                <w:sz w:val="18"/>
                <w:szCs w:val="18"/>
                <w:color w:val="auto"/>
                <w:w w:val="93"/>
              </w:rPr>
              <w:t>(23)</w:t>
            </w: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(31,704)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(27,350)</w:t>
            </w:r>
          </w:p>
        </w:tc>
      </w:tr>
      <w:tr>
        <w:trPr>
          <w:trHeight w:val="398"/>
        </w:trPr>
        <w:tc>
          <w:tcPr>
            <w:tcW w:w="46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(335)</w:t>
            </w:r>
          </w:p>
        </w:tc>
      </w:tr>
      <w:tr>
        <w:trPr>
          <w:trHeight w:val="431"/>
        </w:trPr>
        <w:tc>
          <w:tcPr>
            <w:tcW w:w="460" w:type="dxa"/>
            <w:vAlign w:val="bottom"/>
          </w:tcPr>
          <w:p>
            <w:pPr>
              <w:jc w:val="center"/>
              <w:ind w:right="32"/>
              <w:spacing w:after="0"/>
              <w:rPr>
                <w:sz w:val="20"/>
                <w:szCs w:val="20"/>
                <w:color w:val="auto"/>
              </w:rPr>
            </w:pPr>
            <w:r>
              <w:rPr>
                <w:rFonts w:ascii="Arial" w:cs="Arial" w:eastAsia="Arial" w:hAnsi="Arial"/>
                <w:sz w:val="18"/>
                <w:szCs w:val="18"/>
                <w:color w:val="auto"/>
                <w:w w:val="93"/>
              </w:rPr>
              <w:t>(22)</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(31,797)</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(27,685)</w:t>
            </w:r>
          </w:p>
        </w:tc>
      </w:tr>
      <w:tr>
        <w:trPr>
          <w:trHeight w:val="20"/>
        </w:trPr>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8"/>
        </w:trPr>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663"/>
        </w:trPr>
        <w:tc>
          <w:tcPr>
            <w:tcW w:w="4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(1.73)</w:t>
            </w:r>
          </w:p>
        </w:tc>
      </w:tr>
      <w:tr>
        <w:trPr>
          <w:trHeight w:val="20"/>
        </w:trPr>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2"/>
        </w:trPr>
        <w:tc>
          <w:tcPr>
            <w:tcW w:w="4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(1.62)</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(1.73)</w:t>
            </w:r>
          </w:p>
        </w:tc>
      </w:tr>
      <w:tr>
        <w:trPr>
          <w:trHeight w:val="20"/>
        </w:trPr>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6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16,020</w:t>
            </w:r>
          </w:p>
        </w:tc>
      </w:tr>
      <w:tr>
        <w:trPr>
          <w:trHeight w:val="20"/>
        </w:trPr>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2"/>
        </w:trPr>
        <w:tc>
          <w:tcPr>
            <w:tcW w:w="46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16,020</w:t>
            </w:r>
          </w:p>
        </w:tc>
      </w:tr>
      <w:tr>
        <w:trPr>
          <w:trHeight w:val="20"/>
        </w:trPr>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135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211</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(18)</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(16)</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23</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23</w:t>
      </w:r>
    </w:p>
    <w:p>
      <w:pPr>
        <w:spacing w:after="0" w:line="1061" w:lineRule="exact"/>
        <w:rPr>
          <w:sz w:val="20"/>
          <w:szCs w:val="20"/>
          <w:color w:val="auto"/>
        </w:rPr>
      </w:pPr>
    </w:p>
    <w:p>
      <w:pPr>
        <w:sectPr>
          <w:pgSz w:w="11900" w:h="16838" w:orient="portrait"/>
          <w:cols w:equalWidth="0" w:num="3">
            <w:col w:w="6240" w:space="700"/>
            <w:col w:w="3240" w:space="700"/>
            <w:col w:w="360"/>
          </w:cols>
          <w:pgMar w:left="320" w:top="127" w:right="339" w:bottom="1440" w:gutter="0" w:footer="0" w:header="0"/>
          <w:type w:val="continuous"/>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recognized service revenue of $70.2 million for the six months ended June 30, 2023, a 7% decrease compared to the six months ended June 30, 2022 ($33.2 million for the second quarter of 2023, a 12% decrease compared to the second quarter of 2022). The decline in service revenue for the six months ended June 30, 2023 is primarily driven by lower revenue in the Origination segment from the overall market decline in mortgage originations and lower revenue in the Servicer and Real Estate segment from the exit of a low margin customer care business in the fourth quarter 2022, the apparent decline in a customer’s propensity to order services in two of our lower margin default related businesses and unexpected temporary delays in certain California foreclosures.</w:t>
      </w:r>
    </w:p>
    <w:p>
      <w:pPr>
        <w:spacing w:after="0" w:line="14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recognized reimbursable expense revenue of $4.4 million for the six months ended June 30, 2023, a 4% increase compared to the six months ended June 30, 2022 ($2.0 million for the second quarter of 2023, a 21% decrease compared to the second quarter of 2022). The increase in reimbursable expenses for the six months ended June 30, 2023 is primarily driven by an increase in property preservation, asset resolution and asset management activities. The decrease in reimbursable expenses for the three months ended June 30, 2023 is primarily driven by lower asset resolution and asset management activities.</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and the rapid rise in mortgage interest rates the seasonal impact to revenue may not follow historical patterns.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980" w:type="dxa"/>
            <w:vAlign w:val="bottom"/>
          </w:tcPr>
          <w:p>
            <w:pPr>
              <w:jc w:val="right"/>
              <w:ind w:right="56"/>
              <w:spacing w:after="0" w:line="126" w:lineRule="exact"/>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980" w:type="dxa"/>
            <w:vAlign w:val="bottom"/>
          </w:tcPr>
          <w:p>
            <w:pPr>
              <w:jc w:val="right"/>
              <w:ind w:right="56"/>
              <w:spacing w:after="0" w:line="126"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27,346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1"/>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2"/>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70,224</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recognized cost of revenue of $60.7 million for the six months ended June 30, 2023, a 14% decrease compared to the six months ended June 30, 2022 ($29.7 million for the second quarter of 2023, a 18% decrease compared to the second quarter of 2022). Compensation and benefits for the three and six months ended June 30, 2023 decreased primarily due to cost savings measures taken in 2022 and early 2023. Technology and telecommunications for the three and six months ended June 30, 2023 decreased primarily due to the renegotiation of certain contracts and lower overall headcount. Outside fees and services for the six months ended June 30, 2023 increased primarily from growth of reseller products in the Origination segment and from higher Field Services revenue in the Solutions business of the Servicer and Real Estate segment. In addition, changes in reimbursable expenses for the three and six months ended June 30, 2023 are consistent with the changes in reimbursable expense revenue discussed in the revenue section above.</w:t>
      </w:r>
    </w:p>
    <w:p>
      <w:pPr>
        <w:spacing w:after="0" w:line="10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Gross profit increased to $14.0 million, representing 20% of service revenue, for the six months ended June 30, 2023 compared to $9.7 million, representing 13% of service revenue, for the six months ended June 30, 2022 (increased to $5.5 million, representing 17% of service revenue, for the second quarter of 2023, compared to $4.1 million, representing 11% of service revenue, for the second quarter of 2022). Gross profit as a percentage of service revenue for the three and six months ended June 30, 2023 increased compared to the three and six months ended June 30, 2022 primarily due to margin expansion in the Servicer and Real Estate segment from efficiency initiatives and lower corporate costs as a percentage of revenue. Gross profit as a percentage of service revenue for the three months ended June 30, 2023 also increased from margin expansion in the Origination segment from cost savings measures.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(“SG&amp;A”) expenses includes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1"/>
                <w:szCs w:val="11"/>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980" w:type="dxa"/>
            <w:vAlign w:val="bottom"/>
          </w:tcPr>
          <w:p>
            <w:pPr>
              <w:jc w:val="right"/>
              <w:ind w:right="55"/>
              <w:spacing w:after="0" w:line="130" w:lineRule="exact"/>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980" w:type="dxa"/>
            <w:vAlign w:val="bottom"/>
          </w:tcPr>
          <w:p>
            <w:pPr>
              <w:jc w:val="right"/>
              <w:ind w:right="55"/>
              <w:spacing w:after="0" w:line="130"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8"/>
        </w:trPr>
        <w:tc>
          <w:tcPr>
            <w:tcW w:w="3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1"/>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2"/>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Selling, general and administrative expenses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SG&amp;A expenses for the six months ended June 30, 2023 of $24.4 million decreased by 14% compared to the six months ended June 30, 2022 ($12.3 million for the second quarter of 2023, a 15% decrease compared to the second quarter of 2022). The decrease for the three and six months ended June 30, 2022 was primarily driven by lower professional services, compensation and benefits, marketing costs and Other expenses. Professional services for the three and six months ended June 30, 2023 decreased primarily due to lower legal and litigation fees. Compensation and benefits and marketing costs for the three and six months ended June 30, 2023 decreased from efficiency and cost reduction measures.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Loss from operations for the six months ended June 30, 2023 was $(10.4) million, representing (15)% of service revenue, compared to $(18.8) million, representing (25)% of service revenue, for the six months ended June 30, 2022 (decreased to $(6.8) million, representing (21)% of service revenue, for the second quarter of 2023, compared to $(10.5) million representing (28)% of service revenue for the second quarter of 2022). Loss from operations as a percentage of service revenue improved for the three and six months ended June 30, 2023 compared to the three and six months ended June 30, 2022, primarily as a result of higher gross profit margins and, for the six months ended June 30, 2022, the percentage reduction in SG&amp;A expenses in excess of the percentage change in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income (expense), net was $(19.1) million for the six months ended June 30, 2023 compared to $(6.2) million for the six months ended June 30, 2022 ($(11.4) million for the second quarter of 2023 and $(3.3) million for the second quarter of 2022). The change for the six months ended June 30, 2023 was primarily driven by an increase of $9.6 million in interest expense driven by higher interest rates on our SSTL and higher amortization of debt discount and debt issuance and amendment costs, $3.3 million of debt amendment costs in the six months ended June 30, 2023 and $1.1 million higher change in fair value of warrant liability, partially offset by higher interest and other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recognized an income tax provision of $2.2 million and $2.4 million for the six months ended June 30, 2023 and 2022, respectively ($0.6 million and $1.5 million for the second quarter of 2023 and 2022, respectively). The income tax provision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 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0"/>
                <w:szCs w:val="10"/>
                <w:color w:val="auto"/>
              </w:rPr>
            </w:pPr>
          </w:p>
        </w:tc>
        <w:tc>
          <w:tcPr>
            <w:tcW w:w="1260" w:type="dxa"/>
            <w:vAlign w:val="bottom"/>
          </w:tcPr>
          <w:p>
            <w:pPr>
              <w:jc w:val="center"/>
              <w:ind w:right="54"/>
              <w:spacing w:after="0" w:line="126" w:lineRule="exact"/>
              <w:rPr>
                <w:sz w:val="20"/>
                <w:szCs w:val="20"/>
                <w:color w:val="auto"/>
              </w:rPr>
            </w:pPr>
            <w:r>
              <w:rPr>
                <w:rFonts w:ascii="Arial" w:cs="Arial" w:eastAsia="Arial" w:hAnsi="Arial"/>
                <w:sz w:val="14"/>
                <w:szCs w:val="14"/>
                <w:b w:val="1"/>
                <w:bCs w:val="1"/>
                <w:color w:val="auto"/>
                <w:w w:val="91"/>
              </w:rPr>
              <w:t>Servicer and Real</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Origination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74"/>
              <w:spacing w:after="0" w:line="126" w:lineRule="exact"/>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134"/>
              <w:spacing w:after="0" w:line="126"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Others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4"/>
        </w:trPr>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24,918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8,255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33,173</w:t>
            </w: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26,848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18,038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8,018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29,703</w:t>
            </w: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8,810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193"/>
        </w:trPr>
        <w:tc>
          <w:tcPr>
            <w:tcW w:w="5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gridSpan w:val="2"/>
          </w:tcPr>
          <w:p>
            <w:pPr>
              <w:ind w:left="40"/>
              <w:spacing w:after="0" w:line="187"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14"/>
              <w:spacing w:after="0"/>
              <w:rPr>
                <w:sz w:val="20"/>
                <w:szCs w:val="20"/>
                <w:color w:val="auto"/>
              </w:rPr>
            </w:pPr>
            <w:r>
              <w:rPr>
                <w:rFonts w:ascii="Arial" w:cs="Arial" w:eastAsia="Arial" w:hAnsi="Arial"/>
                <w:sz w:val="18"/>
                <w:szCs w:val="18"/>
                <w:color w:val="auto"/>
              </w:rPr>
              <w:t>6,172</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74"/>
              <w:spacing w:after="0"/>
              <w:rPr>
                <w:sz w:val="20"/>
                <w:szCs w:val="20"/>
                <w:color w:val="auto"/>
              </w:rPr>
            </w:pPr>
            <w:r>
              <w:rPr>
                <w:rFonts w:ascii="Arial" w:cs="Arial" w:eastAsia="Arial" w:hAnsi="Arial"/>
                <w:sz w:val="18"/>
                <w:szCs w:val="18"/>
                <w:color w:val="auto"/>
              </w:rPr>
              <w:t>(1,981)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(22,389)</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74"/>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198"/>
        </w:trPr>
        <w:tc>
          <w:tcPr>
            <w:tcW w:w="5340" w:type="dxa"/>
            <w:vAlign w:val="bottom"/>
            <w:gridSpan w:val="2"/>
          </w:tcPr>
          <w:p>
            <w:pPr>
              <w:ind w:left="40"/>
              <w:spacing w:after="0" w:line="198" w:lineRule="exact"/>
              <w:rPr>
                <w:sz w:val="20"/>
                <w:szCs w:val="20"/>
                <w:color w:val="auto"/>
              </w:rPr>
            </w:pPr>
            <w:r>
              <w:rPr>
                <w:rFonts w:ascii="Arial" w:cs="Arial" w:eastAsia="Arial" w:hAnsi="Arial"/>
                <w:sz w:val="18"/>
                <w:szCs w:val="18"/>
                <w:color w:val="auto"/>
              </w:rPr>
              <w:t>non-controlling interests</w:t>
            </w:r>
          </w:p>
        </w:tc>
        <w:tc>
          <w:tcPr>
            <w:tcW w:w="1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4"/>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5"/>
        </w:trPr>
        <w:tc>
          <w:tcPr>
            <w:tcW w:w="522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June 30,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1"/>
                <w:szCs w:val="11"/>
                <w:color w:val="auto"/>
              </w:rPr>
            </w:pPr>
          </w:p>
        </w:tc>
        <w:tc>
          <w:tcPr>
            <w:tcW w:w="126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1"/>
              </w:rPr>
              <w:t>Servicer and Real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06"/>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Origination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Others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29,424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8,214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37,638</w:t>
            </w: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2"/>
        </w:trPr>
        <w:tc>
          <w:tcPr>
            <w:tcW w:w="5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31,947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22,413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9,245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36,355</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9,534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3,237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25"/>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06"/>
        </w:trPr>
        <w:tc>
          <w:tcPr>
            <w:tcW w:w="53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4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14"/>
              <w:spacing w:after="0"/>
              <w:rPr>
                <w:sz w:val="20"/>
                <w:szCs w:val="20"/>
                <w:color w:val="auto"/>
              </w:rPr>
            </w:pPr>
            <w:r>
              <w:rPr>
                <w:rFonts w:ascii="Arial" w:cs="Arial" w:eastAsia="Arial" w:hAnsi="Arial"/>
                <w:sz w:val="18"/>
                <w:szCs w:val="18"/>
                <w:color w:val="auto"/>
              </w:rPr>
              <w:t>6,297</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74"/>
              <w:spacing w:after="0"/>
              <w:rPr>
                <w:sz w:val="20"/>
                <w:szCs w:val="20"/>
                <w:color w:val="auto"/>
              </w:rPr>
            </w:pPr>
            <w:r>
              <w:rPr>
                <w:rFonts w:ascii="Arial" w:cs="Arial" w:eastAsia="Arial" w:hAnsi="Arial"/>
                <w:sz w:val="18"/>
                <w:szCs w:val="18"/>
                <w:color w:val="auto"/>
              </w:rPr>
              <w:t>(2,991)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(17,106)</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74"/>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198"/>
        </w:trPr>
        <w:tc>
          <w:tcPr>
            <w:tcW w:w="534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non-controlling interests</w:t>
            </w:r>
          </w:p>
        </w:tc>
        <w:tc>
          <w:tcPr>
            <w:tcW w:w="1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4"/>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8"/>
              </w:rPr>
              <w:t>Six months ended June 30, 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0"/>
                <w:szCs w:val="10"/>
                <w:color w:val="auto"/>
              </w:rPr>
            </w:pPr>
          </w:p>
        </w:tc>
        <w:tc>
          <w:tcPr>
            <w:tcW w:w="1280" w:type="dxa"/>
            <w:vAlign w:val="bottom"/>
          </w:tcPr>
          <w:p>
            <w:pPr>
              <w:jc w:val="center"/>
              <w:ind w:right="34"/>
              <w:spacing w:after="0" w:line="126" w:lineRule="exact"/>
              <w:rPr>
                <w:sz w:val="20"/>
                <w:szCs w:val="20"/>
                <w:color w:val="auto"/>
              </w:rPr>
            </w:pPr>
            <w:r>
              <w:rPr>
                <w:rFonts w:ascii="Arial" w:cs="Arial" w:eastAsia="Arial" w:hAnsi="Arial"/>
                <w:sz w:val="14"/>
                <w:szCs w:val="14"/>
                <w:b w:val="1"/>
                <w:bCs w:val="1"/>
                <w:color w:val="auto"/>
                <w:w w:val="91"/>
              </w:rPr>
              <w:t>Servicer and Real</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Origination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ind w:right="114"/>
              <w:spacing w:after="0" w:line="126" w:lineRule="exact"/>
              <w:rPr>
                <w:sz w:val="20"/>
                <w:szCs w:val="20"/>
                <w:color w:val="auto"/>
              </w:rPr>
            </w:pPr>
            <w:r>
              <w:rPr>
                <w:rFonts w:ascii="Arial" w:cs="Arial" w:eastAsia="Arial" w:hAnsi="Arial"/>
                <w:sz w:val="14"/>
                <w:szCs w:val="14"/>
                <w:b w:val="1"/>
                <w:bCs w:val="1"/>
                <w:color w:val="auto"/>
                <w:w w:val="96"/>
              </w:rPr>
              <w:t>Corporate and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14"/>
              <w:spacing w:after="0" w:line="126"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Others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54,679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15,565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70,244</w:t>
            </w: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58,793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74,696</w:t>
            </w: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37,763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15,472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60,660</w:t>
            </w: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21,030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4,939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16,091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(19,137)</w:t>
            </w:r>
          </w:p>
        </w:tc>
        <w:tc>
          <w:tcPr>
            <w:tcW w:w="0" w:type="dxa"/>
            <w:vAlign w:val="bottom"/>
          </w:tcPr>
          <w:p>
            <w:pPr>
              <w:spacing w:after="0"/>
              <w:rPr>
                <w:sz w:val="1"/>
                <w:szCs w:val="1"/>
                <w:color w:val="auto"/>
              </w:rPr>
            </w:pPr>
          </w:p>
        </w:tc>
      </w:tr>
      <w:tr>
        <w:trPr>
          <w:trHeight w:val="193"/>
        </w:trPr>
        <w:tc>
          <w:tcPr>
            <w:tcW w:w="5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gridSpan w:val="2"/>
          </w:tcPr>
          <w:p>
            <w:pPr>
              <w:ind w:left="20"/>
              <w:spacing w:after="0" w:line="187" w:lineRule="exact"/>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14"/>
              <w:spacing w:after="0"/>
              <w:rPr>
                <w:sz w:val="20"/>
                <w:szCs w:val="20"/>
                <w:color w:val="auto"/>
              </w:rPr>
            </w:pPr>
            <w:r>
              <w:rPr>
                <w:rFonts w:ascii="Arial" w:cs="Arial" w:eastAsia="Arial" w:hAnsi="Arial"/>
                <w:sz w:val="18"/>
                <w:szCs w:val="18"/>
                <w:color w:val="auto"/>
              </w:rPr>
              <w:t>16,091</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74"/>
              <w:spacing w:after="0"/>
              <w:rPr>
                <w:sz w:val="20"/>
                <w:szCs w:val="20"/>
                <w:color w:val="auto"/>
              </w:rPr>
            </w:pPr>
            <w:r>
              <w:rPr>
                <w:rFonts w:ascii="Arial" w:cs="Arial" w:eastAsia="Arial" w:hAnsi="Arial"/>
                <w:sz w:val="18"/>
                <w:szCs w:val="18"/>
                <w:color w:val="auto"/>
              </w:rPr>
              <w:t>(3,645)</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(41,982)</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198"/>
        </w:trPr>
        <w:tc>
          <w:tcPr>
            <w:tcW w:w="534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non-controlling interests</w:t>
            </w:r>
          </w:p>
        </w:tc>
        <w:tc>
          <w:tcPr>
            <w:tcW w:w="1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4"/>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5"/>
        </w:trPr>
        <w:tc>
          <w:tcPr>
            <w:tcW w:w="522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8"/>
              </w:rPr>
              <w:t>Six months ended June 30, 2022</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1"/>
                <w:szCs w:val="11"/>
                <w:color w:val="auto"/>
              </w:rPr>
            </w:pPr>
          </w:p>
        </w:tc>
        <w:tc>
          <w:tcPr>
            <w:tcW w:w="1280" w:type="dxa"/>
            <w:vAlign w:val="bottom"/>
          </w:tcPr>
          <w:p>
            <w:pPr>
              <w:jc w:val="center"/>
              <w:ind w:right="34"/>
              <w:spacing w:after="0" w:line="135" w:lineRule="exact"/>
              <w:rPr>
                <w:sz w:val="20"/>
                <w:szCs w:val="20"/>
                <w:color w:val="auto"/>
              </w:rPr>
            </w:pPr>
            <w:r>
              <w:rPr>
                <w:rFonts w:ascii="Arial" w:cs="Arial" w:eastAsia="Arial" w:hAnsi="Arial"/>
                <w:sz w:val="14"/>
                <w:szCs w:val="14"/>
                <w:b w:val="1"/>
                <w:bCs w:val="1"/>
                <w:color w:val="auto"/>
                <w:w w:val="91"/>
              </w:rPr>
              <w:t>Servicer and Real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114"/>
              <w:spacing w:after="0" w:line="135" w:lineRule="exact"/>
              <w:rPr>
                <w:sz w:val="20"/>
                <w:szCs w:val="20"/>
                <w:color w:val="auto"/>
              </w:rPr>
            </w:pPr>
            <w:r>
              <w:rPr>
                <w:rFonts w:ascii="Arial" w:cs="Arial" w:eastAsia="Arial" w:hAnsi="Arial"/>
                <w:sz w:val="14"/>
                <w:szCs w:val="14"/>
                <w:b w:val="1"/>
                <w:bCs w:val="1"/>
                <w:color w:val="auto"/>
                <w:w w:val="96"/>
              </w:rPr>
              <w:t>Corporate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06"/>
        </w:trPr>
        <w:tc>
          <w:tcPr>
            <w:tcW w:w="5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Arial" w:cs="Arial" w:eastAsia="Arial" w:hAnsi="Arial"/>
                <w:sz w:val="14"/>
                <w:szCs w:val="14"/>
                <w:b w:val="1"/>
                <w:bCs w:val="1"/>
                <w:color w:val="auto"/>
              </w:rPr>
              <w:t>Origination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Others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56,581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18,820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75,401</w:t>
            </w: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2"/>
        </w:trPr>
        <w:tc>
          <w:tcPr>
            <w:tcW w:w="5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60,483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19,454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79,937</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42,153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18,552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70,224</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18,330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6,296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12,034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(18,786)</w:t>
            </w: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6"/>
        </w:trPr>
        <w:tc>
          <w:tcPr>
            <w:tcW w:w="53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4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14"/>
              <w:spacing w:after="0"/>
              <w:rPr>
                <w:sz w:val="20"/>
                <w:szCs w:val="20"/>
                <w:color w:val="auto"/>
              </w:rPr>
            </w:pPr>
            <w:r>
              <w:rPr>
                <w:rFonts w:ascii="Arial" w:cs="Arial" w:eastAsia="Arial" w:hAnsi="Arial"/>
                <w:sz w:val="18"/>
                <w:szCs w:val="18"/>
                <w:color w:val="auto"/>
              </w:rPr>
              <w:t>12,034</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74"/>
              <w:spacing w:after="0"/>
              <w:rPr>
                <w:sz w:val="20"/>
                <w:szCs w:val="20"/>
                <w:color w:val="auto"/>
              </w:rPr>
            </w:pPr>
            <w:r>
              <w:rPr>
                <w:rFonts w:ascii="Arial" w:cs="Arial" w:eastAsia="Arial" w:hAnsi="Arial"/>
                <w:sz w:val="18"/>
                <w:szCs w:val="18"/>
                <w:color w:val="auto"/>
              </w:rPr>
              <w:t>(3,438)</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(33,539)</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color w:val="auto"/>
              </w:rPr>
              <w:t>(24,943)</w:t>
            </w:r>
          </w:p>
        </w:tc>
        <w:tc>
          <w:tcPr>
            <w:tcW w:w="0" w:type="dxa"/>
            <w:vAlign w:val="bottom"/>
          </w:tcPr>
          <w:p>
            <w:pPr>
              <w:spacing w:after="0"/>
              <w:rPr>
                <w:sz w:val="1"/>
                <w:szCs w:val="1"/>
                <w:color w:val="auto"/>
              </w:rPr>
            </w:pPr>
          </w:p>
        </w:tc>
      </w:tr>
      <w:tr>
        <w:trPr>
          <w:trHeight w:val="198"/>
        </w:trPr>
        <w:tc>
          <w:tcPr>
            <w:tcW w:w="534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non-controlling interests</w:t>
            </w:r>
          </w:p>
        </w:tc>
        <w:tc>
          <w:tcPr>
            <w:tcW w:w="1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4"/>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and Real Estate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5"/>
              <w:spacing w:after="0" w:line="157" w:lineRule="exact"/>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5"/>
              <w:spacing w:after="0" w:line="157"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40"/>
              <w:spacing w:after="0"/>
              <w:rPr>
                <w:sz w:val="20"/>
                <w:szCs w:val="20"/>
                <w:color w:val="auto"/>
              </w:rPr>
            </w:pPr>
            <w:r>
              <w:rPr>
                <w:rFonts w:ascii="Arial" w:cs="Arial" w:eastAsia="Arial" w:hAnsi="Arial"/>
                <w:sz w:val="18"/>
                <w:szCs w:val="18"/>
                <w:color w:val="auto"/>
              </w:rPr>
              <w:t>Solutions</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15,142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18,454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33,676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34,760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Technology and SaaS Products</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460" w:type="dxa"/>
            <w:vAlign w:val="bottom"/>
          </w:tcPr>
          <w:p>
            <w:pPr>
              <w:ind w:left="140"/>
              <w:spacing w:after="0"/>
              <w:rPr>
                <w:sz w:val="20"/>
                <w:szCs w:val="20"/>
                <w:color w:val="auto"/>
              </w:rPr>
            </w:pPr>
            <w:r>
              <w:rPr>
                <w:rFonts w:ascii="Arial" w:cs="Arial" w:eastAsia="Arial" w:hAnsi="Arial"/>
                <w:sz w:val="18"/>
                <w:szCs w:val="18"/>
                <w:color w:val="auto"/>
              </w:rPr>
              <w:t>Solutions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3460" w:type="dxa"/>
            <w:vAlign w:val="bottom"/>
          </w:tcPr>
          <w:p>
            <w:pPr>
              <w:ind w:left="340"/>
              <w:spacing w:after="0"/>
              <w:rPr>
                <w:sz w:val="20"/>
                <w:szCs w:val="20"/>
                <w:color w:val="auto"/>
              </w:rPr>
            </w:pPr>
            <w:r>
              <w:rPr>
                <w:rFonts w:ascii="Arial" w:cs="Arial" w:eastAsia="Arial" w:hAnsi="Arial"/>
                <w:sz w:val="18"/>
                <w:szCs w:val="18"/>
                <w:color w:val="auto"/>
              </w:rPr>
              <w:t>Total reimbursable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26,848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31,947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58,793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60,483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recognized service revenue of $54.7 million for the six months ended June 30, 2023, a 3% decrease compared to the six months ended June 30, 2022 ($24.9 million for the second quarter of 2023, a 15% decrease compared to the second quarter of 2022). We also recognized reimbursable expense revenue of $4.1 million for the six months ended June 30, 2023, a 5% increase compared to the six months ended June 30, 2022 ($1.9 million for the second quarter of 2023, a 24% decrease compared to the second quarter of 2022). The decrease in service revenue in the Servicer and Real Estate segment for the three and six months ended June 30, 2023 was driven by the exit of a low margin customer care business in the fourth quarter 2022, the apparent decline in a customer’s propensity to order services in two of our lower margin default related businesses and unexpected temporary delays in certain California foreclosures.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pandemic and related measures and the rapid rise in mortgage interest rates the seasonal impact to revenue may not follow historical patterns.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980" w:type="dxa"/>
            <w:vAlign w:val="bottom"/>
          </w:tcPr>
          <w:p>
            <w:pPr>
              <w:jc w:val="right"/>
              <w:ind w:right="56"/>
              <w:spacing w:after="0" w:line="157" w:lineRule="exact"/>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6"/>
              <w:spacing w:after="0" w:line="157"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14,265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1"/>
        </w:trPr>
        <w:tc>
          <w:tcPr>
            <w:tcW w:w="3480" w:type="dxa"/>
            <w:vAlign w:val="bottom"/>
          </w:tcPr>
          <w:p>
            <w:pPr>
              <w:ind w:left="20"/>
              <w:spacing w:after="0"/>
              <w:rPr>
                <w:sz w:val="20"/>
                <w:szCs w:val="20"/>
                <w:color w:val="auto"/>
              </w:rPr>
            </w:pPr>
            <w:r>
              <w:rPr>
                <w:rFonts w:ascii="Arial" w:cs="Arial" w:eastAsia="Arial" w:hAnsi="Arial"/>
                <w:sz w:val="18"/>
                <w:szCs w:val="18"/>
                <w:color w:val="auto"/>
              </w:rPr>
              <w:t>Technology and telecommunications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2"/>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Cost of revenue for the six months ended June 30, 2023 of $37.8 million decreased by 10% compared to the six months ended June 30, 2022 ($18.0 million for the second quarter of 2023, a 20% decrease compared to the second quarter of 2022). The decrease in cost of revenue for the three and six months ended June 30, 2023 is primarily driven by lower compensation and benefits primarily due to cost savings initiatives and lower technology and telecommunications due to a change in the terms of a vendor agreement for property management technologies and other cost savings initiatives. The decrease in cost of revenue for the three months ended June 30, 2023 is also driven by a decrease in outside fees and services from lower revenue.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Gross profit increased to $21.0 million, representing 38% of service revenue, for the six months ended June 30, 2023 compared to $18.3 million, representing 32% of service revenue, for the six months ended June 30, 2022 (decreased to $8.8 million, representing 35% of service revenue, for the second quarter of 2023, compared to $9.5 million, representing 32% of service revenue, for the second quarter of 2023. Gross profit as a percentage of service revenue for the three and six months ended June 30, 2023 increased primarily due to efficiency initiatives and cost savings measures. Our margins can vary substantially depending upon the service revenue mix.</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5"/>
              <w:spacing w:after="0" w:line="157" w:lineRule="exact"/>
              <w:rPr>
                <w:sz w:val="20"/>
                <w:szCs w:val="20"/>
                <w:color w:val="auto"/>
              </w:rPr>
            </w:pPr>
            <w:r>
              <w:rPr>
                <w:rFonts w:ascii="Arial" w:cs="Arial" w:eastAsia="Arial" w:hAnsi="Arial"/>
                <w:sz w:val="14"/>
                <w:szCs w:val="14"/>
                <w:b w:val="1"/>
                <w:bCs w:val="1"/>
                <w:color w:val="auto"/>
              </w:rPr>
              <w:t>% Increase</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5"/>
              <w:spacing w:after="0" w:line="157"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92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1"/>
        </w:trPr>
        <w:tc>
          <w:tcPr>
            <w:tcW w:w="3480" w:type="dxa"/>
            <w:vAlign w:val="bottom"/>
          </w:tcPr>
          <w:p>
            <w:pPr>
              <w:ind w:left="20"/>
              <w:spacing w:after="0"/>
              <w:rPr>
                <w:sz w:val="20"/>
                <w:szCs w:val="20"/>
                <w:color w:val="auto"/>
              </w:rPr>
            </w:pPr>
            <w:r>
              <w:rPr>
                <w:rFonts w:ascii="Arial" w:cs="Arial" w:eastAsia="Arial" w:hAnsi="Arial"/>
                <w:sz w:val="18"/>
                <w:szCs w:val="18"/>
                <w:color w:val="auto"/>
              </w:rPr>
              <w:t>Marketing costs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SG&amp;A for the six months ended June 30, 2023 of $4.9 million decreased by 22% compared to the six months ended June 30, 2022 ($2.6 million for the second quarter of 2023, a 19% decrease compared to the second quarter of 2022). The decrease in SG&amp;A for the six months ended June 30, 2023 is primarily due to lower professional services driven by certain non-recurring expenses incurred in the first quarter of 2022 and lower occupancy related costs relating to cost savings initiatives. The decrease in SG&amp;A for the three months ended June 30, 2023 is primarily due to lower professional services driven by lower litigation related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Income from operations increased to $16.1 million, representing 29% of service revenue, for the six months ended June 30, 2023 compared to $12.0 million, representing 21% of service revenue, for the six months ended June 30, 2022 (decreased to $6.2 million, representing 25% of service revenue, for the second quarter of 2023, compared to $6.3 million, representing 21% of service revenue for the second quarter of 2022). The increase in operating income as a percentage of service revenue for the three and six months ended June 30, 2023 is primarily the result of higher gross profit margins.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5"/>
              <w:spacing w:after="0" w:line="157" w:lineRule="exact"/>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5"/>
              <w:spacing w:after="0" w:line="157"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40"/>
              <w:spacing w:after="0"/>
              <w:rPr>
                <w:sz w:val="20"/>
                <w:szCs w:val="20"/>
                <w:color w:val="auto"/>
              </w:rPr>
            </w:pPr>
            <w:r>
              <w:rPr>
                <w:rFonts w:ascii="Arial" w:cs="Arial" w:eastAsia="Arial" w:hAnsi="Arial"/>
                <w:sz w:val="18"/>
                <w:szCs w:val="18"/>
                <w:color w:val="auto"/>
              </w:rPr>
              <w:t>Lenders One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6,620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12,244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10,741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Solutions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8"/>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Technology and SaaS Products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40"/>
              <w:spacing w:after="0"/>
              <w:rPr>
                <w:sz w:val="20"/>
                <w:szCs w:val="20"/>
                <w:color w:val="auto"/>
              </w:rPr>
            </w:pPr>
            <w:r>
              <w:rPr>
                <w:rFonts w:ascii="Arial" w:cs="Arial" w:eastAsia="Arial" w:hAnsi="Arial"/>
                <w:sz w:val="18"/>
                <w:szCs w:val="18"/>
                <w:color w:val="auto"/>
              </w:rPr>
              <w:t>Solutions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reimbursable expenses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recognized service revenue of $15.6 million for the six months ended June 30, 2023, a 17% decrease compared to the six months ended June 30, 2022 ($8.3 million for the second quarter of 2023, a less than 1% increase compared to the second quarter of 2022). We also recognized reimbursable expense revenue of $0.2 million for the six months ended June 30, 2023, a 18% decrease compared to the six months ended June 30, 2022 ($0.1 million for the second quarter of 2023, a 38% decrease compared to the second quarter of 2022). The decrease in service revenue in the Origination segment for the six months ended June 30, 2023 is primarily driven by the overall market decline in mortgage originations. The decline in the Solutions business revenue was greater than the overall market decline as a greater percentage of revenue in some of our Solutions businesses was derived from refinance transactions which declined at a greater rate than the overall market. The decline in our Solutions businesses was partially offset by an increase in Lenders One revenue driven by growth with our newer reseller products. The increase in service revenue in the Origination segment for the three months ended June 30, 2023 is primarily driven by an increase in Lenders One revenue driven by growth with our newer reseller products partially offset by a decline in the Solutions businesses driven by the overall market decline in mortgage originations.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780"/>
              <w:spacing w:after="0"/>
              <w:rPr>
                <w:sz w:val="20"/>
                <w:szCs w:val="20"/>
                <w:color w:val="auto"/>
              </w:rPr>
            </w:pPr>
            <w:r>
              <w:rPr>
                <w:rFonts w:ascii="Arial" w:cs="Arial" w:eastAsia="Arial" w:hAnsi="Arial"/>
                <w:sz w:val="14"/>
                <w:szCs w:val="14"/>
                <w:b w:val="1"/>
                <w:bCs w:val="1"/>
                <w:color w:val="auto"/>
                <w:w w:val="91"/>
              </w:rPr>
              <w:t>Six months ended June 30,</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 Increase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79"/>
              </w:rPr>
              <w:t>44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31"/>
        </w:trPr>
        <w:tc>
          <w:tcPr>
            <w:tcW w:w="350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20"/>
                <w:szCs w:val="20"/>
                <w:color w:val="auto"/>
              </w:rPr>
            </w:pPr>
          </w:p>
        </w:tc>
        <w:tc>
          <w:tcPr>
            <w:tcW w:w="980" w:type="dxa"/>
            <w:vAlign w:val="bottom"/>
          </w:tcPr>
          <w:p>
            <w:pPr>
              <w:jc w:val="center"/>
              <w:ind w:left="556"/>
              <w:spacing w:after="0"/>
              <w:rPr>
                <w:sz w:val="20"/>
                <w:szCs w:val="20"/>
                <w:color w:val="auto"/>
              </w:rPr>
            </w:pPr>
            <w:r>
              <w:rPr>
                <w:rFonts w:ascii="Arial" w:cs="Arial" w:eastAsia="Arial" w:hAnsi="Arial"/>
                <w:sz w:val="18"/>
                <w:szCs w:val="18"/>
                <w:color w:val="auto"/>
                <w:w w:val="93"/>
              </w:rPr>
              <w:t>(63)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Pr>
          <w:p>
            <w:pPr>
              <w:spacing w:after="0"/>
              <w:rPr>
                <w:sz w:val="20"/>
                <w:szCs w:val="20"/>
                <w:color w:val="auto"/>
              </w:rPr>
            </w:pPr>
          </w:p>
        </w:tc>
        <w:tc>
          <w:tcPr>
            <w:tcW w:w="1000" w:type="dxa"/>
            <w:vAlign w:val="bottom"/>
          </w:tcPr>
          <w:p>
            <w:pPr>
              <w:jc w:val="center"/>
              <w:ind w:left="556"/>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32"/>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3"/>
              </w:rPr>
              <w:t>(47)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7"/>
              </w:rPr>
              <w:t>(40)</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980" w:type="dxa"/>
            <w:vAlign w:val="bottom"/>
          </w:tcPr>
          <w:p>
            <w:pPr>
              <w:jc w:val="center"/>
              <w:ind w:left="576"/>
              <w:spacing w:after="0"/>
              <w:rPr>
                <w:sz w:val="20"/>
                <w:szCs w:val="20"/>
                <w:color w:val="auto"/>
              </w:rPr>
            </w:pPr>
            <w:r>
              <w:rPr>
                <w:rFonts w:ascii="Arial" w:cs="Arial" w:eastAsia="Arial" w:hAnsi="Arial"/>
                <w:sz w:val="18"/>
                <w:szCs w:val="18"/>
                <w:color w:val="auto"/>
                <w:w w:val="79"/>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1000" w:type="dxa"/>
            <w:vAlign w:val="bottom"/>
          </w:tcPr>
          <w:p>
            <w:pPr>
              <w:jc w:val="center"/>
              <w:ind w:left="556"/>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3"/>
              </w:rPr>
              <w:t>(13)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revenue for the six months ended June 30, 2023 of $15.5 million decreased by 17% compared to the six months ended June 30, 2022 ($8.0 million for the second quarter of 2023, a 13% decrease compared to the second quarter of 2022). The decrease in cost of revenue for the six months ended June 30, 2023 was primarily driven by the alignment of compensation and benefits with lower service revenue discussed above, partially offset by an increase in outside fees and services from growth in sales of certain Lenders One reseller solutions.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Gross profit decreased to $0.4 million, representing 3% of service revenue, for the six months ended June 30, 2023 compared to $0.9 million, representing 5% of service revenue, for the six months ended June 30, 2022 (decreased to $0.4 million, representing 4% of service revenue, for the second quarter of 2023, compared to $(0.8) million, representing (9)% of service revenue for the second quarter of 2022). Gross profit as a percentage of service revenue for the six months ended June 30, 2022 decreased primarily as costs did not decline at the same rate that revenue declined.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6"/>
              <w:spacing w:after="0" w:line="157" w:lineRule="exact"/>
              <w:rPr>
                <w:sz w:val="20"/>
                <w:szCs w:val="20"/>
                <w:color w:val="auto"/>
              </w:rPr>
            </w:pPr>
            <w:r>
              <w:rPr>
                <w:rFonts w:ascii="Arial" w:cs="Arial" w:eastAsia="Arial" w:hAnsi="Arial"/>
                <w:sz w:val="14"/>
                <w:szCs w:val="14"/>
                <w:b w:val="1"/>
                <w:bCs w:val="1"/>
                <w:color w:val="auto"/>
              </w:rPr>
              <w:t>% Increase</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6"/>
              <w:spacing w:after="0" w:line="157"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92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1"/>
        </w:trPr>
        <w:tc>
          <w:tcPr>
            <w:tcW w:w="3460" w:type="dxa"/>
            <w:vAlign w:val="bottom"/>
          </w:tcPr>
          <w:p>
            <w:pPr>
              <w:ind w:left="20"/>
              <w:spacing w:after="0"/>
              <w:rPr>
                <w:sz w:val="20"/>
                <w:szCs w:val="20"/>
                <w:color w:val="auto"/>
              </w:rPr>
            </w:pPr>
            <w:r>
              <w:rPr>
                <w:rFonts w:ascii="Arial" w:cs="Arial" w:eastAsia="Arial" w:hAnsi="Arial"/>
                <w:sz w:val="18"/>
                <w:szCs w:val="18"/>
                <w:color w:val="auto"/>
              </w:rPr>
              <w:t>Marketing costs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w w:val="95"/>
              </w:rPr>
              <w:t>Selling, general and administrative expenses</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4,076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4,340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SG&amp;A for the six months ended June 30, 2023 of $4.1 million decreased by 6% compared to the six months ended June 30, 2022 ($2.4 million for the second quarter of 2023, increased by 6% compared to the second quarter of 2022). The decrease in SG&amp;A for the six months ended June 30, 2023 is primarily due to lower marketing costs from efficiency measures and lower occupancy related costs partially offset by non-recurring professional services expenses for the first six months of 2023 of $0.4 million. The decrease for the six months ended June 30, 2023 was partially offset by an increase in the number of sales employees.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Loss from operations increased to $(3.6) million, representing (23)% of service revenue, for the six months ended June 30, 2023 compared to $(3.4) million, representing (18)% of service revenue, for the six months ended June 30, 2022 (decreased to $(2.0) million, representing (24)% of service revenue for the second quarter of 2023, compared to $(3.0) million, representing (36)% of service revenue for the second quarter of 2022). The increase in operating loss as a percentage of service revenue for the six months ended June 30, 2023 is primarily the result of lower gross profit margins, as discussed above, and the percentage reduction in SG&amp;A expenses was lower than the percentage change in revenue.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680"/>
              <w:spacing w:after="0"/>
              <w:rPr>
                <w:sz w:val="20"/>
                <w:szCs w:val="20"/>
                <w:color w:val="auto"/>
              </w:rPr>
            </w:pPr>
            <w:r>
              <w:rPr>
                <w:rFonts w:ascii="Arial" w:cs="Arial" w:eastAsia="Arial" w:hAnsi="Arial"/>
                <w:sz w:val="14"/>
                <w:szCs w:val="14"/>
                <w:b w:val="1"/>
                <w:bCs w:val="1"/>
                <w:color w:val="auto"/>
                <w:w w:val="89"/>
              </w:rPr>
              <w:t>Three months ended June 30,</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000" w:type="dxa"/>
            <w:vAlign w:val="bottom"/>
          </w:tcPr>
          <w:p>
            <w:pPr>
              <w:jc w:val="right"/>
              <w:ind w:right="78"/>
              <w:spacing w:after="0" w:line="157" w:lineRule="exact"/>
              <w:rPr>
                <w:sz w:val="20"/>
                <w:szCs w:val="20"/>
                <w:color w:val="auto"/>
              </w:rPr>
            </w:pPr>
            <w:r>
              <w:rPr>
                <w:rFonts w:ascii="Arial" w:cs="Arial" w:eastAsia="Arial" w:hAnsi="Arial"/>
                <w:sz w:val="14"/>
                <w:szCs w:val="14"/>
                <w:b w:val="1"/>
                <w:bCs w:val="1"/>
                <w:color w:val="auto"/>
              </w:rPr>
              <w:t>% Increase</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8"/>
              <w:spacing w:after="0" w:line="157"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18"/>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3,689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color w:val="auto"/>
              </w:rPr>
              <w:t>Technology and telecommunications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3,279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5"/>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7,425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Cost of revenue for the six months ended June 30, 2023 of $7.4 million decreased by 22% compared to the six months ended June 30, 2022 ($3.6 million for the second quarter of 2023, a 22% decrease compared to the second quarter of 2022). The decrease in cost of revenue for the three and six months ended June 30, 2023 is primarily driven by lower compensation and benefits and technology and telecommunications due to cost savings initiatives.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w w:val="89"/>
              </w:rPr>
              <w:t>Three months ended June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78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76"/>
              <w:spacing w:after="0" w:line="157" w:lineRule="exact"/>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56"/>
              <w:spacing w:after="0" w:line="157"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3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w w:val="95"/>
              </w:rPr>
              <w:t>Selling, general and administrative expenses</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7,353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9,068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15,420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SG&amp;A for the six months ended June 30, 2023 of $15.4 million decreased by 14% compared to the six months ended June 30, 2022 ($7.4 million for the second quarter of 2023, a 19% decrease compared to second quarter of 2022). The decrease for the three and six months ended June 30, 2023 is primarily driven by lower professional services, compensation and benefits and Other expenses. Professional services for the three and six months ended June 30, 2023 decreased due to lower insurance, legal and audit related expenses. The decreases for the three and six months ended June 30, 2023 in compensation and benefits was driven by lower cash incentive compensation accruals.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income (expense), net was $(19.1) million for the six months ended June 30, 2023 compared to $(6.2) million for the six months ended June 30, 2022 ($(11.4) million for the second quarter of 2023 and $(3.3) million for the second quarter of 2022). The change for the six months ended June 30, 2023 was primarily driven by an increase of $9.6 million in interest expense driven by higher interest rates on our SSTL and higher amortization of debt discount and debt issuance and amendment costs, and $3.3 million of debt amendment costs in the six months ended June 30, 2023 and $1.1 million higher change in fair value of warrant liability, partially offset by higher interest and other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primary source of liquidity has historically been cash flow from operations, cash proceeds from sales of businesses and cash on hand. However, due to governmental and market responses to the COVID-19 pandemic, revenue has declined significantly. The lower revenue, partially offset by cost savings initiatives, resulted in negative operating cash flow from operations for the six months ended June 30, 2023 and 2022. We believe our anticipated revenue growth from the return of the default market, on-boarding sales wins, and revenue mix together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or other similar actions that are aligned with our strategy.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certain subsidiaries are guarantors of the SSTL (collectively, the “Guarantors”).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maturity date of the SSTL under the Amended Credit Agreement is April 30, 2025. If Aggregate Paydowns are equal to or greater than $30 million, then (subject to the representations and warranties being true and correct as of such date and there being no default or event of default being in existence as of such date) the maturity date of the SSTL may be extended at the Company’s option to April 30, 2026. Such extension is conditioned upon the Company’s payment of a 2% payment-in-kind extension fee.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the Company made payments of $20 million toward the determination of Aggregate Paydowns.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35" w:lineRule="exact"/>
        <w:rPr>
          <w:sz w:val="20"/>
          <w:szCs w:val="20"/>
          <w:color w:val="auto"/>
        </w:rPr>
      </w:pPr>
    </w:p>
    <w:p>
      <w:pPr>
        <w:jc w:val="both"/>
        <w:ind w:right="80"/>
        <w:spacing w:after="0" w:line="306" w:lineRule="auto"/>
        <w:rPr>
          <w:sz w:val="20"/>
          <w:szCs w:val="20"/>
          <w:color w:val="auto"/>
        </w:rPr>
      </w:pPr>
      <w:r>
        <w:rPr>
          <w:rFonts w:ascii="Arial" w:cs="Arial" w:eastAsia="Arial" w:hAnsi="Arial"/>
          <w:sz w:val="15"/>
          <w:szCs w:val="15"/>
          <w:color w:val="auto"/>
        </w:rPr>
        <w:t>Through March 29, 2023, the SSTL’s interest rate was the Adjusted Eurodollar Rate plus 4.00%. Beginning March 30, 2023, the SSTL bears interest at rates based upon, at our option, the Secured Overnight Financing Rate (“SOFR”) or the Base Rate. If the Company selects SOFR, the term loans initially bear interest at a rate per annum equal to SOFR plus 5.00% payable in cash plus 5.00% payable in kind (“PIK”). If the Company selects Base Rate, the loans initially bear interest at a rate per annum equal to the Base Rate plus 4.00% payable in cash plus 5.00% PIK. Base Rate term loans bear interest at a rate per annum equal to the sum of (i) the greater of (x) the Base Rate and (y) 2.00% plus (ii) 4.00%. The PIK component of the interest rate is subject to adjustment based on the amount of Aggregate Paydowns as set forth in the table below. Based on Aggregate Paydowns of $20 million through June 30, 2023, the PIK component of the interest rate was 4.50%. The interest rate as of June 30, 2023 was 14.49%.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ind w:left="3940"/>
              <w:spacing w:after="0"/>
              <w:rPr>
                <w:sz w:val="20"/>
                <w:szCs w:val="20"/>
                <w:color w:val="auto"/>
              </w:rPr>
            </w:pPr>
            <w:r>
              <w:rPr>
                <w:rFonts w:ascii="Arial" w:cs="Arial" w:eastAsia="Arial" w:hAnsi="Arial"/>
                <w:sz w:val="14"/>
                <w:szCs w:val="14"/>
                <w:b w:val="1"/>
                <w:bCs w:val="1"/>
                <w:color w:val="auto"/>
              </w:rPr>
              <w:t>Aggregate Paydowns</w:t>
            </w:r>
          </w:p>
        </w:tc>
        <w:tc>
          <w:tcPr>
            <w:tcW w:w="3980" w:type="dxa"/>
            <w:vAlign w:val="bottom"/>
          </w:tcPr>
          <w:p>
            <w:pPr>
              <w:jc w:val="center"/>
              <w:ind w:left="1873"/>
              <w:spacing w:after="0"/>
              <w:rPr>
                <w:sz w:val="20"/>
                <w:szCs w:val="20"/>
                <w:color w:val="auto"/>
              </w:rPr>
            </w:pPr>
            <w:r>
              <w:rPr>
                <w:rFonts w:ascii="Arial" w:cs="Arial" w:eastAsia="Arial" w:hAnsi="Arial"/>
                <w:sz w:val="14"/>
                <w:szCs w:val="14"/>
                <w:b w:val="1"/>
                <w:bCs w:val="1"/>
                <w:color w:val="auto"/>
                <w:w w:val="93"/>
              </w:rPr>
              <w:t>PIK Component of Interest Rate</w:t>
            </w:r>
          </w:p>
        </w:tc>
      </w:tr>
      <w:tr>
        <w:trPr>
          <w:trHeight w:val="24"/>
        </w:trPr>
        <w:tc>
          <w:tcPr>
            <w:tcW w:w="71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$20 million</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5.00%</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4.50%</w:t>
            </w:r>
          </w:p>
        </w:tc>
      </w:tr>
      <w:tr>
        <w:trPr>
          <w:trHeight w:val="24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 but less than below</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3.75%</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$40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3.50%</w:t>
            </w:r>
          </w:p>
        </w:tc>
      </w:tr>
      <w:tr>
        <w:trPr>
          <w:trHeight w:val="24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 million+ but less than below</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3.00%</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$50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2.50%</w:t>
            </w:r>
          </w:p>
        </w:tc>
      </w:tr>
      <w:tr>
        <w:trPr>
          <w:trHeight w:val="23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 million+ but less than below</w:t>
            </w:r>
          </w:p>
        </w:tc>
        <w:tc>
          <w:tcPr>
            <w:tcW w:w="3980" w:type="dxa"/>
            <w:vAlign w:val="bottom"/>
            <w:tcBorders>
              <w:bottom w:val="single" w:sz="8" w:color="CCEEFF"/>
            </w:tcBorders>
            <w:shd w:val="clear" w:color="auto" w:fill="CCEEFF"/>
          </w:tcPr>
          <w:p>
            <w:pPr>
              <w:jc w:val="center"/>
              <w:ind w:left="1873"/>
              <w:spacing w:after="0"/>
              <w:rPr>
                <w:sz w:val="20"/>
                <w:szCs w:val="20"/>
                <w:color w:val="auto"/>
              </w:rPr>
            </w:pPr>
            <w:r>
              <w:rPr>
                <w:rFonts w:ascii="Arial" w:cs="Arial" w:eastAsia="Arial" w:hAnsi="Arial"/>
                <w:sz w:val="18"/>
                <w:szCs w:val="18"/>
                <w:color w:val="auto"/>
                <w:w w:val="90"/>
              </w:rPr>
              <w:t>2.00%</w:t>
            </w:r>
          </w:p>
        </w:tc>
      </w:tr>
      <w:tr>
        <w:trPr>
          <w:trHeight w:val="231"/>
        </w:trPr>
        <w:tc>
          <w:tcPr>
            <w:tcW w:w="7180" w:type="dxa"/>
            <w:vAlign w:val="bottom"/>
          </w:tcPr>
          <w:p>
            <w:pPr>
              <w:ind w:left="20"/>
              <w:spacing w:after="0"/>
              <w:rPr>
                <w:sz w:val="20"/>
                <w:szCs w:val="20"/>
                <w:color w:val="auto"/>
              </w:rPr>
            </w:pPr>
            <w:r>
              <w:rPr>
                <w:rFonts w:ascii="Arial" w:cs="Arial" w:eastAsia="Arial" w:hAnsi="Arial"/>
                <w:sz w:val="18"/>
                <w:szCs w:val="18"/>
                <w:color w:val="auto"/>
              </w:rPr>
              <w:t>$60 million+ but less than below</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1.00%</w:t>
            </w:r>
          </w:p>
        </w:tc>
      </w:tr>
      <w:tr>
        <w:trPr>
          <w:trHeight w:val="24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 million+ but less than below</w:t>
            </w:r>
          </w:p>
        </w:tc>
        <w:tc>
          <w:tcPr>
            <w:tcW w:w="3980" w:type="dxa"/>
            <w:vAlign w:val="bottom"/>
            <w:shd w:val="clear" w:color="auto" w:fill="CCEEFF"/>
          </w:tcPr>
          <w:p>
            <w:pPr>
              <w:jc w:val="center"/>
              <w:ind w:left="1873"/>
              <w:spacing w:after="0"/>
              <w:rPr>
                <w:sz w:val="20"/>
                <w:szCs w:val="20"/>
                <w:color w:val="auto"/>
              </w:rPr>
            </w:pPr>
            <w:r>
              <w:rPr>
                <w:rFonts w:ascii="Arial" w:cs="Arial" w:eastAsia="Arial" w:hAnsi="Arial"/>
                <w:sz w:val="18"/>
                <w:szCs w:val="18"/>
                <w:color w:val="auto"/>
                <w:w w:val="90"/>
              </w:rPr>
              <w:t>0.50%</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$70 million+</w:t>
            </w:r>
          </w:p>
        </w:tc>
        <w:tc>
          <w:tcPr>
            <w:tcW w:w="3980" w:type="dxa"/>
            <w:vAlign w:val="bottom"/>
          </w:tcPr>
          <w:p>
            <w:pPr>
              <w:jc w:val="center"/>
              <w:ind w:left="1873"/>
              <w:spacing w:after="0"/>
              <w:rPr>
                <w:sz w:val="20"/>
                <w:szCs w:val="20"/>
                <w:color w:val="auto"/>
              </w:rPr>
            </w:pPr>
            <w:r>
              <w:rPr>
                <w:rFonts w:ascii="Arial" w:cs="Arial" w:eastAsia="Arial" w:hAnsi="Arial"/>
                <w:sz w:val="18"/>
                <w:szCs w:val="18"/>
                <w:color w:val="auto"/>
                <w:w w:val="90"/>
              </w:rPr>
              <w:t>0.00%</w:t>
            </w:r>
          </w:p>
        </w:tc>
      </w:tr>
    </w:tbl>
    <w:p>
      <w:pPr>
        <w:spacing w:after="0" w:line="2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is forecast as of the end of the immediately subsequent calendar quarter to be, less than $35 million, then up to 2.00% in interest otherwise payable in cash in the following quarter may be paid in kind at the Company’s election.</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Amended Credit Agreement includes covenants that restrict or limit, among other things, our ability, subject to certain exceptions and baskets, to incur additional debt, pay dividends and repurchase shares of our common stock. Under the Amended Credit Agreement, we are not permitted to repurchase shares except for limited circumstances. In the event we require additional liquidity, our ability to obtain it may be limited by the Credit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outstanding principal balance of the SSTL was $229.8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June 22, 2021 Altisource S.à r.l, a subsidiary of Altisource Portfolio Solutions S.A., entered into a revolving credit facility with a related party, STS Master Fund, Ltd. (“STS”) (the “Revolver”). STS is an investment fund managed by Deer Park. Deer Park owns approximately 20% of Altisource’s common stock as of June 30, 2023 and owns Altisource debt as a lender under the Amended Credit Agreement. Deer Park’s Chief Investment Officer and managing partner was a member of Altisource’s Board of Directors until his resignation on March 1, 2022. The replacement director appointed by the Board of Directors is a current employee of Deer Park.</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there was no outstanding debt under the Amended Revolver.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Increase (decrease)</w:t>
            </w:r>
          </w:p>
        </w:tc>
        <w:tc>
          <w:tcPr>
            <w:tcW w:w="0" w:type="dxa"/>
            <w:vAlign w:val="bottom"/>
          </w:tcPr>
          <w:p>
            <w:pPr>
              <w:spacing w:after="0"/>
              <w:rPr>
                <w:sz w:val="1"/>
                <w:szCs w:val="1"/>
                <w:color w:val="auto"/>
              </w:rPr>
            </w:pPr>
          </w:p>
        </w:tc>
      </w:tr>
      <w:tr>
        <w:trPr>
          <w:trHeight w:val="208"/>
        </w:trPr>
        <w:tc>
          <w:tcPr>
            <w:tcW w:w="5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(25,784)</w:t>
            </w:r>
          </w:p>
        </w:tc>
        <w:tc>
          <w:tcPr>
            <w:tcW w:w="15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1540" w:type="dxa"/>
            <w:vAlign w:val="bottom"/>
            <w:gridSpan w:val="2"/>
          </w:tcPr>
          <w:p>
            <w:pPr>
              <w:jc w:val="right"/>
              <w:ind w:right="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(27,845)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Cash, cash equivalents and restricted cash at the beginning of the period</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6"/>
        </w:trPr>
        <w:tc>
          <w:tcPr>
            <w:tcW w:w="5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Cash, cash equivalents and restricted cash at the end of the period</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ind w:right="812"/>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53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Cash flows from operating activities generally consist of the cash effects of transactions and events that enter into the determination of net loss. For the six months ended June 30, 2023, net cash used in operating activities was $(10.9) million compared to net cash used in operating activities of $(25.8) million for the six months ended June 30, 2022. During the six months ended June 30, 2023, the decrease in cash used in operating activities was driven by a $13.9 million improvement in cash provided by (used for) working capital and a $4.8 million increase in non-cash interest expense (amortization of debt discount and amortization of debt issuance and amendment costs), partially offset by a $4.4 million increase in net loss and a $4.8 million decrease in non-cash depreciation, amortization of intangibles, stock based compensation expenses and deferred income tax expenses. The increase in net loss was primarily due to higher interest expense driven by higher interest rates on our SSTL, debt amendment costs and lower gross profit in the Origination segment from lower revenue, partially offset by lower corporate costs and higher gross profit in the Servicer and Real Estate segment from our cash cost savings measures and lower SG&amp;A expenses. The improvement in cash provided by (used for) changes in working capital was primarily driven by the $4.5 million net collection of taxes receivable for the six months ended June 30, 2023 compared to a net payment of taxes of $3.5 million for the six months ended June 30, 2022, a $2.0 million return of surety bonds, and no cash bonuses paid in the six months ended June 30, 2023. Non-cash interest expense increased as a result of the February 2023 Amended Credit Agreement.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Cash flows from investing activities for the six months ended June 30, 2022 consisted of additions to premises and equipment and proceeds from the sale of a business. Net cash used in investing activities was $(0.3) million for the six months ended June 30, 2022 (no comparable amount for the six months ended June 30, 2023). We used $(0.6) million for the six months ended June 30, 2022 (no comparable amount for the six month ended June 30, 2023), for additions to premises and equipment primarily related to investments in the development of certain software applications and facility improvements.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Net cash used in financing activities were $(5.1) million and $(1.8) million for the six months ended June 30, 2023 and 2022, respectively. During the six months ended June 30, 2023, we received proceeds from the issuance of common stock, net of issuance costs of $20.5 million and used $(20.0) million of the proceeds for repayment of debt. Also during the six months ended June 30, 2023, we paid $(4.9) million to lenders or others on behalf of the lenders related to the debt amendment. During the six months ended June 30, 2023 and 2022, we made payments of $(0.5) million and $(1.0)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six months ended June 30, 2023 and 2022, we distributed $(0.2) million and $(0.8) million, respectively, to non-controlling interests.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170"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Our significant future liquidity obligations primarily pertain to the maturity of the Amended Credit Agreement, interest expense under the Amended Credit Agreement (see Liquidity section above), distributions to Lenders One members and operating lease payments on certain of our premises and equipment.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Significant future uses of cash include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2024-2025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2026-2027</w:t>
            </w:r>
          </w:p>
        </w:tc>
        <w:tc>
          <w:tcPr>
            <w:tcW w:w="0" w:type="dxa"/>
            <w:vAlign w:val="bottom"/>
          </w:tcPr>
          <w:p>
            <w:pPr>
              <w:spacing w:after="0"/>
              <w:rPr>
                <w:sz w:val="1"/>
                <w:szCs w:val="1"/>
                <w:color w:val="auto"/>
              </w:rPr>
            </w:pPr>
          </w:p>
        </w:tc>
      </w:tr>
      <w:tr>
        <w:trPr>
          <w:trHeight w:val="208"/>
        </w:trPr>
        <w:tc>
          <w:tcPr>
            <w:tcW w:w="5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Senior secured term loans </w:t>
            </w:r>
            <w:r>
              <w:rPr>
                <w:rFonts w:ascii="Arial" w:cs="Arial" w:eastAsia="Arial" w:hAnsi="Arial"/>
                <w:sz w:val="22"/>
                <w:szCs w:val="22"/>
                <w:color w:val="auto"/>
                <w:vertAlign w:val="superscript"/>
              </w:rPr>
              <w:t>(1)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payments </w:t>
            </w:r>
            <w:r>
              <w:rPr>
                <w:rFonts w:ascii="Arial" w:cs="Arial" w:eastAsia="Arial" w:hAnsi="Arial"/>
                <w:sz w:val="22"/>
                <w:szCs w:val="22"/>
                <w:color w:val="auto"/>
                <w:vertAlign w:val="superscript"/>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payments</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jc w:val="both"/>
        <w:ind w:left="240" w:hanging="234"/>
        <w:spacing w:after="0" w:line="248" w:lineRule="auto"/>
        <w:tabs>
          <w:tab w:leader="none" w:pos="323"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The outstanding balance of our SSTL as of June 30, 2023 is $229.8 million and is due on April 30, 2025. The maturity date of the SSTL may be extended to April 30, 2026 at the Company’s option if Aggregate Paydowns made prior to February 14, 2024 total $30 million or more and subject to certain other conditions. In the first quarter of 2023, the Company made $20 million of payments toward the determination of Aggregate Paydowns. The table herein reflects a maturity of April 2025 as the Company has not made Aggregate Paydowns of $30 million or more at the time of this filing. The increase in outstanding balance is from the PIK component of our interest expense and is assumed to be paid in kind.</w:t>
      </w:r>
    </w:p>
    <w:p>
      <w:pPr>
        <w:spacing w:after="0" w:line="2" w:lineRule="exact"/>
        <w:rPr>
          <w:rFonts w:ascii="Arial" w:cs="Arial" w:eastAsia="Arial" w:hAnsi="Arial"/>
          <w:sz w:val="22"/>
          <w:szCs w:val="22"/>
          <w:color w:val="auto"/>
          <w:vertAlign w:val="superscript"/>
        </w:rPr>
      </w:pPr>
    </w:p>
    <w:p>
      <w:pPr>
        <w:ind w:left="240" w:hanging="234"/>
        <w:spacing w:after="0" w:line="215" w:lineRule="auto"/>
        <w:tabs>
          <w:tab w:leader="none" w:pos="32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Estimated future interest payments based on the SOFR interest rate as of June 30, 2023 and the April 30, 2025 maturity date. Based on the April 30, 2025 maturity date, no interest expense has been included beyond April 30, 2025.</w:t>
      </w:r>
    </w:p>
    <w:p>
      <w:pPr>
        <w:spacing w:after="0" w:line="14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We anticipate to fund future liquidity requirements with a combination of existing cash balances, cash anticipated to be generated by operating activities and, as needed, proceeds from the Amended Revolver. For further information, see Note 11 and Note 21 to the condensed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condensed consolidated balance sheets. Amounts held in escrow accounts were $19.2 million and $13.2 million as of June 30, 2023 and December 31, 2022,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2023, there were no significant changes to our contractual obligations from those identified in our Form 10-K for the fiscal year ended December 31, 2022 and this Form 10-Q, other than those that occur in the normal course of business. See Note 21 to the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2022 filed with the SEC on March 30, 2023. There have been no material changes to our critical accounting policies during the six months ended June 30, 2023.</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6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Under the terms of the Amended Credit Agreement, the interest rate charged on the SSTL is SOFR (as defined in the Amended Credit Agreement) with a minimum floor of 1.00% plus 5.00% paid in cash plus 5.00% PIK. Based on the first quarter 2023 par paydown of $20 million, the PIK component was reduced to 4.50% and may be further reduced on a prospective basis based on the Aggregate Paydowns made prior to February 14, 2024.</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principal amount outstanding and SOFR as of June 30, 2023, a one percentage point increase in SOFR above the minimum floor would increase our annual interest expense by approximately $2.3 million. There would be a $2.3 million decrease in our annual interest expense if there was a one percentage point decrease in SOFR.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second quarter of 2023, a one percentage point increase or decrease in value of the Indian rupee in relation to the United States dollar would increase or decrease our annual expenses by approximately $0.2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6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9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As of June 30, 2023,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2023.</w:t>
      </w:r>
    </w:p>
    <w:p>
      <w:pPr>
        <w:spacing w:after="0" w:line="84"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64"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There were no changes in our internal control over financial reporting (as defined in the Exchange Act Rules 13a-15(f) and 15d-15(f)) that occurred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2022 filed with the SEC on March 30,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were no purchases of shares of common stock during the three months ended June 30, 2023. On May 16, 2023, our shareholders approved the renewal and amendment of the share repurchase program previously approved by the shareholders on May 15, 2018. Under the program, we are authorized to purchase up to 3.1 million shares of our common stock in the open market, subject to certain parameters, for a period of five years from the date of approval. As of June 30, 2023, the maximum number of shares that may be purchased under the repurchase program is 3.1 million shares of the Company’s common stock. In addition to the share repurchase program, during the three months ended June 30, 2023, 83,939 common shares were withheld from employees to satisfy tax withholding obligations that arose from the vesting of restricted shares.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14, 2023, the lenders under the Amended Credit Agreement received warrants to purchase 3,223,851 shares of Altisource common stock (the “Warrant Shares”). The Warrants may be exercised at any time on and after February 14, 2024 and prior to their expiration date. The exercise price per share of common stock under each Warrant is equal to $0.01. The number of Warrant Shares is subject to reduction based on the amount of par paydowns on the SSTL in the aggregate using proceeds from issuances of equity interests or from junior indebtedness made prior to February 14, 2024 (“Aggregate Paydowns”) as set forth in the table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Aggregate Paydowns</w:t>
            </w:r>
          </w:p>
        </w:tc>
        <w:tc>
          <w:tcPr>
            <w:tcW w:w="5200" w:type="dxa"/>
            <w:vAlign w:val="bottom"/>
          </w:tcPr>
          <w:p>
            <w:pPr>
              <w:jc w:val="center"/>
              <w:ind w:left="3076"/>
              <w:spacing w:after="0"/>
              <w:rPr>
                <w:sz w:val="20"/>
                <w:szCs w:val="20"/>
                <w:color w:val="auto"/>
              </w:rPr>
            </w:pPr>
            <w:r>
              <w:rPr>
                <w:rFonts w:ascii="Arial" w:cs="Arial" w:eastAsia="Arial" w:hAnsi="Arial"/>
                <w:sz w:val="14"/>
                <w:szCs w:val="14"/>
                <w:b w:val="1"/>
                <w:bCs w:val="1"/>
                <w:color w:val="auto"/>
                <w:w w:val="92"/>
              </w:rPr>
              <w:t>Warrant Shares</w:t>
            </w:r>
          </w:p>
        </w:tc>
      </w:tr>
      <w:tr>
        <w:trPr>
          <w:trHeight w:val="24"/>
        </w:trPr>
        <w:tc>
          <w:tcPr>
            <w:tcW w:w="604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32"/>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$20 million</w:t>
            </w:r>
          </w:p>
        </w:tc>
        <w:tc>
          <w:tcPr>
            <w:tcW w:w="5200" w:type="dxa"/>
            <w:vAlign w:val="bottom"/>
            <w:shd w:val="clear" w:color="auto" w:fill="CCEEFF"/>
          </w:tcPr>
          <w:p>
            <w:pPr>
              <w:jc w:val="center"/>
              <w:ind w:left="3096"/>
              <w:spacing w:after="0"/>
              <w:rPr>
                <w:sz w:val="20"/>
                <w:szCs w:val="20"/>
                <w:color w:val="auto"/>
              </w:rPr>
            </w:pPr>
            <w:r>
              <w:rPr>
                <w:rFonts w:ascii="Arial" w:cs="Arial" w:eastAsia="Arial" w:hAnsi="Arial"/>
                <w:sz w:val="18"/>
                <w:szCs w:val="18"/>
                <w:color w:val="auto"/>
                <w:w w:val="87"/>
              </w:rPr>
              <w:t>3,223,851</w:t>
            </w:r>
          </w:p>
        </w:tc>
      </w:tr>
      <w:tr>
        <w:trPr>
          <w:trHeight w:val="231"/>
        </w:trPr>
        <w:tc>
          <w:tcPr>
            <w:tcW w:w="604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5200" w:type="dxa"/>
            <w:vAlign w:val="bottom"/>
          </w:tcPr>
          <w:p>
            <w:pPr>
              <w:jc w:val="center"/>
              <w:ind w:left="3096"/>
              <w:spacing w:after="0"/>
              <w:rPr>
                <w:sz w:val="20"/>
                <w:szCs w:val="20"/>
                <w:color w:val="auto"/>
              </w:rPr>
            </w:pPr>
            <w:r>
              <w:rPr>
                <w:rFonts w:ascii="Arial" w:cs="Arial" w:eastAsia="Arial" w:hAnsi="Arial"/>
                <w:sz w:val="18"/>
                <w:szCs w:val="18"/>
                <w:color w:val="auto"/>
                <w:w w:val="87"/>
              </w:rPr>
              <w:t>2,578,743</w:t>
            </w:r>
          </w:p>
        </w:tc>
      </w:tr>
      <w:tr>
        <w:trPr>
          <w:trHeight w:val="24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w:t>
            </w:r>
          </w:p>
        </w:tc>
        <w:tc>
          <w:tcPr>
            <w:tcW w:w="5200" w:type="dxa"/>
            <w:vAlign w:val="bottom"/>
            <w:shd w:val="clear" w:color="auto" w:fill="CCEEFF"/>
          </w:tcPr>
          <w:p>
            <w:pPr>
              <w:jc w:val="center"/>
              <w:ind w:left="3096"/>
              <w:spacing w:after="0"/>
              <w:rPr>
                <w:sz w:val="20"/>
                <w:szCs w:val="20"/>
                <w:color w:val="auto"/>
              </w:rPr>
            </w:pPr>
            <w:r>
              <w:rPr>
                <w:rFonts w:ascii="Arial" w:cs="Arial" w:eastAsia="Arial" w:hAnsi="Arial"/>
                <w:sz w:val="18"/>
                <w:szCs w:val="18"/>
                <w:color w:val="auto"/>
                <w:w w:val="87"/>
              </w:rPr>
              <w:t>1,612,705</w:t>
            </w:r>
          </w:p>
        </w:tc>
      </w:tr>
    </w:tbl>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2023, the Company made payments toward the determination of Aggregate Paydowns of 20.0 million. As a result, the number of Warrant Shares as of June 30, 2023 is 2,578,743.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gridSpan w:val="3"/>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r>
              <w:rPr>
                <w:rFonts w:ascii="Arial" w:cs="Arial" w:eastAsia="Arial" w:hAnsi="Arial"/>
                <w:sz w:val="18"/>
                <w:szCs w:val="18"/>
                <w:color w:val="2C2C2C"/>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Section 302 Certification of the Chief Executive Officer pursuant to Exchange Act Rule 13a-14(a)</w:t>
            </w:r>
          </w:p>
        </w:tc>
        <w:tc>
          <w:tcPr>
            <w:tcW w:w="3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r>
              <w:rPr>
                <w:rFonts w:ascii="Arial" w:cs="Arial" w:eastAsia="Arial" w:hAnsi="Arial"/>
                <w:sz w:val="18"/>
                <w:szCs w:val="18"/>
                <w:color w:val="2C2C2C"/>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0000FF"/>
                <w:w w:val="97"/>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4"/>
          </w:tcPr>
          <w:p>
            <w:pPr>
              <w:spacing w:after="0" w:line="186" w:lineRule="exact"/>
              <w:rPr>
                <w:sz w:val="20"/>
                <w:szCs w:val="20"/>
                <w:color w:val="auto"/>
              </w:rPr>
            </w:pPr>
            <w:r>
              <w:rPr>
                <w:rFonts w:ascii="Arial" w:cs="Arial" w:eastAsia="Arial" w:hAnsi="Arial"/>
                <w:sz w:val="18"/>
                <w:szCs w:val="18"/>
                <w:color w:val="auto"/>
                <w:w w:val="88"/>
              </w:rPr>
              <w:t>period ended June 30, 2023 is formatted in Inline XBRL interactive data files: (i) Condensed Consolidated Balance Sheets as of June 30, 2023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4"/>
          </w:tcPr>
          <w:p>
            <w:pPr>
              <w:spacing w:after="0" w:line="172" w:lineRule="exact"/>
              <w:rPr>
                <w:sz w:val="20"/>
                <w:szCs w:val="20"/>
                <w:color w:val="auto"/>
              </w:rPr>
            </w:pPr>
            <w:r>
              <w:rPr>
                <w:rFonts w:ascii="Arial" w:cs="Arial" w:eastAsia="Arial" w:hAnsi="Arial"/>
                <w:sz w:val="18"/>
                <w:szCs w:val="18"/>
                <w:color w:val="auto"/>
                <w:w w:val="89"/>
              </w:rPr>
              <w:t>and December 31, 2022; (ii) Condensed Consolidated Statements of Operations and Comprehensive Loss for the three and 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4"/>
          </w:tcPr>
          <w:p>
            <w:pPr>
              <w:spacing w:after="0" w:line="172" w:lineRule="exact"/>
              <w:rPr>
                <w:sz w:val="20"/>
                <w:szCs w:val="20"/>
                <w:color w:val="auto"/>
              </w:rPr>
            </w:pPr>
            <w:r>
              <w:rPr>
                <w:rFonts w:ascii="Arial" w:cs="Arial" w:eastAsia="Arial" w:hAnsi="Arial"/>
                <w:sz w:val="18"/>
                <w:szCs w:val="18"/>
                <w:color w:val="auto"/>
                <w:w w:val="88"/>
              </w:rPr>
              <w:t>June 30, 2023 and 2022; (iii) Condensed Consolidated Statements of Equity for the six months ended June 30, 2023 and 2022; (iv) Condensed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4"/>
          </w:tcPr>
          <w:p>
            <w:pPr>
              <w:spacing w:after="0" w:line="186" w:lineRule="exact"/>
              <w:rPr>
                <w:sz w:val="20"/>
                <w:szCs w:val="20"/>
                <w:color w:val="auto"/>
              </w:rPr>
            </w:pPr>
            <w:r>
              <w:rPr>
                <w:rFonts w:ascii="Arial" w:cs="Arial" w:eastAsia="Arial" w:hAnsi="Arial"/>
                <w:sz w:val="18"/>
                <w:szCs w:val="18"/>
                <w:color w:val="auto"/>
                <w:w w:val="88"/>
              </w:rPr>
              <w:t>Consolidated Statements of Cash Flows for the six months ended June 30, 2023 and 2022; and (v) Notes to Condensed Consolidated Financial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78"/>
        </w:trPr>
        <w:tc>
          <w:tcPr>
            <w:tcW w:w="1020" w:type="dxa"/>
            <w:vAlign w:val="bottom"/>
            <w:gridSpan w:val="3"/>
          </w:tcPr>
          <w:p>
            <w:pPr>
              <w:ind w:left="2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______________________________________</w:t>
      </w:r>
    </w:p>
    <w:p>
      <w:pPr>
        <w:spacing w:after="0" w:line="32" w:lineRule="exact"/>
        <w:rPr>
          <w:sz w:val="20"/>
          <w:szCs w:val="20"/>
          <w:color w:val="auto"/>
        </w:rPr>
      </w:pPr>
    </w:p>
    <w:p>
      <w:pPr>
        <w:ind w:left="1140" w:hanging="111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ALTISOURCE PORTFOLIO SOLUTIONS S.A.</w:t>
      </w:r>
    </w:p>
    <w:p>
      <w:pPr>
        <w:spacing w:after="0" w:line="1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720" w:val="left"/>
          <w:tab w:leader="none" w:pos="6380" w:val="left"/>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7768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76855" cy="8255"/>
                    </a:xfrm>
                    <a:prstGeom prst="rect">
                      <a:avLst/>
                    </a:prstGeom>
                    <a:noFill/>
                  </pic:spPr>
                </pic:pic>
              </a:graphicData>
            </a:graphic>
          </wp:anchor>
        </w:drawing>
      </w:r>
    </w:p>
    <w:p>
      <w:pPr>
        <w:spacing w:after="0" w:line="1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Michelle D. Esterman</w:t>
      </w:r>
    </w:p>
    <w:p>
      <w:pPr>
        <w:spacing w:after="0" w:line="1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(On behalf of the Registrant and as its Principal Financial</w:t>
      </w:r>
    </w:p>
    <w:p>
      <w:pPr>
        <w:ind w:left="690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7"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5"/>
          <w:szCs w:val="15"/>
          <w:b w:val="1"/>
          <w:bCs w:val="1"/>
          <w:color w:val="auto"/>
        </w:rPr>
        <w:t>Exhibit 31.1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Altisource Portfolio Solutions S.A.;</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40" w:hanging="316"/>
        <w:spacing w:after="0" w:line="294" w:lineRule="auto"/>
        <w:tabs>
          <w:tab w:leader="none" w:pos="679"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7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0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1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960" w:hanging="318"/>
        <w:spacing w:after="0" w:line="365" w:lineRule="auto"/>
        <w:tabs>
          <w:tab w:leader="none" w:pos="1148"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jc w:val="both"/>
        <w:ind w:left="960" w:hanging="318"/>
        <w:spacing w:after="0" w:line="255" w:lineRule="auto"/>
        <w:tabs>
          <w:tab w:leader="none" w:pos="10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40" w:hanging="316"/>
        <w:spacing w:after="0" w:line="294" w:lineRule="auto"/>
        <w:tabs>
          <w:tab w:leader="none" w:pos="6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7"/>
          <w:szCs w:val="17"/>
          <w:color w:val="auto"/>
        </w:rPr>
      </w:pPr>
    </w:p>
    <w:p>
      <w:pPr>
        <w:ind w:left="960" w:hanging="318"/>
        <w:spacing w:after="0" w:line="294" w:lineRule="auto"/>
        <w:tabs>
          <w:tab w:leader="none" w:pos="1042"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960" w:hanging="318"/>
        <w:spacing w:after="0" w:line="264" w:lineRule="auto"/>
        <w:tabs>
          <w:tab w:leader="none" w:pos="104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Date: July 27, 2023</w:t>
            </w:r>
          </w:p>
        </w:tc>
        <w:tc>
          <w:tcPr>
            <w:tcW w:w="7220" w:type="dxa"/>
            <w:vAlign w:val="bottom"/>
            <w:gridSpan w:val="2"/>
          </w:tcPr>
          <w:p>
            <w:pPr>
              <w:ind w:left="2340"/>
              <w:spacing w:after="0"/>
              <w:rPr>
                <w:sz w:val="20"/>
                <w:szCs w:val="20"/>
                <w:color w:val="auto"/>
              </w:rPr>
            </w:pPr>
            <w:r>
              <w:rPr>
                <w:rFonts w:ascii="Arial" w:cs="Arial" w:eastAsia="Arial" w:hAnsi="Arial"/>
                <w:sz w:val="18"/>
                <w:szCs w:val="18"/>
                <w:color w:val="auto"/>
              </w:rPr>
              <w:t>By:   /s/ William B. Shepro</w:t>
            </w:r>
          </w:p>
        </w:tc>
      </w:tr>
      <w:tr>
        <w:trPr>
          <w:trHeight w:val="218"/>
        </w:trPr>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B. Shepro</w:t>
            </w:r>
          </w:p>
        </w:tc>
      </w:tr>
      <w:tr>
        <w:trPr>
          <w:trHeight w:val="239"/>
        </w:trPr>
        <w:tc>
          <w:tcPr>
            <w:tcW w:w="3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25"/>
        </w:trPr>
        <w:tc>
          <w:tcPr>
            <w:tcW w:w="37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76"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5"/>
          <w:szCs w:val="15"/>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Altisource Portfolio Solutions S.A.;</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40" w:hanging="316"/>
        <w:spacing w:after="0" w:line="294" w:lineRule="auto"/>
        <w:tabs>
          <w:tab w:leader="none" w:pos="679"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7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0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13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960" w:hanging="318"/>
        <w:spacing w:after="0" w:line="365" w:lineRule="auto"/>
        <w:tabs>
          <w:tab w:leader="none" w:pos="1148"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jc w:val="both"/>
        <w:ind w:left="960" w:hanging="318"/>
        <w:spacing w:after="0" w:line="255" w:lineRule="auto"/>
        <w:tabs>
          <w:tab w:leader="none" w:pos="10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40" w:hanging="316"/>
        <w:spacing w:after="0" w:line="294" w:lineRule="auto"/>
        <w:tabs>
          <w:tab w:leader="none" w:pos="6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7"/>
          <w:szCs w:val="17"/>
          <w:color w:val="auto"/>
        </w:rPr>
      </w:pPr>
    </w:p>
    <w:p>
      <w:pPr>
        <w:ind w:left="960" w:hanging="318"/>
        <w:spacing w:after="0" w:line="294" w:lineRule="auto"/>
        <w:tabs>
          <w:tab w:leader="none" w:pos="1042"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960" w:hanging="318"/>
        <w:spacing w:after="0" w:line="264" w:lineRule="auto"/>
        <w:tabs>
          <w:tab w:leader="none" w:pos="104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Date: July 27, 2023</w:t>
            </w:r>
          </w:p>
        </w:tc>
        <w:tc>
          <w:tcPr>
            <w:tcW w:w="7220" w:type="dxa"/>
            <w:vAlign w:val="bottom"/>
            <w:gridSpan w:val="2"/>
          </w:tcPr>
          <w:p>
            <w:pPr>
              <w:ind w:left="2340"/>
              <w:spacing w:after="0"/>
              <w:rPr>
                <w:sz w:val="20"/>
                <w:szCs w:val="20"/>
                <w:color w:val="auto"/>
              </w:rPr>
            </w:pPr>
            <w:r>
              <w:rPr>
                <w:rFonts w:ascii="Arial" w:cs="Arial" w:eastAsia="Arial" w:hAnsi="Arial"/>
                <w:sz w:val="18"/>
                <w:szCs w:val="18"/>
                <w:color w:val="auto"/>
              </w:rPr>
              <w:t>By:   /s/ Michelle D. Esterman</w:t>
            </w:r>
          </w:p>
        </w:tc>
      </w:tr>
      <w:tr>
        <w:trPr>
          <w:trHeight w:val="218"/>
        </w:trPr>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D. Esterman</w:t>
            </w:r>
          </w:p>
        </w:tc>
      </w:tr>
      <w:tr>
        <w:trPr>
          <w:trHeight w:val="239"/>
        </w:trPr>
        <w:tc>
          <w:tcPr>
            <w:tcW w:w="3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4"/>
        </w:trPr>
        <w:tc>
          <w:tcPr>
            <w:tcW w:w="37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400" w:type="dxa"/>
            <w:vAlign w:val="bottom"/>
          </w:tcPr>
          <w:p>
            <w:pPr>
              <w:ind w:left="20"/>
              <w:spacing w:after="0" w:line="174" w:lineRule="exact"/>
              <w:rPr>
                <w:sz w:val="20"/>
                <w:szCs w:val="20"/>
                <w:color w:val="auto"/>
              </w:rPr>
            </w:pPr>
            <w:r>
              <w:rPr>
                <w:rFonts w:ascii="Arial" w:cs="Arial" w:eastAsia="Arial" w:hAnsi="Arial"/>
                <w:sz w:val="18"/>
                <w:szCs w:val="18"/>
                <w:color w:val="auto"/>
              </w:rPr>
              <w:t>(Principal Financial Officer and</w:t>
            </w:r>
          </w:p>
        </w:tc>
      </w:tr>
      <w:tr>
        <w:trPr>
          <w:trHeight w:val="223"/>
        </w:trPr>
        <w:tc>
          <w:tcPr>
            <w:tcW w:w="37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76"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5"/>
          <w:szCs w:val="15"/>
          <w:b w:val="1"/>
          <w:bCs w:val="1"/>
          <w:color w:val="auto"/>
        </w:rPr>
        <w:t>Exhibit 32.1</w:t>
      </w:r>
    </w:p>
    <w:p>
      <w:pPr>
        <w:spacing w:after="0" w:line="199"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2023</w:t>
      </w:r>
    </w:p>
    <w:p>
      <w:pPr>
        <w:spacing w:after="0" w:line="35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Quarterly Report on Form 10-Q of Altisource Portfolio Solutions S.A. (the “Company”) for the quarterly period ended June 30, 2023,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84" w:lineRule="exact"/>
        <w:rPr>
          <w:sz w:val="20"/>
          <w:szCs w:val="20"/>
          <w:color w:val="auto"/>
        </w:rPr>
      </w:pPr>
    </w:p>
    <w:p>
      <w:pPr>
        <w:ind w:left="700" w:hanging="37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75" w:lineRule="exact"/>
        <w:rPr>
          <w:rFonts w:ascii="Arial" w:cs="Arial" w:eastAsia="Arial" w:hAnsi="Arial"/>
          <w:sz w:val="17"/>
          <w:szCs w:val="17"/>
          <w:color w:val="auto"/>
        </w:rPr>
      </w:pPr>
    </w:p>
    <w:p>
      <w:pPr>
        <w:ind w:left="700" w:hanging="376"/>
        <w:spacing w:after="0"/>
        <w:tabs>
          <w:tab w:leader="none" w:pos="7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18"/>
        </w:trPr>
        <w:tc>
          <w:tcPr>
            <w:tcW w:w="5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38"/>
        </w:trPr>
        <w:tc>
          <w:tcPr>
            <w:tcW w:w="5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5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25"/>
        </w:trPr>
        <w:tc>
          <w:tcPr>
            <w:tcW w:w="5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39"/>
        </w:trPr>
        <w:tc>
          <w:tcPr>
            <w:tcW w:w="5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July 27, 2023</w:t>
            </w:r>
          </w:p>
        </w:tc>
        <w:tc>
          <w:tcPr>
            <w:tcW w:w="10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July 27, 2023</w:t>
            </w:r>
          </w:p>
        </w:tc>
      </w:tr>
    </w:tbl>
    <w:p>
      <w:pPr>
        <w:spacing w:after="0" w:line="1" w:lineRule="exact"/>
        <w:rPr>
          <w:sz w:val="20"/>
          <w:szCs w:val="20"/>
          <w:color w:val="auto"/>
        </w:rPr>
      </w:pP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2023-07-27T06:29:43Z</dcterms:created>
  <dcterms:modified xsi:type="dcterms:W3CDTF">2023-07-27T06:29:43Z</dcterms:modified>
</cp:coreProperties>
</file>