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center"/>
        <w:ind w:right="-113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59"/>
        <w:spacing w:after="0"/>
        <w:rPr>
          <w:sz w:val="20"/>
          <w:szCs w:val="20"/>
          <w:color w:val="auto"/>
        </w:rPr>
      </w:pPr>
      <w:r>
        <w:rPr>
          <w:rFonts w:ascii="Arial" w:cs="Arial" w:eastAsia="Arial" w:hAnsi="Arial"/>
          <w:sz w:val="18"/>
          <w:szCs w:val="18"/>
          <w:b w:val="1"/>
          <w:bCs w:val="1"/>
          <w:color w:val="auto"/>
        </w:rPr>
        <w:t>Washington, D.C. 20549</w:t>
      </w:r>
    </w:p>
    <w:p>
      <w:pPr>
        <w:spacing w:after="0" w:line="175" w:lineRule="exact"/>
        <w:rPr>
          <w:sz w:val="24"/>
          <w:szCs w:val="24"/>
          <w:color w:val="auto"/>
        </w:rPr>
      </w:pPr>
    </w:p>
    <w:p>
      <w:pPr>
        <w:jc w:val="center"/>
        <w:ind w:right="-1139"/>
        <w:spacing w:after="0"/>
        <w:rPr>
          <w:sz w:val="20"/>
          <w:szCs w:val="20"/>
          <w:color w:val="auto"/>
        </w:rPr>
      </w:pPr>
      <w:r>
        <w:rPr>
          <w:rFonts w:ascii="Arial" w:cs="Arial" w:eastAsia="Arial" w:hAnsi="Arial"/>
          <w:sz w:val="24"/>
          <w:szCs w:val="24"/>
          <w:b w:val="1"/>
          <w:bCs w:val="1"/>
          <w:color w:val="auto"/>
        </w:rPr>
        <w:t>SCHEDULE 14A INFORMATION</w:t>
      </w:r>
    </w:p>
    <w:p>
      <w:pPr>
        <w:spacing w:after="0" w:line="256" w:lineRule="exact"/>
        <w:rPr>
          <w:sz w:val="24"/>
          <w:szCs w:val="24"/>
          <w:color w:val="auto"/>
        </w:rPr>
      </w:pPr>
    </w:p>
    <w:p>
      <w:pPr>
        <w:jc w:val="center"/>
        <w:ind w:right="-1159"/>
        <w:spacing w:after="0"/>
        <w:rPr>
          <w:sz w:val="20"/>
          <w:szCs w:val="20"/>
          <w:color w:val="auto"/>
        </w:rPr>
      </w:pPr>
      <w:r>
        <w:rPr>
          <w:rFonts w:ascii="Arial" w:cs="Arial" w:eastAsia="Arial" w:hAnsi="Arial"/>
          <w:sz w:val="18"/>
          <w:szCs w:val="18"/>
          <w:color w:val="auto"/>
        </w:rPr>
        <w:t>Proxy Statement Pursuant to Section 14(a) of the</w:t>
      </w:r>
    </w:p>
    <w:p>
      <w:pPr>
        <w:jc w:val="center"/>
        <w:ind w:right="-1139"/>
        <w:spacing w:after="0"/>
        <w:rPr>
          <w:sz w:val="20"/>
          <w:szCs w:val="20"/>
          <w:color w:val="auto"/>
        </w:rPr>
      </w:pPr>
      <w:r>
        <w:rPr>
          <w:rFonts w:ascii="Arial" w:cs="Arial" w:eastAsia="Arial" w:hAnsi="Arial"/>
          <w:sz w:val="18"/>
          <w:szCs w:val="18"/>
          <w:color w:val="auto"/>
        </w:rPr>
        <w:t>Securities Exchange Act of 1934</w:t>
      </w:r>
    </w:p>
    <w:p>
      <w:pPr>
        <w:spacing w:after="0" w:line="168"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a Party other than the Registrant o</w:t>
      </w:r>
    </w:p>
    <w:p>
      <w:pPr>
        <w:spacing w:after="0" w:line="2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1560" w:hanging="411"/>
        <w:spacing w:after="0"/>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0" w:lineRule="exact"/>
        <w:rPr>
          <w:sz w:val="24"/>
          <w:szCs w:val="24"/>
          <w:color w:val="auto"/>
        </w:rPr>
      </w:pPr>
    </w:p>
    <w:p>
      <w:pPr>
        <w:ind w:left="1560" w:hanging="411"/>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4" w:lineRule="exact"/>
        <w:rPr>
          <w:rFonts w:ascii="Arial" w:cs="Arial" w:eastAsia="Arial" w:hAnsi="Arial"/>
          <w:sz w:val="18"/>
          <w:szCs w:val="18"/>
          <w:color w:val="auto"/>
        </w:rPr>
      </w:pPr>
    </w:p>
    <w:p>
      <w:pPr>
        <w:ind w:left="1560" w:hanging="411"/>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52" w:lineRule="exact"/>
        <w:rPr>
          <w:rFonts w:ascii="Arial" w:cs="Arial" w:eastAsia="Arial" w:hAnsi="Arial"/>
          <w:sz w:val="18"/>
          <w:szCs w:val="18"/>
          <w:color w:val="auto"/>
        </w:rPr>
      </w:pPr>
    </w:p>
    <w:p>
      <w:pPr>
        <w:ind w:left="1560" w:hanging="411"/>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60" w:hanging="411"/>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69215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(Name of Registrant as Specified in its Charter)</w:t>
      </w:r>
    </w:p>
    <w:p>
      <w:pPr>
        <w:spacing w:after="0" w:line="217"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69215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7" w:lineRule="exact"/>
        <w:rPr>
          <w:sz w:val="24"/>
          <w:szCs w:val="24"/>
          <w:color w:val="auto"/>
        </w:rPr>
      </w:pPr>
    </w:p>
    <w:p>
      <w:pPr>
        <w:jc w:val="center"/>
        <w:ind w:right="-11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1560" w:hanging="411"/>
        <w:spacing w:after="0"/>
        <w:tabs>
          <w:tab w:leader="none" w:pos="1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60" w:hanging="411"/>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sz w:val="24"/>
          <w:szCs w:val="24"/>
          <w:color w:val="auto"/>
        </w:rPr>
      </w:pPr>
    </w:p>
    <w:p>
      <w:pPr>
        <w:ind w:left="1960" w:right="4080" w:hanging="811"/>
        <w:spacing w:after="0" w:line="239" w:lineRule="auto"/>
        <w:tabs>
          <w:tab w:leader="none" w:pos="1569"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6" w:lineRule="exact"/>
        <w:rPr>
          <w:rFonts w:ascii="Arial" w:cs="Arial" w:eastAsia="Arial" w:hAnsi="Arial"/>
          <w:sz w:val="18"/>
          <w:szCs w:val="18"/>
          <w:color w:val="auto"/>
        </w:rPr>
      </w:pPr>
    </w:p>
    <w:p>
      <w:pPr>
        <w:ind w:left="1960" w:right="3720" w:hanging="811"/>
        <w:spacing w:after="0" w:line="239" w:lineRule="auto"/>
        <w:tabs>
          <w:tab w:leader="none" w:pos="1569"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6" w:lineRule="exact"/>
        <w:rPr>
          <w:rFonts w:ascii="Arial" w:cs="Arial" w:eastAsia="Arial" w:hAnsi="Arial"/>
          <w:sz w:val="18"/>
          <w:szCs w:val="18"/>
          <w:color w:val="auto"/>
        </w:rPr>
      </w:pPr>
    </w:p>
    <w:p>
      <w:pPr>
        <w:ind w:left="1560" w:right="140" w:hanging="411"/>
        <w:spacing w:after="0" w:line="234" w:lineRule="auto"/>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4" w:lineRule="exact"/>
        <w:rPr>
          <w:rFonts w:ascii="Arial" w:cs="Arial" w:eastAsia="Arial" w:hAnsi="Arial"/>
          <w:sz w:val="18"/>
          <w:szCs w:val="18"/>
          <w:color w:val="auto"/>
        </w:rPr>
      </w:pPr>
    </w:p>
    <w:p>
      <w:pPr>
        <w:ind w:left="1560" w:hanging="411"/>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-798830</wp:posOffset>
            </wp:positionV>
            <wp:extent cx="5531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-532765</wp:posOffset>
            </wp:positionV>
            <wp:extent cx="5531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-138430</wp:posOffset>
            </wp:positionV>
            <wp:extent cx="5531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-4445</wp:posOffset>
            </wp:positionV>
            <wp:extent cx="5531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560" w:hanging="411"/>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7"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Fee paid previously with preliminary materials.</w:t>
      </w:r>
    </w:p>
    <w:p>
      <w:pPr>
        <w:spacing w:after="0" w:line="264" w:lineRule="exact"/>
        <w:rPr>
          <w:sz w:val="24"/>
          <w:szCs w:val="24"/>
          <w:color w:val="auto"/>
        </w:rPr>
      </w:pPr>
    </w:p>
    <w:p>
      <w:pPr>
        <w:ind w:left="1980" w:hanging="412"/>
        <w:spacing w:after="0" w:line="238" w:lineRule="auto"/>
        <w:tabs>
          <w:tab w:leader="none" w:pos="1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0" w:lineRule="exact"/>
        <w:rPr>
          <w:rFonts w:ascii="Arial" w:cs="Arial" w:eastAsia="Arial" w:hAnsi="Arial"/>
          <w:sz w:val="18"/>
          <w:szCs w:val="18"/>
          <w:color w:val="auto"/>
        </w:rPr>
      </w:pPr>
    </w:p>
    <w:p>
      <w:pPr>
        <w:ind w:left="1560" w:hanging="411"/>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-4445</wp:posOffset>
            </wp:positionV>
            <wp:extent cx="5531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right="5060" w:hanging="811"/>
        <w:spacing w:after="0" w:line="239" w:lineRule="auto"/>
        <w:tabs>
          <w:tab w:leader="none" w:pos="1569"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 w:lineRule="exact"/>
        <w:rPr>
          <w:rFonts w:ascii="Arial" w:cs="Arial" w:eastAsia="Arial" w:hAnsi="Arial"/>
          <w:sz w:val="18"/>
          <w:szCs w:val="18"/>
          <w:color w:val="auto"/>
        </w:rPr>
      </w:pPr>
    </w:p>
    <w:p>
      <w:pPr>
        <w:ind w:left="1560" w:hanging="411"/>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-138430</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-4445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right="7860" w:hanging="811"/>
        <w:spacing w:after="0" w:line="299" w:lineRule="auto"/>
        <w:tabs>
          <w:tab w:leader="none" w:pos="1569" w:val="left"/>
        </w:tabs>
        <w:numPr>
          <w:ilvl w:val="0"/>
          <w:numId w:val="9"/>
        </w:numPr>
        <w:rPr>
          <w:rFonts w:ascii="Arial" w:cs="Arial" w:eastAsia="Arial" w:hAnsi="Arial"/>
          <w:sz w:val="16"/>
          <w:szCs w:val="16"/>
          <w:color w:val="auto"/>
        </w:rPr>
      </w:pPr>
      <w:r>
        <w:rPr>
          <w:rFonts w:ascii="Arial" w:cs="Arial" w:eastAsia="Arial" w:hAnsi="Arial"/>
          <w:sz w:val="16"/>
          <w:szCs w:val="16"/>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-34925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0280"/>
          </w:cols>
          <w:pgMar w:left="240" w:top="685" w:right="1379" w:bottom="141"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132715</wp:posOffset>
            </wp:positionV>
            <wp:extent cx="1697990"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behalf of the Board of Directors, we cordially invite you to attend the Annual Meeting of Shareholders of Altisource Portfolio Solutions S.A. (the "Annual Meeting") which will be held at the registered office of the Company located at 40, avenue Monterey, L-2163 Luxembourg City, Grand Duchy of Luxembourg on Wednesday, May 18, 2016, at 9:00 a.m., Central European Time. Details regarding admission to the Annual Meeting and the business to be conducted are described in the accompanying materials.</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the Annual Meeting in person. If you are a shareholder of record (that is, you hold your shares in your name as a holder of record with our transfer agent), you may authorize your proxy by the Internet, by telephone or by mail as described in the accompanying materials. If your shares are held through a bank, brokerage firm or other nominee, please follow the instructions you receive from your bank, brokerage firm or other nominee to instruct how your shares are to be voted at the Annual Meeting. This will not prevent you from voting in person but will ensure that your vote is counted if you are unable to attend.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Your support of and interest in Altisource Portfolio Solutions S.A. is sincerely appreciated.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color w:val="auto"/>
              </w:rPr>
              <w:t>Timo Vättö</w:t>
            </w:r>
          </w:p>
        </w:tc>
        <w:tc>
          <w:tcPr>
            <w:tcW w:w="8380" w:type="dxa"/>
            <w:vAlign w:val="bottom"/>
          </w:tcPr>
          <w:p>
            <w:pPr>
              <w:ind w:left="2680"/>
              <w:spacing w:after="0"/>
              <w:rPr>
                <w:sz w:val="20"/>
                <w:szCs w:val="20"/>
                <w:color w:val="auto"/>
              </w:rPr>
            </w:pPr>
            <w:r>
              <w:rPr>
                <w:rFonts w:ascii="Arial" w:cs="Arial" w:eastAsia="Arial" w:hAnsi="Arial"/>
                <w:sz w:val="18"/>
                <w:szCs w:val="18"/>
                <w:color w:val="auto"/>
              </w:rPr>
              <w:t>William B. Shepro</w:t>
            </w:r>
          </w:p>
        </w:tc>
      </w:tr>
      <w:tr>
        <w:trPr>
          <w:trHeight w:val="211"/>
        </w:trPr>
        <w:tc>
          <w:tcPr>
            <w:tcW w:w="30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8380" w:type="dxa"/>
            <w:vAlign w:val="bottom"/>
          </w:tcPr>
          <w:p>
            <w:pPr>
              <w:ind w:left="2680"/>
              <w:spacing w:after="0"/>
              <w:rPr>
                <w:sz w:val="20"/>
                <w:szCs w:val="20"/>
                <w:color w:val="auto"/>
              </w:rPr>
            </w:pPr>
            <w:r>
              <w:rPr>
                <w:rFonts w:ascii="Arial" w:cs="Arial" w:eastAsia="Arial" w:hAnsi="Arial"/>
                <w:sz w:val="18"/>
                <w:szCs w:val="18"/>
                <w:color w:val="auto"/>
              </w:rPr>
              <w:t>Chief Executive Officer and Director</w:t>
            </w:r>
          </w:p>
        </w:tc>
      </w:tr>
      <w:tr>
        <w:trPr>
          <w:trHeight w:val="702"/>
        </w:trPr>
        <w:tc>
          <w:tcPr>
            <w:tcW w:w="3040" w:type="dxa"/>
            <w:vAlign w:val="bottom"/>
          </w:tcPr>
          <w:p>
            <w:pPr>
              <w:spacing w:after="0"/>
              <w:rPr>
                <w:sz w:val="24"/>
                <w:szCs w:val="24"/>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40, avenue Monterey, L-2163 Luxembourg, +352 2469 7900</w:t>
            </w:r>
          </w:p>
        </w:tc>
      </w:tr>
      <w:tr>
        <w:trPr>
          <w:trHeight w:val="215"/>
        </w:trPr>
        <w:tc>
          <w:tcPr>
            <w:tcW w:w="3040" w:type="dxa"/>
            <w:vAlign w:val="bottom"/>
            <w:tcBorders>
              <w:bottom w:val="single" w:sz="8" w:color="808080"/>
            </w:tcBorders>
          </w:tcPr>
          <w:p>
            <w:pPr>
              <w:spacing w:after="0"/>
              <w:rPr>
                <w:sz w:val="18"/>
                <w:szCs w:val="18"/>
                <w:color w:val="auto"/>
              </w:rPr>
            </w:pPr>
          </w:p>
        </w:tc>
        <w:tc>
          <w:tcPr>
            <w:tcW w:w="83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ind w:left="120"/>
              <w:spacing w:after="0"/>
              <w:rPr>
                <w:sz w:val="20"/>
                <w:szCs w:val="20"/>
                <w:color w:val="auto"/>
              </w:rPr>
            </w:pPr>
            <w:r>
              <w:rPr>
                <w:rFonts w:ascii="Arial" w:cs="Arial" w:eastAsia="Arial" w:hAnsi="Arial"/>
                <w:sz w:val="14"/>
                <w:szCs w:val="14"/>
                <w:b w:val="1"/>
                <w:bCs w:val="1"/>
                <w:color w:val="auto"/>
              </w:rPr>
              <w:t>PAGE</w:t>
            </w:r>
          </w:p>
        </w:tc>
      </w:tr>
      <w:tr>
        <w:trPr>
          <w:trHeight w:val="169"/>
        </w:trPr>
        <w:tc>
          <w:tcPr>
            <w:tcW w:w="114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NOTICE OF ANNUAL MEETING OF SHAREHOLDERS AND IMPORTANT NOTICE REGARDING THE</w:t>
              </w:r>
            </w:hyperlink>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tcBorders>
              <w:bottom w:val="single" w:sz="8" w:color="0000EE"/>
            </w:tcBorders>
            <w:gridSpan w:val="28"/>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AVAILABILITY OF PROXY MATERIALS FOR THE ANNUAL MEETING OF SHAREHOLDERS TO BE</w:t>
              </w:r>
            </w:hyperlink>
          </w:p>
        </w:tc>
        <w:tc>
          <w:tcPr>
            <w:tcW w:w="300" w:type="dxa"/>
            <w:vAlign w:val="bottom"/>
            <w:gridSpan w:val="6"/>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4"/>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HELD ON MAY 18, 2016</w:t>
              </w:r>
            </w:hyperlink>
          </w:p>
        </w:tc>
        <w:tc>
          <w:tcPr>
            <w:tcW w:w="6280" w:type="dxa"/>
            <w:vAlign w:val="bottom"/>
            <w:gridSpan w:val="30"/>
          </w:tcPr>
          <w:p>
            <w:pPr>
              <w:spacing w:after="0"/>
              <w:rPr>
                <w:sz w:val="15"/>
                <w:szCs w:val="15"/>
                <w:color w:val="auto"/>
              </w:rPr>
            </w:pPr>
          </w:p>
        </w:tc>
        <w:tc>
          <w:tcPr>
            <w:tcW w:w="340" w:type="dxa"/>
            <w:vAlign w:val="bottom"/>
            <w:gridSpan w:val="3"/>
          </w:tcPr>
          <w:p>
            <w:pPr>
              <w:spacing w:after="0"/>
              <w:rPr>
                <w:sz w:val="15"/>
                <w:szCs w:val="15"/>
                <w:color w:val="auto"/>
              </w:rPr>
            </w:pPr>
          </w:p>
        </w:tc>
        <w:tc>
          <w:tcPr>
            <w:tcW w:w="180" w:type="dxa"/>
            <w:vAlign w:val="bottom"/>
            <w:gridSpan w:val="2"/>
          </w:tcPr>
          <w:p>
            <w:pPr>
              <w:jc w:val="right"/>
              <w:ind w:right="80"/>
              <w:spacing w:after="0" w:line="18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ANNUAL MEETING OF SHAREHOLDERS</w:t>
              </w:r>
            </w:hyperlink>
          </w:p>
        </w:tc>
        <w:tc>
          <w:tcPr>
            <w:tcW w:w="520" w:type="dxa"/>
            <w:vAlign w:val="bottom"/>
            <w:gridSpan w:val="5"/>
          </w:tcPr>
          <w:p>
            <w:pPr>
              <w:jc w:val="right"/>
              <w:ind w:right="8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3760" w:type="dxa"/>
            <w:vAlign w:val="bottom"/>
            <w:gridSpan w:val="12"/>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PROPOSAL ONE: ELECTION OF DIRECTORS</w:t>
              </w:r>
            </w:hyperlink>
          </w:p>
        </w:tc>
        <w:tc>
          <w:tcPr>
            <w:tcW w:w="4640" w:type="dxa"/>
            <w:vAlign w:val="bottom"/>
            <w:gridSpan w:val="24"/>
          </w:tcPr>
          <w:p>
            <w:pPr>
              <w:spacing w:after="0"/>
              <w:rPr>
                <w:sz w:val="24"/>
                <w:szCs w:val="24"/>
                <w:color w:val="auto"/>
              </w:rPr>
            </w:pPr>
          </w:p>
        </w:tc>
        <w:tc>
          <w:tcPr>
            <w:tcW w:w="340" w:type="dxa"/>
            <w:vAlign w:val="bottom"/>
            <w:gridSpan w:val="3"/>
          </w:tcPr>
          <w:p>
            <w:pPr>
              <w:spacing w:after="0"/>
              <w:rPr>
                <w:sz w:val="24"/>
                <w:szCs w:val="24"/>
                <w:color w:val="auto"/>
              </w:rPr>
            </w:pPr>
          </w:p>
        </w:tc>
        <w:tc>
          <w:tcPr>
            <w:tcW w:w="180" w:type="dxa"/>
            <w:vAlign w:val="bottom"/>
            <w:gridSpan w:val="2"/>
          </w:tcPr>
          <w:p>
            <w:pPr>
              <w:jc w:val="right"/>
              <w:ind w:right="8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488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BOARD OF DIRECTORS AND CORPORATE GOVERNANCE</w:t>
              </w:r>
            </w:hyperlink>
          </w:p>
        </w:tc>
        <w:tc>
          <w:tcPr>
            <w:tcW w:w="3520" w:type="dxa"/>
            <w:vAlign w:val="bottom"/>
            <w:gridSpan w:val="18"/>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11</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BOARD OF DIRECTORS COMPENSATION</w:t>
              </w:r>
            </w:hyperlink>
          </w:p>
        </w:tc>
        <w:tc>
          <w:tcPr>
            <w:tcW w:w="44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OFFICERS WHO ARE NOT DIRECTORS</w:t>
              </w:r>
            </w:hyperlink>
          </w:p>
        </w:tc>
        <w:tc>
          <w:tcPr>
            <w:tcW w:w="44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SECURITY OWNERSHIP OF CERTAIN BENEFICIAL OWNERS AND RELATED SHAREHOLDER</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MATTERS</w:t>
              </w:r>
            </w:hyperlink>
          </w:p>
        </w:tc>
        <w:tc>
          <w:tcPr>
            <w:tcW w:w="6680" w:type="dxa"/>
            <w:vAlign w:val="bottom"/>
            <w:tcBorders>
              <w:top w:val="single" w:sz="8" w:color="0000EE"/>
            </w:tcBorders>
            <w:gridSpan w:val="24"/>
          </w:tcPr>
          <w:p>
            <w:pPr>
              <w:spacing w:after="0"/>
              <w:rPr>
                <w:sz w:val="15"/>
                <w:szCs w:val="15"/>
                <w:color w:val="auto"/>
              </w:rPr>
            </w:pPr>
          </w:p>
        </w:tc>
        <w:tc>
          <w:tcPr>
            <w:tcW w:w="700" w:type="dxa"/>
            <w:vAlign w:val="bottom"/>
            <w:gridSpan w:val="9"/>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99"/>
        </w:trPr>
        <w:tc>
          <w:tcPr>
            <w:tcW w:w="1140" w:type="dxa"/>
            <w:vAlign w:val="bottom"/>
          </w:tcPr>
          <w:p>
            <w:pPr>
              <w:spacing w:after="0"/>
              <w:rPr>
                <w:sz w:val="24"/>
                <w:szCs w:val="24"/>
                <w:color w:val="auto"/>
              </w:rPr>
            </w:pPr>
          </w:p>
        </w:tc>
        <w:tc>
          <w:tcPr>
            <w:tcW w:w="388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COMPENSATION DISCUSSION AND ANALYSIS</w:t>
              </w:r>
            </w:hyperlink>
          </w:p>
        </w:tc>
        <w:tc>
          <w:tcPr>
            <w:tcW w:w="4520" w:type="dxa"/>
            <w:vAlign w:val="bottom"/>
            <w:gridSpan w:val="23"/>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EXECUTIVE COMPENSATION</w:t>
              </w:r>
            </w:hyperlink>
          </w:p>
        </w:tc>
        <w:tc>
          <w:tcPr>
            <w:tcW w:w="44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260" w:type="dxa"/>
            <w:vAlign w:val="bottom"/>
            <w:tcBorders>
              <w:bottom w:val="single" w:sz="8" w:color="0000EE"/>
            </w:tcBorders>
            <w:gridSpan w:val="33"/>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PROPOSAL TWO: APPOINTMENT OF INDEPENDENT REGISTERED CERTIFIED ACCOUNTING FIRM</w:t>
              </w:r>
            </w:hyperlink>
          </w:p>
        </w:tc>
        <w:tc>
          <w:tcPr>
            <w:tcW w:w="140" w:type="dxa"/>
            <w:vAlign w:val="bottom"/>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PROPOSAL THREE: APPROVAL OF THE COMPANY'S ANNUAL ACCOUNTS PREPARED IN</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20" w:type="dxa"/>
            <w:vAlign w:val="bottom"/>
            <w:tcBorders>
              <w:bottom w:val="single" w:sz="8" w:color="0000EE"/>
            </w:tcBorders>
            <w:gridSpan w:val="33"/>
          </w:tcPr>
          <w:p>
            <w:pPr>
              <w:spacing w:after="0" w:line="182"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ACCORDANCE WITH LUXEMBOURG GAAP FOR THE YEAR ENDED DECEMBER 31, 2015 AND ITS</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00" w:type="dxa"/>
            <w:vAlign w:val="bottom"/>
            <w:tcBorders>
              <w:bottom w:val="single" w:sz="8" w:color="0000EE"/>
            </w:tcBorders>
            <w:gridSpan w:val="24"/>
          </w:tcPr>
          <w:p>
            <w:pPr>
              <w:spacing w:after="0" w:line="182"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CONSOLIDATED FINANCIAL STATEMENTS PREPARED IN ACCORDANCE WITH U.S. GAAP</w:t>
              </w:r>
            </w:hyperlink>
          </w:p>
        </w:tc>
        <w:tc>
          <w:tcPr>
            <w:tcW w:w="720" w:type="dxa"/>
            <w:vAlign w:val="bottom"/>
            <w:gridSpan w:val="10"/>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INCLUDING A FOOTNOTE RECONCILIATION OF EQUITY AND NET INCOME TO IFRS AS OF AND</w:t>
              </w:r>
            </w:hyperlink>
          </w:p>
        </w:tc>
        <w:tc>
          <w:tcPr>
            <w:tcW w:w="22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20" w:type="dxa"/>
            <w:vAlign w:val="bottom"/>
            <w:gridSpan w:val="34"/>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FOR THE YEAR ENDED DECEMBER 31, 2015</w:t>
              </w:r>
            </w:hyperlink>
          </w:p>
        </w:tc>
        <w:tc>
          <w:tcPr>
            <w:tcW w:w="440" w:type="dxa"/>
            <w:vAlign w:val="bottom"/>
            <w:gridSpan w:val="4"/>
          </w:tcPr>
          <w:p>
            <w:pPr>
              <w:jc w:val="right"/>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PROPOSAL FOUR: RECEIPT AND APPROVAL OF THE DIRECTORS' REPORTS FOR THE</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3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LUXEMBOURG STATUTORY ACCOUNTS</w:t>
              </w:r>
            </w:hyperlink>
          </w:p>
        </w:tc>
        <w:tc>
          <w:tcPr>
            <w:tcW w:w="3740" w:type="dxa"/>
            <w:vAlign w:val="bottom"/>
            <w:tcBorders>
              <w:top w:val="single" w:sz="8" w:color="0000EE"/>
            </w:tcBorders>
            <w:gridSpan w:val="12"/>
          </w:tcPr>
          <w:p>
            <w:pPr>
              <w:spacing w:after="0"/>
              <w:rPr>
                <w:sz w:val="15"/>
                <w:szCs w:val="15"/>
                <w:color w:val="auto"/>
              </w:rPr>
            </w:pPr>
          </w:p>
        </w:tc>
        <w:tc>
          <w:tcPr>
            <w:tcW w:w="1100" w:type="dxa"/>
            <w:vAlign w:val="bottom"/>
            <w:gridSpan w:val="13"/>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PROPOSAL FIVE: ALLOCATION OF THE RESULTS IN THE LUXEMBOURG ANNUAL ACCOUNTS FOR</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10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THE YEAR ENDED DECEMBER 31, 2015</w:t>
              </w:r>
            </w:hyperlink>
          </w:p>
        </w:tc>
        <w:tc>
          <w:tcPr>
            <w:tcW w:w="120" w:type="dxa"/>
            <w:vAlign w:val="bottom"/>
            <w:gridSpan w:val="2"/>
          </w:tcPr>
          <w:p>
            <w:pPr>
              <w:spacing w:after="0"/>
              <w:rPr>
                <w:sz w:val="15"/>
                <w:szCs w:val="15"/>
                <w:color w:val="auto"/>
              </w:rPr>
            </w:pPr>
          </w:p>
        </w:tc>
        <w:tc>
          <w:tcPr>
            <w:tcW w:w="440" w:type="dxa"/>
            <w:vAlign w:val="bottom"/>
            <w:gridSpan w:val="4"/>
          </w:tcPr>
          <w:p>
            <w:pPr>
              <w:jc w:val="right"/>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PROPOSAL SIX: DISCHARGE OF EACH OF THE CURRENT AND PAST DIRECTORS OF</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40" w:type="dxa"/>
            <w:vAlign w:val="bottom"/>
            <w:gridSpan w:val="10"/>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ALTISOURCE PORTFOLIO SOLUTIONS S.A. FOR THE PERFORMANCE OF THEIR MANDATE</w:t>
              </w:r>
            </w:hyperlink>
          </w:p>
        </w:tc>
        <w:tc>
          <w:tcPr>
            <w:tcW w:w="600" w:type="dxa"/>
            <w:vAlign w:val="bottom"/>
            <w:gridSpan w:val="8"/>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20" w:type="dxa"/>
            <w:vAlign w:val="bottom"/>
            <w:gridSpan w:val="34"/>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DURING THE YEAR ENDED DECEMBER 31, 2015</w:t>
              </w:r>
            </w:hyperlink>
          </w:p>
        </w:tc>
        <w:tc>
          <w:tcPr>
            <w:tcW w:w="440" w:type="dxa"/>
            <w:vAlign w:val="bottom"/>
            <w:gridSpan w:val="4"/>
          </w:tcPr>
          <w:p>
            <w:pPr>
              <w:jc w:val="right"/>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40" w:type="dxa"/>
            <w:vAlign w:val="bottom"/>
            <w:gridSpan w:val="10"/>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PROPOSAL SEVEN: APPROVAL OF CHANGES TO NON-MANAGEMENT DIRECTORS'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8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COMPENSATION</w:t>
              </w:r>
            </w:hyperlink>
          </w:p>
        </w:tc>
        <w:tc>
          <w:tcPr>
            <w:tcW w:w="1380" w:type="dxa"/>
            <w:vAlign w:val="bottom"/>
            <w:gridSpan w:val="15"/>
          </w:tcPr>
          <w:p>
            <w:pPr>
              <w:spacing w:after="0"/>
              <w:rPr>
                <w:sz w:val="15"/>
                <w:szCs w:val="15"/>
                <w:color w:val="auto"/>
              </w:rPr>
            </w:pPr>
          </w:p>
        </w:tc>
        <w:tc>
          <w:tcPr>
            <w:tcW w:w="440" w:type="dxa"/>
            <w:vAlign w:val="bottom"/>
            <w:gridSpan w:val="4"/>
          </w:tcPr>
          <w:p>
            <w:pPr>
              <w:jc w:val="right"/>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PROPOSAL EIGHT: APPROVAL OF A SHARE REPURCHASE PROGRAM WHEREBY ALTISOURCE IS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30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AUTHORIZED, FOR A PERIOD OF FIVE YEARS, TO REPURCHASE UP TO TWENTY-FIVE</w:t>
              </w:r>
            </w:hyperlink>
          </w:p>
        </w:tc>
        <w:tc>
          <w:tcPr>
            <w:tcW w:w="720" w:type="dxa"/>
            <w:vAlign w:val="bottom"/>
            <w:tcBorders>
              <w:top w:val="single" w:sz="8" w:color="0000EE"/>
            </w:tcBorders>
            <w:gridSpan w:val="7"/>
          </w:tcPr>
          <w:p>
            <w:pPr>
              <w:spacing w:after="0"/>
              <w:rPr>
                <w:sz w:val="15"/>
                <w:szCs w:val="15"/>
                <w:color w:val="auto"/>
              </w:rPr>
            </w:pPr>
          </w:p>
        </w:tc>
        <w:tc>
          <w:tcPr>
            <w:tcW w:w="20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8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PERCENT (25%) OF THE OUTSTANDING SHARES OF ITS COMMON STOCK</w:t>
              </w:r>
            </w:hyperlink>
          </w:p>
        </w:tc>
        <w:tc>
          <w:tcPr>
            <w:tcW w:w="1940" w:type="dxa"/>
            <w:vAlign w:val="bottom"/>
            <w:gridSpan w:val="16"/>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99"/>
        </w:trPr>
        <w:tc>
          <w:tcPr>
            <w:tcW w:w="1140" w:type="dxa"/>
            <w:vAlign w:val="bottom"/>
          </w:tcPr>
          <w:p>
            <w:pPr>
              <w:spacing w:after="0"/>
              <w:rPr>
                <w:sz w:val="24"/>
                <w:szCs w:val="24"/>
                <w:color w:val="auto"/>
              </w:rPr>
            </w:pPr>
          </w:p>
        </w:tc>
        <w:tc>
          <w:tcPr>
            <w:tcW w:w="582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BUSINESS RELATIONSHIPS AND RELATED PERSON TRANSACTIONS</w:t>
              </w:r>
            </w:hyperlink>
          </w:p>
        </w:tc>
        <w:tc>
          <w:tcPr>
            <w:tcW w:w="2580" w:type="dxa"/>
            <w:vAlign w:val="bottom"/>
            <w:gridSpan w:val="17"/>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45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SHAREHOLDER PROPOSALS AND ANNUAL REPORTS</w:t>
              </w:r>
            </w:hyperlink>
          </w:p>
        </w:tc>
        <w:tc>
          <w:tcPr>
            <w:tcW w:w="3840" w:type="dxa"/>
            <w:vAlign w:val="bottom"/>
            <w:gridSpan w:val="19"/>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MATTERS</w:t>
              </w:r>
            </w:hyperlink>
          </w:p>
        </w:tc>
        <w:tc>
          <w:tcPr>
            <w:tcW w:w="44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7"/>
        </w:trPr>
        <w:tc>
          <w:tcPr>
            <w:tcW w:w="1160" w:type="dxa"/>
            <w:vAlign w:val="bottom"/>
            <w:gridSpan w:val="2"/>
          </w:tcPr>
          <w:p>
            <w:pPr>
              <w:spacing w:after="0"/>
              <w:rPr>
                <w:sz w:val="24"/>
                <w:szCs w:val="24"/>
                <w:color w:val="auto"/>
              </w:rPr>
            </w:pPr>
          </w:p>
        </w:tc>
        <w:tc>
          <w:tcPr>
            <w:tcW w:w="1480" w:type="dxa"/>
            <w:vAlign w:val="bottom"/>
            <w:tcBorders>
              <w:top w:val="single" w:sz="8" w:color="0000EE"/>
            </w:tcBorders>
            <w:gridSpan w:val="3"/>
          </w:tcPr>
          <w:p>
            <w:pPr>
              <w:spacing w:after="0"/>
              <w:rPr>
                <w:sz w:val="24"/>
                <w:szCs w:val="24"/>
                <w:color w:val="auto"/>
              </w:rPr>
            </w:pPr>
          </w:p>
        </w:tc>
        <w:tc>
          <w:tcPr>
            <w:tcW w:w="3380" w:type="dxa"/>
            <w:vAlign w:val="bottom"/>
            <w:gridSpan w:val="14"/>
          </w:tcPr>
          <w:p>
            <w:pPr>
              <w:jc w:val="right"/>
              <w:ind w:right="26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5"/>
        </w:trPr>
        <w:tc>
          <w:tcPr>
            <w:tcW w:w="11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40, avenue Monterey</w:t>
      </w:r>
    </w:p>
    <w:p>
      <w:pPr>
        <w:jc w:val="center"/>
        <w:ind w:right="-59"/>
        <w:spacing w:after="0" w:line="234" w:lineRule="auto"/>
        <w:rPr>
          <w:sz w:val="20"/>
          <w:szCs w:val="20"/>
          <w:color w:val="auto"/>
        </w:rPr>
      </w:pPr>
      <w:r>
        <w:rPr>
          <w:rFonts w:ascii="Arial" w:cs="Arial" w:eastAsia="Arial" w:hAnsi="Arial"/>
          <w:sz w:val="18"/>
          <w:szCs w:val="18"/>
          <w:b w:val="1"/>
          <w:bCs w:val="1"/>
          <w:color w:val="auto"/>
        </w:rPr>
        <w:t>L-2163 Luxembourg City</w:t>
      </w:r>
    </w:p>
    <w:p>
      <w:pPr>
        <w:jc w:val="center"/>
        <w:ind w:right="-59"/>
        <w:spacing w:after="0" w:line="235" w:lineRule="auto"/>
        <w:rPr>
          <w:sz w:val="20"/>
          <w:szCs w:val="20"/>
          <w:color w:val="auto"/>
        </w:rPr>
      </w:pPr>
      <w:r>
        <w:rPr>
          <w:rFonts w:ascii="Arial" w:cs="Arial" w:eastAsia="Arial" w:hAnsi="Arial"/>
          <w:sz w:val="18"/>
          <w:szCs w:val="18"/>
          <w:b w:val="1"/>
          <w:bCs w:val="1"/>
          <w:color w:val="auto"/>
        </w:rPr>
        <w:t>Grand Duchy of Luxembourg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R.C.S. Luxembourg B 72 391</w:t>
      </w:r>
    </w:p>
    <w:p>
      <w:pPr>
        <w:spacing w:after="0" w:line="39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NOTICE OF ANNUAL MEETING OF SHAREHOLDERS AND</w:t>
      </w:r>
    </w:p>
    <w:p>
      <w:pPr>
        <w:spacing w:after="0" w:line="1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ind w:left="2300"/>
        <w:spacing w:after="0"/>
        <w:rPr>
          <w:sz w:val="20"/>
          <w:szCs w:val="20"/>
          <w:color w:val="auto"/>
        </w:rPr>
      </w:pPr>
      <w:r>
        <w:rPr>
          <w:rFonts w:ascii="Arial" w:cs="Arial" w:eastAsia="Arial" w:hAnsi="Arial"/>
          <w:sz w:val="18"/>
          <w:szCs w:val="18"/>
          <w:b w:val="1"/>
          <w:bCs w:val="1"/>
          <w:color w:val="auto"/>
        </w:rPr>
        <w:t>FOR THE ANNUAL MEETING OF SHAREHOLDERS TO BE HELD ON MAY 18,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00" w:lineRule="exact"/>
        <w:rPr>
          <w:sz w:val="20"/>
          <w:szCs w:val="20"/>
          <w:color w:val="auto"/>
        </w:rPr>
      </w:pPr>
    </w:p>
    <w:p>
      <w:pPr>
        <w:spacing w:after="0" w:line="206"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18, 2016</w:t>
      </w:r>
    </w:p>
    <w:p>
      <w:pPr>
        <w:spacing w:after="0" w:line="212"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207"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40, avenue Monterey</w:t>
      </w:r>
    </w:p>
    <w:p>
      <w:pPr>
        <w:ind w:left="1380"/>
        <w:spacing w:after="0" w:line="234" w:lineRule="auto"/>
        <w:rPr>
          <w:sz w:val="20"/>
          <w:szCs w:val="20"/>
          <w:color w:val="auto"/>
        </w:rPr>
      </w:pPr>
      <w:r>
        <w:rPr>
          <w:rFonts w:ascii="Arial" w:cs="Arial" w:eastAsia="Arial" w:hAnsi="Arial"/>
          <w:sz w:val="18"/>
          <w:szCs w:val="18"/>
          <w:color w:val="auto"/>
        </w:rPr>
        <w:t>L-2163 Luxembourg City</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Grand Duchy of Luxembourg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3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elect four (4) Directors for a one (1) year term and/or until their successors are duly elected and qualified;</w:t>
      </w:r>
    </w:p>
    <w:p>
      <w:pPr>
        <w:spacing w:after="0" w:line="211" w:lineRule="exact"/>
        <w:rPr>
          <w:rFonts w:ascii="Arial" w:cs="Arial" w:eastAsia="Arial" w:hAnsi="Arial"/>
          <w:sz w:val="18"/>
          <w:szCs w:val="18"/>
          <w:color w:val="auto"/>
        </w:rPr>
      </w:pPr>
    </w:p>
    <w:p>
      <w:pPr>
        <w:ind w:left="1080" w:right="40" w:hanging="532"/>
        <w:spacing w:after="0" w:line="23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the appointment of Mayer Hoffman McCann P.C. to be our independent registered certified public accounting firm for the year ending December 31, 2016 and Atwell S.à r.l. to be our certified auditor for all statutory accounts as required by Luxembourg law for the same period;</w:t>
      </w:r>
    </w:p>
    <w:p>
      <w:pPr>
        <w:spacing w:after="0" w:line="194" w:lineRule="exact"/>
        <w:rPr>
          <w:rFonts w:ascii="Arial" w:cs="Arial" w:eastAsia="Arial" w:hAnsi="Arial"/>
          <w:sz w:val="18"/>
          <w:szCs w:val="18"/>
          <w:color w:val="auto"/>
        </w:rPr>
      </w:pPr>
    </w:p>
    <w:p>
      <w:pPr>
        <w:ind w:left="1080" w:hanging="532"/>
        <w:spacing w:after="0" w:line="273"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Altisource Portfolio Solutions S.A.'s annual accounts prepared in accordance with accounting principles generally accepted in Luxembourg ("Luxembourg GAAP") for the year ended December 31, 2015 (the "Luxembourg Annual Accounts") and its consolidated financial statements prepared in accordance with accounting principles generally accepted in the United States ("U.S. GAAP") including a footnote reconciliation of equity and net income to International Financial Reporting Standards ("IFRS") as of and for the year ended December 31, 2015 (the "Consolidated Accounts") (together, the "Luxembourg Statutory Accounts");</w:t>
      </w:r>
    </w:p>
    <w:p>
      <w:pPr>
        <w:spacing w:after="0" w:line="169"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receive and approve the Directors' reports for the Luxembourg Statutory Accounts;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2015;</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discharge each of the current and past Directors of Altisource Portfolio Solutions S.A. for the performance of their mandate during the year ended December 31, 2015;</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changes to non-management Directors' compensation;</w:t>
      </w:r>
    </w:p>
    <w:p>
      <w:pPr>
        <w:spacing w:after="0" w:line="211" w:lineRule="exact"/>
        <w:rPr>
          <w:rFonts w:ascii="Arial" w:cs="Arial" w:eastAsia="Arial" w:hAnsi="Arial"/>
          <w:sz w:val="18"/>
          <w:szCs w:val="18"/>
          <w:color w:val="auto"/>
        </w:rPr>
      </w:pPr>
    </w:p>
    <w:p>
      <w:pPr>
        <w:ind w:left="1080" w:hanging="532"/>
        <w:spacing w:after="0" w:line="23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a share repurchase program whereby Altisource Portfolio Solutions S.A. is authorized, for a period of five years, to repurchase up to twenty-five percent (25%) of the outstanding shares of its common stock (as of the close of business on the date of shareholder approval) at a minimum price of one dollar ($1.00) per share and a maximum price of five hundred dollars ($500.00) per share; and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or postponement of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47" w:lineRule="exact"/>
        <w:rPr>
          <w:sz w:val="20"/>
          <w:szCs w:val="20"/>
          <w:color w:val="auto"/>
        </w:rPr>
      </w:pPr>
    </w:p>
    <w:p>
      <w:pPr>
        <w:ind w:left="1080" w:right="10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has fixed March 21, 2016 as the record date for the determination of shareholders entitled to notice of and to vote at the Annual Meeting of Shareholders (the "Annual Meeting").</w:t>
      </w:r>
    </w:p>
    <w:p>
      <w:pPr>
        <w:spacing w:after="0" w:line="195" w:lineRule="exact"/>
        <w:rPr>
          <w:rFonts w:ascii="Arial" w:cs="Arial" w:eastAsia="Arial" w:hAnsi="Arial"/>
          <w:sz w:val="18"/>
          <w:szCs w:val="18"/>
          <w:color w:val="auto"/>
        </w:rPr>
      </w:pPr>
    </w:p>
    <w:p>
      <w:pPr>
        <w:ind w:left="1080" w:hanging="532"/>
        <w:spacing w:after="0" w:line="23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Only shareholders of record at the close of business on that date will be entitled to vote at the Annual Meeting. In order to be admitted to the meeting, each shareholder will be asked to present proof of share ownership as of the record date and valid government-issued photo identification. If your shares are held in "street name" by a bank, brokerage firm or other nominee, you will also need to obtain a "legal proxy" from the holder of record to vote at the meeting. </w:t>
      </w:r>
      <w:r>
        <w:rPr>
          <w:rFonts w:ascii="Arial" w:cs="Arial" w:eastAsia="Arial" w:hAnsi="Arial"/>
          <w:sz w:val="18"/>
          <w:szCs w:val="18"/>
          <w:b w:val="1"/>
          <w:bCs w:val="1"/>
          <w:color w:val="auto"/>
        </w:rPr>
        <w:t>Even if you plan to attend the Annual Meeting,</w:t>
      </w:r>
      <w:r>
        <w:rPr>
          <w:rFonts w:ascii="Arial" w:cs="Arial" w:eastAsia="Arial" w:hAnsi="Arial"/>
          <w:sz w:val="18"/>
          <w:szCs w:val="18"/>
          <w:color w:val="auto"/>
        </w:rPr>
        <w:t xml:space="preserve"> </w:t>
      </w:r>
      <w:r>
        <w:rPr>
          <w:rFonts w:ascii="Arial" w:cs="Arial" w:eastAsia="Arial" w:hAnsi="Arial"/>
          <w:sz w:val="18"/>
          <w:szCs w:val="18"/>
          <w:b w:val="1"/>
          <w:bCs w:val="1"/>
          <w:color w:val="auto"/>
        </w:rPr>
        <w:t>we recommend that you vote your shares in advance of the meeting in one of the manners described in the accompanying materials so that your vote will be counted if you later are unable to attend the Annual Meeting.</w:t>
      </w:r>
    </w:p>
    <w:p>
      <w:pPr>
        <w:spacing w:after="0" w:line="196" w:lineRule="exact"/>
        <w:rPr>
          <w:rFonts w:ascii="Arial" w:cs="Arial" w:eastAsia="Arial" w:hAnsi="Arial"/>
          <w:sz w:val="18"/>
          <w:szCs w:val="18"/>
          <w:color w:val="auto"/>
        </w:rPr>
      </w:pPr>
    </w:p>
    <w:p>
      <w:pPr>
        <w:ind w:left="1080" w:right="100" w:hanging="532"/>
        <w:spacing w:after="0" w:line="23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proxy statement for our Annual Meeting and our annual report to shareholders on Form 10-K for the year ended December 31, 2015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Additionally, and in accordance with Securities and Exchange Commission ("SEC") rules, you may access our proxy statement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 website that does not identify or track visitors of the site, by entering the Control Number found on your Notice of Access Card or on your proxy card in the space provided.</w:t>
      </w:r>
    </w:p>
    <w:p>
      <w:pPr>
        <w:spacing w:after="0" w:line="211" w:lineRule="exact"/>
        <w:rPr>
          <w:rFonts w:ascii="Arial" w:cs="Arial" w:eastAsia="Arial" w:hAnsi="Arial"/>
          <w:sz w:val="18"/>
          <w:szCs w:val="18"/>
          <w:color w:val="auto"/>
        </w:rPr>
      </w:pPr>
    </w:p>
    <w:p>
      <w:pPr>
        <w:ind w:left="1080" w:right="80" w:hanging="532"/>
        <w:spacing w:after="0" w:line="23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Luxembourg Statutory Accounts, the Directors' reports for the Luxembourg Statutory Accounts and the statutory auditor's report on the Consolidated Accounts will be available for inspection from April 17, 2016 until the conclusion of the Annual Meeting of Shareholders at Altisource Portfolio Solutions S.A.'s registered office. Copies are also available to any shareholder who requests them by writing to our Corporate Secretary at Altisource Portfolio Solutions S.A., 40, avenue Monterey, L-2163 Luxembourg City, Grand Duchy of Luxembourg after April 17,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2847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rPr>
          <w:sz w:val="20"/>
          <w:szCs w:val="20"/>
          <w:color w:val="auto"/>
        </w:rPr>
      </w:pPr>
      <w:r>
        <w:rPr>
          <w:rFonts w:ascii="Arial" w:cs="Arial" w:eastAsia="Arial" w:hAnsi="Arial"/>
          <w:sz w:val="18"/>
          <w:szCs w:val="18"/>
          <w:color w:val="auto"/>
        </w:rPr>
        <w:t>Corporate Secretary</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2016</w:t>
      </w:r>
    </w:p>
    <w:p>
      <w:pPr>
        <w:spacing w:after="0"/>
        <w:rPr>
          <w:sz w:val="20"/>
          <w:szCs w:val="20"/>
          <w:color w:val="auto"/>
        </w:rPr>
      </w:pPr>
      <w:r>
        <w:rPr>
          <w:rFonts w:ascii="Arial" w:cs="Arial" w:eastAsia="Arial" w:hAnsi="Arial"/>
          <w:sz w:val="18"/>
          <w:szCs w:val="18"/>
          <w:color w:val="auto"/>
        </w:rPr>
        <w:t>Luxembourg City, Grand Duchy of Luxembourg</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ALTISOURCE PORTFOLIO SOLUTIONS S.A.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MEETING OF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made this proxy statement available to you on or about April [ ], 2016 as a holder of common stock of Altisource Portfolio Solutions S.A. ("Altisource" or the "Company") because our Board of Directors is soliciting your proxy to be used at our 2016 Annual Meeting of Shareholders (the "Annual Meeting") and at any adjournment or postponement thereof. The Annual Meeting will be held at our registered office located at 40, avenue Monterey, L-2163 Luxembourg City, Grand Duchy of Luxembourg on Wednesday, May 18, 2016, at 9:00 a.m., Central European Time for the purposes listed in the Notice of Annual Meeting of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34"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You are entitled to vote at the Annual Meeting, or any adjournment or postponement thereof, if you are a holder of our common stock at the close of business on March 21, 2016. At the close of business on March 21, 2016, there were 18,802,623 shares of common stock issued, outstanding and able to be voted and no other class of equity securities outstanding. Each share of our common stock is entitled to one (1) vote at the Annual Meeting on all matters properly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you will receive a proxy card that will tell you how to vote your shares via the Internet, telephone or mail.</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the shares you own are held in "street name" by a bank, brokerage firm or other nominee, you will need to follow the directions such nominee provides you. As in prior years, we have elected to provide access to our proxy materials over the Internet by mailing a Notice of Internet Availability of Proxy Materials (the "Notice") to the majority of our shareholders. Shareholders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211"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Shareholders may also vote in person at the Annual Meeting. If you are a shareholder of record, you must present valid government-issued photo identification to vote at the meeting. If your shares are held by a bank, brokerage firm or other nominee, you will also need to obtain a "legal proxy" from the holder of record to vote at the meeting. For specific instructions, please refer to the instruction on the proxy card or Notice you receive.</w:t>
      </w:r>
    </w:p>
    <w:p>
      <w:pPr>
        <w:spacing w:after="0" w:line="156"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b w:val="1"/>
          <w:bCs w:val="1"/>
          <w:color w:val="auto"/>
        </w:rPr>
        <w:t>Even if you plan to attend the Annual Meeting, we recommend that you vote your shares in advance of the meeting in one of the manners described above so that your vote will be counted if you later are unable to attend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will be voted for each of the nominees for Director; for the approval of the appointment of Mayer Hoffman McCann P.C. to be our independent registered certified public accounting firm for the year ending December 31, 2016 and Atwell S.à r.l. to be our certified auditor for all statutory accounts as required by Luxembourg law for the same period; for the approval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Altisource Portfolio Solutions S.A.'s annual accounts prepared in accordance with Luxembourg GAAP for the year ended December 31, 2015 (the "Luxembourg Annual Accounts") and its consolidated financial statements prepared in accordance with U.S. GAAP including a footnote reconciliation of equity and net income to IFRS as of and for the year ended December 31, 2015 (the "Consolidated Accounts") (together, the "Luxembourg Statutory Accounts"); for the receipt and approval of the Directors' reports for the Luxembourg Statutory Accounts; for the allocation of the results in the Luxembourg Annual Accounts for the year ended December 31, 2015; for the approval of the discharge of each of the current and past Directors of Altisource Portfolio Solutions S.A. for the performance of their mandate during the year ended December 31, 2015; for the approval of changes to non-management Directors' compensation; for the approval of a share repurchase program whereby Altisource Portfolio Solutions S.A. is authorized, for a period of five years, to repurchase up to twenty-five percent (25%) of the outstanding shares of its common stock (as of the close of business on the date of shareholder approval) at a minimum price of one dollar ($1.00) per share and a maximum price of five hundred dollars ($500.00) per share; and, with regard to any other business that properly comes before the meeting, in the discretion of the persons appointed as proxies.</w:t>
      </w:r>
    </w:p>
    <w:p>
      <w:pPr>
        <w:spacing w:after="0" w:line="215"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If the shares you own are held by a bank, brokerage firm or other nominee and you do not provide specific voting instructions to such nominee on a non-routine item as defined by the New York Stock Exchange, the nominee will be prohibited from voting your shares. This is commonly referred to as a "broker non-vote."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Your proxy may be used only at the Annual Meeting and any adjournment or postponement of this meeting and will not be used for any other meeting. You have the power to revoke your proxy at any time before it is exercised by:</w:t>
      </w:r>
    </w:p>
    <w:p>
      <w:pPr>
        <w:spacing w:after="0" w:line="20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filing written notice with our Corporate Secretary at the following address:</w:t>
      </w:r>
    </w:p>
    <w:p>
      <w:pPr>
        <w:spacing w:after="0" w:line="2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Kevin J. Wilcox, Corporate Secretary</w:t>
      </w:r>
    </w:p>
    <w:p>
      <w:pPr>
        <w:ind w:left="1620"/>
        <w:spacing w:after="0" w:line="234" w:lineRule="auto"/>
        <w:rPr>
          <w:sz w:val="20"/>
          <w:szCs w:val="20"/>
          <w:color w:val="auto"/>
        </w:rPr>
      </w:pPr>
      <w:r>
        <w:rPr>
          <w:rFonts w:ascii="Arial" w:cs="Arial" w:eastAsia="Arial" w:hAnsi="Arial"/>
          <w:sz w:val="18"/>
          <w:szCs w:val="18"/>
          <w:color w:val="auto"/>
        </w:rPr>
        <w:t>Altisource Portfolio Solutions S.A.</w:t>
      </w:r>
    </w:p>
    <w:p>
      <w:pPr>
        <w:ind w:left="1620"/>
        <w:spacing w:after="0" w:line="235" w:lineRule="auto"/>
        <w:rPr>
          <w:sz w:val="20"/>
          <w:szCs w:val="20"/>
          <w:color w:val="auto"/>
        </w:rPr>
      </w:pPr>
      <w:r>
        <w:rPr>
          <w:rFonts w:ascii="Arial" w:cs="Arial" w:eastAsia="Arial" w:hAnsi="Arial"/>
          <w:sz w:val="18"/>
          <w:szCs w:val="18"/>
          <w:color w:val="auto"/>
        </w:rPr>
        <w:t>40, avenue Monterey</w:t>
      </w:r>
    </w:p>
    <w:p>
      <w:pPr>
        <w:ind w:left="1620"/>
        <w:spacing w:after="0" w:line="235" w:lineRule="auto"/>
        <w:rPr>
          <w:sz w:val="20"/>
          <w:szCs w:val="20"/>
          <w:color w:val="auto"/>
        </w:rPr>
      </w:pPr>
      <w:r>
        <w:rPr>
          <w:rFonts w:ascii="Arial" w:cs="Arial" w:eastAsia="Arial" w:hAnsi="Arial"/>
          <w:sz w:val="18"/>
          <w:szCs w:val="18"/>
          <w:color w:val="auto"/>
        </w:rPr>
        <w:t>L-2163 Luxembourg City</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Grand Duchy of Luxembourg</w:t>
      </w:r>
    </w:p>
    <w:p>
      <w:pPr>
        <w:spacing w:after="0" w:line="225"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appearing at the Annual Meeting and giving the Corporate Secretary notice of your intention to vote in person.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34" w:lineRule="exact"/>
        <w:rPr>
          <w:sz w:val="20"/>
          <w:szCs w:val="20"/>
          <w:color w:val="auto"/>
        </w:rPr>
      </w:pPr>
    </w:p>
    <w:p>
      <w:pPr>
        <w:jc w:val="both"/>
        <w:ind w:right="300"/>
        <w:spacing w:after="0" w:line="263" w:lineRule="auto"/>
        <w:rPr>
          <w:sz w:val="20"/>
          <w:szCs w:val="20"/>
          <w:color w:val="auto"/>
        </w:rPr>
      </w:pPr>
      <w:r>
        <w:rPr>
          <w:rFonts w:ascii="Arial" w:cs="Arial" w:eastAsia="Arial" w:hAnsi="Arial"/>
          <w:sz w:val="16"/>
          <w:szCs w:val="16"/>
          <w:color w:val="auto"/>
        </w:rPr>
        <w:t>Although Luxembourg law does not require a quorum for the conduct of business at annual meetings of shareholders, in accordance with the requirements of the NASDAQ listing standards, the Company has established that the presence at the Annual Meeting of holders of thirty-three</w:t>
      </w:r>
    </w:p>
    <w:p>
      <w:pPr>
        <w:spacing w:after="0" w:line="1" w:lineRule="exact"/>
        <w:rPr>
          <w:sz w:val="20"/>
          <w:szCs w:val="20"/>
          <w:color w:val="auto"/>
        </w:rPr>
      </w:pPr>
    </w:p>
    <w:p>
      <w:pPr>
        <w:ind w:right="40"/>
        <w:spacing w:after="0" w:line="210" w:lineRule="auto"/>
        <w:rPr>
          <w:sz w:val="20"/>
          <w:szCs w:val="20"/>
          <w:color w:val="auto"/>
        </w:rPr>
      </w:pPr>
      <w:r>
        <w:rPr>
          <w:rFonts w:ascii="Arial" w:cs="Arial" w:eastAsia="Arial" w:hAnsi="Arial"/>
          <w:sz w:val="17"/>
          <w:szCs w:val="17"/>
          <w:color w:val="auto"/>
        </w:rPr>
        <w:t>and one-third percent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votes of our common stock entitled to be cast, represented in person or by proxy, will constitute a quorum for the transaction of business at the Annual Meeting. Abstentions and broker "non-votes" will be treated as present for purposes of a quorum.</w:t>
      </w:r>
    </w:p>
    <w:p>
      <w:pPr>
        <w:spacing w:after="0" w:line="209"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Pursuant to Luxembourg law and assuming a quorum, the four (4) nominees for Director will be elected as Directors of Altisource at the Annual Meeting so long as the votes cast in favor of each such person exceed the votes cast against such person. You may vote in favor of, against or abstain from voting for one (1) or more nominees for Director.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proposals will be approved if the votes cast in favor of the action exceed the votes cast against the action: the proposal to approve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Mayer Hoffman McCann P.C. to be our independent registered certified public accounting firm for the year ending</w:t>
      </w:r>
    </w:p>
    <w:p>
      <w:pPr>
        <w:spacing w:after="0"/>
        <w:rPr>
          <w:sz w:val="20"/>
          <w:szCs w:val="20"/>
          <w:color w:val="auto"/>
        </w:rPr>
      </w:pPr>
      <w:r>
        <w:rPr>
          <w:rFonts w:ascii="Arial" w:cs="Arial" w:eastAsia="Arial" w:hAnsi="Arial"/>
          <w:sz w:val="16"/>
          <w:szCs w:val="16"/>
          <w:color w:val="auto"/>
        </w:rPr>
        <w:t>December 31, 2016 and Atwell S.à r.l. to be our certified auditor for all statutory accounts as required by Luxembourg law for the same period;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proposal to approve Altisource Portfolio Solutions S.A.'s annual accounts prepared in accordance with Luxembourg GAAP for the year ended</w:t>
      </w:r>
    </w:p>
    <w:p>
      <w:pPr>
        <w:spacing w:after="0" w:line="234" w:lineRule="auto"/>
        <w:rPr>
          <w:sz w:val="20"/>
          <w:szCs w:val="20"/>
          <w:color w:val="auto"/>
        </w:rPr>
      </w:pPr>
      <w:r>
        <w:rPr>
          <w:rFonts w:ascii="Arial" w:cs="Arial" w:eastAsia="Arial" w:hAnsi="Arial"/>
          <w:sz w:val="18"/>
          <w:szCs w:val="18"/>
          <w:color w:val="auto"/>
        </w:rPr>
        <w:t>December 31, 2015 (the "Luxembourg Annual Accounts") and its consolidated financial statements prepared in accordance with U.S. GAAP</w:t>
      </w:r>
    </w:p>
    <w:p>
      <w:pPr>
        <w:spacing w:after="0" w:line="235" w:lineRule="auto"/>
        <w:rPr>
          <w:sz w:val="20"/>
          <w:szCs w:val="20"/>
          <w:color w:val="auto"/>
        </w:rPr>
      </w:pPr>
      <w:r>
        <w:rPr>
          <w:rFonts w:ascii="Arial" w:cs="Arial" w:eastAsia="Arial" w:hAnsi="Arial"/>
          <w:sz w:val="18"/>
          <w:szCs w:val="18"/>
          <w:color w:val="auto"/>
        </w:rPr>
        <w:t>including a footnote reconciliation of equity and net income to IFRS as of and for the year ended December 31, 2015 (the "Consolidated</w:t>
      </w:r>
    </w:p>
    <w:p>
      <w:pPr>
        <w:spacing w:after="0" w:line="235" w:lineRule="auto"/>
        <w:rPr>
          <w:sz w:val="20"/>
          <w:szCs w:val="20"/>
          <w:color w:val="auto"/>
        </w:rPr>
      </w:pPr>
      <w:r>
        <w:rPr>
          <w:rFonts w:ascii="Arial" w:cs="Arial" w:eastAsia="Arial" w:hAnsi="Arial"/>
          <w:sz w:val="18"/>
          <w:szCs w:val="18"/>
          <w:color w:val="auto"/>
        </w:rPr>
        <w:t>Accounts") (together, the "Luxembourg Statutory Accounts"); the proposal to receive and approve the Directors' reports for the Luxembourg</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Statutory Accounts; the proposal to allocate the results in the Luxembourg Annual Accounts for the year ended December 31, 2015; the proposal to approve the discharge of each of the current and past Directors of Altisource Portfolio Solutions S.A. for the performance of their mandate during the year ended December 31, 2015; the proposal to approve changes to non-management Directors' compensation; the proposal to approve a share repurchase program whereby Altisource Portfolio Solutions S.A. is authorized, for a period of five years, to repurchase up to twenty-five percent (25%) of the outstanding shares of its common stock (as of the close of business on the date of shareholder approval) at a minimum price of one dollar ($1.00) per share and a maximum price of five hundred dollars ($500.00) per share; and any other matter properly submitted for your consideration at the Annual Meeting (other than the election of Directors).</w:t>
      </w:r>
    </w:p>
    <w:p>
      <w:pPr>
        <w:spacing w:after="0" w:line="20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Abstentions will not be counted in determining the votes cast in connection with the foregoing matters. Banks, brokerage firms or other nominees may not vote on behalf of their clients in connection with the proposal regarding the election of Directors, so any broker "non-votes" will not be counted in determining the votes cast in connection with this proposal.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Board of Directors.</w:t>
      </w:r>
    </w:p>
    <w:p>
      <w:pPr>
        <w:spacing w:after="0" w:line="209"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We are proposing the four (4) nominees listed below for election as Directors at the Annual Meeting for a one (1) year term and/or until their successors are duly elected and qualified.</w:t>
      </w:r>
    </w:p>
    <w:p>
      <w:pPr>
        <w:spacing w:after="0" w:line="20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All nominees currently serve as our Directors. There are no arrangements or understandings between any nominee and any other person for selection as a nominee.</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any nominee is unable or unwilling to stand for election at the time of the Annual Meeting, the person or persons appointed as proxies may nominate and vote for a replacement nominee or nominees recommended by our Board of Directors or they may vote for the balance of the named nominees without nomination of a replacement, and the Board may be reduced accordingly (provided that there shall be no less than three (3) nominees). At this time, our Board of Directors knows of no reason why any of the nominees would not be able or willing to serve as Director if elected.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nominees for Director: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Nomination/</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Age</w:t>
            </w:r>
            <w:r>
              <w:rPr>
                <w:rFonts w:ascii="Arial" w:cs="Arial" w:eastAsia="Arial" w:hAnsi="Arial"/>
                <w:sz w:val="29"/>
                <w:szCs w:val="29"/>
                <w:b w:val="1"/>
                <w:bCs w:val="1"/>
                <w:color w:val="auto"/>
                <w:w w:val="86"/>
                <w:vertAlign w:val="superscript"/>
              </w:rPr>
              <w:t>(1)</w:t>
            </w:r>
          </w:p>
        </w:tc>
        <w:tc>
          <w:tcPr>
            <w:tcW w:w="1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Executive</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Audit</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2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Compliance</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Governance</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Since</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(2)</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51</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ind w:left="380"/>
              <w:spacing w:after="0" w:line="236"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3"/>
                <w:szCs w:val="13"/>
                <w:color w:val="auto"/>
              </w:rPr>
              <w:t>(3)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540"/>
              <w:spacing w:after="0" w:line="236"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3"/>
                <w:szCs w:val="13"/>
                <w:color w:val="auto"/>
              </w:rPr>
              <w:t>(4)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X</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William B. Shepro</w:t>
            </w:r>
          </w:p>
        </w:tc>
        <w:tc>
          <w:tcPr>
            <w:tcW w:w="620" w:type="dxa"/>
            <w:vAlign w:val="bottom"/>
            <w:gridSpan w:val="2"/>
          </w:tcPr>
          <w:p>
            <w:pPr>
              <w:jc w:val="center"/>
              <w:ind w:left="32"/>
              <w:spacing w:after="0" w:line="202" w:lineRule="exact"/>
              <w:rPr>
                <w:sz w:val="20"/>
                <w:szCs w:val="20"/>
                <w:color w:val="auto"/>
              </w:rPr>
            </w:pPr>
            <w:r>
              <w:rPr>
                <w:rFonts w:ascii="Arial" w:cs="Arial" w:eastAsia="Arial" w:hAnsi="Arial"/>
                <w:sz w:val="18"/>
                <w:szCs w:val="18"/>
                <w:color w:val="auto"/>
                <w:w w:val="89"/>
              </w:rPr>
              <w:t>47</w:t>
            </w:r>
          </w:p>
        </w:tc>
        <w:tc>
          <w:tcPr>
            <w:tcW w:w="800" w:type="dxa"/>
            <w:vAlign w:val="bottom"/>
            <w:gridSpan w:val="2"/>
          </w:tcPr>
          <w:p>
            <w:pPr>
              <w:jc w:val="center"/>
              <w:ind w:left="12"/>
              <w:spacing w:after="0" w:line="202" w:lineRule="exact"/>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55</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40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(4)</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X</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449"/>
        </w:trPr>
        <w:tc>
          <w:tcPr>
            <w:tcW w:w="4160" w:type="dxa"/>
            <w:vAlign w:val="bottom"/>
          </w:tcPr>
          <w:p>
            <w:pPr>
              <w:spacing w:after="0"/>
              <w:rPr>
                <w:sz w:val="20"/>
                <w:szCs w:val="20"/>
                <w:color w:val="auto"/>
              </w:rPr>
            </w:pPr>
            <w:r>
              <w:rPr>
                <w:rFonts w:ascii="Arial" w:cs="Arial" w:eastAsia="Arial" w:hAnsi="Arial"/>
                <w:sz w:val="18"/>
                <w:szCs w:val="18"/>
                <w:color w:val="auto"/>
              </w:rPr>
              <w:t>W. Michael Linn</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67</w:t>
            </w:r>
          </w:p>
        </w:tc>
        <w:tc>
          <w:tcPr>
            <w:tcW w:w="80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35"/>
                <w:szCs w:val="35"/>
                <w:color w:val="auto"/>
                <w:vertAlign w:val="subscript"/>
              </w:rPr>
              <w:t>X</w:t>
            </w:r>
            <w:r>
              <w:rPr>
                <w:rFonts w:ascii="Arial" w:cs="Arial" w:eastAsia="Arial" w:hAnsi="Arial"/>
                <w:sz w:val="15"/>
                <w:szCs w:val="15"/>
                <w:color w:val="auto"/>
              </w:rPr>
              <w:t>(4)</w:t>
            </w:r>
          </w:p>
        </w:tc>
        <w:tc>
          <w:tcPr>
            <w:tcW w:w="120" w:type="dxa"/>
            <w:vAlign w:val="bottom"/>
          </w:tcPr>
          <w:p>
            <w:pPr>
              <w:spacing w:after="0"/>
              <w:rPr>
                <w:sz w:val="24"/>
                <w:szCs w:val="24"/>
                <w:color w:val="auto"/>
              </w:rPr>
            </w:pPr>
          </w:p>
        </w:tc>
        <w:tc>
          <w:tcPr>
            <w:tcW w:w="1240" w:type="dxa"/>
            <w:vAlign w:val="bottom"/>
            <w:gridSpan w:val="2"/>
          </w:tcPr>
          <w:p>
            <w:pPr>
              <w:ind w:left="440"/>
              <w:spacing w:after="0"/>
              <w:rPr>
                <w:sz w:val="20"/>
                <w:szCs w:val="20"/>
                <w:color w:val="auto"/>
              </w:rPr>
            </w:pPr>
            <w:r>
              <w:rPr>
                <w:rFonts w:ascii="Arial" w:cs="Arial" w:eastAsia="Arial" w:hAnsi="Arial"/>
                <w:sz w:val="35"/>
                <w:szCs w:val="35"/>
                <w:color w:val="auto"/>
                <w:vertAlign w:val="subscript"/>
              </w:rPr>
              <w:t>X</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ind w:left="540" w:hanging="532"/>
        <w:spacing w:after="0" w:line="187" w:lineRule="auto"/>
        <w:tabs>
          <w:tab w:leader="none" w:pos="54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As of March 21, 2016</w:t>
      </w:r>
    </w:p>
    <w:p>
      <w:pPr>
        <w:spacing w:after="0" w:line="5" w:lineRule="exact"/>
        <w:rPr>
          <w:rFonts w:ascii="Arial" w:cs="Arial" w:eastAsia="Arial" w:hAnsi="Arial"/>
          <w:sz w:val="25"/>
          <w:szCs w:val="25"/>
          <w:color w:val="auto"/>
          <w:vertAlign w:val="superscript"/>
        </w:rPr>
      </w:pPr>
    </w:p>
    <w:p>
      <w:pPr>
        <w:ind w:left="540" w:hanging="532"/>
        <w:spacing w:after="0" w:line="183" w:lineRule="auto"/>
        <w:tabs>
          <w:tab w:leader="none" w:pos="54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Appointed Chairman of the Board of Directors on January 16, 2015</w:t>
      </w:r>
    </w:p>
    <w:p>
      <w:pPr>
        <w:ind w:left="540" w:hanging="532"/>
        <w:spacing w:after="0" w:line="183" w:lineRule="auto"/>
        <w:tabs>
          <w:tab w:leader="none" w:pos="54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Appointed Chairman of the Executive Committee on February 9, 2015</w:t>
      </w:r>
    </w:p>
    <w:p>
      <w:pPr>
        <w:ind w:left="540" w:hanging="532"/>
        <w:spacing w:after="0" w:line="183" w:lineRule="auto"/>
        <w:tabs>
          <w:tab w:leader="none" w:pos="5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Committee Chairperson for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for the last five (5) years and additional biographical information of each Director of Altisource are set forth below.</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All of our Directors bring to Altisource's Board of Directors a wealth of executive leadership experience derived from their service as executives of large corporations.</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Timo Vättö. </w:t>
      </w:r>
      <w:r>
        <w:rPr>
          <w:rFonts w:ascii="Arial" w:cs="Arial" w:eastAsia="Arial" w:hAnsi="Arial"/>
          <w:sz w:val="18"/>
          <w:szCs w:val="18"/>
          <w:color w:val="auto"/>
        </w:rPr>
        <w:t>Mr. Vättö was appointed to the Board of Directors of Altisource in August 2009, as Lead Independent Director in May 2014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of the Board of Directors in January 2015. He is the founder and owner of Cundo Management AG, a provider of independent corporate advisory services to corporations, institutional investors and private families, which was founded in November 2008. Mr. Vättö serves as Chairman of the Board of Directors of Evalueserve, a privately held global specialist in knowledge processes, which provides research and analytics services for leading-edge companies worldwide. He also serves on the Board of Directors of IHAG Holding AG, an independent, family-owned group of companies that holds a diversified portfolio of majority and minority shareholdings in a variety of sectors and as Chairman of the Board of Directors of KYC Exchange Net AG, a privately held company that provides the financial services industry with a secure platform for Know Your Customer and Customer Due Diligence purposes. Previously, Mr. Vättö was employed by Citigroup in Switzerland and the U.S. for almost twenty years in senior client coverage and business head roles within Corporate and Investment Banking, most recently as Head of Swiss Investment Banking. In addition, from 2004 to 2009, Mr. Vättö served as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132715</wp:posOffset>
            </wp:positionV>
            <wp:extent cx="93472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720" cy="222885"/>
                    </a:xfrm>
                    <a:prstGeom prst="rect">
                      <a:avLst/>
                    </a:prstGeom>
                    <a:noFill/>
                  </pic:spPr>
                </pic:pic>
              </a:graphicData>
            </a:graphic>
          </wp:anchor>
        </w:drawing>
      </w:r>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4"/>
          <w:szCs w:val="14"/>
          <w:color w:val="82C243"/>
        </w:rPr>
        <w:t>PROPOSAL ONE</w:t>
      </w:r>
    </w:p>
    <w:p>
      <w:pPr>
        <w:spacing w:after="0" w:line="297"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member of the Board of Directors, including as a member of the Audit Committee, of Citibank (Switzerland) AG, part of Citigroup's Wealth Management Business. Mr. Vättö holds a Master of Science in Economics and Business Administration from the University of Tampere (Finland).</w:t>
      </w:r>
    </w:p>
    <w:p>
      <w:pPr>
        <w:spacing w:after="0" w:line="16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Mr. Vättö's experience with Cundo Management AG and Citigroup makes him financially literate and qualifies him as a financial expert as required pursuant to NASDAQ listing standards and SEC rules, and his knowledge of the financial services industry provides the Board of Directors with subject matter expertise. Through his six plus years of service on our Board of Directors, Mr. Vättö has developed a thorough understanding of our business and industry.</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the 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of its subsidiaries. He holds a Bachelor of Science in Business from Skidmore College and a Juris Doctorate from the Florida State University College of Law.</w:t>
      </w:r>
    </w:p>
    <w:p>
      <w:pPr>
        <w:spacing w:after="0" w:line="18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Directors of Altisource in July 2009. He also serves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Bank 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Sberbank (Switzerland) Ltd, based in Zurich, Switzerland, a subsidiary of Sberbank Russia, offering trade finance and corporate banking services.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w:t>
      </w:r>
    </w:p>
    <w:p>
      <w:pPr>
        <w:spacing w:after="0" w:line="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20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 and SEC rules. Through his six plus years of service on our Board of Directors, Mr. Müller-Ineichen has developed a thorough understanding of our business and industry.</w:t>
      </w:r>
    </w:p>
    <w:p>
      <w:pPr>
        <w:spacing w:after="0" w:line="18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 xml:space="preserve">W. Michael Linn. </w:t>
      </w:r>
      <w:r>
        <w:rPr>
          <w:rFonts w:ascii="Arial" w:cs="Arial" w:eastAsia="Arial" w:hAnsi="Arial"/>
          <w:sz w:val="16"/>
          <w:szCs w:val="16"/>
          <w:color w:val="auto"/>
        </w:rPr>
        <w:t>Mr. Linn was appointed to the Board of Directors of Altisource in May 2011. Mr. Linn also serves as Chairman of Panua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in Hope, a charitable organization dedicated to demonstrating a cost effective methodology for eliminating multigenerational poverty. In addition, Mr. Linn is a private investor in energy-related industries. Mr. Linn previously served as President and Chief Executive Officer of</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132715</wp:posOffset>
            </wp:positionV>
            <wp:extent cx="9347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222885"/>
                    </a:xfrm>
                    <a:prstGeom prst="rect">
                      <a:avLst/>
                    </a:prstGeom>
                    <a:noFill/>
                  </pic:spPr>
                </pic:pic>
              </a:graphicData>
            </a:graphic>
          </wp:anchor>
        </w:drawing>
      </w:r>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4"/>
          <w:szCs w:val="14"/>
          <w:color w:val="82C243"/>
        </w:rPr>
        <w:t>PROPOSAL ONE</w:t>
      </w:r>
    </w:p>
    <w:p>
      <w:pPr>
        <w:spacing w:after="0" w:line="2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Greensleeves, LLC from January 2010 to April 2014. He also served on the Board of Directors of National Lime and Stone from 1994 through 2012. Mr. Linn served on the Board of Directors of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required by NASDAQ listing standards and SEC rules. Through his four plus years of service on our Board of Directors, Mr. Linn has developed a thorough understanding of our business and industry.</w:t>
      </w:r>
    </w:p>
    <w:p>
      <w:pPr>
        <w:spacing w:after="0" w:line="38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of Directors plays an active role in overseeing the Company's business and representing the interests of the shareholders. Directors are expected to attend all meetings of the Board of Directors, the meetings of committees on which they serve and the Annual Meeting. Directors are also consulted for advice and counsel between formal meetings.</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Board of Directors held eleven (11) meetings and took action pursuant to written consent three (3) times in 2015. Each incumbent Director attended 100% of these meetings as well as the meetings held by all committees of our Board of Directors on which they served during the period. Although we do not have a formal policy regarding Director attendance at the Annual Meeting, our Directors are expected to attend. All of the incumbent members of our Board of Directors attended our 2015 Annual Meeting of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NASDAQ listing standards and applicable law.</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of Directors annually reviews the direct and indirect relationships that we have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Vättö, Linn and Müller-Ineichen are independent Directors.</w:t>
      </w:r>
    </w:p>
    <w:p>
      <w:pPr>
        <w:spacing w:after="0" w:line="208"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Our Corporate Governance Guidelines also provide that the Board shall annually elect a lead independent director unless the Chairperson of the Board is an independent director, in which case the Chairperson of the Board will perform the functions of a lead independent director. Mr. Vättö, an independent director, is the Chairman and, as a result, we do not currently have a lead independent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met in executive session of the Board of Directors without management four (4) times in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w:t>
      </w:r>
    </w:p>
    <w:p>
      <w:pPr>
        <w:spacing w:after="0" w:line="209"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The Chief Executive Officer is responsible for our day-to-day operations and for formulating and executing our long-term strategy in collaboration with the Board of Directors. The Chairman of the Board leads the Board and oversees meetings of the Board of Directors, ensures the delivery of information necessary for the Board's informed decision-making and, together with the Board, approves the strategy for Altisource.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A brief description of these committees is provided below.</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oversees the relationship with our independent registered certified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provides 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with "Related Persons," as defined by SEC Regulation S-K, in accordance with the Company's Related Persons Transactions Policy;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w:t>
      </w:r>
    </w:p>
    <w:p>
      <w:pPr>
        <w:spacing w:after="0" w:line="21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members of the Audit Committee for 2015 were Messrs. Müller-Ineichen,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2016. The Audit Committee met fourteen (14) times and took action pursuant to written consent one (1) time in 2015. The Audit Committee met in executive session with both the Company's internal and external auditors five (5) times, solely with the Company's internal auditors three (3) times and solely with the Company's external auditors five (5) times in 2015.</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 oversees our compensation and employee benefit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practices. Our Compensation Committee also evaluates and makes recommendations to our Board of Directors for human resource and compensation matters relating to our executive officers. The Compensation Committee reviews with the Chief Executive Officer and the Chief Administration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is responsible for reviewing Director compensation and recommending changes, subject to the approval of our shareholders. The Compensation Committee also has the power to review our other compensation plans, including the goals and objectives thereof and to recommend changes to these plans to our Board of Directors. The Compensation Committee has the authority to administer awards under the 2009 Equity Incentive Plan.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The Compensation Committee may request that any of our Directors, officers, employees or other persons attend its meetings to provide advice, counsel or pertinent information as the Committee requests.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9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To obtain information on current market compensation practices, in 2015 and early 2016, the Compensation Committee engaged its independent compensation consultant, Exequity LLP ("Exequity"), to review how our pay levels compared to those of our peer companies. Exequity worked with the Human Resources function, and received input where appropriate from management, to help identify the competitive positioning of our pay practices. Please see "Role of Compensation Consultant" in our Compensation Discussion and Analysis for further information.</w:t>
      </w:r>
    </w:p>
    <w:p>
      <w:pPr>
        <w:spacing w:after="0" w:line="183"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The members of the Compensation Committee for 2015 were Messrs. Vättö, Linn and Müller-Ineichen, with Mr. Vättö serving as the Chairman. 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w:t>
      </w:r>
    </w:p>
    <w:p>
      <w:pPr>
        <w:spacing w:after="0" w:line="21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2016. The Compensation Committee met eight (8) times and took action pursuant to written consent two (2) times in 2015.</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executives play a key role in the design and implementation of our executive compensation programs. Our Chief Executive Officer and Chief Administration Officer generally attend Compensation Committee meetings, except that such executive officers are not present during any voting or deliberations on their own compensation. These executives actively participate in performance reviews and compensation discussions for our executive officers, including making recommendations to the Compensation Committee as to the amount and form of compensation (other than their own). The Compensation Committee exercises its discretion in accepting, rejecting and/or modifying any such executive compensation recommendations; however, executive compensation matters are generally delegated to the Chief Executive Officer and/or the Chief Administration Officer for development and execution. Please see "Equity Incentive Plan" for information relating to the authority delegated by the Compensation Committee to these executive officers to approve stock option awards within certain limits.</w:t>
      </w:r>
    </w:p>
    <w:p>
      <w:pPr>
        <w:spacing w:after="0" w:line="18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 xml:space="preserve">Compensation Committee Interlocks and Insider Participation. </w:t>
      </w:r>
      <w:r>
        <w:rPr>
          <w:rFonts w:ascii="Arial" w:cs="Arial" w:eastAsia="Arial" w:hAnsi="Arial"/>
          <w:sz w:val="18"/>
          <w:szCs w:val="18"/>
          <w:color w:val="auto"/>
        </w:rPr>
        <w:t>No member of the Compensation Committee was at any time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fiscal year, or at any other time, an officer or employee of the Company, and no member had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2015 fiscal year.</w:t>
      </w:r>
    </w:p>
    <w:p>
      <w:pPr>
        <w:spacing w:after="0" w:line="19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Compliance Committee. </w:t>
      </w:r>
      <w:r>
        <w:rPr>
          <w:rFonts w:ascii="Arial" w:cs="Arial" w:eastAsia="Arial" w:hAnsi="Arial"/>
          <w:sz w:val="18"/>
          <w:szCs w:val="18"/>
          <w:color w:val="auto"/>
        </w:rPr>
        <w:t>The Compliance Committee of our Board of Directors provides assistance to the Board with the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and evaluation of the Company's compliance function, including its compliance management system, and the Company's compliance with applicable laws, rules and regulations governing its businesses. The Compliance Committee performs such other duties as may be prescribed pursuant to its charter.</w:t>
      </w:r>
    </w:p>
    <w:p>
      <w:pPr>
        <w:spacing w:after="0" w:line="20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members of the Compliance Committee for 2015 were Messrs. Linn, Müller-Ineichen and Vättö, with Mr. Linn serving as the Chairman. Each member of the Compliance Committee is independent as defined by NASDAQ listing standards.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Compliance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Committee in February 2016. The Compliance Committee met four (4) times in 2015.</w:t>
      </w:r>
    </w:p>
    <w:p>
      <w:pPr>
        <w:spacing w:after="0" w:line="19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of individuals 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w:t>
      </w:r>
    </w:p>
    <w:p>
      <w:pPr>
        <w:spacing w:after="0" w:line="20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members of the Nomination/Governance Committee during 2015 were Messrs. Linn, Müller-Ineichen and Vättö, with Mr. Linn serving as the Chairman.</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2016. The Nomination/Governance Committee met four (4) times in 2015.</w:t>
      </w:r>
    </w:p>
    <w:p>
      <w:pPr>
        <w:spacing w:after="0" w:line="210"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evaluating all nominees for Director,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 as such factors as knowledge, experience, skills, expertise, diversity and the interplay of the candidate's experience with the background of other members of our Board of Directors.</w:t>
      </w:r>
    </w:p>
    <w:p>
      <w:pPr>
        <w:spacing w:after="0" w:line="2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Pursuant to the Company's Diversity Policy, the Nomination/Governance Committee will consider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Directors should have individual backgrounds that, when combined, provide a portfolio of experience and knowledge that will serve the Company's governance and strategic needs. The Nomination/Governance Committee periodically reviews the skills and attributes of Directors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national origin, or any other personal attribute that does not speak to a person's ability to serve as a Director.</w:t>
      </w:r>
    </w:p>
    <w:p>
      <w:pPr>
        <w:spacing w:after="0" w:line="215"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including the current composition of the Board of Directors, the balance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of management and independent Directors, the need for Audit Committee expertise and the evaluation of other prospective nominees.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interview prospective nominees. After completing this evaluation and interview, the Nomination/ 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we have not received any shareholder proposals relating to Director nominees for the Annual Meeting.</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which a shareholder desires to have included in our proxy materials for consideration at our 2017 Annual Meeting of Shareholders must be received at our registered office no later than December [ ], 2016. Please see the "Shareholder Proposal" section for additional information regarding shareholder proposals.</w:t>
      </w:r>
    </w:p>
    <w:p>
      <w:pPr>
        <w:spacing w:after="0" w:line="1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is generally responsible to act on behalf of our Board of Directors during the intervals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meetings of our Board and to otherwise assist the Board in fulfilling its oversight responsibilities within the limits set forth in its charter. The members of the Executive Committee during 2015 were Messrs. Vättö and Shepro, with Mr. Vättö serving as the Chairman.</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February 2016. The Executive Committee took one (1) formal action in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reviews of the Board of Directors.</w:t>
      </w:r>
    </w:p>
    <w:p>
      <w:pPr>
        <w:spacing w:after="0" w:line="18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Our Nomination/Governance Committee reviews our Corporate Governance Guidelines at least once a year and, if necessary, recommends changes to our Board of Directors. Our Corporate Governance Guidelines were last reviewed by the Nomination/Governance Committee and the Board of Directors in February 2016. Our Corporate Governance Guidelines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are available to any shareholder who requests a copy by writing to our Corporate Secretary at Altisource Portfolio Solutions S.A., 40, avenue Monterey, L-2163 Luxembourg City, Grand Duchy of Luxembourg.</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If you desire to contact our Board of Directors or any individual Director regarding Altisource, you may do so by mail addressed to our Corporate Secretary at Altisource Portfolio Solutions S.A., 40, avenue Monterey, L-2163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officers and employees as required by SEC rules or NASDAQ listing standards. We have also adopted a Code of Ethics for Senior Financial Officers that applies to our Chief Executive Officer, Chief Financial Officer and Chief Accounting Officer. Any waivers from the Code of Business Conduct and Ethics for Directors or Named Executive Officers (as defined in "Compensation Discussion and Analysis") or from the Code of Ethics for Senior Financial Officers must be approved by our Board of Directors or the Audit Committee and will be subsequently disclosed when required by SEC rules or NASDAQ listing standards. The Code of Business Conduct and Ethics and the Code of Ethics for Senior Financial Officers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2016. Any amendments to the Code of Business Conduct and Ethics or the Code of Ethics for Senior Financial Officers, as well as any waivers that are required to be disclosed under SEC rules or NASDAQ listing standards, will be posted on our website (www.altisource.com) or otherwise disclosed in accordance with such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each of its committees play a key role in the oversight of the Company's risk management.</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Through regular reviews with management and internal and external auditors, the Board of Directors and the Audit Committee monitor Altisource's credit risk, liquidity risk, operational risk, legal and regulatory risk and enterprise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21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role of the Board of Directors in risk oversight is consistent with the Company's leadership structure, with the Chief Executive Officer and other members of management having responsibility for assessing and managing the Company's risk exposure, and our Chairman, the Board of Directors and its committees providing oversight in connection with these efforts.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 COMPENSATION</w:t>
      </w:r>
    </w:p>
    <w:p>
      <w:pPr>
        <w:spacing w:after="0" w:line="234"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The following table discloses compensation earned by each non-management member of our Board of Directors who served as a Director during 2015. Our management Director does not receive an annual retainer or any other compensation for his service on the Board of Directors.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b w:val="1"/>
                <w:bCs w:val="1"/>
                <w:color w:val="auto"/>
              </w:rPr>
              <w:t>Fees Earned</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29"/>
                <w:szCs w:val="29"/>
                <w:b w:val="1"/>
                <w:bCs w:val="1"/>
                <w:color w:val="auto"/>
                <w:vertAlign w:val="superscript"/>
              </w:rPr>
              <w:t>(2)</w:t>
            </w:r>
          </w:p>
        </w:tc>
        <w:tc>
          <w:tcPr>
            <w:tcW w:w="22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620"/>
              <w:spacing w:after="0"/>
              <w:rPr>
                <w:sz w:val="20"/>
                <w:szCs w:val="20"/>
                <w:color w:val="auto"/>
              </w:rPr>
            </w:pPr>
            <w:r>
              <w:rPr>
                <w:rFonts w:ascii="Arial" w:cs="Arial" w:eastAsia="Arial" w:hAnsi="Arial"/>
                <w:sz w:val="18"/>
                <w:szCs w:val="18"/>
                <w:b w:val="1"/>
                <w:bCs w:val="1"/>
                <w:color w:val="auto"/>
              </w:rPr>
              <w:t>Name</w:t>
            </w:r>
          </w:p>
        </w:tc>
        <w:tc>
          <w:tcPr>
            <w:tcW w:w="170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Arial" w:cs="Arial" w:eastAsia="Arial" w:hAnsi="Arial"/>
                <w:sz w:val="17"/>
                <w:szCs w:val="17"/>
                <w:b w:val="1"/>
                <w:bCs w:val="1"/>
                <w:color w:val="auto"/>
                <w:w w:val="98"/>
              </w:rPr>
              <w:t>or Paid in Cash</w:t>
            </w:r>
            <w:r>
              <w:rPr>
                <w:rFonts w:ascii="Arial" w:cs="Arial" w:eastAsia="Arial" w:hAnsi="Arial"/>
                <w:sz w:val="28"/>
                <w:szCs w:val="28"/>
                <w:b w:val="1"/>
                <w:bCs w:val="1"/>
                <w:color w:val="auto"/>
                <w:w w:val="98"/>
                <w:vertAlign w:val="superscript"/>
              </w:rPr>
              <w:t>(1)</w:t>
            </w:r>
          </w:p>
        </w:tc>
        <w:tc>
          <w:tcPr>
            <w:tcW w:w="1560" w:type="dxa"/>
            <w:vAlign w:val="bottom"/>
            <w:gridSpan w:val="2"/>
            <w:vMerge w:val="continue"/>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Compensation</w:t>
            </w:r>
          </w:p>
        </w:tc>
        <w:tc>
          <w:tcPr>
            <w:tcW w:w="22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6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(3)</w:t>
            </w:r>
          </w:p>
        </w:tc>
        <w:tc>
          <w:tcPr>
            <w:tcW w:w="1700" w:type="dxa"/>
            <w:vAlign w:val="bottom"/>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$150,473</w:t>
            </w:r>
          </w:p>
        </w:tc>
        <w:tc>
          <w:tcPr>
            <w:tcW w:w="220" w:type="dxa"/>
            <w:vAlign w:val="bottom"/>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$16,737</w:t>
            </w:r>
          </w:p>
        </w:tc>
        <w:tc>
          <w:tcPr>
            <w:tcW w:w="220" w:type="dxa"/>
            <w:vAlign w:val="bottom"/>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$167,210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gridSpan w:val="2"/>
          </w:tcPr>
          <w:p>
            <w:pPr>
              <w:spacing w:after="0" w:line="202" w:lineRule="exact"/>
              <w:rPr>
                <w:sz w:val="20"/>
                <w:szCs w:val="20"/>
                <w:color w:val="auto"/>
              </w:rPr>
            </w:pPr>
            <w:r>
              <w:rPr>
                <w:rFonts w:ascii="Arial" w:cs="Arial" w:eastAsia="Arial" w:hAnsi="Arial"/>
                <w:sz w:val="18"/>
                <w:szCs w:val="18"/>
                <w:color w:val="auto"/>
              </w:rPr>
              <w:t>W. Michael Linn</w:t>
            </w:r>
          </w:p>
        </w:tc>
        <w:tc>
          <w:tcPr>
            <w:tcW w:w="3160" w:type="dxa"/>
            <w:vAlign w:val="bottom"/>
            <w:gridSpan w:val="2"/>
          </w:tcPr>
          <w:p>
            <w:pPr>
              <w:jc w:val="right"/>
              <w:ind w:right="233"/>
              <w:spacing w:after="0" w:line="202" w:lineRule="exact"/>
              <w:rPr>
                <w:sz w:val="20"/>
                <w:szCs w:val="20"/>
                <w:color w:val="auto"/>
              </w:rPr>
            </w:pPr>
            <w:r>
              <w:rPr>
                <w:rFonts w:ascii="Arial" w:cs="Arial" w:eastAsia="Arial" w:hAnsi="Arial"/>
                <w:sz w:val="18"/>
                <w:szCs w:val="18"/>
                <w:color w:val="auto"/>
              </w:rPr>
              <w:t>$81,500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$16,737</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$98,237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Roland Müller-</w:t>
            </w:r>
          </w:p>
        </w:tc>
        <w:tc>
          <w:tcPr>
            <w:tcW w:w="17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760" w:type="dxa"/>
            <w:vAlign w:val="bottom"/>
            <w:shd w:val="clear" w:color="auto" w:fill="CCEEFF"/>
          </w:tcPr>
          <w:p>
            <w:pPr>
              <w:ind w:left="160"/>
              <w:spacing w:after="0" w:line="240" w:lineRule="exact"/>
              <w:rPr>
                <w:sz w:val="20"/>
                <w:szCs w:val="20"/>
                <w:color w:val="auto"/>
              </w:rPr>
            </w:pPr>
            <w:r>
              <w:rPr>
                <w:rFonts w:ascii="Arial" w:cs="Arial" w:eastAsia="Arial" w:hAnsi="Arial"/>
                <w:sz w:val="17"/>
                <w:szCs w:val="17"/>
                <w:color w:val="auto"/>
              </w:rPr>
              <w:t>Ineichen</w:t>
            </w:r>
            <w:r>
              <w:rPr>
                <w:rFonts w:ascii="Arial" w:cs="Arial" w:eastAsia="Arial" w:hAnsi="Arial"/>
                <w:sz w:val="27"/>
                <w:szCs w:val="27"/>
                <w:color w:val="auto"/>
                <w:vertAlign w:val="superscript"/>
              </w:rPr>
              <w:t>(4)</w:t>
            </w:r>
          </w:p>
        </w:tc>
        <w:tc>
          <w:tcPr>
            <w:tcW w:w="316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$75,126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$91,863</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80" w:type="dxa"/>
            <w:vAlign w:val="bottom"/>
            <w:gridSpan w:val="2"/>
          </w:tcPr>
          <w:p>
            <w:pPr>
              <w:spacing w:after="0"/>
              <w:rPr>
                <w:sz w:val="20"/>
                <w:szCs w:val="20"/>
                <w:color w:val="auto"/>
              </w:rPr>
            </w:pPr>
            <w:r>
              <w:rPr>
                <w:rFonts w:ascii="Arial" w:cs="Arial" w:eastAsia="Arial" w:hAnsi="Arial"/>
                <w:sz w:val="18"/>
                <w:szCs w:val="18"/>
                <w:color w:val="auto"/>
              </w:rPr>
              <w:t>William C. Erbey</w:t>
            </w:r>
            <w:r>
              <w:rPr>
                <w:rFonts w:ascii="Arial" w:cs="Arial" w:eastAsia="Arial" w:hAnsi="Arial"/>
                <w:sz w:val="29"/>
                <w:szCs w:val="29"/>
                <w:color w:val="auto"/>
                <w:vertAlign w:val="superscript"/>
              </w:rPr>
              <w:t>(5)</w:t>
            </w:r>
          </w:p>
        </w:tc>
        <w:tc>
          <w:tcPr>
            <w:tcW w:w="3160" w:type="dxa"/>
            <w:vAlign w:val="bottom"/>
            <w:gridSpan w:val="2"/>
          </w:tcPr>
          <w:p>
            <w:pPr>
              <w:jc w:val="right"/>
              <w:ind w:right="233"/>
              <w:spacing w:after="0"/>
              <w:rPr>
                <w:sz w:val="20"/>
                <w:szCs w:val="20"/>
                <w:color w:val="auto"/>
              </w:rPr>
            </w:pPr>
            <w:r>
              <w:rPr>
                <w:rFonts w:ascii="Arial" w:cs="Arial" w:eastAsia="Arial" w:hAnsi="Arial"/>
                <w:sz w:val="18"/>
                <w:szCs w:val="18"/>
                <w:color w:val="auto"/>
              </w:rPr>
              <w:t>$4,358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$16,737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$21,095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680" w:hanging="531"/>
        <w:spacing w:after="0" w:line="214" w:lineRule="auto"/>
        <w:tabs>
          <w:tab w:leader="none" w:pos="16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This table shows the amounts earned for service in 2015, including amounts earned for service in the fourth quarter of 2015 and paid in the first quarter of 2016. Please see the "Cash Compensation" section below for additional information regarding cash compensation paid to our non-management Directors.</w:t>
      </w:r>
    </w:p>
    <w:p>
      <w:pPr>
        <w:spacing w:after="0" w:line="211" w:lineRule="exact"/>
        <w:rPr>
          <w:rFonts w:ascii="Arial" w:cs="Arial" w:eastAsia="Arial" w:hAnsi="Arial"/>
          <w:sz w:val="29"/>
          <w:szCs w:val="29"/>
          <w:color w:val="auto"/>
          <w:vertAlign w:val="superscript"/>
        </w:rPr>
      </w:pPr>
    </w:p>
    <w:p>
      <w:pPr>
        <w:ind w:left="1680" w:right="180" w:hanging="531"/>
        <w:spacing w:after="0" w:line="226" w:lineRule="auto"/>
        <w:tabs>
          <w:tab w:leader="none" w:pos="168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Non-management Directors who attended at least 75% of all meetings of the Board of Directors and committees on which they served for the 2014 to 2015 service year were entitled to receive an award of Altisource common stock at the end of such service year. The number of shares of common stock was determined by dividing $60,000 by the average of the high and low prices of the common stock as reported on the NASDAQ Global Select Market on the first day of the service year. This table shows the aggregate award date fair value of such shares on the date received in May 2015. Please see the "Equity Compensation" section below for additional information regarding non-management Director stock awards.</w:t>
      </w:r>
    </w:p>
    <w:p>
      <w:pPr>
        <w:spacing w:after="0" w:line="194" w:lineRule="exact"/>
        <w:rPr>
          <w:rFonts w:ascii="Arial" w:cs="Arial" w:eastAsia="Arial" w:hAnsi="Arial"/>
          <w:sz w:val="28"/>
          <w:szCs w:val="28"/>
          <w:color w:val="auto"/>
          <w:vertAlign w:val="superscript"/>
        </w:rPr>
      </w:pPr>
    </w:p>
    <w:p>
      <w:pPr>
        <w:ind w:left="1680" w:right="20" w:hanging="531"/>
        <w:spacing w:after="0" w:line="214" w:lineRule="auto"/>
        <w:tabs>
          <w:tab w:leader="none" w:pos="16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Mr. Vättö's cash compensation was paid in Swiss francs for the first quarter and in euros for the second, third and fourth quarters, using the following exchange rates that were in effect on the 15th day of the last month of the quarter for which payment was made: for the first quarter, an exchange rate of 1.00447 Swiss francs to the U.S. dollar; for the second quarter, an exchange rate of 0.88693 euros to the U.S. dollar; for the third quarter, an exchange rate of 0.88263 euros to the U.S. dollar and for the fourth quarter, an exchange rate of 0.91048 euros to the U.S. dollar. The amounts reported in the table above are the U.S. dollar amounts prior to conversion to euros or Swiss francs.</w:t>
      </w:r>
    </w:p>
    <w:p>
      <w:pPr>
        <w:spacing w:after="0" w:line="197" w:lineRule="exact"/>
        <w:rPr>
          <w:rFonts w:ascii="Arial" w:cs="Arial" w:eastAsia="Arial" w:hAnsi="Arial"/>
          <w:sz w:val="29"/>
          <w:szCs w:val="29"/>
          <w:color w:val="auto"/>
          <w:vertAlign w:val="superscript"/>
        </w:rPr>
      </w:pPr>
    </w:p>
    <w:p>
      <w:pPr>
        <w:ind w:left="1680" w:right="20" w:hanging="531"/>
        <w:spacing w:after="0" w:line="217" w:lineRule="auto"/>
        <w:tabs>
          <w:tab w:leader="none" w:pos="16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Mr. Müller-Ineichen's cash compensation was paid in Swiss francs for the first and third quarters and in euros for the second quarter, using the following exchange rates that were in effect on the 15th day of the last month of the quarter for which payment was made: for the first quarter, an exchange rate of 1.00447 Swiss francs to the U.S. dollar; for the second quarter, an exchange rate of 0.88693 euros to the U.S. dollar and for the third quarter, an exchange rate of 0.96896 Swiss francs to the U.S. dollar. The amounts reported in the table above for the first, second and third quarters are the U.S. dollar amounts prior to conversion to euros or Swiss francs. Mr. Müller-Ineichen's cash compensation was paid in U.S. dollars in the fourth quarter.</w:t>
      </w:r>
    </w:p>
    <w:p>
      <w:pPr>
        <w:spacing w:after="0" w:line="209" w:lineRule="exact"/>
        <w:rPr>
          <w:rFonts w:ascii="Arial" w:cs="Arial" w:eastAsia="Arial" w:hAnsi="Arial"/>
          <w:sz w:val="29"/>
          <w:szCs w:val="29"/>
          <w:color w:val="auto"/>
          <w:vertAlign w:val="superscript"/>
        </w:rPr>
      </w:pPr>
    </w:p>
    <w:p>
      <w:pPr>
        <w:ind w:left="1680" w:right="260" w:hanging="531"/>
        <w:spacing w:after="0" w:line="183" w:lineRule="auto"/>
        <w:tabs>
          <w:tab w:leader="none" w:pos="16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Mr. Erbey stepped down from the Board of Directors effective January 16, 2015. These amounts reflect compensation for service through that date.</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132715</wp:posOffset>
            </wp:positionV>
            <wp:extent cx="200660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06600" cy="222885"/>
                    </a:xfrm>
                    <a:prstGeom prst="rect">
                      <a:avLst/>
                    </a:prstGeom>
                    <a:noFill/>
                  </pic:spPr>
                </pic:pic>
              </a:graphicData>
            </a:graphic>
          </wp:anchor>
        </w:drawing>
      </w:r>
    </w:p>
    <w:p>
      <w:pPr>
        <w:spacing w:after="0" w:line="301" w:lineRule="exact"/>
        <w:rPr>
          <w:sz w:val="20"/>
          <w:szCs w:val="20"/>
          <w:color w:val="auto"/>
        </w:rPr>
      </w:pPr>
    </w:p>
    <w:p>
      <w:pPr>
        <w:ind w:left="8420"/>
        <w:spacing w:after="0"/>
        <w:rPr>
          <w:sz w:val="20"/>
          <w:szCs w:val="20"/>
          <w:color w:val="auto"/>
        </w:rPr>
      </w:pPr>
      <w:r>
        <w:rPr>
          <w:rFonts w:ascii="Arial" w:cs="Arial" w:eastAsia="Arial" w:hAnsi="Arial"/>
          <w:sz w:val="14"/>
          <w:szCs w:val="14"/>
          <w:color w:val="82C243"/>
        </w:rPr>
        <w:t>BOARD OF DIRECTORS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34"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color w:val="auto"/>
        </w:rPr>
        <w:t>For the 2014 to 2015 service year, we provided the following annual cash compensation to our non-management Directors in quarterly installments:</w:t>
      </w:r>
    </w:p>
    <w:p>
      <w:pPr>
        <w:spacing w:after="0" w:line="20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$50,000 to the Chairman of the Board of Directors;</w:t>
      </w:r>
    </w:p>
    <w:p>
      <w:pPr>
        <w:ind w:left="1080" w:hanging="532"/>
        <w:spacing w:after="0" w:line="23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$15,000 to the Audit Committee chairperson;</w:t>
      </w: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$12,500 to the Compliance Committee chairperson;</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$7,500 to each of the Compensation Committee and Nomination/Governance Committee chairpersons; and</w:t>
      </w: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$7,500 to all Audit Committee members (other than the Audit Committee chairperson).</w:t>
      </w:r>
    </w:p>
    <w:p>
      <w:pPr>
        <w:spacing w:after="0" w:line="21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For the 2015 to 2016 service year, we are providing the following annual cash compensation to our non-management Directors in quarterly installments:</w:t>
      </w:r>
    </w:p>
    <w:p>
      <w:pPr>
        <w:spacing w:after="0" w:line="20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$85,000 to the Chairman of the Board of Directors;</w:t>
      </w:r>
    </w:p>
    <w:p>
      <w:pPr>
        <w:ind w:left="1080" w:hanging="532"/>
        <w:spacing w:after="0" w:line="23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$20,000 to the Audit Committee chairperson;</w:t>
      </w: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$12,500 to the Compliance Committee chairperson;</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$7,500 to each of the Compensation Committee and Nomination/Governance Committee chairpersons;</w:t>
      </w:r>
    </w:p>
    <w:p>
      <w:pPr>
        <w:ind w:left="1080" w:hanging="532"/>
        <w:spacing w:after="0" w:line="23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$7,500 to all Audit Committee members (other than the Audit Committee chairperson);</w:t>
      </w: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$5,000 to all Compliance Committee members (other than the Compliance Committee chairperson); and</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$15,000 to the Executive Committee chairperson.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Non-management Directors who attend at least 75% of all meetings of the Board of Directors and committees on which they serve are entitled to receive an award of shares of our common stock at the end of the applicable service year. We determine the number of shares to be granted by dividing the dollar amount of the award approved by our shareholders (the "Award Value") by the average of the high and low prices of our common stock as reported on the NASDAQ Global Select Market on the first day of the service year.</w:t>
      </w:r>
    </w:p>
    <w:p>
      <w:pPr>
        <w:spacing w:after="0" w:line="20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For the 2014 to 2015 service year, our non-management Directors attended 100% of all meetings of the Board of Directors and committees on which they served and received an award of 584 shares of our common stock at the end of the service year based on an Award Value of $60,000 divided by the average of the high and low prices of the common stock as reported on the NASDAQ Global Select Market on the first day of the service year.</w:t>
      </w:r>
    </w:p>
    <w:p>
      <w:pPr>
        <w:spacing w:after="0" w:line="20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For the 2015 to 2016 service year, non-management Directors who attend at least 75% of all meetings of the Board of Directors and committees on which they serve will receive 2,596 shares of our common stock at the end of the service year, based on an Award Value of $75,000 divided by the average of the high and low prices of the common stock as reported on the NASDAQ Global Select Market on the first day of the service year.</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beginning at our 2011 Annual Meeting of Shareholders, new non-management directors elected at the Annual Meeting of Shareholders are granted a one (1) time award of 500 shares of common stock, which vests in four (4) equal installments on each anniversary of the award date. This one-time award was also provided to all non-management Directors elected at the 2011 Annual Meeting of Shareholders.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132715</wp:posOffset>
            </wp:positionV>
            <wp:extent cx="200660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06600" cy="222885"/>
                    </a:xfrm>
                    <a:prstGeom prst="rect">
                      <a:avLst/>
                    </a:prstGeom>
                    <a:noFill/>
                  </pic:spPr>
                </pic:pic>
              </a:graphicData>
            </a:graphic>
          </wp:anchor>
        </w:drawing>
      </w:r>
    </w:p>
    <w:p>
      <w:pPr>
        <w:spacing w:after="0" w:line="301" w:lineRule="exact"/>
        <w:rPr>
          <w:sz w:val="20"/>
          <w:szCs w:val="20"/>
          <w:color w:val="auto"/>
        </w:rPr>
      </w:pPr>
    </w:p>
    <w:p>
      <w:pPr>
        <w:ind w:left="8420"/>
        <w:spacing w:after="0"/>
        <w:rPr>
          <w:sz w:val="20"/>
          <w:szCs w:val="20"/>
          <w:color w:val="auto"/>
        </w:rPr>
      </w:pPr>
      <w:r>
        <w:rPr>
          <w:rFonts w:ascii="Arial" w:cs="Arial" w:eastAsia="Arial" w:hAnsi="Arial"/>
          <w:sz w:val="14"/>
          <w:szCs w:val="14"/>
          <w:color w:val="82C243"/>
        </w:rPr>
        <w:t>BOARD OF DIRECTORS COMPENSATION</w:t>
      </w:r>
    </w:p>
    <w:p>
      <w:pPr>
        <w:spacing w:after="0" w:line="2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Accordingly, at our 2011 Annual Meeting, each of our current non-management Directors received a one (1) time award of 500 shares of common stock, which completed vesting in May 2015.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"Proposal for Change in Compensation" section below for information regarding proposed changes in Director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for Change in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Under Luxembourg law, Directors' compensation is subject to review and adjustment by the shareholders.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believes it is important to evaluate Directors' compensation from time to time in order to attract and retain the best possible candidates to serve on our Board of Directors. Accordingly, in the first quarter of 2016, the Compensation Committee engaged Exequity to assist in conducting a pay study analyzing the competitiveness of the Company's pay levels for non-management Directors. Please see "Role of Compensation Consultant" in our Compensation Discussion and Analysis for further information relating to the peer group companies used in the analysis.</w:t>
      </w:r>
    </w:p>
    <w:p>
      <w:pPr>
        <w:spacing w:after="0" w:line="2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Based on the findings of the pay study, our Compensation Committee recommended that we submit a proposal to our shareholders to revise non-management Director compensation beginning in the 2016 to 2017 service year.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Therefore, we are including a proposal to our shareholders that the:</w:t>
      </w:r>
    </w:p>
    <w:p>
      <w:pPr>
        <w:spacing w:after="0" w:line="212" w:lineRule="exact"/>
        <w:rPr>
          <w:sz w:val="20"/>
          <w:szCs w:val="20"/>
          <w:color w:val="auto"/>
        </w:rPr>
      </w:pPr>
    </w:p>
    <w:p>
      <w:pPr>
        <w:ind w:left="1080" w:right="660" w:hanging="532"/>
        <w:spacing w:after="0" w:line="269"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 cash retainer to the non-executive Chairman of the Board of Directors be increased from $85,000 to $100,000, with a corresponding reduction of annual cash compensation to the Executive Committee chairperson from $15,000 to $0;</w:t>
      </w:r>
    </w:p>
    <w:p>
      <w:pPr>
        <w:spacing w:after="0" w:line="6" w:lineRule="exact"/>
        <w:rPr>
          <w:rFonts w:ascii="Arial" w:cs="Arial" w:eastAsia="Arial" w:hAnsi="Arial"/>
          <w:sz w:val="16"/>
          <w:szCs w:val="16"/>
          <w:color w:val="auto"/>
        </w:rPr>
      </w:pPr>
    </w:p>
    <w:p>
      <w:pPr>
        <w:ind w:left="1080" w:right="100" w:hanging="532"/>
        <w:spacing w:after="0" w:line="23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compensation to Audit Committee members (other than the Audit Committee chairperson) be increased from $7,500 to $10,000;</w:t>
      </w:r>
    </w:p>
    <w:p>
      <w:pPr>
        <w:spacing w:after="0" w:line="1" w:lineRule="exact"/>
        <w:rPr>
          <w:rFonts w:ascii="Arial" w:cs="Arial" w:eastAsia="Arial" w:hAnsi="Arial"/>
          <w:sz w:val="18"/>
          <w:szCs w:val="18"/>
          <w:color w:val="auto"/>
        </w:rPr>
      </w:pPr>
    </w:p>
    <w:p>
      <w:pPr>
        <w:ind w:left="1080" w:hanging="532"/>
        <w:spacing w:after="0" w:line="23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compensation to the Audit Committee chairperson be increased from $20,000 to $25,000;</w:t>
      </w:r>
    </w:p>
    <w:p>
      <w:pPr>
        <w:ind w:left="1080" w:right="240" w:hanging="532"/>
        <w:spacing w:after="0" w:line="23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compensation to Compliance Committee members (other than the Compliance Committee chairperson) be increased from $5,000 to $10,000;</w:t>
      </w:r>
    </w:p>
    <w:p>
      <w:pPr>
        <w:spacing w:after="0" w:line="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compensation to the Compliance Committee chairperson be increased from $12,500 to $17,500;</w:t>
      </w:r>
    </w:p>
    <w:p>
      <w:pPr>
        <w:ind w:left="1080" w:right="160" w:hanging="532"/>
        <w:spacing w:after="0" w:line="23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compensation to Compensation Committee members (other than the Compensation Committee chairperson) be set at $7,500;</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compensation to the Compensation Committee chairperson be increased from $7,500 to $15,000;</w:t>
      </w:r>
    </w:p>
    <w:p>
      <w:pPr>
        <w:spacing w:after="0" w:line="9" w:lineRule="exact"/>
        <w:rPr>
          <w:rFonts w:ascii="Arial" w:cs="Arial" w:eastAsia="Arial" w:hAnsi="Arial"/>
          <w:sz w:val="18"/>
          <w:szCs w:val="18"/>
          <w:color w:val="auto"/>
        </w:rPr>
      </w:pPr>
    </w:p>
    <w:p>
      <w:pPr>
        <w:ind w:left="1080" w:right="380" w:hanging="532"/>
        <w:spacing w:after="0" w:line="23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compensation to Nomination/Governance Committee members (other than the Nomination/Governance Committee chairperson) be set at $5,000; and</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compensation to the Nomination/Governance Committee chairperson be increased from $7,500 to $12,500.</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Compensation Committee is also proposing that the award value of the annual award of shares of common stock to non-management Directors who attend an aggregate of at least 75% of all meetings of the Board of Directors and committees on which they serve be increased from $75,000 to $110,000 beginning in the 2016 to 2017 service year. Consistent with prior years, the number of shares of common stock would be determined by dividing this value by the average of the high and low prices of the common stock to be reported on the NASDAQ Global Select Market on the first day of the service year.</w:t>
      </w:r>
    </w:p>
    <w:p>
      <w:pPr>
        <w:spacing w:after="0" w:line="211"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In determining the appropriate levels of non-management Director compensation, the Compensation Committee considered, among other things, the work, time commitment and efforts required from the non-management Directors in connection with their services on the Board and on each of the Board committees.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132715</wp:posOffset>
            </wp:positionV>
            <wp:extent cx="200660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06600" cy="222885"/>
                    </a:xfrm>
                    <a:prstGeom prst="rect">
                      <a:avLst/>
                    </a:prstGeom>
                    <a:noFill/>
                  </pic:spPr>
                </pic:pic>
              </a:graphicData>
            </a:graphic>
          </wp:anchor>
        </w:drawing>
      </w:r>
    </w:p>
    <w:p>
      <w:pPr>
        <w:spacing w:after="0" w:line="301" w:lineRule="exact"/>
        <w:rPr>
          <w:sz w:val="20"/>
          <w:szCs w:val="20"/>
          <w:color w:val="auto"/>
        </w:rPr>
      </w:pPr>
    </w:p>
    <w:p>
      <w:pPr>
        <w:ind w:left="8420"/>
        <w:spacing w:after="0"/>
        <w:rPr>
          <w:sz w:val="20"/>
          <w:szCs w:val="20"/>
          <w:color w:val="auto"/>
        </w:rPr>
      </w:pPr>
      <w:r>
        <w:rPr>
          <w:rFonts w:ascii="Arial" w:cs="Arial" w:eastAsia="Arial" w:hAnsi="Arial"/>
          <w:sz w:val="14"/>
          <w:szCs w:val="14"/>
          <w:color w:val="82C243"/>
        </w:rPr>
        <w:t>BOARD OF DIRECTORS COMPENSATION</w:t>
      </w:r>
    </w:p>
    <w:p>
      <w:pPr>
        <w:spacing w:after="0" w:line="29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proposed changes to the pay structure align our non-management Director compensation to be competitive with the median structure of our peer group companies. In addition, the proposed changes align the pay levels for each chairperson and member of each committee to be consistent with the peer median for each of these roles.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Directors are reimbursed for reasonable travel and other expenses incurred in connection with attending meetings of the Board of Directors and its committees.</w:t>
      </w:r>
    </w:p>
    <w:p>
      <w:pPr>
        <w:spacing w:after="0" w:line="20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Director compensation may be prorated for a Director serving less than a full one (1) year term as in the case of a Director joining the Board of Directors after an Annual Meeting of Shareholders but during the service year.</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and/or executive officers are related to any other Director and/or executive officer of Altisource by blood, marriage or adoption.</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27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Age</w:t>
            </w:r>
            <w:r>
              <w:rPr>
                <w:rFonts w:ascii="Arial" w:cs="Arial" w:eastAsia="Arial" w:hAnsi="Arial"/>
                <w:sz w:val="29"/>
                <w:szCs w:val="29"/>
                <w:b w:val="1"/>
                <w:bCs w:val="1"/>
                <w:color w:val="auto"/>
                <w:w w:val="90"/>
                <w:vertAlign w:val="superscript"/>
              </w:rPr>
              <w:t>(1)</w:t>
            </w:r>
          </w:p>
        </w:tc>
        <w:tc>
          <w:tcPr>
            <w:tcW w:w="220" w:type="dxa"/>
            <w:vAlign w:val="bottom"/>
          </w:tcPr>
          <w:p>
            <w:pPr>
              <w:spacing w:after="0"/>
              <w:rPr>
                <w:sz w:val="24"/>
                <w:szCs w:val="24"/>
                <w:color w:val="auto"/>
              </w:rPr>
            </w:pPr>
          </w:p>
        </w:tc>
        <w:tc>
          <w:tcPr>
            <w:tcW w:w="538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Position</w:t>
            </w: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Kevin J. Wilcox</w:t>
            </w:r>
          </w:p>
        </w:tc>
        <w:tc>
          <w:tcPr>
            <w:tcW w:w="800" w:type="dxa"/>
            <w:vAlign w:val="bottom"/>
            <w:gridSpan w:val="2"/>
            <w:shd w:val="clear" w:color="auto" w:fill="CCEEFF"/>
          </w:tcPr>
          <w:p>
            <w:pPr>
              <w:jc w:val="center"/>
              <w:ind w:left="112"/>
              <w:spacing w:after="0" w:line="196" w:lineRule="exact"/>
              <w:rPr>
                <w:sz w:val="20"/>
                <w:szCs w:val="20"/>
                <w:color w:val="auto"/>
              </w:rPr>
            </w:pPr>
            <w:r>
              <w:rPr>
                <w:rFonts w:ascii="Arial" w:cs="Arial" w:eastAsia="Arial" w:hAnsi="Arial"/>
                <w:sz w:val="18"/>
                <w:szCs w:val="18"/>
                <w:color w:val="auto"/>
                <w:w w:val="99"/>
              </w:rPr>
              <w:t>52</w:t>
            </w:r>
          </w:p>
        </w:tc>
        <w:tc>
          <w:tcPr>
            <w:tcW w:w="56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Chief Administration Officer</w:t>
            </w: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Michelle D. Esterman</w:t>
            </w:r>
          </w:p>
        </w:tc>
        <w:tc>
          <w:tcPr>
            <w:tcW w:w="80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43</w:t>
            </w:r>
          </w:p>
        </w:tc>
        <w:tc>
          <w:tcPr>
            <w:tcW w:w="5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Vivek Bhandari</w:t>
            </w:r>
          </w:p>
        </w:tc>
        <w:tc>
          <w:tcPr>
            <w:tcW w:w="80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40</w:t>
            </w:r>
          </w:p>
        </w:tc>
        <w:tc>
          <w:tcPr>
            <w:tcW w:w="5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President, Financial Services and Technology Infrastructure</w:t>
            </w: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Joseph A. Davila</w:t>
            </w:r>
          </w:p>
        </w:tc>
        <w:tc>
          <w:tcPr>
            <w:tcW w:w="80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46</w:t>
            </w:r>
          </w:p>
        </w:tc>
        <w:tc>
          <w:tcPr>
            <w:tcW w:w="5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President, Mortgage Services</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 J. Hynes</w:t>
            </w:r>
          </w:p>
        </w:tc>
        <w:tc>
          <w:tcPr>
            <w:tcW w:w="80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46</w:t>
            </w:r>
          </w:p>
        </w:tc>
        <w:tc>
          <w:tcPr>
            <w:tcW w:w="5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President, Technology Services</w:t>
            </w:r>
          </w:p>
        </w:tc>
      </w:tr>
      <w:tr>
        <w:trPr>
          <w:trHeight w:val="214"/>
        </w:trPr>
        <w:tc>
          <w:tcPr>
            <w:tcW w:w="2740" w:type="dxa"/>
            <w:vAlign w:val="bottom"/>
            <w:gridSpan w:val="2"/>
          </w:tcPr>
          <w:p>
            <w:pPr>
              <w:spacing w:after="0"/>
              <w:rPr>
                <w:sz w:val="20"/>
                <w:szCs w:val="20"/>
                <w:color w:val="auto"/>
              </w:rPr>
            </w:pPr>
            <w:r>
              <w:rPr>
                <w:rFonts w:ascii="Arial" w:cs="Arial" w:eastAsia="Arial" w:hAnsi="Arial"/>
                <w:sz w:val="18"/>
                <w:szCs w:val="18"/>
                <w:color w:val="auto"/>
              </w:rPr>
              <w:t>Gregory J. Ritts</w:t>
            </w:r>
          </w:p>
        </w:tc>
        <w:tc>
          <w:tcPr>
            <w:tcW w:w="80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47</w:t>
            </w:r>
          </w:p>
        </w:tc>
        <w:tc>
          <w:tcPr>
            <w:tcW w:w="5600" w:type="dxa"/>
            <w:vAlign w:val="bottom"/>
            <w:gridSpan w:val="2"/>
          </w:tcPr>
          <w:p>
            <w:pPr>
              <w:ind w:left="220"/>
              <w:spacing w:after="0"/>
              <w:rPr>
                <w:sz w:val="20"/>
                <w:szCs w:val="20"/>
                <w:color w:val="auto"/>
              </w:rPr>
            </w:pPr>
            <w:r>
              <w:rPr>
                <w:rFonts w:ascii="Arial" w:cs="Arial" w:eastAsia="Arial" w:hAnsi="Arial"/>
                <w:sz w:val="18"/>
                <w:szCs w:val="18"/>
                <w:color w:val="auto"/>
              </w:rPr>
              <w:t>General Counsel</w:t>
            </w:r>
          </w:p>
        </w:tc>
      </w:tr>
    </w:tbl>
    <w:p>
      <w:pPr>
        <w:spacing w:after="0" w:line="85" w:lineRule="exact"/>
        <w:rPr>
          <w:sz w:val="20"/>
          <w:szCs w:val="20"/>
          <w:color w:val="auto"/>
        </w:rPr>
      </w:pPr>
    </w:p>
    <w:p>
      <w:pPr>
        <w:ind w:left="1680" w:hanging="531"/>
        <w:spacing w:after="0"/>
        <w:tabs>
          <w:tab w:leader="none" w:pos="16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As of March 21, 2016</w:t>
      </w:r>
    </w:p>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that is not a Director is set forth below.</w:t>
      </w:r>
    </w:p>
    <w:p>
      <w:pPr>
        <w:spacing w:after="0" w:line="189"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 xml:space="preserve">Kevin J. Wilcox. </w:t>
      </w:r>
      <w:r>
        <w:rPr>
          <w:rFonts w:ascii="Arial" w:cs="Arial" w:eastAsia="Arial" w:hAnsi="Arial"/>
          <w:sz w:val="18"/>
          <w:szCs w:val="18"/>
          <w:color w:val="auto"/>
        </w:rPr>
        <w:t>Mr. Wilcox serves as Chief Administration Officer of Altisource. Mr. Wilcox previously served as Chief Administration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General Counsel from August 2009 through October 2014. Before joining Altisource, he served as Executive Vice President, Chief Administration Officer and Corporate Secretary for Ocwen since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90"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b w:val="1"/>
          <w:bCs w:val="1"/>
          <w:i w:val="1"/>
          <w:iCs w:val="1"/>
          <w:color w:val="auto"/>
        </w:rPr>
        <w:t xml:space="preserve">Michelle D. Esterman. </w:t>
      </w:r>
      <w:r>
        <w:rPr>
          <w:rFonts w:ascii="Arial" w:cs="Arial" w:eastAsia="Arial" w:hAnsi="Arial"/>
          <w:sz w:val="18"/>
          <w:szCs w:val="18"/>
          <w:color w:val="auto"/>
        </w:rPr>
        <w:t>Ms. Esterman serves as Chief Financial Officer of Altisource. Before joining Altisource in March 2012, she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Manager, Audit &amp; Enterprise Risk Services for Deloitte &amp; Touche LLP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Prior to hiring Ms. Esterman, Altisource determined that her employment with Deloitte &amp; Touche LLP presented no independence issues that could prevent her from assuming the position of Chief Financial Officer of Altisource.</w:t>
      </w:r>
    </w:p>
    <w:p>
      <w:pPr>
        <w:spacing w:after="0" w:line="189" w:lineRule="exact"/>
        <w:rPr>
          <w:sz w:val="20"/>
          <w:szCs w:val="20"/>
          <w:color w:val="auto"/>
        </w:rPr>
      </w:pPr>
    </w:p>
    <w:p>
      <w:pPr>
        <w:ind w:right="320"/>
        <w:spacing w:after="0"/>
        <w:rPr>
          <w:sz w:val="20"/>
          <w:szCs w:val="20"/>
          <w:color w:val="auto"/>
        </w:rPr>
      </w:pPr>
      <w:r>
        <w:rPr>
          <w:rFonts w:ascii="Arial" w:cs="Arial" w:eastAsia="Arial" w:hAnsi="Arial"/>
          <w:sz w:val="18"/>
          <w:szCs w:val="18"/>
          <w:b w:val="1"/>
          <w:bCs w:val="1"/>
          <w:i w:val="1"/>
          <w:iCs w:val="1"/>
          <w:color w:val="auto"/>
        </w:rPr>
        <w:t xml:space="preserve">Vivek Bhandari. </w:t>
      </w:r>
      <w:r>
        <w:rPr>
          <w:rFonts w:ascii="Arial" w:cs="Arial" w:eastAsia="Arial" w:hAnsi="Arial"/>
          <w:sz w:val="18"/>
          <w:szCs w:val="18"/>
          <w:color w:val="auto"/>
        </w:rPr>
        <w:t>Mr. Bhandari serves as President, Financial Services and Technology Infrastructure of Altisource. Mr. Bhandari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Financial Services and Vice President, Operations, Financial Services from August 2009 through January 2015. Before joining Altisource, he served as Vice President, Operations, Financial Services at Ocwen since April 2008 and in various other positions within Ocwen from 2005. Mr. Bhandari began his career with Tata Technologies India Ltd. as a consultant. He holds a Bachelor of Technology and Manufacturing Science and Engineering from the Indian Institute of Technology, Delhi and a Master of Business Administration from the Indian Institute of Management, Calcutta.</w:t>
      </w:r>
    </w:p>
    <w:p>
      <w:pPr>
        <w:spacing w:after="0" w:line="19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Joseph A. Davila. </w:t>
      </w:r>
      <w:r>
        <w:rPr>
          <w:rFonts w:ascii="Arial" w:cs="Arial" w:eastAsia="Arial" w:hAnsi="Arial"/>
          <w:sz w:val="18"/>
          <w:szCs w:val="18"/>
          <w:color w:val="auto"/>
        </w:rPr>
        <w:t>Mr. Davila serves as President, Mortgage Services of Altisource. Mr. Davila previously served as Senior Vice President,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Estate Services from July 2011 through February 2013. Before joining Altisource, he served as Vice President of Operations of Capital One Financial Corporation since 2007.</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132715</wp:posOffset>
            </wp:positionV>
            <wp:extent cx="246126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61260" cy="222885"/>
                    </a:xfrm>
                    <a:prstGeom prst="rect">
                      <a:avLst/>
                    </a:prstGeom>
                    <a:noFill/>
                  </pic:spPr>
                </pic:pic>
              </a:graphicData>
            </a:graphic>
          </wp:anchor>
        </w:drawing>
      </w:r>
    </w:p>
    <w:p>
      <w:pPr>
        <w:spacing w:after="0" w:line="301" w:lineRule="exact"/>
        <w:rPr>
          <w:sz w:val="20"/>
          <w:szCs w:val="20"/>
          <w:color w:val="auto"/>
        </w:rPr>
      </w:pPr>
    </w:p>
    <w:p>
      <w:pPr>
        <w:ind w:left="7720"/>
        <w:spacing w:after="0"/>
        <w:rPr>
          <w:sz w:val="20"/>
          <w:szCs w:val="20"/>
          <w:color w:val="auto"/>
        </w:rPr>
      </w:pPr>
      <w:r>
        <w:rPr>
          <w:rFonts w:ascii="Arial" w:cs="Arial" w:eastAsia="Arial" w:hAnsi="Arial"/>
          <w:sz w:val="14"/>
          <w:szCs w:val="14"/>
          <w:color w:val="82C243"/>
        </w:rPr>
        <w:t>EXECUTIVE OFFICERS WHO ARE NOT DIRECTORS</w:t>
      </w:r>
    </w:p>
    <w:p>
      <w:pPr>
        <w:spacing w:after="0" w:line="297"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Mr. Davila began his career as a consultant with Price Waterhouse and, subsequently, Bain &amp; Company. He holds a Bachelor of Science from Southern Methodist University and a Master of Business Administration from Kellogg School of Management at Northwestern University.</w:t>
      </w:r>
    </w:p>
    <w:p>
      <w:pPr>
        <w:spacing w:after="0" w:line="143"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Mark J. Hynes. </w:t>
      </w:r>
      <w:r>
        <w:rPr>
          <w:rFonts w:ascii="Arial" w:cs="Arial" w:eastAsia="Arial" w:hAnsi="Arial"/>
          <w:sz w:val="18"/>
          <w:szCs w:val="18"/>
          <w:color w:val="auto"/>
        </w:rPr>
        <w:t>Mr. Hynes serves as President, Technology Services of Altisource. Mr. Hynes previously served as Vice President, Spend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from January 2010 through January 2011. Before joining Altisource, he served as President of Digi-Net Technologies, Inc., an early pioneer in marketing analytics software-as-a-service solutions. Mr. Hynes also co-founded Xevo, Inc., a leading provider of service provisioning technologies to application service providers, where he held the position of Chief Operating Officer. Mr. Hynes began his career with Bain &amp; Company as a consultant. He holds a Bachelor of Business Administration from James Madison University and a Master of Business Administration from Harvard University.</w:t>
      </w:r>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Gregory J. Ritts. </w:t>
      </w:r>
      <w:r>
        <w:rPr>
          <w:rFonts w:ascii="Arial" w:cs="Arial" w:eastAsia="Arial" w:hAnsi="Arial"/>
          <w:sz w:val="18"/>
          <w:szCs w:val="18"/>
          <w:color w:val="auto"/>
        </w:rPr>
        <w:t>Mr. Ritts serves as General Counsel of Altisource. Before joining Altisource in October 2014, he served 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Deputy General Counsel of Publicis Groupe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Doctorate from the University of Michigan Law School.</w:t>
      </w: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RELATED SHAREHOLDER MATTERS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1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persons known by Altisource to own beneficially 5% or more of the outstanding common stock;</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Director and Named Executive Officer (as defined in "Compensation Discussion and Analysis") of Altisource; and</w:t>
      </w: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Directors and executive officers of Altisource as a group.</w:t>
      </w:r>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Exchange Act and is based on an aggregate of 18,802,623 shares issued and outstanding as of March 21, 2016. Unless otherwise indicated in the corresponding footnotes, the address of all persons below is: Altisource, 40, avenue Monterey, L-2163 Luxembourg City, Grand Duchy of Luxembourg.</w:t>
      </w:r>
    </w:p>
    <w:p>
      <w:pPr>
        <w:spacing w:after="0" w:line="362" w:lineRule="exact"/>
        <w:rPr>
          <w:sz w:val="20"/>
          <w:szCs w:val="20"/>
          <w:color w:val="auto"/>
        </w:rPr>
      </w:pPr>
    </w:p>
    <w:tbl>
      <w:tblPr>
        <w:tblLayout w:type="fixed"/>
        <w:tblInd w:w="1140" w:type="dxa"/>
        <w:tblCellMar>
          <w:top w:w="0" w:type="dxa"/>
          <w:left w:w="0" w:type="dxa"/>
          <w:bottom w:w="0" w:type="dxa"/>
          <w:right w:w="0" w:type="dxa"/>
        </w:tblCellMar>
      </w:tblPr>
      <w:tr>
        <w:trPr>
          <w:trHeight w:val="39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4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 Beneficially Owned as of March 21, 2016</w:t>
            </w:r>
            <w:r>
              <w:rPr>
                <w:rFonts w:ascii="Arial" w:cs="Arial" w:eastAsia="Arial" w:hAnsi="Arial"/>
                <w:sz w:val="29"/>
                <w:szCs w:val="29"/>
                <w:b w:val="1"/>
                <w:bCs w:val="1"/>
                <w:color w:val="auto"/>
                <w:vertAlign w:val="superscript"/>
              </w:rPr>
              <w:t>(1)</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4"/>
        </w:trPr>
        <w:tc>
          <w:tcPr>
            <w:tcW w:w="6940" w:type="dxa"/>
            <w:vAlign w:val="bottom"/>
            <w:gridSpan w:val="5"/>
          </w:tcPr>
          <w:p>
            <w:pPr>
              <w:spacing w:after="0"/>
              <w:rPr>
                <w:sz w:val="20"/>
                <w:szCs w:val="20"/>
                <w:color w:val="auto"/>
              </w:rPr>
            </w:pPr>
            <w:r>
              <w:rPr>
                <w:rFonts w:ascii="Arial" w:cs="Arial" w:eastAsia="Arial" w:hAnsi="Arial"/>
                <w:sz w:val="18"/>
                <w:szCs w:val="18"/>
                <w:b w:val="1"/>
                <w:bCs w:val="1"/>
                <w:color w:val="auto"/>
              </w:rPr>
              <w:t>Name of Beneficial Owner:</w:t>
            </w: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Percent</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(2)</w:t>
            </w:r>
          </w:p>
        </w:tc>
        <w:tc>
          <w:tcPr>
            <w:tcW w:w="4840" w:type="dxa"/>
            <w:vAlign w:val="bottom"/>
            <w:gridSpan w:val="2"/>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6,787,472</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CCEEFF"/>
          </w:tcPr>
          <w:p>
            <w:pPr>
              <w:spacing w:after="0"/>
              <w:rPr>
                <w:sz w:val="20"/>
                <w:szCs w:val="20"/>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Putnam Investments, LLC</w:t>
            </w:r>
            <w:r>
              <w:rPr>
                <w:rFonts w:ascii="Arial" w:cs="Arial" w:eastAsia="Arial" w:hAnsi="Arial"/>
                <w:sz w:val="28"/>
                <w:szCs w:val="28"/>
                <w:color w:val="auto"/>
                <w:vertAlign w:val="superscript"/>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3,089,383</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16.43%</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Leon G. Cooperman</w:t>
            </w:r>
            <w:r>
              <w:rPr>
                <w:rFonts w:ascii="Arial" w:cs="Arial" w:eastAsia="Arial" w:hAnsi="Arial"/>
                <w:sz w:val="28"/>
                <w:szCs w:val="28"/>
                <w:color w:val="auto"/>
                <w:vertAlign w:val="superscript"/>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1,696,061</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CEEFF"/>
          </w:tcPr>
          <w:p>
            <w:pPr>
              <w:spacing w:after="0"/>
              <w:rPr>
                <w:sz w:val="21"/>
                <w:szCs w:val="21"/>
                <w:color w:val="auto"/>
              </w:rPr>
            </w:pPr>
          </w:p>
        </w:tc>
      </w:tr>
      <w:tr>
        <w:trPr>
          <w:trHeight w:val="378"/>
        </w:trPr>
        <w:tc>
          <w:tcPr>
            <w:tcW w:w="6940" w:type="dxa"/>
            <w:vAlign w:val="bottom"/>
            <w:gridSpan w:val="5"/>
          </w:tcPr>
          <w:p>
            <w:pPr>
              <w:spacing w:after="0"/>
              <w:rPr>
                <w:sz w:val="20"/>
                <w:szCs w:val="20"/>
                <w:color w:val="auto"/>
              </w:rPr>
            </w:pPr>
            <w:r>
              <w:rPr>
                <w:rFonts w:ascii="Arial" w:cs="Arial" w:eastAsia="Arial" w:hAnsi="Arial"/>
                <w:sz w:val="18"/>
                <w:szCs w:val="18"/>
                <w:color w:val="auto"/>
              </w:rPr>
              <w:t>Entities Affiliated with Luxor Capital Group, LP</w:t>
            </w:r>
            <w:r>
              <w:rPr>
                <w:rFonts w:ascii="Arial" w:cs="Arial" w:eastAsia="Arial" w:hAnsi="Arial"/>
                <w:sz w:val="29"/>
                <w:szCs w:val="29"/>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967,459</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4"/>
                <w:szCs w:val="24"/>
                <w:color w:val="auto"/>
              </w:rPr>
            </w:pPr>
          </w:p>
        </w:tc>
      </w:tr>
      <w:tr>
        <w:trPr>
          <w:trHeight w:val="284"/>
        </w:trPr>
        <w:tc>
          <w:tcPr>
            <w:tcW w:w="6940" w:type="dxa"/>
            <w:vAlign w:val="bottom"/>
            <w:gridSpan w:val="5"/>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080" w:type="dxa"/>
            <w:vAlign w:val="bottom"/>
            <w:tcBorders>
              <w:top w:val="single" w:sz="8" w:color="auto"/>
            </w:tcBorders>
            <w:gridSpan w:val="3"/>
            <w:shd w:val="clear" w:color="auto" w:fill="CCEEFF"/>
          </w:tcPr>
          <w:p>
            <w:pPr>
              <w:spacing w:after="0" w:line="236"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(6)</w:t>
            </w:r>
          </w:p>
        </w:tc>
        <w:tc>
          <w:tcPr>
            <w:tcW w:w="38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631,766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20"/>
                <w:szCs w:val="20"/>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Kevin J. Wilcox</w:t>
            </w:r>
            <w:r>
              <w:rPr>
                <w:rFonts w:ascii="Arial" w:cs="Arial" w:eastAsia="Arial" w:hAnsi="Arial"/>
                <w:sz w:val="28"/>
                <w:szCs w:val="28"/>
                <w:color w:val="auto"/>
                <w:vertAlign w:val="superscript"/>
              </w:rPr>
              <w:t>(7)</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365,811</w:t>
            </w:r>
          </w:p>
        </w:tc>
        <w:tc>
          <w:tcPr>
            <w:tcW w:w="68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8"/>
                <w:szCs w:val="28"/>
                <w:color w:val="auto"/>
                <w:vertAlign w:val="superscript"/>
              </w:rPr>
              <w:t>(8)</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49,905</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Joseph A. Davila</w:t>
            </w:r>
            <w:r>
              <w:rPr>
                <w:rFonts w:ascii="Arial" w:cs="Arial" w:eastAsia="Arial" w:hAnsi="Arial"/>
                <w:sz w:val="28"/>
                <w:szCs w:val="28"/>
                <w:color w:val="auto"/>
                <w:vertAlign w:val="superscript"/>
              </w:rPr>
              <w:t>(9)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34,458</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W. Michael Linn</w:t>
            </w:r>
            <w:r>
              <w:rPr>
                <w:rFonts w:ascii="Arial" w:cs="Arial" w:eastAsia="Arial" w:hAnsi="Arial"/>
                <w:sz w:val="28"/>
                <w:szCs w:val="28"/>
                <w:color w:val="auto"/>
                <w:vertAlign w:val="superscript"/>
              </w:rPr>
              <w:t>(10)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24,331</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03"/>
        </w:trPr>
        <w:tc>
          <w:tcPr>
            <w:tcW w:w="6940" w:type="dxa"/>
            <w:vAlign w:val="bottom"/>
            <w:gridSpan w:val="5"/>
          </w:tcPr>
          <w:p>
            <w:pPr>
              <w:spacing w:after="0" w:line="202" w:lineRule="exact"/>
              <w:rPr>
                <w:sz w:val="20"/>
                <w:szCs w:val="20"/>
                <w:color w:val="auto"/>
              </w:rPr>
            </w:pPr>
            <w:r>
              <w:rPr>
                <w:rFonts w:ascii="Arial" w:cs="Arial" w:eastAsia="Arial" w:hAnsi="Arial"/>
                <w:sz w:val="18"/>
                <w:szCs w:val="18"/>
                <w:color w:val="auto"/>
              </w:rPr>
              <w:t>Roland Müller-Ineichen</w:t>
            </w:r>
          </w:p>
        </w:tc>
        <w:tc>
          <w:tcPr>
            <w:tcW w:w="13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16,395</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Timo Vättö</w:t>
            </w:r>
          </w:p>
        </w:tc>
        <w:tc>
          <w:tcPr>
            <w:tcW w:w="13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11,695</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Gregory J. Ritts</w:t>
            </w:r>
            <w:r>
              <w:rPr>
                <w:rFonts w:ascii="Arial" w:cs="Arial" w:eastAsia="Arial" w:hAnsi="Arial"/>
                <w:sz w:val="28"/>
                <w:szCs w:val="28"/>
                <w:color w:val="auto"/>
                <w:vertAlign w:val="superscript"/>
              </w:rPr>
              <w:t>(11)</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4,975</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69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All Directors and Executive Officers as a Group (10 persons)</w:t>
            </w:r>
          </w:p>
        </w:tc>
        <w:tc>
          <w:tcPr>
            <w:tcW w:w="13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1,233,876</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7"/>
                <w:szCs w:val="17"/>
                <w:color w:val="auto"/>
              </w:rPr>
            </w:pPr>
          </w:p>
        </w:tc>
      </w:tr>
      <w:tr>
        <w:trPr>
          <w:trHeight w:val="430"/>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620" w:type="dxa"/>
            <w:vAlign w:val="bottom"/>
            <w:gridSpan w:val="3"/>
          </w:tcPr>
          <w:p>
            <w:pPr>
              <w:ind w:left="220"/>
              <w:spacing w:after="0"/>
              <w:rPr>
                <w:sz w:val="20"/>
                <w:szCs w:val="20"/>
                <w:color w:val="auto"/>
              </w:rPr>
            </w:pPr>
            <w:r>
              <w:rPr>
                <w:rFonts w:ascii="Arial" w:cs="Arial" w:eastAsia="Arial" w:hAnsi="Arial"/>
                <w:sz w:val="18"/>
                <w:szCs w:val="18"/>
                <w:color w:val="auto"/>
              </w:rPr>
              <w:t>Less than 1%</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8" w:lineRule="exact"/>
        <w:rPr>
          <w:sz w:val="20"/>
          <w:szCs w:val="20"/>
          <w:color w:val="auto"/>
        </w:rPr>
      </w:pPr>
    </w:p>
    <w:p>
      <w:pPr>
        <w:ind w:left="1680" w:right="40" w:hanging="531"/>
        <w:spacing w:after="0" w:line="219" w:lineRule="auto"/>
        <w:tabs>
          <w:tab w:leader="none" w:pos="16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21, 2016. Therefore, the table includes options to acquire shares or our common stock which are currently exercisable or will become exercisable within such 60 day period, but does not include restricted share awards that do not vest within such 60 day period and under which the holder has no voting rights until vested. With respect to shares, unless otherwise indicated, an individual has sole voting power and sole investment power with respect to the indicated shares. No shares have been pledged as security by the Named Executive Officers or Directors.</w:t>
      </w:r>
    </w:p>
    <w:p>
      <w:pPr>
        <w:spacing w:after="0" w:line="196" w:lineRule="exact"/>
        <w:rPr>
          <w:rFonts w:ascii="Arial" w:cs="Arial" w:eastAsia="Arial" w:hAnsi="Arial"/>
          <w:sz w:val="29"/>
          <w:szCs w:val="29"/>
          <w:color w:val="auto"/>
          <w:vertAlign w:val="superscript"/>
        </w:rPr>
      </w:pPr>
    </w:p>
    <w:p>
      <w:pPr>
        <w:ind w:left="1680" w:right="60" w:hanging="531"/>
        <w:spacing w:after="0" w:line="197" w:lineRule="auto"/>
        <w:tabs>
          <w:tab w:leader="none" w:pos="16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Form 4 filed with the SEC on November 15, 2015. Includes 5,952,489 shares held by Salt Pond Holdings, LLC, a United States Virgin Islands limited liability company, of which the members are William C. Erbey and his spouse, E. Elaine Erbey; FF Plaza Limited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132715</wp:posOffset>
            </wp:positionV>
            <wp:extent cx="4665345"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65345" cy="222885"/>
                    </a:xfrm>
                    <a:prstGeom prst="rect">
                      <a:avLst/>
                    </a:prstGeom>
                    <a:noFill/>
                  </pic:spPr>
                </pic:pic>
              </a:graphicData>
            </a:graphic>
          </wp:anchor>
        </w:drawing>
      </w:r>
    </w:p>
    <w:p>
      <w:pPr>
        <w:spacing w:after="0" w:line="301" w:lineRule="exact"/>
        <w:rPr>
          <w:sz w:val="20"/>
          <w:szCs w:val="20"/>
          <w:color w:val="auto"/>
        </w:rPr>
      </w:pPr>
    </w:p>
    <w:p>
      <w:pPr>
        <w:ind w:left="4240"/>
        <w:spacing w:after="0"/>
        <w:rPr>
          <w:sz w:val="20"/>
          <w:szCs w:val="20"/>
          <w:color w:val="auto"/>
        </w:rPr>
      </w:pPr>
      <w:r>
        <w:rPr>
          <w:rFonts w:ascii="Arial" w:cs="Arial" w:eastAsia="Arial" w:hAnsi="Arial"/>
          <w:sz w:val="14"/>
          <w:szCs w:val="14"/>
          <w:color w:val="82C243"/>
        </w:rPr>
        <w:t>SECURITY OWNERSHIP OF CERTAIN BENEFICIAL OWNERS AND RELATED SHAREHOLDER MATTERS</w:t>
      </w:r>
    </w:p>
    <w:p>
      <w:pPr>
        <w:spacing w:after="0" w:line="297" w:lineRule="exact"/>
        <w:rPr>
          <w:sz w:val="20"/>
          <w:szCs w:val="20"/>
          <w:color w:val="auto"/>
        </w:rPr>
      </w:pPr>
    </w:p>
    <w:p>
      <w:pPr>
        <w:ind w:left="1680" w:right="60"/>
        <w:spacing w:after="0" w:line="269" w:lineRule="auto"/>
        <w:rPr>
          <w:sz w:val="20"/>
          <w:szCs w:val="20"/>
          <w:color w:val="auto"/>
        </w:rPr>
      </w:pPr>
      <w:r>
        <w:rPr>
          <w:rFonts w:ascii="Arial" w:cs="Arial" w:eastAsia="Arial" w:hAnsi="Arial"/>
          <w:sz w:val="16"/>
          <w:szCs w:val="16"/>
          <w:color w:val="auto"/>
        </w:rPr>
        <w:t>Partnership, a Delaware partnership, of which the partners are Mr. and Mrs. Erbey and Delaware Permanent Corporation, a Delaware corporation wholly owned by Mr. Erbey; and Erbey Holding Corporation, a Delaware corporation, wholly-owned by Mr. Erbey. Includes options to acquire 834,274 shares held directly by Mr. Erbey, which are vested but remain unexercised. Mr. Erbey stepped down from his position as a Director and Chairman of the Board of Directors of the Company effective January 16, 2015. The Compensation Committee of the Board of Directors determined that his departure constitutes a "retirement" pursuant to the Altisource 2009 Equity Plan and applicable equity award agreements. As a result, his vested options may be exercised until the earlier of the expiration date for such options or three (3) years from the date of his retirement. Mr. Erbey's address is P.O. Box 25437, Christiansted, U.S. Virgin Islands 00824.</w:t>
      </w:r>
    </w:p>
    <w:p>
      <w:pPr>
        <w:spacing w:after="0" w:line="187" w:lineRule="exact"/>
        <w:rPr>
          <w:sz w:val="20"/>
          <w:szCs w:val="20"/>
          <w:color w:val="auto"/>
        </w:rPr>
      </w:pPr>
    </w:p>
    <w:p>
      <w:pPr>
        <w:ind w:left="1680" w:right="200" w:hanging="531"/>
        <w:spacing w:after="0" w:line="217" w:lineRule="auto"/>
        <w:tabs>
          <w:tab w:leader="none" w:pos="16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 on February 16, 2016, jointly by Putnam Investments, LLC d/b/a Putnam Investments ("PI"); two of its wholly-owned subsidiaries, Putnam Investment Management, LLC ("PIM") and The Putnam Advisory Company, LLC ("PAC"); and Putnam Equity Spectrum Fund, investment adviser subsidiary of PI. Includes 3,089,383 shares held by PIM, as to which sole dispositive power is claimed. The shares held by PIM include 2,128,083 shares held by Putnam Equity Spectrum Fund as to which sole voting and dispositive power is claimed. The business address of PI, PIM, PAC and Putnam Equity Spectrum Fund is One Post Office Square, Boston, Massachusetts 02109.</w:t>
      </w:r>
    </w:p>
    <w:p>
      <w:pPr>
        <w:spacing w:after="0" w:line="209" w:lineRule="exact"/>
        <w:rPr>
          <w:rFonts w:ascii="Arial" w:cs="Arial" w:eastAsia="Arial" w:hAnsi="Arial"/>
          <w:sz w:val="29"/>
          <w:szCs w:val="29"/>
          <w:color w:val="auto"/>
          <w:vertAlign w:val="superscript"/>
        </w:rPr>
      </w:pPr>
    </w:p>
    <w:p>
      <w:pPr>
        <w:ind w:left="1680" w:hanging="531"/>
        <w:spacing w:after="0" w:line="226" w:lineRule="auto"/>
        <w:tabs>
          <w:tab w:leader="none" w:pos="1680"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Form 3 filed with the SEC on March 24, 2016. The 1,696,061 shares beneficially owned by Mr. Cooperman consist of 403,297 shares held in the account of Omega Capital Partners, L.P.; 215,787 shares held in the account of Omega Equity Investors, L.P.; 185,535 shares held in the account of Omega Capital Investors, L.P.; 431,442 shares held in the account of Omega Overseas Partners Ltd.; and 460,000 shares held in the account of Omega Charitable Partnership L.P., an exempted limited partnership registered in the Cayman Islands, over which Mr. Cooperman has investment discretion. Mr. Cooperman's address is 11431 West Palmetto Park Road, Boca Raton, FL 33428.</w:t>
      </w:r>
    </w:p>
    <w:p>
      <w:pPr>
        <w:spacing w:after="0" w:line="194" w:lineRule="exact"/>
        <w:rPr>
          <w:rFonts w:ascii="Arial" w:cs="Arial" w:eastAsia="Arial" w:hAnsi="Arial"/>
          <w:sz w:val="28"/>
          <w:szCs w:val="28"/>
          <w:color w:val="auto"/>
          <w:vertAlign w:val="superscript"/>
        </w:rPr>
      </w:pPr>
    </w:p>
    <w:p>
      <w:pPr>
        <w:ind w:left="1680" w:hanging="531"/>
        <w:spacing w:after="0" w:line="225" w:lineRule="auto"/>
        <w:tabs>
          <w:tab w:leader="none" w:pos="16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 on February 16, 2016. Includes 175,349 shares beneficially owned by Luxor Wavefront, LP (the "Wavefront Fund"); 777,251 shares beneficially owned by Luxor Capital Partners Offshore Master Fund, LP (the "Offshore Master Fund") which shares may also be deemed to be beneficially owned by Luxor Capital Partners Offshore, Ltd. (the "Offshore Feeder Fund"); 14,859 shares beneficially owned by Thebes Offshore Master Fund, LP (the "Thebes Master Fund") which shares may also be deemed to be beneficially owned by Thebes Partners Offshore, Ltd (the "Thebes Feeder Fund"). LCG Holdings, LLC ("LCG Holdings"), as the general partner of the Wavefront Fund, the Offshore Master Fund and the Thebes Master Fund (collectively, the "Funds") may be deemed to beneficially own the 967,459 shares beneficially owned by the Funds; Luxor Capital Group, LP ("Luxor Capital Group"), as the investment manager of the Funds may be deemed to beneficially own the 967,459 shares beneficially owned by the Funds; Luxor Management, LLC ("Luxor Management"), as the general partner of Luxor Capital Group, may be deemed to beneficially own the 967,459 shares beneficially owned by Luxor Capital Group; Mr. Christian Leone, as the managing member of Luxor Management, may be deemed to beneficially own the 967,459 shares of common stock beneficially owned by Luxor Management.</w:t>
      </w:r>
    </w:p>
    <w:p>
      <w:pPr>
        <w:spacing w:after="0" w:line="208" w:lineRule="exact"/>
        <w:rPr>
          <w:rFonts w:ascii="Arial" w:cs="Arial" w:eastAsia="Arial" w:hAnsi="Arial"/>
          <w:sz w:val="29"/>
          <w:szCs w:val="29"/>
          <w:color w:val="auto"/>
          <w:vertAlign w:val="superscript"/>
        </w:rPr>
      </w:pPr>
    </w:p>
    <w:p>
      <w:pPr>
        <w:ind w:left="1680" w:right="300"/>
        <w:spacing w:after="0" w:line="273" w:lineRule="auto"/>
        <w:rPr>
          <w:rFonts w:ascii="Arial" w:cs="Arial" w:eastAsia="Arial" w:hAnsi="Arial"/>
          <w:sz w:val="29"/>
          <w:szCs w:val="29"/>
          <w:color w:val="auto"/>
          <w:vertAlign w:val="superscript"/>
        </w:rPr>
      </w:pPr>
      <w:r>
        <w:rPr>
          <w:rFonts w:ascii="Arial" w:cs="Arial" w:eastAsia="Arial" w:hAnsi="Arial"/>
          <w:sz w:val="16"/>
          <w:szCs w:val="16"/>
          <w:color w:val="auto"/>
        </w:rPr>
        <w:t>All reporting entities report share voting and dispositive power with respect to all shares beneficially owned. The business address of each of the Onshore Fund, the Wavefront Fund, Luxor Capital Group, Luxor Management, LCG Holdings and Mr. Leone is 1114 Avenue of the Americas, 29th Floor, New York, New York 10036. The business address of each of the Offshore Master Fund, the Offshore Feeder Fund, the Thebes Master Fund and the Thebes Feeder Fund is c/o Maples Corporate Services Limited, P.O. Box 309, Ugland House, Grand Cayman, KY1-1104, Cayman Islands.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132715</wp:posOffset>
            </wp:positionV>
            <wp:extent cx="4665345"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65345" cy="222885"/>
                    </a:xfrm>
                    <a:prstGeom prst="rect">
                      <a:avLst/>
                    </a:prstGeom>
                    <a:noFill/>
                  </pic:spPr>
                </pic:pic>
              </a:graphicData>
            </a:graphic>
          </wp:anchor>
        </w:drawing>
      </w:r>
    </w:p>
    <w:p>
      <w:pPr>
        <w:spacing w:after="0" w:line="301" w:lineRule="exact"/>
        <w:rPr>
          <w:sz w:val="20"/>
          <w:szCs w:val="20"/>
          <w:color w:val="auto"/>
        </w:rPr>
      </w:pPr>
    </w:p>
    <w:p>
      <w:pPr>
        <w:ind w:left="4240"/>
        <w:spacing w:after="0"/>
        <w:rPr>
          <w:sz w:val="20"/>
          <w:szCs w:val="20"/>
          <w:color w:val="auto"/>
        </w:rPr>
      </w:pPr>
      <w:r>
        <w:rPr>
          <w:rFonts w:ascii="Arial" w:cs="Arial" w:eastAsia="Arial" w:hAnsi="Arial"/>
          <w:sz w:val="14"/>
          <w:szCs w:val="14"/>
          <w:color w:val="82C243"/>
        </w:rPr>
        <w:t>SECURITY OWNERSHIP OF CERTAIN BENEFICIAL OWNERS AND RELATED SHAREHOLDER MATTERS</w:t>
      </w:r>
    </w:p>
    <w:p>
      <w:pPr>
        <w:spacing w:after="0" w:line="297" w:lineRule="exact"/>
        <w:rPr>
          <w:sz w:val="20"/>
          <w:szCs w:val="20"/>
          <w:color w:val="auto"/>
        </w:rPr>
      </w:pPr>
    </w:p>
    <w:p>
      <w:pPr>
        <w:ind w:left="1680" w:right="20" w:hanging="531"/>
        <w:spacing w:after="0" w:line="205" w:lineRule="auto"/>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532,468 shares which are exercisable on or within 60 days after March 21, 2016 and 99,298 shares held by the William B. Shepro Revocable Trust (as to which Mr. and Mrs. Shepro share voting and dispositive power), of which 35,000 were purchased in the open market on April 29, 2015 and 7,200 were purchased in the open market on March 22, 2016.</w:t>
      </w:r>
    </w:p>
    <w:p>
      <w:pPr>
        <w:spacing w:after="0" w:line="211" w:lineRule="exact"/>
        <w:rPr>
          <w:rFonts w:ascii="Arial" w:cs="Arial" w:eastAsia="Arial" w:hAnsi="Arial"/>
          <w:sz w:val="29"/>
          <w:szCs w:val="29"/>
          <w:color w:val="auto"/>
          <w:vertAlign w:val="superscript"/>
        </w:rPr>
      </w:pPr>
    </w:p>
    <w:p>
      <w:pPr>
        <w:ind w:left="1680" w:right="60" w:hanging="531"/>
        <w:spacing w:after="0" w:line="183" w:lineRule="auto"/>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341,131 shares which are exercisable on or within 60 days after March 21 and 24,680 shares, of which 18,000 were purchased in the open market on April 29, 2015.</w:t>
      </w:r>
    </w:p>
    <w:p>
      <w:pPr>
        <w:spacing w:after="0" w:line="7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49,905 shares which are exercisable on or within 60 days after March 21, 2016.</w:t>
      </w:r>
    </w:p>
    <w:p>
      <w:pPr>
        <w:spacing w:after="0" w:line="163" w:lineRule="exact"/>
        <w:rPr>
          <w:rFonts w:ascii="Arial" w:cs="Arial" w:eastAsia="Arial" w:hAnsi="Arial"/>
          <w:sz w:val="29"/>
          <w:szCs w:val="29"/>
          <w:color w:val="auto"/>
          <w:vertAlign w:val="superscript"/>
        </w:rPr>
      </w:pPr>
    </w:p>
    <w:p>
      <w:pPr>
        <w:ind w:left="1680" w:hanging="531"/>
        <w:spacing w:after="0" w:line="180" w:lineRule="auto"/>
        <w:tabs>
          <w:tab w:leader="none" w:pos="168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31,508 shares which are exercisable on or within 60 days after March 21, 2016.</w:t>
      </w:r>
    </w:p>
    <w:p>
      <w:pPr>
        <w:spacing w:after="0" w:line="207" w:lineRule="exact"/>
        <w:rPr>
          <w:rFonts w:ascii="Arial" w:cs="Arial" w:eastAsia="Arial" w:hAnsi="Arial"/>
          <w:sz w:val="28"/>
          <w:szCs w:val="28"/>
          <w:color w:val="auto"/>
          <w:vertAlign w:val="superscript"/>
        </w:rPr>
      </w:pPr>
    </w:p>
    <w:p>
      <w:pPr>
        <w:ind w:left="1680" w:right="80" w:hanging="531"/>
        <w:spacing w:after="0" w:line="204" w:lineRule="auto"/>
        <w:tabs>
          <w:tab w:leader="none" w:pos="168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Includes 4,494 shares held by Mr. Linn's spouse, Elizabeth S. Linn, directly; 542 shares held by Mr. Linn's adult children sharing the same household, of which Mr. Linn disclaims voting and dispositive power;2,070 shares held by W M Linn Trust; 1,509 shares held by the William Michael Linn, Roth IRA; 315 shares held by the Elizabeth S. Linn, Roth IRA, of which</w:t>
      </w:r>
    </w:p>
    <w:p>
      <w:pPr>
        <w:spacing w:after="0" w:line="1" w:lineRule="exact"/>
        <w:rPr>
          <w:rFonts w:ascii="Arial" w:cs="Arial" w:eastAsia="Arial" w:hAnsi="Arial"/>
          <w:sz w:val="28"/>
          <w:szCs w:val="28"/>
          <w:color w:val="auto"/>
          <w:vertAlign w:val="superscript"/>
        </w:rPr>
      </w:pPr>
    </w:p>
    <w:p>
      <w:pPr>
        <w:ind w:left="1680"/>
        <w:spacing w:after="0" w:line="238" w:lineRule="auto"/>
        <w:rPr>
          <w:rFonts w:ascii="Arial" w:cs="Arial" w:eastAsia="Arial" w:hAnsi="Arial"/>
          <w:sz w:val="28"/>
          <w:szCs w:val="28"/>
          <w:color w:val="auto"/>
          <w:vertAlign w:val="superscript"/>
        </w:rPr>
      </w:pPr>
      <w:r>
        <w:rPr>
          <w:rFonts w:ascii="Arial" w:cs="Arial" w:eastAsia="Arial" w:hAnsi="Arial"/>
          <w:sz w:val="18"/>
          <w:szCs w:val="18"/>
          <w:color w:val="auto"/>
        </w:rPr>
        <w:t>Mr. Linn disclaims voting and dispositive power; 224 shares held by William M. Linn, Simple IRA; and 580 shares held by S &amp; S Agriculture &amp; Oil, LP, a limited partnership in which Mr. and Mrs. Linn are 2% owners and hold 100% of the voting and dispositive power with Mr. Linn's children being 98% owners.</w:t>
      </w:r>
    </w:p>
    <w:p>
      <w:pPr>
        <w:spacing w:after="0" w:line="194" w:lineRule="exact"/>
        <w:rPr>
          <w:rFonts w:ascii="Arial" w:cs="Arial" w:eastAsia="Arial" w:hAnsi="Arial"/>
          <w:sz w:val="28"/>
          <w:szCs w:val="28"/>
          <w:color w:val="auto"/>
          <w:vertAlign w:val="superscript"/>
        </w:rPr>
      </w:pPr>
    </w:p>
    <w:p>
      <w:pPr>
        <w:ind w:left="1680" w:right="40" w:hanging="531"/>
        <w:spacing w:after="0" w:line="183" w:lineRule="auto"/>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Consists of options to acquire 4,475 shares which are exercisable on or within 60 days after March 21, 2016 and 500 shares purchased in the open market on March 21,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Weighted average</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Number of securities to</w:t>
            </w:r>
          </w:p>
        </w:tc>
        <w:tc>
          <w:tcPr>
            <w:tcW w:w="10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exercise price of</w:t>
            </w:r>
          </w:p>
        </w:tc>
        <w:tc>
          <w:tcPr>
            <w:tcW w:w="100" w:type="dxa"/>
            <w:vAlign w:val="bottom"/>
          </w:tcPr>
          <w:p>
            <w:pPr>
              <w:spacing w:after="0"/>
              <w:rPr>
                <w:sz w:val="17"/>
                <w:szCs w:val="17"/>
                <w:color w:val="auto"/>
              </w:rPr>
            </w:pPr>
          </w:p>
        </w:tc>
        <w:tc>
          <w:tcPr>
            <w:tcW w:w="25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Number of securities</w:t>
            </w: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be issued upon exercise</w:t>
            </w:r>
          </w:p>
        </w:tc>
        <w:tc>
          <w:tcPr>
            <w:tcW w:w="1840" w:type="dxa"/>
            <w:vAlign w:val="bottom"/>
            <w:gridSpan w:val="2"/>
          </w:tcPr>
          <w:p>
            <w:pPr>
              <w:jc w:val="center"/>
              <w:ind w:left="12"/>
              <w:spacing w:after="0" w:line="202" w:lineRule="exact"/>
              <w:rPr>
                <w:sz w:val="20"/>
                <w:szCs w:val="20"/>
                <w:color w:val="auto"/>
              </w:rPr>
            </w:pPr>
            <w:r>
              <w:rPr>
                <w:rFonts w:ascii="Arial" w:cs="Arial" w:eastAsia="Arial" w:hAnsi="Arial"/>
                <w:sz w:val="18"/>
                <w:szCs w:val="18"/>
                <w:b w:val="1"/>
                <w:bCs w:val="1"/>
                <w:color w:val="auto"/>
                <w:w w:val="97"/>
              </w:rPr>
              <w:t>outstanding options,</w:t>
            </w:r>
          </w:p>
        </w:tc>
        <w:tc>
          <w:tcPr>
            <w:tcW w:w="100" w:type="dxa"/>
            <w:vAlign w:val="bottom"/>
          </w:tcPr>
          <w:p>
            <w:pPr>
              <w:spacing w:after="0"/>
              <w:rPr>
                <w:sz w:val="17"/>
                <w:szCs w:val="17"/>
                <w:color w:val="auto"/>
              </w:rPr>
            </w:pPr>
          </w:p>
        </w:tc>
        <w:tc>
          <w:tcPr>
            <w:tcW w:w="25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remaining available for</w:t>
            </w: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outstanding options,</w:t>
            </w:r>
          </w:p>
        </w:tc>
        <w:tc>
          <w:tcPr>
            <w:tcW w:w="10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warrants and</w:t>
            </w:r>
          </w:p>
        </w:tc>
        <w:tc>
          <w:tcPr>
            <w:tcW w:w="100" w:type="dxa"/>
            <w:vAlign w:val="bottom"/>
          </w:tcPr>
          <w:p>
            <w:pPr>
              <w:spacing w:after="0"/>
              <w:rPr>
                <w:sz w:val="17"/>
                <w:szCs w:val="17"/>
                <w:color w:val="auto"/>
              </w:rPr>
            </w:pPr>
          </w:p>
        </w:tc>
        <w:tc>
          <w:tcPr>
            <w:tcW w:w="25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future issuance under</w:t>
            </w:r>
          </w:p>
        </w:tc>
      </w:tr>
      <w:tr>
        <w:trPr>
          <w:trHeight w:val="221"/>
        </w:trPr>
        <w:tc>
          <w:tcPr>
            <w:tcW w:w="20" w:type="dxa"/>
            <w:vAlign w:val="bottom"/>
          </w:tcPr>
          <w:p>
            <w:pPr>
              <w:spacing w:after="0"/>
              <w:rPr>
                <w:sz w:val="19"/>
                <w:szCs w:val="19"/>
                <w:color w:val="auto"/>
              </w:rPr>
            </w:pPr>
          </w:p>
        </w:tc>
        <w:tc>
          <w:tcPr>
            <w:tcW w:w="2620" w:type="dxa"/>
            <w:vAlign w:val="bottom"/>
          </w:tcPr>
          <w:p>
            <w:pPr>
              <w:ind w:left="720"/>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8"/>
              </w:rPr>
              <w:t>warrants and rights</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5"/>
              </w:rPr>
              <w:t>rights</w:t>
            </w:r>
          </w:p>
        </w:tc>
        <w:tc>
          <w:tcPr>
            <w:tcW w:w="26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7"/>
              </w:rPr>
              <w:t>equity compensation plans</w:t>
            </w:r>
          </w:p>
        </w:tc>
      </w:tr>
      <w:tr>
        <w:trPr>
          <w:trHeight w:val="199"/>
        </w:trPr>
        <w:tc>
          <w:tcPr>
            <w:tcW w:w="20" w:type="dxa"/>
            <w:vAlign w:val="bottom"/>
          </w:tcPr>
          <w:p>
            <w:pPr>
              <w:spacing w:after="0"/>
              <w:rPr>
                <w:sz w:val="17"/>
                <w:szCs w:val="17"/>
                <w:color w:val="auto"/>
              </w:rPr>
            </w:pPr>
          </w:p>
        </w:tc>
        <w:tc>
          <w:tcPr>
            <w:tcW w:w="26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w:t>
            </w:r>
          </w:p>
        </w:tc>
        <w:tc>
          <w:tcPr>
            <w:tcW w:w="12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6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approved by security holders</w:t>
            </w:r>
          </w:p>
        </w:tc>
        <w:tc>
          <w:tcPr>
            <w:tcW w:w="2180" w:type="dxa"/>
            <w:vAlign w:val="bottom"/>
            <w:gridSpan w:val="2"/>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3,163,125</w:t>
            </w:r>
          </w:p>
        </w:tc>
        <w:tc>
          <w:tcPr>
            <w:tcW w:w="1840" w:type="dxa"/>
            <w:vAlign w:val="bottom"/>
            <w:gridSpan w:val="2"/>
            <w:shd w:val="clear" w:color="auto" w:fill="CCEEFF"/>
          </w:tcPr>
          <w:p>
            <w:pPr>
              <w:jc w:val="center"/>
              <w:spacing w:after="0" w:line="200" w:lineRule="exact"/>
              <w:rPr>
                <w:sz w:val="20"/>
                <w:szCs w:val="20"/>
                <w:color w:val="auto"/>
              </w:rPr>
            </w:pPr>
            <w:r>
              <w:rPr>
                <w:rFonts w:ascii="Arial" w:cs="Arial" w:eastAsia="Arial" w:hAnsi="Arial"/>
                <w:sz w:val="18"/>
                <w:szCs w:val="18"/>
                <w:color w:val="auto"/>
                <w:w w:val="98"/>
              </w:rPr>
              <w:t>$20.13</w:t>
            </w:r>
          </w:p>
        </w:tc>
        <w:tc>
          <w:tcPr>
            <w:tcW w:w="2380" w:type="dxa"/>
            <w:vAlign w:val="bottom"/>
            <w:gridSpan w:val="2"/>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1,562,395</w:t>
            </w:r>
          </w:p>
        </w:tc>
        <w:tc>
          <w:tcPr>
            <w:tcW w:w="22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4"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10% of our common stock to file reports of ownership and changes in ownership with the SEC. Executive officers, Directors and greater than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2015.</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employees remains competitive relative to the compensation paid to similarly situated executives of our peer companies.</w:t>
      </w:r>
    </w:p>
    <w:p>
      <w:pPr>
        <w:spacing w:after="0" w:line="21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To achieve these objectives, we generally believe executive compensation packages should include both cash and equity-based compensation that rewards performance as measured against established goals.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1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governance practices</w:t>
      </w:r>
    </w:p>
    <w:p>
      <w:pPr>
        <w:spacing w:after="0" w:line="211" w:lineRule="exact"/>
        <w:rPr>
          <w:rFonts w:ascii="Arial" w:cs="Arial" w:eastAsia="Arial" w:hAnsi="Arial"/>
          <w:sz w:val="18"/>
          <w:szCs w:val="18"/>
          <w:color w:val="auto"/>
        </w:rPr>
      </w:pPr>
    </w:p>
    <w:p>
      <w:pPr>
        <w:ind w:left="1080" w:right="160" w:hanging="532"/>
        <w:spacing w:after="0" w:line="23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programs for our Chief Executive Officer, Chief Financial Officer and three other most highly compensated executive officers in 2015 ("Named Executive Officers")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our Named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spacing w:after="0"/>
              <w:rPr>
                <w:sz w:val="20"/>
                <w:szCs w:val="20"/>
                <w:color w:val="auto"/>
              </w:rPr>
            </w:pPr>
            <w:r>
              <w:rPr>
                <w:rFonts w:ascii="Arial" w:cs="Arial" w:eastAsia="Arial" w:hAnsi="Arial"/>
                <w:sz w:val="18"/>
                <w:szCs w:val="18"/>
                <w:color w:val="auto"/>
              </w:rPr>
              <w:t>Our Named Executive Officers for 2015 are:</w:t>
            </w:r>
          </w:p>
        </w:tc>
        <w:tc>
          <w:tcPr>
            <w:tcW w:w="2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407"/>
        </w:trPr>
        <w:tc>
          <w:tcPr>
            <w:tcW w:w="1160" w:type="dxa"/>
            <w:vAlign w:val="bottom"/>
          </w:tcPr>
          <w:p>
            <w:pPr>
              <w:spacing w:after="0"/>
              <w:rPr>
                <w:sz w:val="24"/>
                <w:szCs w:val="24"/>
                <w:color w:val="auto"/>
              </w:rPr>
            </w:pPr>
          </w:p>
        </w:tc>
        <w:tc>
          <w:tcPr>
            <w:tcW w:w="25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632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Position</w:t>
            </w:r>
          </w:p>
        </w:tc>
      </w:tr>
      <w:tr>
        <w:trPr>
          <w:trHeight w:val="196"/>
        </w:trPr>
        <w:tc>
          <w:tcPr>
            <w:tcW w:w="1160" w:type="dxa"/>
            <w:vAlign w:val="bottom"/>
          </w:tcPr>
          <w:p>
            <w:pPr>
              <w:spacing w:after="0"/>
              <w:rPr>
                <w:sz w:val="17"/>
                <w:szCs w:val="17"/>
                <w:color w:val="auto"/>
              </w:rPr>
            </w:pPr>
          </w:p>
        </w:tc>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65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Chief Executive Officer</w:t>
            </w:r>
          </w:p>
        </w:tc>
      </w:tr>
      <w:tr>
        <w:trPr>
          <w:trHeight w:val="203"/>
        </w:trPr>
        <w:tc>
          <w:tcPr>
            <w:tcW w:w="3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Kevin J. Wilcox</w:t>
            </w:r>
          </w:p>
        </w:tc>
        <w:tc>
          <w:tcPr>
            <w:tcW w:w="6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Administration Officer</w:t>
            </w:r>
          </w:p>
        </w:tc>
      </w:tr>
      <w:tr>
        <w:trPr>
          <w:trHeight w:val="203"/>
        </w:trPr>
        <w:tc>
          <w:tcPr>
            <w:tcW w:w="116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Michelle D. Esterman</w:t>
            </w:r>
          </w:p>
        </w:tc>
        <w:tc>
          <w:tcPr>
            <w:tcW w:w="6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Joseph A. Davila</w:t>
            </w:r>
          </w:p>
        </w:tc>
        <w:tc>
          <w:tcPr>
            <w:tcW w:w="6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President, Mortgage Services</w:t>
            </w:r>
          </w:p>
        </w:tc>
      </w:tr>
      <w:tr>
        <w:trPr>
          <w:trHeight w:val="203"/>
        </w:trPr>
        <w:tc>
          <w:tcPr>
            <w:tcW w:w="116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Gregory J. Ritts</w:t>
            </w:r>
          </w:p>
        </w:tc>
        <w:tc>
          <w:tcPr>
            <w:tcW w:w="6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Counsel</w:t>
            </w:r>
          </w:p>
        </w:tc>
      </w:tr>
      <w:tr>
        <w:trPr>
          <w:trHeight w:val="43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Compensation Governance Practices</w:t>
            </w:r>
          </w:p>
        </w:tc>
        <w:tc>
          <w:tcPr>
            <w:tcW w:w="220" w:type="dxa"/>
            <w:vAlign w:val="bottom"/>
          </w:tcPr>
          <w:p>
            <w:pPr>
              <w:spacing w:after="0"/>
              <w:rPr>
                <w:sz w:val="24"/>
                <w:szCs w:val="24"/>
                <w:color w:val="auto"/>
              </w:rPr>
            </w:pPr>
          </w:p>
        </w:tc>
        <w:tc>
          <w:tcPr>
            <w:tcW w:w="6320" w:type="dxa"/>
            <w:vAlign w:val="bottom"/>
          </w:tcPr>
          <w:p>
            <w:pPr>
              <w:spacing w:after="0"/>
              <w:rPr>
                <w:sz w:val="24"/>
                <w:szCs w:val="24"/>
                <w:color w:val="auto"/>
              </w:rPr>
            </w:pPr>
          </w:p>
        </w:tc>
      </w:tr>
    </w:tbl>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compensation program maintains and continues to build upon the Company's compensation governance framework, as demonstrated by the following practices:</w:t>
      </w:r>
    </w:p>
    <w:p>
      <w:pPr>
        <w:spacing w:after="0" w:line="209" w:lineRule="exact"/>
        <w:rPr>
          <w:sz w:val="20"/>
          <w:szCs w:val="20"/>
          <w:color w:val="auto"/>
        </w:rPr>
      </w:pPr>
    </w:p>
    <w:p>
      <w:pPr>
        <w:ind w:left="1080" w:hanging="532"/>
        <w:spacing w:after="0" w:line="273"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Performance-based Compensation</w:t>
      </w:r>
      <w:r>
        <w:rPr>
          <w:rFonts w:ascii="Arial" w:cs="Arial" w:eastAsia="Arial" w:hAnsi="Arial"/>
          <w:sz w:val="16"/>
          <w:szCs w:val="16"/>
          <w:color w:val="auto"/>
        </w:rPr>
        <w:t>. Pay is closely linked to performance. Our 2015 incentive cash compensation awards make up a significant portion of the cash compensation for each of our Named Executive Officers, including the majority of the compensation for our Chief Executive Officer and Chief Administration Officer, and are based on financial goals (e.g., service revenue, pre-tax income and/or earnings per share targets), strategic initiatives and individual performance goals. In addition, each of our Named Executive Officers has received performance-based stock option awards upon joining and/or during his or her tenure with the Company.</w:t>
      </w:r>
    </w:p>
    <w:p>
      <w:pPr>
        <w:spacing w:after="0" w:line="169" w:lineRule="exact"/>
        <w:rPr>
          <w:rFonts w:ascii="Arial" w:cs="Arial" w:eastAsia="Arial" w:hAnsi="Arial"/>
          <w:sz w:val="16"/>
          <w:szCs w:val="16"/>
          <w:color w:val="auto"/>
        </w:rPr>
      </w:pPr>
    </w:p>
    <w:p>
      <w:pPr>
        <w:ind w:left="1080" w:right="86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Independent Compensation Consultant</w:t>
      </w:r>
      <w:r>
        <w:rPr>
          <w:rFonts w:ascii="Arial" w:cs="Arial" w:eastAsia="Arial" w:hAnsi="Arial"/>
          <w:sz w:val="18"/>
          <w:szCs w:val="18"/>
          <w:color w:val="auto"/>
        </w:rPr>
        <w:t>. We use an independent compensation consultant to review, analyze and provide recommendations regarding executive compensation.</w:t>
      </w:r>
    </w:p>
    <w:p>
      <w:pPr>
        <w:spacing w:after="0" w:line="208" w:lineRule="exact"/>
        <w:rPr>
          <w:rFonts w:ascii="Arial" w:cs="Arial" w:eastAsia="Arial" w:hAnsi="Arial"/>
          <w:sz w:val="18"/>
          <w:szCs w:val="18"/>
          <w:color w:val="auto"/>
        </w:rPr>
      </w:pPr>
    </w:p>
    <w:p>
      <w:pPr>
        <w:jc w:val="both"/>
        <w:ind w:left="1080" w:right="360" w:hanging="532"/>
        <w:spacing w:after="0" w:line="23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With respect to equity grants made after January 1, 2013, we have the right to cancel outstanding equity awards and recover realized gains if an executive breaches certain restrictive covenants within two years following his departure from the Company.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Golden Parachute Excise Tax Protection</w:t>
      </w:r>
      <w:r>
        <w:rPr>
          <w:rFonts w:ascii="Arial" w:cs="Arial" w:eastAsia="Arial" w:hAnsi="Arial"/>
          <w:sz w:val="18"/>
          <w:szCs w:val="18"/>
          <w:color w:val="auto"/>
        </w:rPr>
        <w:t>. We do not provide golden parachute excise tax gross-up protection for our executives.</w:t>
      </w:r>
    </w:p>
    <w:p>
      <w:pPr>
        <w:spacing w:after="0" w:line="211"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Insider Trading Policy</w:t>
      </w:r>
      <w:r>
        <w:rPr>
          <w:rFonts w:ascii="Arial" w:cs="Arial" w:eastAsia="Arial" w:hAnsi="Arial"/>
          <w:sz w:val="18"/>
          <w:szCs w:val="18"/>
          <w:color w:val="auto"/>
        </w:rPr>
        <w:t>. Our Insider Trading policy prohibits Company personnel, including our Named Executive Officers, and our Directors from engaging in any short-term, speculative securities transactions, including purchasing securities on margin, engaging in short sales, buying or selling put or call options and trading in options (other than those granted by the Company).</w:t>
      </w:r>
    </w:p>
    <w:p>
      <w:pPr>
        <w:spacing w:after="0" w:line="194" w:lineRule="exact"/>
        <w:rPr>
          <w:rFonts w:ascii="Arial" w:cs="Arial" w:eastAsia="Arial" w:hAnsi="Arial"/>
          <w:sz w:val="18"/>
          <w:szCs w:val="18"/>
          <w:color w:val="auto"/>
        </w:rPr>
      </w:pPr>
    </w:p>
    <w:p>
      <w:pPr>
        <w:ind w:left="1080" w:right="40" w:hanging="532"/>
        <w:spacing w:after="0" w:line="23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Claw-back and Anti-Hedging Policies</w:t>
      </w:r>
      <w:r>
        <w:rPr>
          <w:rFonts w:ascii="Arial" w:cs="Arial" w:eastAsia="Arial" w:hAnsi="Arial"/>
          <w:sz w:val="18"/>
          <w:szCs w:val="18"/>
          <w:color w:val="auto"/>
        </w:rPr>
        <w:t>. The SEC is in the process of adopting final rules that would require companies to disclose in their proxy statements whether employees, including officers and directors, may hedge their companies' securities, and to adopt policies to recoup, or "claw-back," certain incentive-based compensation paid to executive officers in connection with an accounting restatement. Altisource intends to adopt appropriate anti-hedging and claw-back policies as soon as practicable once such final rules are in place.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executives are involved in the design and implementation of our executive compensation programs. Our Chief Executive Officer and Chief Administration Officer generally attend Compensation Committee meetings, except that such executive officers are not present during any voting or deliberations on their own compensation. These executives actively participate in performance reviews and compensation discussions for our executive officers, including making recommendations to the Compensation Committee as to the amount and form of compensation (other than their own). The Committee exercises its discretion in accepting, rejecting and/or modifying any such executive compensation recommendations; however, executive compensation matters are generally delegated to the Chief Executive Officer and the Chief Administration Officer for development and execution. Please see "Equity Incentive Plan" for information relating to the authority delegated by the Compensation Committee to these executive officers to approve stock option awards within certain limits.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Pursuant to its authority to retain independent counsel or other advisers as it deems necessary, the Compensation Committee has entered into an agreement with Exequity to provide compensation consulting services to the Compensation Committee as needed from time to time, pursuant to individual engagements. These services assist the Compensation Committee in making decisions on pay that are informed by marketplace practices. With the consent of the Compensation Committee or the Compensation Committee Chairman, Exequity coordinates with the human resources function to gather information necessary to provide these services and reviews, validates and provides input on information, programs and recommendations.</w:t>
      </w:r>
    </w:p>
    <w:p>
      <w:pPr>
        <w:spacing w:after="0" w:line="21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 previously disclosed, in the first quarter of 2014, the Compensation Committee engaged Exequity to assist in conducting an analysis to ensure that Altisource's peer group for any future compensation benchmarking consists of the most appropriate benchmark companies. As part of this analysis, Exequity reviewed and provided research related to appropriate peer group companies for Altisource, taking into consideration many factors, including industry, company size (based on revenues, market capitalization and number of employees), recent growth, similarities in product and service offerings, financial results and operational complexity.</w:t>
      </w:r>
    </w:p>
    <w:p>
      <w:pPr>
        <w:spacing w:after="0" w:line="21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2015 and early 2016, the Compensation Committee and Exequity reviewed the peer group to determine if adjustments were necessary to provide appropriate information on market practices and executive and Director compensation levels. As a result of such reviews, Lender Processing Services, Inc. and iGate Corporation were removed from the peer group due to their having been acquired and no longer being listed companies. PennyMac Financial Services, Inc. and Black Knight Financial Services, Inc. were added to the peer group.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resulting group of 18 peer companies is as follows:</w:t>
      </w:r>
    </w:p>
    <w:p>
      <w:pPr>
        <w:spacing w:after="0" w:line="21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CoreLogic,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Equifax, Inc.</w:t>
      </w:r>
    </w:p>
    <w:p>
      <w:pPr>
        <w:ind w:left="1080" w:hanging="532"/>
        <w:spacing w:after="0" w:line="23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ExlService Holdings, Inc.</w:t>
      </w: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FleetCor Technologies,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Genpact Ltd.</w:t>
      </w:r>
    </w:p>
    <w:p>
      <w:pPr>
        <w:ind w:left="1080" w:hanging="532"/>
        <w:spacing w:after="0" w:line="23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Nationstar Mortgage Holdings, Inc.</w:t>
      </w: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Virtusa Corp.</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WEX, Inc.</w:t>
      </w:r>
    </w:p>
    <w:p>
      <w:pPr>
        <w:ind w:left="1080" w:hanging="532"/>
        <w:spacing w:after="0" w:line="23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Cash Access Holdings, Inc.</w:t>
      </w: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Heartland Payment Systems,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Jack Henry &amp; Associates Inc.</w:t>
      </w:r>
    </w:p>
    <w:p>
      <w:pPr>
        <w:ind w:left="1080" w:hanging="532"/>
        <w:spacing w:after="0" w:line="23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PRGX Global, Inc.</w:t>
      </w: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Stewart Information Services Corp.</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Sykes Enterprises, Inc.</w:t>
      </w: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Syntel,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Walter Investment Management Corp.</w:t>
      </w:r>
    </w:p>
    <w:p>
      <w:pPr>
        <w:ind w:left="1080" w:hanging="532"/>
        <w:spacing w:after="0" w:line="23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PennyMac Financial Services, Inc.</w:t>
      </w: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Black Knight Financial Services, Inc.</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 further the objectives of our compensation program, our Compensation Committee conducted an analysis of the compensation levels of our Directors in 2015 and in the first quarter of 2016, with the assistance of Exequity. As part of the analysis, Exequity reviewed compensation trends and "best practices" in Director compensation among the peer group companies. Compensation data and other resources provided by Exequity set the foundation for the Committee's review and analysis of Director compensation levels.</w:t>
      </w:r>
    </w:p>
    <w:p>
      <w:pPr>
        <w:spacing w:after="0" w:line="20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Utilizing a similar analysis, the Compensation Committee also reviewed the compensation levels for our Chief Financial Officer in the first quarter of 2015.</w:t>
      </w:r>
    </w:p>
    <w:p>
      <w:pPr>
        <w:spacing w:after="0" w:line="209" w:lineRule="exact"/>
        <w:rPr>
          <w:sz w:val="20"/>
          <w:szCs w:val="20"/>
          <w:color w:val="auto"/>
        </w:rPr>
      </w:pPr>
    </w:p>
    <w:p>
      <w:pPr>
        <w:ind w:right="860"/>
        <w:spacing w:after="0" w:line="299" w:lineRule="auto"/>
        <w:rPr>
          <w:sz w:val="20"/>
          <w:szCs w:val="20"/>
          <w:color w:val="auto"/>
        </w:rPr>
      </w:pPr>
      <w:r>
        <w:rPr>
          <w:rFonts w:ascii="Arial" w:cs="Arial" w:eastAsia="Arial" w:hAnsi="Arial"/>
          <w:sz w:val="16"/>
          <w:szCs w:val="16"/>
          <w:color w:val="auto"/>
        </w:rPr>
        <w:t>Based on its consideration of the various factors as set forth in SEC rules and NASDAQ listing standards, the Compensation Committee determined that Exequity is independent and that the engagement of Exequity by the Company raises no conflict of interest.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required by Luxembourg law, Altisource has entered into employment agreements with each of our Named Executive Officers. The employment terms continue indefinitely until the executive's separation from the Company.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below for additional details.</w:t>
      </w:r>
    </w:p>
    <w:p>
      <w:pPr>
        <w:spacing w:after="0" w:line="21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time periods set forth in article L.124-1 of the Luxembourg Labor Code. In the event of the executive's termination by the Company for "Cause" ("</w:t>
      </w:r>
      <w:r>
        <w:rPr>
          <w:rFonts w:ascii="Arial" w:cs="Arial" w:eastAsia="Arial" w:hAnsi="Arial"/>
          <w:sz w:val="18"/>
          <w:szCs w:val="18"/>
          <w:i w:val="1"/>
          <w:iCs w:val="1"/>
          <w:color w:val="auto"/>
        </w:rPr>
        <w:t>motifs graves</w:t>
      </w:r>
      <w:r>
        <w:rPr>
          <w:rFonts w:ascii="Arial" w:cs="Arial" w:eastAsia="Arial" w:hAnsi="Arial"/>
          <w:sz w:val="18"/>
          <w:szCs w:val="18"/>
          <w:color w:val="auto"/>
        </w:rPr>
        <w:t>"), no notice period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Labor Code upon certain terminations.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agreements also include a covenant to maintain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by and in accordance with the laws of the Grand Duchy of Luxembourg.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Annual Compensation</w:t>
      </w:r>
    </w:p>
    <w:p>
      <w:pPr>
        <w:spacing w:after="0" w:line="23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The current annual compensation package for our Named Executive Officers consists of base salary and annual cash incentive compensation. This compensation structure was developed in order to provide each Named Executive Officer with a competitive salary while emphasizing an incentive compensation element that is tied to the achievement of financial goals and strategic initiatives as well as individual performance. We believe that the elements of compensation discussed below are appropriate in light of our performance, industry, strategic initiatives and environment.</w:t>
      </w:r>
    </w:p>
    <w:p>
      <w:pPr>
        <w:spacing w:after="0" w:line="21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Long-term incentive awards may also be granted on a periodic basis separately from the annual compensation process to assist with the retention of our Named Executive Officers and to align the interests of these executives with the interests of our shareholders. Please see the "Equity Incentive Plan" section below for additional information relating to such awards.</w:t>
      </w:r>
    </w:p>
    <w:p>
      <w:pPr>
        <w:spacing w:after="0" w:line="188"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Base salaries for our Named Executive Officers are established based on individual qualifications and job responsibilities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taking into account compensation levels at companies in our peer group for similar positions. The Compensation Committee sets the base salary for the Chief Executive Officer and approves the base salaries for all other Named Executive Officers.</w:t>
      </w:r>
    </w:p>
    <w:p>
      <w:pPr>
        <w:spacing w:after="0" w:line="20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Base salaries for our Named Executive Officers are reviewed periodically with adjustments made based on market information, internal review of the Named Executive Officer's compensation in relation to other officers, individual performance of the executive officer and corporate performance. Salary levels are also considered upon a relocation, a promotion or other change in job responsibility. Salary adjustment recommendations are based on our overall performance and an analysis of compensation levels necessary to maintain and attract quality personnel. Please see "Compensation Increases for Certain Named Executive Officers" for a discussion of salary increases for certain of our Named Executive Officers.</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Additionally, under Luxembourg law, all salaries are required to be adapted based upon the cost of living index in the Grand Duchy of Luxembourg. The last increase in Luxembourg salaries pursuant to this law occurred in October 2013. There was no required increase in salaries in 2014 or 2015.</w:t>
      </w:r>
    </w:p>
    <w:p>
      <w:pPr>
        <w:spacing w:after="0" w:line="208"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Base salaries for our Named Executive Officers are set in U.S. dollars and paid in euros. Please see the Summary Compensation Table under "Executive Compensation" for additional information.</w:t>
      </w:r>
    </w:p>
    <w:p>
      <w:pPr>
        <w:spacing w:after="0" w:line="18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 xml:space="preserve">2015 Annual Non-equity Incentive Compensation. </w:t>
      </w:r>
      <w:r>
        <w:rPr>
          <w:rFonts w:ascii="Arial" w:cs="Arial" w:eastAsia="Arial" w:hAnsi="Arial"/>
          <w:sz w:val="18"/>
          <w:szCs w:val="18"/>
          <w:color w:val="auto"/>
        </w:rPr>
        <w:t>Pursuant to an annual incentive plan, a participant can earn cash incentive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determined by the Compensation Committee. The plan provides the Compensation Committee and our management with the authority to establish incentive award guidelines which are further discussed below.</w:t>
      </w: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Each Named Executive Officer has a targeted annual cash incentive award that is expressed as a percentage of his or her annual cash total target compensation. Incentive compensation awards make up a significant portion of the annual cash compensation for each of our Named Executive Officers, including the majority of the compensation for our Chief Executive Officer and Chief Administration Officer. In 2015, 35%–60% of total annual cash target compensation was payable only upon achievement of certain minimum Company and individual performance levels. The appropriate targeted percentage typically varies based upon the nature and scope of each Named Executive Officer's responsibilities.</w:t>
      </w:r>
    </w:p>
    <w:p>
      <w:pPr>
        <w:spacing w:after="0" w:line="183"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table below reflects the percentage of each Named Executive Officer's target total annual cash compensation that was allocated to each of base salary and incentive compensation in 2015 and the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percentage of each Named Executive Officer's actual total annual cash compensation that was allocated to each of base salary and incentive compensation in 2015:</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7"/>
              </w:rPr>
              <w:t>Incentive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Incentive</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Base Salary %</w:t>
            </w:r>
          </w:p>
        </w:tc>
        <w:tc>
          <w:tcPr>
            <w:tcW w:w="1640" w:type="dxa"/>
            <w:vAlign w:val="bottom"/>
            <w:gridSpan w:val="2"/>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Compensation %</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Base Salary %</w:t>
            </w:r>
          </w:p>
        </w:tc>
        <w:tc>
          <w:tcPr>
            <w:tcW w:w="1880" w:type="dxa"/>
            <w:vAlign w:val="bottom"/>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97"/>
              </w:rPr>
              <w:t>Compensation %</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of Target Total</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of Target Total</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Actual Total</w:t>
            </w:r>
          </w:p>
        </w:tc>
        <w:tc>
          <w:tcPr>
            <w:tcW w:w="220" w:type="dxa"/>
            <w:vAlign w:val="bottom"/>
          </w:tcPr>
          <w:p>
            <w:pPr>
              <w:spacing w:after="0"/>
              <w:rPr>
                <w:sz w:val="17"/>
                <w:szCs w:val="17"/>
                <w:color w:val="auto"/>
              </w:rPr>
            </w:pPr>
          </w:p>
        </w:tc>
        <w:tc>
          <w:tcPr>
            <w:tcW w:w="16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of Actual Total</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Annual Cash</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Annual Cash</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Annual Cash</w:t>
            </w:r>
          </w:p>
        </w:tc>
        <w:tc>
          <w:tcPr>
            <w:tcW w:w="220" w:type="dxa"/>
            <w:vAlign w:val="bottom"/>
          </w:tcPr>
          <w:p>
            <w:pPr>
              <w:spacing w:after="0"/>
              <w:rPr>
                <w:sz w:val="17"/>
                <w:szCs w:val="17"/>
                <w:color w:val="auto"/>
              </w:rPr>
            </w:pPr>
          </w:p>
        </w:tc>
        <w:tc>
          <w:tcPr>
            <w:tcW w:w="16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Annual Cash</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80" w:type="dxa"/>
            <w:vAlign w:val="bottom"/>
            <w:gridSpan w:val="2"/>
          </w:tcPr>
          <w:p>
            <w:pPr>
              <w:jc w:val="center"/>
              <w:ind w:left="1132"/>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440" w:type="dxa"/>
            <w:vAlign w:val="bottom"/>
            <w:gridSpan w:val="2"/>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220" w:type="dxa"/>
            <w:vAlign w:val="bottom"/>
          </w:tcPr>
          <w:p>
            <w:pPr>
              <w:spacing w:after="0"/>
              <w:rPr>
                <w:sz w:val="17"/>
                <w:szCs w:val="17"/>
                <w:color w:val="auto"/>
              </w:rPr>
            </w:pPr>
          </w:p>
        </w:tc>
        <w:tc>
          <w:tcPr>
            <w:tcW w:w="16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Compensation</w:t>
            </w:r>
          </w:p>
        </w:tc>
      </w:tr>
      <w:tr>
        <w:trPr>
          <w:trHeight w:val="221"/>
        </w:trPr>
        <w:tc>
          <w:tcPr>
            <w:tcW w:w="20" w:type="dxa"/>
            <w:vAlign w:val="bottom"/>
          </w:tcPr>
          <w:p>
            <w:pPr>
              <w:spacing w:after="0"/>
              <w:rPr>
                <w:sz w:val="19"/>
                <w:szCs w:val="19"/>
                <w:color w:val="auto"/>
              </w:rPr>
            </w:pPr>
          </w:p>
        </w:tc>
        <w:tc>
          <w:tcPr>
            <w:tcW w:w="18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2015</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2015</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 2015</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2015</w:t>
            </w:r>
          </w:p>
        </w:tc>
        <w:tc>
          <w:tcPr>
            <w:tcW w:w="2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2480" w:type="dxa"/>
            <w:vAlign w:val="bottom"/>
            <w:gridSpan w:val="2"/>
            <w:shd w:val="clear" w:color="auto" w:fill="CCEEFF"/>
          </w:tcPr>
          <w:p>
            <w:pPr>
              <w:jc w:val="center"/>
              <w:ind w:left="1152"/>
              <w:spacing w:after="0" w:line="196" w:lineRule="exact"/>
              <w:rPr>
                <w:sz w:val="20"/>
                <w:szCs w:val="20"/>
                <w:color w:val="auto"/>
              </w:rPr>
            </w:pPr>
            <w:r>
              <w:rPr>
                <w:rFonts w:ascii="Arial" w:cs="Arial" w:eastAsia="Arial" w:hAnsi="Arial"/>
                <w:sz w:val="18"/>
                <w:szCs w:val="18"/>
                <w:color w:val="auto"/>
                <w:w w:val="99"/>
              </w:rPr>
              <w:t>40%</w:t>
            </w:r>
          </w:p>
        </w:tc>
        <w:tc>
          <w:tcPr>
            <w:tcW w:w="1640" w:type="dxa"/>
            <w:vAlign w:val="bottom"/>
            <w:gridSpan w:val="2"/>
            <w:shd w:val="clear" w:color="auto" w:fill="CCEEFF"/>
          </w:tcPr>
          <w:p>
            <w:pPr>
              <w:jc w:val="center"/>
              <w:ind w:left="112"/>
              <w:spacing w:after="0" w:line="196" w:lineRule="exact"/>
              <w:rPr>
                <w:sz w:val="20"/>
                <w:szCs w:val="20"/>
                <w:color w:val="auto"/>
              </w:rPr>
            </w:pPr>
            <w:r>
              <w:rPr>
                <w:rFonts w:ascii="Arial" w:cs="Arial" w:eastAsia="Arial" w:hAnsi="Arial"/>
                <w:sz w:val="18"/>
                <w:szCs w:val="18"/>
                <w:color w:val="auto"/>
                <w:w w:val="99"/>
              </w:rPr>
              <w:t>60%</w:t>
            </w:r>
          </w:p>
        </w:tc>
        <w:tc>
          <w:tcPr>
            <w:tcW w:w="1440" w:type="dxa"/>
            <w:vAlign w:val="bottom"/>
            <w:gridSpan w:val="2"/>
            <w:shd w:val="clear" w:color="auto" w:fill="CCEEFF"/>
          </w:tcPr>
          <w:p>
            <w:pPr>
              <w:jc w:val="center"/>
              <w:ind w:left="132"/>
              <w:spacing w:after="0" w:line="196" w:lineRule="exact"/>
              <w:rPr>
                <w:sz w:val="20"/>
                <w:szCs w:val="20"/>
                <w:color w:val="auto"/>
              </w:rPr>
            </w:pPr>
            <w:r>
              <w:rPr>
                <w:rFonts w:ascii="Arial" w:cs="Arial" w:eastAsia="Arial" w:hAnsi="Arial"/>
                <w:sz w:val="18"/>
                <w:szCs w:val="18"/>
                <w:color w:val="auto"/>
                <w:w w:val="94"/>
              </w:rPr>
              <w:t>40%</w:t>
            </w:r>
          </w:p>
        </w:tc>
        <w:tc>
          <w:tcPr>
            <w:tcW w:w="1660" w:type="dxa"/>
            <w:vAlign w:val="bottom"/>
            <w:gridSpan w:val="2"/>
            <w:shd w:val="clear" w:color="auto" w:fill="CCEEFF"/>
          </w:tcPr>
          <w:p>
            <w:pPr>
              <w:jc w:val="center"/>
              <w:ind w:left="112"/>
              <w:spacing w:after="0" w:line="196" w:lineRule="exact"/>
              <w:rPr>
                <w:sz w:val="20"/>
                <w:szCs w:val="20"/>
                <w:color w:val="auto"/>
              </w:rPr>
            </w:pPr>
            <w:r>
              <w:rPr>
                <w:rFonts w:ascii="Arial" w:cs="Arial" w:eastAsia="Arial" w:hAnsi="Arial"/>
                <w:sz w:val="18"/>
                <w:szCs w:val="18"/>
                <w:color w:val="auto"/>
                <w:w w:val="94"/>
              </w:rPr>
              <w:t>60%</w:t>
            </w:r>
          </w:p>
        </w:tc>
        <w:tc>
          <w:tcPr>
            <w:tcW w:w="220" w:type="dxa"/>
            <w:vAlign w:val="bottom"/>
            <w:shd w:val="clear" w:color="auto" w:fill="CCEEFF"/>
          </w:tcPr>
          <w:p>
            <w:pPr>
              <w:spacing w:after="0"/>
              <w:rPr>
                <w:sz w:val="17"/>
                <w:szCs w:val="17"/>
                <w:color w:val="auto"/>
              </w:rPr>
            </w:pPr>
          </w:p>
        </w:tc>
      </w:tr>
      <w:tr>
        <w:trPr>
          <w:trHeight w:val="203"/>
        </w:trPr>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Kevin J. Wilcox</w:t>
            </w:r>
          </w:p>
        </w:tc>
        <w:tc>
          <w:tcPr>
            <w:tcW w:w="2480" w:type="dxa"/>
            <w:vAlign w:val="bottom"/>
            <w:gridSpan w:val="2"/>
          </w:tcPr>
          <w:p>
            <w:pPr>
              <w:jc w:val="center"/>
              <w:ind w:left="1152"/>
              <w:spacing w:after="0" w:line="202" w:lineRule="exact"/>
              <w:rPr>
                <w:sz w:val="20"/>
                <w:szCs w:val="20"/>
                <w:color w:val="auto"/>
              </w:rPr>
            </w:pPr>
            <w:r>
              <w:rPr>
                <w:rFonts w:ascii="Arial" w:cs="Arial" w:eastAsia="Arial" w:hAnsi="Arial"/>
                <w:sz w:val="18"/>
                <w:szCs w:val="18"/>
                <w:color w:val="auto"/>
                <w:w w:val="99"/>
              </w:rPr>
              <w:t>50%</w:t>
            </w:r>
          </w:p>
        </w:tc>
        <w:tc>
          <w:tcPr>
            <w:tcW w:w="164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50%</w:t>
            </w:r>
          </w:p>
        </w:tc>
        <w:tc>
          <w:tcPr>
            <w:tcW w:w="1440" w:type="dxa"/>
            <w:vAlign w:val="bottom"/>
            <w:gridSpan w:val="2"/>
          </w:tcPr>
          <w:p>
            <w:pPr>
              <w:jc w:val="center"/>
              <w:ind w:left="132"/>
              <w:spacing w:after="0" w:line="202" w:lineRule="exact"/>
              <w:rPr>
                <w:sz w:val="20"/>
                <w:szCs w:val="20"/>
                <w:color w:val="auto"/>
              </w:rPr>
            </w:pPr>
            <w:r>
              <w:rPr>
                <w:rFonts w:ascii="Arial" w:cs="Arial" w:eastAsia="Arial" w:hAnsi="Arial"/>
                <w:sz w:val="18"/>
                <w:szCs w:val="18"/>
                <w:color w:val="auto"/>
                <w:w w:val="94"/>
              </w:rPr>
              <w:t>49%</w:t>
            </w:r>
          </w:p>
        </w:tc>
        <w:tc>
          <w:tcPr>
            <w:tcW w:w="166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4"/>
              </w:rPr>
              <w:t>51%</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Michelle D. Esterman</w:t>
            </w:r>
          </w:p>
        </w:tc>
        <w:tc>
          <w:tcPr>
            <w:tcW w:w="2480" w:type="dxa"/>
            <w:vAlign w:val="bottom"/>
            <w:gridSpan w:val="2"/>
            <w:shd w:val="clear" w:color="auto" w:fill="CCEEFF"/>
          </w:tcPr>
          <w:p>
            <w:pPr>
              <w:jc w:val="center"/>
              <w:ind w:left="1152"/>
              <w:spacing w:after="0" w:line="202" w:lineRule="exact"/>
              <w:rPr>
                <w:sz w:val="20"/>
                <w:szCs w:val="20"/>
                <w:color w:val="auto"/>
              </w:rPr>
            </w:pPr>
            <w:r>
              <w:rPr>
                <w:rFonts w:ascii="Arial" w:cs="Arial" w:eastAsia="Arial" w:hAnsi="Arial"/>
                <w:sz w:val="18"/>
                <w:szCs w:val="18"/>
                <w:color w:val="auto"/>
                <w:w w:val="99"/>
              </w:rPr>
              <w:t>60%</w:t>
            </w:r>
          </w:p>
        </w:tc>
        <w:tc>
          <w:tcPr>
            <w:tcW w:w="164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40%</w:t>
            </w:r>
          </w:p>
        </w:tc>
        <w:tc>
          <w:tcPr>
            <w:tcW w:w="1440" w:type="dxa"/>
            <w:vAlign w:val="bottom"/>
            <w:gridSpan w:val="2"/>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4"/>
              </w:rPr>
              <w:t>56%</w:t>
            </w:r>
          </w:p>
        </w:tc>
        <w:tc>
          <w:tcPr>
            <w:tcW w:w="166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4"/>
              </w:rPr>
              <w:t>44%</w:t>
            </w:r>
          </w:p>
        </w:tc>
        <w:tc>
          <w:tcPr>
            <w:tcW w:w="220" w:type="dxa"/>
            <w:vAlign w:val="bottom"/>
            <w:shd w:val="clear" w:color="auto" w:fill="CCEEFF"/>
          </w:tcPr>
          <w:p>
            <w:pPr>
              <w:spacing w:after="0"/>
              <w:rPr>
                <w:sz w:val="17"/>
                <w:szCs w:val="17"/>
                <w:color w:val="auto"/>
              </w:rPr>
            </w:pPr>
          </w:p>
        </w:tc>
      </w:tr>
      <w:tr>
        <w:trPr>
          <w:trHeight w:val="203"/>
        </w:trPr>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Joseph A. Davila</w:t>
            </w:r>
          </w:p>
        </w:tc>
        <w:tc>
          <w:tcPr>
            <w:tcW w:w="2480" w:type="dxa"/>
            <w:vAlign w:val="bottom"/>
            <w:gridSpan w:val="2"/>
          </w:tcPr>
          <w:p>
            <w:pPr>
              <w:jc w:val="center"/>
              <w:ind w:left="1152"/>
              <w:spacing w:after="0" w:line="202" w:lineRule="exact"/>
              <w:rPr>
                <w:sz w:val="20"/>
                <w:szCs w:val="20"/>
                <w:color w:val="auto"/>
              </w:rPr>
            </w:pPr>
            <w:r>
              <w:rPr>
                <w:rFonts w:ascii="Arial" w:cs="Arial" w:eastAsia="Arial" w:hAnsi="Arial"/>
                <w:sz w:val="18"/>
                <w:szCs w:val="18"/>
                <w:color w:val="auto"/>
                <w:w w:val="99"/>
              </w:rPr>
              <w:t>57%</w:t>
            </w:r>
          </w:p>
        </w:tc>
        <w:tc>
          <w:tcPr>
            <w:tcW w:w="164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43%</w:t>
            </w:r>
          </w:p>
        </w:tc>
        <w:tc>
          <w:tcPr>
            <w:tcW w:w="144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56%</w:t>
            </w:r>
            <w:r>
              <w:rPr>
                <w:rFonts w:ascii="Arial" w:cs="Arial" w:eastAsia="Arial" w:hAnsi="Arial"/>
                <w:sz w:val="14"/>
                <w:szCs w:val="14"/>
                <w:color w:val="auto"/>
              </w:rPr>
              <w:t>(1)</w:t>
            </w:r>
          </w:p>
        </w:tc>
        <w:tc>
          <w:tcPr>
            <w:tcW w:w="166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44%</w:t>
            </w:r>
            <w:r>
              <w:rPr>
                <w:rFonts w:ascii="Arial" w:cs="Arial" w:eastAsia="Arial" w:hAnsi="Arial"/>
                <w:sz w:val="14"/>
                <w:szCs w:val="14"/>
                <w:color w:val="auto"/>
              </w:rPr>
              <w:t>(1)</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Gregory J. Ritts</w:t>
            </w:r>
          </w:p>
        </w:tc>
        <w:tc>
          <w:tcPr>
            <w:tcW w:w="2480" w:type="dxa"/>
            <w:vAlign w:val="bottom"/>
            <w:gridSpan w:val="2"/>
            <w:shd w:val="clear" w:color="auto" w:fill="CCEEFF"/>
          </w:tcPr>
          <w:p>
            <w:pPr>
              <w:jc w:val="center"/>
              <w:ind w:left="1152"/>
              <w:spacing w:after="0" w:line="202" w:lineRule="exact"/>
              <w:rPr>
                <w:sz w:val="20"/>
                <w:szCs w:val="20"/>
                <w:color w:val="auto"/>
              </w:rPr>
            </w:pPr>
            <w:r>
              <w:rPr>
                <w:rFonts w:ascii="Arial" w:cs="Arial" w:eastAsia="Arial" w:hAnsi="Arial"/>
                <w:sz w:val="18"/>
                <w:szCs w:val="18"/>
                <w:color w:val="auto"/>
                <w:w w:val="99"/>
              </w:rPr>
              <w:t>65%</w:t>
            </w:r>
          </w:p>
        </w:tc>
        <w:tc>
          <w:tcPr>
            <w:tcW w:w="164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35%</w:t>
            </w:r>
          </w:p>
        </w:tc>
        <w:tc>
          <w:tcPr>
            <w:tcW w:w="1440" w:type="dxa"/>
            <w:vAlign w:val="bottom"/>
            <w:gridSpan w:val="2"/>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4"/>
              </w:rPr>
              <w:t>58%</w:t>
            </w:r>
          </w:p>
        </w:tc>
        <w:tc>
          <w:tcPr>
            <w:tcW w:w="166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4"/>
              </w:rPr>
              <w:t>42%</w:t>
            </w:r>
          </w:p>
        </w:tc>
        <w:tc>
          <w:tcPr>
            <w:tcW w:w="22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left="1680" w:right="200" w:hanging="531"/>
        <w:spacing w:after="0" w:line="197" w:lineRule="auto"/>
        <w:tabs>
          <w:tab w:leader="none" w:pos="16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"Actual Incentive Compensation" used to calculate percentage includes one-time discretionary cash award of $72,000. Please see the "2015 Annual Incentive Compensation" section of the Compensation Discussion and Analysis for additional information regarding this award.</w:t>
      </w:r>
    </w:p>
    <w:p>
      <w:pPr>
        <w:spacing w:after="0" w:line="21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Board of Directors and is utilized by the Compensation Committee as a factor to determine the appropriate amount of incentive compensation to be paid to the Chief Executive Officer and other executive officers. During the development of the corporate scorecard each year, the Board considers the level of difficulty associated with the attainment of each goal in the scorecard. The intent of the Board is to establish the target goal at a level that is challenging to achieve. For 2015, our corporate scorecard was approved by the Board of Directors at its meeting on February 10, 2015. Certain amendments/exceptions to our corporate scorecard were approved by our Board at subsequent Board of Directors meetings. Typically, these amendment/exceptions reflect business changes that occur during the year where it makes business sense to adjust the goals.</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disclosed in the Company's proxy statement in connection with the Company's 2015 Annual Meeting of Shareholders, the corporate scorecard for 2015 included achieving a consolidated revenue target, achieving business segment specific revenue and pre-tax income targets and achieving an earnings per share target. In addition, the corporate scorecard provided for successful completion of strategic initiatives. We achieved the majority of our revenue targets and, excluding the fourth quarter 2015 non-cash impairment losses described below, the majority of our pre-tax income targets and the earnings per share target. We also achieved or exceeded the majority of the business segment specific revenue and pre-tax income targets and successfully completed many of the 2015 strategic initiatives established to enhance our ability to create long-term corporate and shareholder value. This has positioned the Company for long-term growth across all strategic initiatives.</w:t>
      </w:r>
    </w:p>
    <w:p>
      <w:pPr>
        <w:spacing w:after="0" w:line="20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incentive award for our Chief Executive Officer is based on: (i) the Company's performance versus the objectives established in the corporate scorecard (80%) and (ii) a performance appraisal (20%). The incentive awards of our other Named Executive Officers are based on:</w:t>
      </w:r>
    </w:p>
    <w:p>
      <w:pPr>
        <w:ind w:right="80" w:firstLine="8"/>
        <w:spacing w:after="0" w:line="238" w:lineRule="auto"/>
        <w:tabs>
          <w:tab w:leader="none" w:pos="2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within the corporate, business unit or support unit scorecard, as expressly assigned in each executive's scorecard (80%) and (ii) a performance appraisal (20%). Typically, 50% of the total incentive award opportunity for these executives is tied to the achievement of financial objectives.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Generally,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generally not entitle the executive to compensation for the associated goal.</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generally reviewed with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209" w:lineRule="exact"/>
        <w:rPr>
          <w:sz w:val="20"/>
          <w:szCs w:val="20"/>
          <w:color w:val="auto"/>
        </w:rPr>
      </w:pPr>
    </w:p>
    <w:p>
      <w:pPr>
        <w:jc w:val="both"/>
        <w:ind w:right="180"/>
        <w:spacing w:after="0" w:line="237" w:lineRule="auto"/>
        <w:rPr>
          <w:sz w:val="20"/>
          <w:szCs w:val="20"/>
          <w:color w:val="auto"/>
        </w:rPr>
      </w:pPr>
      <w:r>
        <w:rPr>
          <w:rFonts w:ascii="Arial" w:cs="Arial" w:eastAsia="Arial" w:hAnsi="Arial"/>
          <w:sz w:val="18"/>
          <w:szCs w:val="18"/>
          <w:color w:val="auto"/>
        </w:rPr>
        <w:t>In the fourth quarter of 2015, we recognized non-cash impairment losses of $71.8 million in our Technology Services segment primarily driven by our current projected Technology Services revenue from Ocwen and investment in technologies provided to Ocwen. These losses are composed of an estimated $55.7 million impairment of goodwill, $11.9 million impairment of intangible assets and $4.1 million impairment of software assets included in premises and equipment.</w:t>
      </w:r>
    </w:p>
    <w:p>
      <w:pPr>
        <w:spacing w:after="0" w:line="209"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While evaluating the achievement of goals and resulting incentive compensation levels, the Board and Compensation Committee determined to exclude the impact of the unbudgeted impairment losses rather than reducing incentive compensation for a majority of Corporate and Technology Services employees impacted by the impairment, in recognition of the significant progress made by the leadership team and these employees executing on the Company's strategic initiatives and positioning the Company for long-term growth across our strategic initiatives. The Compensation Committee further determined that the Chief Executive Officer, Chief Administration Officer and Chief Financial Officer should carry some of the burden of the non-cash impairment and reduced their otherwise payable annual incentive-based cash compensation by ten percent (10%). In approving such adjustments, the Compensation Committee reviewed the resulting compensation levels for each of these executive officers against their 2015 fiscal year performance, and determined that their incentive compensation for the 2015 fiscal year appropriately reflects their performance and the significant progress the Company made executing against its strategic initiatives. In addition, in making the decision to approve the adjustments, the Compensation Committee considered that the Board previously approved increases to the earnings goals to reflect unbudgeted material, non-cash gains. For example, management recommended and the Board approved increasing the pre-tax income and earnings per share goals by the amount of gain on the change in the fair value of the Equator earn out liability.</w:t>
      </w:r>
    </w:p>
    <w:p>
      <w:pPr>
        <w:spacing w:after="0" w:line="396"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Our corporate scorecard for 2015, as amended, and corresponding achievement levels are detailed below. Percentages indicated in the "Achieved" column represent the achievement against the goal. Strategic</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color w:val="auto"/>
        </w:rPr>
        <w:t>initiatives comprise multiple goals. The percentage achievements indicated against strategic initiatives represent the weighted average achievement against the goals: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Corporate Scorecard Elements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Element</w:t>
            </w:r>
          </w:p>
        </w:tc>
        <w:tc>
          <w:tcPr>
            <w:tcW w:w="80" w:type="dxa"/>
            <w:vAlign w:val="bottom"/>
            <w:tcBorders>
              <w:top w:val="single" w:sz="8" w:color="auto"/>
              <w:bottom w:val="single" w:sz="8" w:color="auto"/>
            </w:tcBorders>
            <w:vMerge w:val="restart"/>
          </w:tcPr>
          <w:p>
            <w:pPr>
              <w:spacing w:after="0"/>
              <w:rPr>
                <w:sz w:val="17"/>
                <w:szCs w:val="17"/>
                <w:color w:val="auto"/>
              </w:rPr>
            </w:pPr>
          </w:p>
        </w:tc>
        <w:tc>
          <w:tcPr>
            <w:tcW w:w="4360" w:type="dxa"/>
            <w:vAlign w:val="bottom"/>
            <w:tcBorders>
              <w:top w:val="single" w:sz="8" w:color="auto"/>
              <w:bottom w:val="single" w:sz="8" w:color="auto"/>
            </w:tcBorders>
            <w:gridSpan w:val="5"/>
          </w:tcPr>
          <w:p>
            <w:pPr>
              <w:jc w:val="right"/>
              <w:ind w:right="1132"/>
              <w:spacing w:after="0" w:line="196" w:lineRule="exact"/>
              <w:rPr>
                <w:sz w:val="20"/>
                <w:szCs w:val="20"/>
                <w:color w:val="auto"/>
              </w:rPr>
            </w:pPr>
            <w:r>
              <w:rPr>
                <w:rFonts w:ascii="Arial" w:cs="Arial" w:eastAsia="Arial" w:hAnsi="Arial"/>
                <w:sz w:val="18"/>
                <w:szCs w:val="18"/>
                <w:b w:val="1"/>
                <w:bCs w:val="1"/>
                <w:color w:val="auto"/>
              </w:rPr>
              <w:t>Levels of Achievement</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vMerge w:val="restart"/>
          </w:tcPr>
          <w:p>
            <w:pPr>
              <w:jc w:val="center"/>
              <w:ind w:right="132"/>
              <w:spacing w:after="0"/>
              <w:rPr>
                <w:sz w:val="20"/>
                <w:szCs w:val="20"/>
                <w:color w:val="auto"/>
              </w:rPr>
            </w:pPr>
            <w:r>
              <w:rPr>
                <w:rFonts w:ascii="Arial" w:cs="Arial" w:eastAsia="Arial" w:hAnsi="Arial"/>
                <w:sz w:val="18"/>
                <w:szCs w:val="18"/>
                <w:b w:val="1"/>
                <w:bCs w:val="1"/>
                <w:color w:val="auto"/>
                <w:w w:val="97"/>
              </w:rPr>
              <w:t>Achieved</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3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6"/>
              </w:rPr>
              <w:t>Threshold</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4"/>
              </w:rPr>
              <w:t>Target</w:t>
            </w:r>
          </w:p>
        </w:tc>
        <w:tc>
          <w:tcPr>
            <w:tcW w:w="80" w:type="dxa"/>
            <w:vAlign w:val="bottom"/>
          </w:tcPr>
          <w:p>
            <w:pPr>
              <w:spacing w:after="0"/>
              <w:rPr>
                <w:sz w:val="17"/>
                <w:szCs w:val="17"/>
                <w:color w:val="auto"/>
              </w:rPr>
            </w:pP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6"/>
              </w:rPr>
              <w:t>Outstanding</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Achieve Service Revenue Targets:</w:t>
            </w:r>
            <w:r>
              <w:rPr>
                <w:rFonts w:ascii="Arial" w:cs="Arial" w:eastAsia="Arial" w:hAnsi="Arial"/>
                <w:sz w:val="27"/>
                <w:szCs w:val="27"/>
                <w:color w:val="auto"/>
                <w:vertAlign w:val="superscript"/>
              </w:rPr>
              <w:t>(1)</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i. Altisource Consolidated-Corporate (applicable to the Chief</w:t>
            </w:r>
          </w:p>
        </w:tc>
        <w:tc>
          <w:tcPr>
            <w:tcW w:w="1340" w:type="dxa"/>
            <w:vAlign w:val="bottom"/>
          </w:tcPr>
          <w:p>
            <w:pPr>
              <w:ind w:left="80"/>
              <w:spacing w:after="0"/>
              <w:rPr>
                <w:sz w:val="20"/>
                <w:szCs w:val="20"/>
                <w:color w:val="auto"/>
              </w:rPr>
            </w:pPr>
            <w:r>
              <w:rPr>
                <w:rFonts w:ascii="Arial" w:cs="Arial" w:eastAsia="Arial" w:hAnsi="Arial"/>
                <w:sz w:val="18"/>
                <w:szCs w:val="18"/>
                <w:color w:val="auto"/>
                <w:w w:val="99"/>
              </w:rPr>
              <w:t>i. $744.9 million</w:t>
            </w:r>
          </w:p>
        </w:tc>
        <w:tc>
          <w:tcPr>
            <w:tcW w:w="10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w w:val="99"/>
              </w:rPr>
              <w:t>i. $876.3 million</w:t>
            </w:r>
          </w:p>
        </w:tc>
        <w:tc>
          <w:tcPr>
            <w:tcW w:w="8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w w:val="98"/>
              </w:rPr>
              <w:t>i. $1,007.7 million</w:t>
            </w:r>
          </w:p>
        </w:tc>
        <w:tc>
          <w:tcPr>
            <w:tcW w:w="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i. $940.9 million</w:t>
            </w:r>
          </w:p>
        </w:tc>
        <w:tc>
          <w:tcPr>
            <w:tcW w:w="0" w:type="dxa"/>
            <w:vAlign w:val="bottom"/>
          </w:tcPr>
          <w:p>
            <w:pPr>
              <w:spacing w:after="0"/>
              <w:rPr>
                <w:sz w:val="1"/>
                <w:szCs w:val="1"/>
                <w:color w:val="auto"/>
              </w:rPr>
            </w:pPr>
          </w:p>
        </w:tc>
      </w:tr>
      <w:tr>
        <w:trPr>
          <w:trHeight w:val="203"/>
        </w:trPr>
        <w:tc>
          <w:tcPr>
            <w:tcW w:w="560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Executive Officer ("CEO"), the Chief Administration Officer ("CAO")</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600" w:type="dxa"/>
            <w:vAlign w:val="bottom"/>
            <w:gridSpan w:val="2"/>
          </w:tcPr>
          <w:p>
            <w:pPr>
              <w:ind w:left="260"/>
              <w:spacing w:after="0" w:line="200" w:lineRule="exact"/>
              <w:rPr>
                <w:sz w:val="20"/>
                <w:szCs w:val="20"/>
                <w:color w:val="auto"/>
              </w:rPr>
            </w:pPr>
            <w:r>
              <w:rPr>
                <w:rFonts w:ascii="Arial" w:cs="Arial" w:eastAsia="Arial" w:hAnsi="Arial"/>
                <w:sz w:val="18"/>
                <w:szCs w:val="18"/>
                <w:color w:val="auto"/>
              </w:rPr>
              <w:t>and the Chief Financial Officer ("CFO")</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0"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49"/>
        </w:trPr>
        <w:tc>
          <w:tcPr>
            <w:tcW w:w="5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ii. Altisource Consolidated-Support Group (applicable to the General</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 $786.3 million</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 $925.0 million</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ii. $1,063.8 million</w:t>
            </w:r>
          </w:p>
        </w:tc>
        <w:tc>
          <w:tcPr>
            <w:tcW w:w="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ii. $940.9 million</w:t>
            </w: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Counsel)</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4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iii. Mortgage Services excluding certain Origination Services</w:t>
            </w:r>
          </w:p>
        </w:tc>
        <w:tc>
          <w:tcPr>
            <w:tcW w:w="1340" w:type="dxa"/>
            <w:vAlign w:val="bottom"/>
          </w:tcPr>
          <w:p>
            <w:pPr>
              <w:jc w:val="center"/>
              <w:spacing w:after="0"/>
              <w:rPr>
                <w:sz w:val="20"/>
                <w:szCs w:val="20"/>
                <w:color w:val="auto"/>
              </w:rPr>
            </w:pPr>
            <w:r>
              <w:rPr>
                <w:rFonts w:ascii="Arial" w:cs="Arial" w:eastAsia="Arial" w:hAnsi="Arial"/>
                <w:sz w:val="18"/>
                <w:szCs w:val="18"/>
                <w:color w:val="auto"/>
              </w:rPr>
              <w:t>iii. $545.2 million</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iii. $641.4 million</w:t>
            </w:r>
          </w:p>
        </w:tc>
        <w:tc>
          <w:tcPr>
            <w:tcW w:w="80" w:type="dxa"/>
            <w:vAlign w:val="bottom"/>
          </w:tcPr>
          <w:p>
            <w:pPr>
              <w:spacing w:after="0"/>
              <w:rPr>
                <w:sz w:val="24"/>
                <w:szCs w:val="24"/>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iii. $737.6 million</w:t>
            </w:r>
          </w:p>
        </w:tc>
        <w:tc>
          <w:tcPr>
            <w:tcW w:w="8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9"/>
              </w:rPr>
              <w:t>iii. $655.1 million</w:t>
            </w:r>
          </w:p>
        </w:tc>
        <w:tc>
          <w:tcPr>
            <w:tcW w:w="0" w:type="dxa"/>
            <w:vAlign w:val="bottom"/>
          </w:tcPr>
          <w:p>
            <w:pPr>
              <w:spacing w:after="0"/>
              <w:rPr>
                <w:sz w:val="1"/>
                <w:szCs w:val="1"/>
                <w:color w:val="auto"/>
              </w:rPr>
            </w:pPr>
          </w:p>
        </w:tc>
      </w:tr>
      <w:tr>
        <w:trPr>
          <w:trHeight w:val="203"/>
        </w:trPr>
        <w:tc>
          <w:tcPr>
            <w:tcW w:w="5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businesses (applicable to the President, Mortgage Services)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0"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4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Achieve Income Targets:</w:t>
            </w:r>
            <w:r>
              <w:rPr>
                <w:rFonts w:ascii="Arial" w:cs="Arial" w:eastAsia="Arial" w:hAnsi="Arial"/>
                <w:sz w:val="29"/>
                <w:szCs w:val="29"/>
                <w:color w:val="auto"/>
                <w:vertAlign w:val="superscript"/>
              </w:rPr>
              <w:t>(1)</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i. Altisource Consolidated-Corporate: Diluted Earnings Per Share</w:t>
            </w:r>
          </w:p>
        </w:tc>
        <w:tc>
          <w:tcPr>
            <w:tcW w:w="1340" w:type="dxa"/>
            <w:vAlign w:val="bottom"/>
          </w:tcPr>
          <w:p>
            <w:pPr>
              <w:ind w:left="80"/>
              <w:spacing w:after="0"/>
              <w:rPr>
                <w:sz w:val="20"/>
                <w:szCs w:val="20"/>
                <w:color w:val="auto"/>
              </w:rPr>
            </w:pPr>
            <w:r>
              <w:rPr>
                <w:rFonts w:ascii="Arial" w:cs="Arial" w:eastAsia="Arial" w:hAnsi="Arial"/>
                <w:sz w:val="18"/>
                <w:szCs w:val="18"/>
                <w:color w:val="auto"/>
              </w:rPr>
              <w:t>i. $3.79</w:t>
            </w:r>
          </w:p>
        </w:tc>
        <w:tc>
          <w:tcPr>
            <w:tcW w:w="10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rPr>
              <w:t>i. $4.45</w:t>
            </w:r>
          </w:p>
        </w:tc>
        <w:tc>
          <w:tcPr>
            <w:tcW w:w="8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rPr>
              <w:t>i. $5.12</w:t>
            </w:r>
          </w:p>
        </w:tc>
        <w:tc>
          <w:tcPr>
            <w:tcW w:w="8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i.</w:t>
            </w:r>
          </w:p>
        </w:tc>
        <w:tc>
          <w:tcPr>
            <w:tcW w:w="1160" w:type="dxa"/>
            <w:vAlign w:val="bottom"/>
          </w:tcPr>
          <w:p>
            <w:pPr>
              <w:ind w:left="40"/>
              <w:spacing w:after="0"/>
              <w:rPr>
                <w:sz w:val="20"/>
                <w:szCs w:val="20"/>
                <w:color w:val="auto"/>
              </w:rPr>
            </w:pPr>
            <w:r>
              <w:rPr>
                <w:rFonts w:ascii="Arial" w:cs="Arial" w:eastAsia="Arial" w:hAnsi="Arial"/>
                <w:sz w:val="18"/>
                <w:szCs w:val="18"/>
                <w:color w:val="auto"/>
              </w:rPr>
              <w:t>5.44</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4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("Diluted EPS") (applicable to the CEO, the CAO and the CFO)</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449"/>
        </w:trPr>
        <w:tc>
          <w:tcPr>
            <w:tcW w:w="5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ii. Altisource Consolidated-Support Group: Income before income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 $105.3 million</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 $123.9 million</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ii. $142.5 million</w:t>
            </w:r>
          </w:p>
        </w:tc>
        <w:tc>
          <w:tcPr>
            <w:tcW w:w="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35"/>
                <w:szCs w:val="35"/>
                <w:color w:val="auto"/>
                <w:vertAlign w:val="subscript"/>
              </w:rPr>
              <w:t>$124.8</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taxes ("Pre-tax Income") (applicable to the General Counsel)</w:t>
            </w: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 -</w:t>
            </w: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4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iii. Mortgage Services excluding certain Origination Services: Pre-tax</w:t>
            </w:r>
          </w:p>
        </w:tc>
        <w:tc>
          <w:tcPr>
            <w:tcW w:w="1340" w:type="dxa"/>
            <w:vAlign w:val="bottom"/>
          </w:tcPr>
          <w:p>
            <w:pPr>
              <w:jc w:val="center"/>
              <w:spacing w:after="0"/>
              <w:rPr>
                <w:sz w:val="20"/>
                <w:szCs w:val="20"/>
                <w:color w:val="auto"/>
              </w:rPr>
            </w:pPr>
            <w:r>
              <w:rPr>
                <w:rFonts w:ascii="Arial" w:cs="Arial" w:eastAsia="Arial" w:hAnsi="Arial"/>
                <w:sz w:val="18"/>
                <w:szCs w:val="18"/>
                <w:color w:val="auto"/>
              </w:rPr>
              <w:t>iii. $190.9 million</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iii. $224.6 million</w:t>
            </w:r>
          </w:p>
        </w:tc>
        <w:tc>
          <w:tcPr>
            <w:tcW w:w="80" w:type="dxa"/>
            <w:vAlign w:val="bottom"/>
          </w:tcPr>
          <w:p>
            <w:pPr>
              <w:spacing w:after="0"/>
              <w:rPr>
                <w:sz w:val="24"/>
                <w:szCs w:val="24"/>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iii. $258.3 million</w:t>
            </w:r>
          </w:p>
        </w:tc>
        <w:tc>
          <w:tcPr>
            <w:tcW w:w="8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9"/>
              </w:rPr>
              <w:t>iii. $210.0 million</w:t>
            </w:r>
          </w:p>
        </w:tc>
        <w:tc>
          <w:tcPr>
            <w:tcW w:w="0" w:type="dxa"/>
            <w:vAlign w:val="bottom"/>
          </w:tcPr>
          <w:p>
            <w:pPr>
              <w:spacing w:after="0"/>
              <w:rPr>
                <w:sz w:val="1"/>
                <w:szCs w:val="1"/>
                <w:color w:val="auto"/>
              </w:rPr>
            </w:pPr>
          </w:p>
        </w:tc>
      </w:tr>
      <w:tr>
        <w:trPr>
          <w:trHeight w:val="203"/>
        </w:trPr>
        <w:tc>
          <w:tcPr>
            <w:tcW w:w="5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Income attributable to Altisource (applicable to the President,</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600" w:type="dxa"/>
            <w:vAlign w:val="bottom"/>
            <w:gridSpan w:val="2"/>
          </w:tcPr>
          <w:p>
            <w:pPr>
              <w:ind w:left="260"/>
              <w:spacing w:after="0" w:line="200" w:lineRule="exact"/>
              <w:rPr>
                <w:sz w:val="20"/>
                <w:szCs w:val="20"/>
                <w:color w:val="auto"/>
              </w:rPr>
            </w:pPr>
            <w:r>
              <w:rPr>
                <w:rFonts w:ascii="Arial" w:cs="Arial" w:eastAsia="Arial" w:hAnsi="Arial"/>
                <w:sz w:val="18"/>
                <w:szCs w:val="18"/>
                <w:color w:val="auto"/>
              </w:rPr>
              <w:t>Mortgage Services)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0"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408"/>
        </w:trPr>
        <w:tc>
          <w:tcPr>
            <w:tcW w:w="5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Successfully complete the key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c>
          <w:tcPr>
            <w:tcW w:w="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c>
          <w:tcPr>
            <w:tcW w:w="0" w:type="dxa"/>
            <w:vAlign w:val="bottom"/>
          </w:tcPr>
          <w:p>
            <w:pPr>
              <w:spacing w:after="0"/>
              <w:rPr>
                <w:sz w:val="1"/>
                <w:szCs w:val="1"/>
                <w:color w:val="auto"/>
              </w:rPr>
            </w:pPr>
          </w:p>
        </w:tc>
      </w:tr>
      <w:tr>
        <w:trPr>
          <w:trHeight w:val="240"/>
        </w:trPr>
        <w:tc>
          <w:tcPr>
            <w:tcW w:w="5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Strategic Initiatives of the Company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40" w:right="100" w:hanging="532"/>
        <w:spacing w:after="0" w:line="191" w:lineRule="auto"/>
        <w:tabs>
          <w:tab w:leader="none" w:pos="540"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The business segment goals are established such that the sum of all segment goals is higher than the corresponding goal at the Altisource consolidated-support group level which in turn is higher than the corresponding goal at the Altisource consolidated-corporate level.</w:t>
      </w:r>
    </w:p>
    <w:p>
      <w:pPr>
        <w:spacing w:after="0" w:line="209" w:lineRule="exact"/>
        <w:rPr>
          <w:rFonts w:ascii="Arial" w:cs="Arial" w:eastAsia="Arial" w:hAnsi="Arial"/>
          <w:sz w:val="28"/>
          <w:szCs w:val="28"/>
          <w:color w:val="auto"/>
          <w:vertAlign w:val="superscript"/>
        </w:rPr>
      </w:pPr>
    </w:p>
    <w:p>
      <w:pPr>
        <w:jc w:val="both"/>
        <w:ind w:left="540" w:right="220" w:hanging="532"/>
        <w:spacing w:after="0" w:line="197" w:lineRule="auto"/>
        <w:tabs>
          <w:tab w:leader="none" w:pos="54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Actual achievement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Initiatives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0" w:type="dxa"/>
            <w:vAlign w:val="bottom"/>
            <w:tcBorders>
              <w:top w:val="single" w:sz="8" w:color="auto"/>
            </w:tcBorders>
          </w:tcPr>
          <w:p>
            <w:pPr>
              <w:spacing w:after="0"/>
              <w:rPr>
                <w:sz w:val="17"/>
                <w:szCs w:val="17"/>
                <w:color w:val="auto"/>
              </w:rPr>
            </w:pPr>
          </w:p>
        </w:tc>
        <w:tc>
          <w:tcPr>
            <w:tcW w:w="3280" w:type="dxa"/>
            <w:vAlign w:val="bottom"/>
            <w:tcBorders>
              <w:top w:val="single" w:sz="8" w:color="auto"/>
              <w:bottom w:val="single" w:sz="8" w:color="auto"/>
            </w:tcBorders>
            <w:vMerge w:val="restart"/>
          </w:tcPr>
          <w:p>
            <w:pPr>
              <w:ind w:left="1200"/>
              <w:spacing w:after="0"/>
              <w:rPr>
                <w:sz w:val="20"/>
                <w:szCs w:val="20"/>
                <w:color w:val="auto"/>
              </w:rPr>
            </w:pPr>
            <w:r>
              <w:rPr>
                <w:rFonts w:ascii="Arial" w:cs="Arial" w:eastAsia="Arial" w:hAnsi="Arial"/>
                <w:sz w:val="18"/>
                <w:szCs w:val="18"/>
                <w:b w:val="1"/>
                <w:bCs w:val="1"/>
                <w:color w:val="auto"/>
              </w:rPr>
              <w:t>Element</w:t>
            </w:r>
          </w:p>
        </w:tc>
        <w:tc>
          <w:tcPr>
            <w:tcW w:w="200" w:type="dxa"/>
            <w:vAlign w:val="bottom"/>
            <w:tcBorders>
              <w:top w:val="single" w:sz="8" w:color="auto"/>
              <w:bottom w:val="single" w:sz="8" w:color="auto"/>
            </w:tcBorders>
            <w:vMerge w:val="restart"/>
          </w:tcPr>
          <w:p>
            <w:pPr>
              <w:spacing w:after="0"/>
              <w:rPr>
                <w:sz w:val="17"/>
                <w:szCs w:val="17"/>
                <w:color w:val="auto"/>
              </w:rPr>
            </w:pPr>
          </w:p>
        </w:tc>
        <w:tc>
          <w:tcPr>
            <w:tcW w:w="18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100" w:type="dxa"/>
            <w:vAlign w:val="bottom"/>
            <w:tcBorders>
              <w:top w:val="single" w:sz="8" w:color="auto"/>
              <w:bottom w:val="single" w:sz="8" w:color="auto"/>
            </w:tcBorders>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7"/>
              </w:rPr>
              <w:t>Levels of Achievement</w:t>
            </w:r>
          </w:p>
        </w:tc>
        <w:tc>
          <w:tcPr>
            <w:tcW w:w="19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Achieved</w:t>
            </w: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8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Threshold</w:t>
            </w:r>
          </w:p>
        </w:tc>
        <w:tc>
          <w:tcPr>
            <w:tcW w:w="220" w:type="dxa"/>
            <w:vAlign w:val="bottom"/>
          </w:tcPr>
          <w:p>
            <w:pPr>
              <w:spacing w:after="0"/>
              <w:rPr>
                <w:sz w:val="17"/>
                <w:szCs w:val="17"/>
                <w:color w:val="auto"/>
              </w:rPr>
            </w:pPr>
          </w:p>
        </w:tc>
        <w:tc>
          <w:tcPr>
            <w:tcW w:w="1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4"/>
              </w:rPr>
              <w:t>Target</w:t>
            </w:r>
          </w:p>
        </w:tc>
        <w:tc>
          <w:tcPr>
            <w:tcW w:w="200" w:type="dxa"/>
            <w:vAlign w:val="bottom"/>
          </w:tcPr>
          <w:p>
            <w:pPr>
              <w:spacing w:after="0"/>
              <w:rPr>
                <w:sz w:val="17"/>
                <w:szCs w:val="17"/>
                <w:color w:val="auto"/>
              </w:rPr>
            </w:pPr>
          </w:p>
        </w:tc>
        <w:tc>
          <w:tcPr>
            <w:tcW w:w="1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Outstanding</w:t>
            </w:r>
          </w:p>
        </w:tc>
        <w:tc>
          <w:tcPr>
            <w:tcW w:w="22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2"/>
              </w:rPr>
              <w:t>1.</w:t>
            </w:r>
          </w:p>
        </w:tc>
        <w:tc>
          <w:tcPr>
            <w:tcW w:w="348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Support customer's operational</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20"/>
              <w:spacing w:after="0" w:line="200" w:lineRule="exact"/>
              <w:rPr>
                <w:sz w:val="20"/>
                <w:szCs w:val="20"/>
                <w:color w:val="auto"/>
              </w:rPr>
            </w:pPr>
            <w:r>
              <w:rPr>
                <w:rFonts w:ascii="Arial" w:cs="Arial" w:eastAsia="Arial" w:hAnsi="Arial"/>
                <w:sz w:val="18"/>
                <w:szCs w:val="18"/>
                <w:color w:val="auto"/>
                <w:w w:val="97"/>
              </w:rPr>
              <w:t>Achieve predetermined</w:t>
            </w: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CEO - 127.3%,</w:t>
            </w: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spacing w:after="0"/>
              <w:rPr>
                <w:sz w:val="17"/>
                <w:szCs w:val="17"/>
                <w:color w:val="auto"/>
              </w:rPr>
            </w:pPr>
          </w:p>
        </w:tc>
        <w:tc>
          <w:tcPr>
            <w:tcW w:w="34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objectives</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threshold levels</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00"/>
              <w:spacing w:after="0" w:line="200" w:lineRule="exact"/>
              <w:rPr>
                <w:sz w:val="20"/>
                <w:szCs w:val="20"/>
                <w:color w:val="auto"/>
              </w:rPr>
            </w:pPr>
            <w:r>
              <w:rPr>
                <w:rFonts w:ascii="Arial" w:cs="Arial" w:eastAsia="Arial" w:hAnsi="Arial"/>
                <w:sz w:val="18"/>
                <w:szCs w:val="18"/>
                <w:color w:val="auto"/>
                <w:w w:val="96"/>
              </w:rPr>
              <w:t>target levels</w:t>
            </w: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CFO - 150.0%</w:t>
            </w:r>
          </w:p>
        </w:tc>
        <w:tc>
          <w:tcPr>
            <w:tcW w:w="0" w:type="dxa"/>
            <w:vAlign w:val="bottom"/>
          </w:tcPr>
          <w:p>
            <w:pPr>
              <w:spacing w:after="0"/>
              <w:rPr>
                <w:sz w:val="1"/>
                <w:szCs w:val="1"/>
                <w:color w:val="auto"/>
              </w:rPr>
            </w:pPr>
          </w:p>
        </w:tc>
      </w:tr>
      <w:tr>
        <w:trPr>
          <w:trHeight w:val="422"/>
        </w:trPr>
        <w:tc>
          <w:tcPr>
            <w:tcW w:w="180" w:type="dxa"/>
            <w:vAlign w:val="bottom"/>
          </w:tcPr>
          <w:p>
            <w:pPr>
              <w:jc w:val="right"/>
              <w:spacing w:after="0"/>
              <w:rPr>
                <w:sz w:val="20"/>
                <w:szCs w:val="20"/>
                <w:color w:val="auto"/>
              </w:rPr>
            </w:pPr>
            <w:r>
              <w:rPr>
                <w:rFonts w:ascii="Arial" w:cs="Arial" w:eastAsia="Arial" w:hAnsi="Arial"/>
                <w:sz w:val="18"/>
                <w:szCs w:val="18"/>
                <w:color w:val="auto"/>
                <w:w w:val="92"/>
              </w:rPr>
              <w:t>2.</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Grow our Origination Solutions business</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CEO and</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tcPr>
          <w:p>
            <w:pPr>
              <w:spacing w:after="0"/>
              <w:rPr>
                <w:sz w:val="17"/>
                <w:szCs w:val="17"/>
                <w:color w:val="auto"/>
              </w:rPr>
            </w:pP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7"/>
              </w:rPr>
              <w:t>CAO - 0%,</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8"/>
              </w:rPr>
              <w:t>President,</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18"/>
                <w:szCs w:val="18"/>
                <w:color w:val="auto"/>
                <w:w w:val="97"/>
              </w:rPr>
              <w:t>MS - 15.0%</w:t>
            </w:r>
          </w:p>
        </w:tc>
        <w:tc>
          <w:tcPr>
            <w:tcW w:w="0" w:type="dxa"/>
            <w:vAlign w:val="bottom"/>
          </w:tcPr>
          <w:p>
            <w:pPr>
              <w:spacing w:after="0"/>
              <w:rPr>
                <w:sz w:val="1"/>
                <w:szCs w:val="1"/>
                <w:color w:val="auto"/>
              </w:rPr>
            </w:pPr>
          </w:p>
        </w:tc>
      </w:tr>
      <w:tr>
        <w:trPr>
          <w:trHeight w:val="422"/>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Grow our Servicer Solutions business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CEO - 62.5%,</w:t>
            </w:r>
          </w:p>
        </w:tc>
        <w:tc>
          <w:tcPr>
            <w:tcW w:w="0" w:type="dxa"/>
            <w:vAlign w:val="bottom"/>
          </w:tcPr>
          <w:p>
            <w:pPr>
              <w:spacing w:after="0"/>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President,</w:t>
            </w: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MS - 65.0%</w:t>
            </w:r>
          </w:p>
        </w:tc>
        <w:tc>
          <w:tcPr>
            <w:tcW w:w="0" w:type="dxa"/>
            <w:vAlign w:val="bottom"/>
          </w:tcPr>
          <w:p>
            <w:pPr>
              <w:spacing w:after="0"/>
              <w:rPr>
                <w:sz w:val="1"/>
                <w:szCs w:val="1"/>
                <w:color w:val="auto"/>
              </w:rPr>
            </w:pPr>
          </w:p>
        </w:tc>
      </w:tr>
      <w:tr>
        <w:trPr>
          <w:trHeight w:val="422"/>
        </w:trPr>
        <w:tc>
          <w:tcPr>
            <w:tcW w:w="180" w:type="dxa"/>
            <w:vAlign w:val="bottom"/>
          </w:tcPr>
          <w:p>
            <w:pPr>
              <w:jc w:val="right"/>
              <w:spacing w:after="0"/>
              <w:rPr>
                <w:sz w:val="20"/>
                <w:szCs w:val="20"/>
                <w:color w:val="auto"/>
              </w:rPr>
            </w:pPr>
            <w:r>
              <w:rPr>
                <w:rFonts w:ascii="Arial" w:cs="Arial" w:eastAsia="Arial" w:hAnsi="Arial"/>
                <w:sz w:val="18"/>
                <w:szCs w:val="18"/>
                <w:color w:val="auto"/>
                <w:w w:val="92"/>
              </w:rPr>
              <w:t>4.</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Grow Owners.com, our consumer real</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CEO - 22.2%,</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estate offering</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tcPr>
          <w:p>
            <w:pPr>
              <w:spacing w:after="0"/>
              <w:rPr>
                <w:sz w:val="17"/>
                <w:szCs w:val="17"/>
                <w:color w:val="auto"/>
              </w:rPr>
            </w:pP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8"/>
              </w:rPr>
              <w:t>President,</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18"/>
                <w:szCs w:val="18"/>
                <w:color w:val="auto"/>
                <w:w w:val="97"/>
              </w:rPr>
              <w:t>MS - 25.0%</w:t>
            </w:r>
          </w:p>
        </w:tc>
        <w:tc>
          <w:tcPr>
            <w:tcW w:w="0" w:type="dxa"/>
            <w:vAlign w:val="bottom"/>
          </w:tcPr>
          <w:p>
            <w:pPr>
              <w:spacing w:after="0"/>
              <w:rPr>
                <w:sz w:val="1"/>
                <w:szCs w:val="1"/>
                <w:color w:val="auto"/>
              </w:rPr>
            </w:pPr>
          </w:p>
        </w:tc>
      </w:tr>
      <w:tr>
        <w:trPr>
          <w:trHeight w:val="422"/>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Achieve REALAnalytics, REALDoc and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CEO - 75.0%</w:t>
            </w: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spacing w:after="0"/>
              <w:rPr>
                <w:sz w:val="17"/>
                <w:szCs w:val="17"/>
                <w:color w:val="auto"/>
              </w:rPr>
            </w:pPr>
          </w:p>
        </w:tc>
        <w:tc>
          <w:tcPr>
            <w:tcW w:w="34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marketplace product initiatives</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threshold levels</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00"/>
              <w:spacing w:after="0" w:line="200" w:lineRule="exact"/>
              <w:rPr>
                <w:sz w:val="20"/>
                <w:szCs w:val="20"/>
                <w:color w:val="auto"/>
              </w:rPr>
            </w:pPr>
            <w:r>
              <w:rPr>
                <w:rFonts w:ascii="Arial" w:cs="Arial" w:eastAsia="Arial" w:hAnsi="Arial"/>
                <w:sz w:val="18"/>
                <w:szCs w:val="18"/>
                <w:color w:val="auto"/>
                <w:w w:val="96"/>
              </w:rPr>
              <w:t>target levels</w:t>
            </w: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80" w:type="dxa"/>
            <w:vAlign w:val="bottom"/>
          </w:tcPr>
          <w:p>
            <w:pPr>
              <w:jc w:val="right"/>
              <w:spacing w:after="0"/>
              <w:rPr>
                <w:sz w:val="20"/>
                <w:szCs w:val="20"/>
                <w:color w:val="auto"/>
              </w:rPr>
            </w:pPr>
            <w:r>
              <w:rPr>
                <w:rFonts w:ascii="Arial" w:cs="Arial" w:eastAsia="Arial" w:hAnsi="Arial"/>
                <w:sz w:val="18"/>
                <w:szCs w:val="18"/>
                <w:color w:val="auto"/>
                <w:w w:val="92"/>
              </w:rPr>
              <w:t>6.</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Grow our Real Estate Investor Solutions</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CEO - 0%,</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business</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tcPr>
          <w:p>
            <w:pPr>
              <w:spacing w:after="0"/>
              <w:rPr>
                <w:sz w:val="17"/>
                <w:szCs w:val="17"/>
                <w:color w:val="auto"/>
              </w:rPr>
            </w:pP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8"/>
              </w:rPr>
              <w:t>President,</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18"/>
                <w:szCs w:val="18"/>
                <w:color w:val="auto"/>
                <w:w w:val="96"/>
              </w:rPr>
              <w:t>MS - 100.0%</w:t>
            </w:r>
          </w:p>
        </w:tc>
        <w:tc>
          <w:tcPr>
            <w:tcW w:w="0" w:type="dxa"/>
            <w:vAlign w:val="bottom"/>
          </w:tcPr>
          <w:p>
            <w:pPr>
              <w:spacing w:after="0"/>
              <w:rPr>
                <w:sz w:val="1"/>
                <w:szCs w:val="1"/>
                <w:color w:val="auto"/>
              </w:rPr>
            </w:pPr>
          </w:p>
        </w:tc>
      </w:tr>
      <w:tr>
        <w:trPr>
          <w:trHeight w:val="422"/>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Continue to enhance our compliance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CEO, CAO,</w:t>
            </w:r>
          </w:p>
        </w:tc>
        <w:tc>
          <w:tcPr>
            <w:tcW w:w="0" w:type="dxa"/>
            <w:vAlign w:val="bottom"/>
          </w:tcPr>
          <w:p>
            <w:pPr>
              <w:spacing w:after="0"/>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management system</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President, MS and</w:t>
            </w:r>
          </w:p>
        </w:tc>
        <w:tc>
          <w:tcPr>
            <w:tcW w:w="0" w:type="dxa"/>
            <w:vAlign w:val="bottom"/>
          </w:tcPr>
          <w:p>
            <w:pPr>
              <w:spacing w:after="0"/>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General</w:t>
            </w:r>
          </w:p>
        </w:tc>
        <w:tc>
          <w:tcPr>
            <w:tcW w:w="0" w:type="dxa"/>
            <w:vAlign w:val="bottom"/>
          </w:tcPr>
          <w:p>
            <w:pPr>
              <w:spacing w:after="0"/>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Counsel - 150.0%,</w:t>
            </w: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CFO - 111.9%</w:t>
            </w:r>
          </w:p>
        </w:tc>
        <w:tc>
          <w:tcPr>
            <w:tcW w:w="0" w:type="dxa"/>
            <w:vAlign w:val="bottom"/>
          </w:tcPr>
          <w:p>
            <w:pPr>
              <w:spacing w:after="0"/>
              <w:rPr>
                <w:sz w:val="1"/>
                <w:szCs w:val="1"/>
                <w:color w:val="auto"/>
              </w:rPr>
            </w:pPr>
          </w:p>
        </w:tc>
      </w:tr>
      <w:tr>
        <w:trPr>
          <w:trHeight w:val="422"/>
        </w:trPr>
        <w:tc>
          <w:tcPr>
            <w:tcW w:w="180" w:type="dxa"/>
            <w:vAlign w:val="bottom"/>
          </w:tcPr>
          <w:p>
            <w:pPr>
              <w:jc w:val="right"/>
              <w:spacing w:after="0"/>
              <w:rPr>
                <w:sz w:val="20"/>
                <w:szCs w:val="20"/>
                <w:color w:val="auto"/>
              </w:rPr>
            </w:pPr>
            <w:r>
              <w:rPr>
                <w:rFonts w:ascii="Arial" w:cs="Arial" w:eastAsia="Arial" w:hAnsi="Arial"/>
                <w:sz w:val="18"/>
                <w:szCs w:val="18"/>
                <w:color w:val="auto"/>
                <w:w w:val="92"/>
              </w:rPr>
              <w:t>8.</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Achieve operations and cost savings</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CEO and</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initiatives</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tcPr>
          <w:p>
            <w:pPr>
              <w:spacing w:after="0"/>
              <w:rPr>
                <w:sz w:val="17"/>
                <w:szCs w:val="17"/>
                <w:color w:val="auto"/>
              </w:rPr>
            </w:pP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7"/>
              </w:rPr>
              <w:t>CAO - 100.0%,</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Arial" w:cs="Arial" w:eastAsia="Arial" w:hAnsi="Arial"/>
                <w:sz w:val="17"/>
                <w:szCs w:val="17"/>
                <w:color w:val="auto"/>
                <w:w w:val="99"/>
              </w:rPr>
              <w:t>CFO - 114.7%</w:t>
            </w:r>
            <w:r>
              <w:rPr>
                <w:rFonts w:ascii="Arial" w:cs="Arial" w:eastAsia="Arial" w:hAnsi="Arial"/>
                <w:sz w:val="28"/>
                <w:szCs w:val="28"/>
                <w:color w:val="auto"/>
                <w:w w:val="99"/>
                <w:vertAlign w:val="superscript"/>
              </w:rPr>
              <w:t>(1)</w:t>
            </w: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6"/>
              </w:rPr>
              <w:t>General</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Counsel - 145.5%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right="360" w:hanging="532"/>
        <w:spacing w:after="0" w:line="197" w:lineRule="auto"/>
        <w:tabs>
          <w:tab w:leader="none" w:pos="5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Actual achievement of a component of this goal applicable to the CFO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2015 personal scorecards for our Chief Executive Officer and other Named Executive Officers and their corresponding levels of achievement are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2015 Scorecard</w:t>
            </w:r>
          </w:p>
        </w:tc>
        <w:tc>
          <w:tcPr>
            <w:tcW w:w="9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Levels of Achievement</w:t>
            </w:r>
          </w:p>
        </w:tc>
        <w:tc>
          <w:tcPr>
            <w:tcW w:w="102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56"/>
        </w:trPr>
        <w:tc>
          <w:tcPr>
            <w:tcW w:w="112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3"/>
                <w:szCs w:val="13"/>
                <w:color w:val="auto"/>
              </w:rPr>
            </w:pPr>
          </w:p>
        </w:tc>
        <w:tc>
          <w:tcPr>
            <w:tcW w:w="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08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Elements</w:t>
            </w:r>
          </w:p>
        </w:tc>
        <w:tc>
          <w:tcPr>
            <w:tcW w:w="116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Threshold</w:t>
            </w:r>
          </w:p>
        </w:tc>
        <w:tc>
          <w:tcPr>
            <w:tcW w:w="120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Target</w:t>
            </w:r>
          </w:p>
        </w:tc>
        <w:tc>
          <w:tcPr>
            <w:tcW w:w="118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Outstanding</w:t>
            </w:r>
          </w:p>
        </w:tc>
        <w:tc>
          <w:tcPr>
            <w:tcW w:w="118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Achieved</w:t>
            </w:r>
          </w:p>
        </w:tc>
      </w:tr>
      <w:tr>
        <w:trPr>
          <w:trHeight w:val="160"/>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William B.</w:t>
            </w:r>
          </w:p>
        </w:tc>
        <w:tc>
          <w:tcPr>
            <w:tcW w:w="5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20%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$744.9 million</w:t>
            </w:r>
          </w:p>
        </w:tc>
        <w:tc>
          <w:tcPr>
            <w:tcW w:w="120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$876.3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$1,007.7 million</w:t>
            </w: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$940.9 million</w:t>
            </w:r>
          </w:p>
        </w:tc>
      </w:tr>
      <w:tr>
        <w:trPr>
          <w:trHeight w:val="16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Shepro</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Corporate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 Diluted</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$3.79</w:t>
            </w:r>
          </w:p>
        </w:tc>
        <w:tc>
          <w:tcPr>
            <w:tcW w:w="2160" w:type="dxa"/>
            <w:vAlign w:val="bottom"/>
            <w:gridSpan w:val="2"/>
            <w:shd w:val="clear" w:color="auto" w:fill="CCEEFF"/>
          </w:tcPr>
          <w:p>
            <w:pPr>
              <w:jc w:val="center"/>
              <w:ind w:left="1128"/>
              <w:spacing w:after="0"/>
              <w:rPr>
                <w:sz w:val="20"/>
                <w:szCs w:val="20"/>
                <w:color w:val="auto"/>
              </w:rPr>
            </w:pPr>
            <w:r>
              <w:rPr>
                <w:rFonts w:ascii="Arial" w:cs="Arial" w:eastAsia="Arial" w:hAnsi="Arial"/>
                <w:sz w:val="14"/>
                <w:szCs w:val="14"/>
                <w:color w:val="auto"/>
              </w:rPr>
              <w:t>$4.45</w:t>
            </w: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$5.12</w:t>
            </w:r>
          </w:p>
        </w:tc>
        <w:tc>
          <w:tcPr>
            <w:tcW w:w="2140" w:type="dxa"/>
            <w:vAlign w:val="bottom"/>
            <w:gridSpan w:val="2"/>
            <w:shd w:val="clear" w:color="auto" w:fill="CCEEFF"/>
          </w:tcPr>
          <w:p>
            <w:pPr>
              <w:jc w:val="center"/>
              <w:ind w:left="1108"/>
              <w:spacing w:after="0"/>
              <w:rPr>
                <w:sz w:val="20"/>
                <w:szCs w:val="20"/>
                <w:color w:val="auto"/>
              </w:rPr>
            </w:pPr>
            <w:r>
              <w:rPr>
                <w:rFonts w:ascii="Arial" w:cs="Arial" w:eastAsia="Arial" w:hAnsi="Arial"/>
                <w:sz w:val="14"/>
                <w:szCs w:val="14"/>
                <w:color w:val="auto"/>
                <w:w w:val="91"/>
              </w:rPr>
              <w:t>$5.44</w:t>
            </w:r>
            <w:r>
              <w:rPr>
                <w:rFonts w:ascii="Arial" w:cs="Arial" w:eastAsia="Arial" w:hAnsi="Arial"/>
                <w:sz w:val="21"/>
                <w:szCs w:val="21"/>
                <w:color w:val="auto"/>
                <w:w w:val="91"/>
                <w:vertAlign w:val="superscript"/>
              </w:rPr>
              <w:t>(1)</w:t>
            </w: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EPS Target</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Weighted</w:t>
            </w:r>
          </w:p>
        </w:tc>
        <w:tc>
          <w:tcPr>
            <w:tcW w:w="120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Weighted</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Weighted</w:t>
            </w: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50.0% of</w:t>
            </w: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Average of</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Average of</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Average of</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Target</w:t>
            </w: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 for</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80% for</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 for</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Strategic</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Strategic</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Strategic</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Company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180"/>
              <w:spacing w:after="0"/>
              <w:rPr>
                <w:sz w:val="20"/>
                <w:szCs w:val="20"/>
                <w:color w:val="auto"/>
              </w:rPr>
            </w:pPr>
            <w:r>
              <w:rPr>
                <w:rFonts w:ascii="Arial" w:cs="Arial" w:eastAsia="Arial" w:hAnsi="Arial"/>
                <w:sz w:val="14"/>
                <w:szCs w:val="14"/>
                <w:color w:val="auto"/>
              </w:rPr>
              <w:t>Initiatives</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1,2,3,4,5,6,7,8</w:t>
            </w:r>
          </w:p>
        </w:tc>
        <w:tc>
          <w:tcPr>
            <w:tcW w:w="2160" w:type="dxa"/>
            <w:vAlign w:val="bottom"/>
            <w:gridSpan w:val="2"/>
            <w:shd w:val="clear" w:color="auto" w:fill="CCEEFF"/>
          </w:tcPr>
          <w:p>
            <w:pPr>
              <w:jc w:val="center"/>
              <w:ind w:left="1128"/>
              <w:spacing w:after="0" w:line="157" w:lineRule="exact"/>
              <w:rPr>
                <w:sz w:val="20"/>
                <w:szCs w:val="20"/>
                <w:color w:val="auto"/>
              </w:rPr>
            </w:pPr>
            <w:r>
              <w:rPr>
                <w:rFonts w:ascii="Arial" w:cs="Arial" w:eastAsia="Arial" w:hAnsi="Arial"/>
                <w:sz w:val="14"/>
                <w:szCs w:val="14"/>
                <w:color w:val="auto"/>
              </w:rPr>
              <w:t>1,2,3,4,5,6,7,8</w:t>
            </w: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1,2,3,4,5,6,7,8</w:t>
            </w: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7"/>
        </w:trPr>
        <w:tc>
          <w:tcPr>
            <w:tcW w:w="1120" w:type="dxa"/>
            <w:vAlign w:val="bottom"/>
          </w:tcPr>
          <w:p>
            <w:pPr>
              <w:spacing w:after="0"/>
              <w:rPr>
                <w:sz w:val="20"/>
                <w:szCs w:val="20"/>
                <w:color w:val="auto"/>
              </w:rPr>
            </w:pPr>
            <w:r>
              <w:rPr>
                <w:rFonts w:ascii="Arial" w:cs="Arial" w:eastAsia="Arial" w:hAnsi="Arial"/>
                <w:sz w:val="14"/>
                <w:szCs w:val="14"/>
                <w:color w:val="auto"/>
              </w:rPr>
              <w:t>Kevin J. Wilcox</w:t>
            </w: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20%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tcPr>
          <w:p>
            <w:pPr>
              <w:jc w:val="center"/>
              <w:spacing w:after="0"/>
              <w:rPr>
                <w:sz w:val="20"/>
                <w:szCs w:val="20"/>
                <w:color w:val="auto"/>
              </w:rPr>
            </w:pPr>
            <w:r>
              <w:rPr>
                <w:rFonts w:ascii="Arial" w:cs="Arial" w:eastAsia="Arial" w:hAnsi="Arial"/>
                <w:sz w:val="14"/>
                <w:szCs w:val="14"/>
                <w:color w:val="auto"/>
              </w:rPr>
              <w:t>$744.9 million</w:t>
            </w:r>
          </w:p>
        </w:tc>
        <w:tc>
          <w:tcPr>
            <w:tcW w:w="1200" w:type="dxa"/>
            <w:vAlign w:val="bottom"/>
          </w:tcPr>
          <w:p>
            <w:pPr>
              <w:spacing w:after="0"/>
              <w:rPr>
                <w:sz w:val="14"/>
                <w:szCs w:val="14"/>
                <w:color w:val="auto"/>
              </w:rPr>
            </w:pPr>
          </w:p>
        </w:tc>
        <w:tc>
          <w:tcPr>
            <w:tcW w:w="2140" w:type="dxa"/>
            <w:vAlign w:val="bottom"/>
            <w:gridSpan w:val="2"/>
          </w:tcPr>
          <w:p>
            <w:pPr>
              <w:jc w:val="center"/>
              <w:ind w:right="1200"/>
              <w:spacing w:after="0"/>
              <w:rPr>
                <w:sz w:val="20"/>
                <w:szCs w:val="20"/>
                <w:color w:val="auto"/>
              </w:rPr>
            </w:pPr>
            <w:r>
              <w:rPr>
                <w:rFonts w:ascii="Arial" w:cs="Arial" w:eastAsia="Arial" w:hAnsi="Arial"/>
                <w:sz w:val="14"/>
                <w:szCs w:val="14"/>
                <w:color w:val="auto"/>
              </w:rPr>
              <w:t>$876.3 million</w:t>
            </w:r>
          </w:p>
        </w:tc>
        <w:tc>
          <w:tcPr>
            <w:tcW w:w="1020" w:type="dxa"/>
            <w:vAlign w:val="bottom"/>
          </w:tcPr>
          <w:p>
            <w:pPr>
              <w:jc w:val="center"/>
              <w:spacing w:after="0"/>
              <w:rPr>
                <w:sz w:val="20"/>
                <w:szCs w:val="20"/>
                <w:color w:val="auto"/>
              </w:rPr>
            </w:pPr>
            <w:r>
              <w:rPr>
                <w:rFonts w:ascii="Arial" w:cs="Arial" w:eastAsia="Arial" w:hAnsi="Arial"/>
                <w:sz w:val="14"/>
                <w:szCs w:val="14"/>
                <w:color w:val="auto"/>
              </w:rPr>
              <w:t>$1,007.7 million</w:t>
            </w: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$940.9 million</w:t>
            </w: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Corporate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Service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Revenue Target</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14"/>
        </w:trPr>
        <w:tc>
          <w:tcPr>
            <w:tcW w:w="1120" w:type="dxa"/>
            <w:vAlign w:val="bottom"/>
          </w:tcPr>
          <w:p>
            <w:pPr>
              <w:spacing w:after="0"/>
              <w:rPr>
                <w:sz w:val="24"/>
                <w:szCs w:val="24"/>
                <w:color w:val="auto"/>
              </w:rPr>
            </w:pP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30%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Achieve Diluted</w:t>
            </w:r>
          </w:p>
        </w:tc>
        <w:tc>
          <w:tcPr>
            <w:tcW w:w="960" w:type="dxa"/>
            <w:vAlign w:val="bottom"/>
          </w:tcPr>
          <w:p>
            <w:pPr>
              <w:jc w:val="center"/>
              <w:spacing w:after="0"/>
              <w:rPr>
                <w:sz w:val="20"/>
                <w:szCs w:val="20"/>
                <w:color w:val="auto"/>
              </w:rPr>
            </w:pPr>
            <w:r>
              <w:rPr>
                <w:rFonts w:ascii="Arial" w:cs="Arial" w:eastAsia="Arial" w:hAnsi="Arial"/>
                <w:sz w:val="14"/>
                <w:szCs w:val="14"/>
                <w:color w:val="auto"/>
              </w:rPr>
              <w:t>$3.79</w:t>
            </w:r>
          </w:p>
        </w:tc>
        <w:tc>
          <w:tcPr>
            <w:tcW w:w="2160" w:type="dxa"/>
            <w:vAlign w:val="bottom"/>
            <w:gridSpan w:val="2"/>
          </w:tcPr>
          <w:p>
            <w:pPr>
              <w:jc w:val="center"/>
              <w:ind w:left="1128"/>
              <w:spacing w:after="0"/>
              <w:rPr>
                <w:sz w:val="20"/>
                <w:szCs w:val="20"/>
                <w:color w:val="auto"/>
              </w:rPr>
            </w:pPr>
            <w:r>
              <w:rPr>
                <w:rFonts w:ascii="Arial" w:cs="Arial" w:eastAsia="Arial" w:hAnsi="Arial"/>
                <w:sz w:val="14"/>
                <w:szCs w:val="14"/>
                <w:color w:val="auto"/>
              </w:rPr>
              <w:t>$4.45</w:t>
            </w: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$5.12</w:t>
            </w:r>
          </w:p>
        </w:tc>
        <w:tc>
          <w:tcPr>
            <w:tcW w:w="2140" w:type="dxa"/>
            <w:vAlign w:val="bottom"/>
            <w:gridSpan w:val="2"/>
          </w:tcPr>
          <w:p>
            <w:pPr>
              <w:jc w:val="center"/>
              <w:ind w:left="1108"/>
              <w:spacing w:after="0"/>
              <w:rPr>
                <w:sz w:val="20"/>
                <w:szCs w:val="20"/>
                <w:color w:val="auto"/>
              </w:rPr>
            </w:pPr>
            <w:r>
              <w:rPr>
                <w:rFonts w:ascii="Arial" w:cs="Arial" w:eastAsia="Arial" w:hAnsi="Arial"/>
                <w:sz w:val="14"/>
                <w:szCs w:val="14"/>
                <w:color w:val="auto"/>
                <w:w w:val="91"/>
              </w:rPr>
              <w:t>$5.44</w:t>
            </w:r>
            <w:r>
              <w:rPr>
                <w:rFonts w:ascii="Arial" w:cs="Arial" w:eastAsia="Arial" w:hAnsi="Arial"/>
                <w:sz w:val="21"/>
                <w:szCs w:val="21"/>
                <w:color w:val="auto"/>
                <w:w w:val="91"/>
                <w:vertAlign w:val="superscript"/>
              </w:rPr>
              <w:t>(1)</w:t>
            </w: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EPS Target</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14"/>
        </w:trPr>
        <w:tc>
          <w:tcPr>
            <w:tcW w:w="1120" w:type="dxa"/>
            <w:vAlign w:val="bottom"/>
          </w:tcPr>
          <w:p>
            <w:pPr>
              <w:spacing w:after="0"/>
              <w:rPr>
                <w:sz w:val="24"/>
                <w:szCs w:val="24"/>
                <w:color w:val="auto"/>
              </w:rPr>
            </w:pP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30%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1200" w:type="dxa"/>
            <w:vAlign w:val="bottom"/>
          </w:tcPr>
          <w:p>
            <w:pPr>
              <w:spacing w:after="0"/>
              <w:rPr>
                <w:sz w:val="24"/>
                <w:szCs w:val="24"/>
                <w:color w:val="auto"/>
              </w:rPr>
            </w:pPr>
          </w:p>
        </w:tc>
        <w:tc>
          <w:tcPr>
            <w:tcW w:w="2140" w:type="dxa"/>
            <w:vAlign w:val="bottom"/>
            <w:gridSpan w:val="2"/>
          </w:tcPr>
          <w:p>
            <w:pPr>
              <w:jc w:val="center"/>
              <w:ind w:right="1200"/>
              <w:spacing w:after="0"/>
              <w:rPr>
                <w:sz w:val="20"/>
                <w:szCs w:val="20"/>
                <w:color w:val="auto"/>
              </w:rPr>
            </w:pPr>
            <w:r>
              <w:rPr>
                <w:rFonts w:ascii="Arial" w:cs="Arial" w:eastAsia="Arial" w:hAnsi="Arial"/>
                <w:sz w:val="14"/>
                <w:szCs w:val="14"/>
                <w:color w:val="auto"/>
              </w:rPr>
              <w:t>See Strategic</w:t>
            </w:r>
          </w:p>
        </w:tc>
        <w:tc>
          <w:tcPr>
            <w:tcW w:w="102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1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62.5% of</w:t>
            </w: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tcPr>
          <w:p>
            <w:pPr>
              <w:jc w:val="center"/>
              <w:spacing w:after="0"/>
              <w:rPr>
                <w:sz w:val="20"/>
                <w:szCs w:val="20"/>
                <w:color w:val="auto"/>
              </w:rPr>
            </w:pPr>
            <w:r>
              <w:rPr>
                <w:rFonts w:ascii="Arial" w:cs="Arial" w:eastAsia="Arial" w:hAnsi="Arial"/>
                <w:sz w:val="14"/>
                <w:szCs w:val="14"/>
                <w:color w:val="auto"/>
              </w:rPr>
              <w:t>Initiatives</w:t>
            </w:r>
          </w:p>
        </w:tc>
        <w:tc>
          <w:tcPr>
            <w:tcW w:w="1200" w:type="dxa"/>
            <w:vAlign w:val="bottom"/>
          </w:tcPr>
          <w:p>
            <w:pPr>
              <w:spacing w:after="0"/>
              <w:rPr>
                <w:sz w:val="14"/>
                <w:szCs w:val="14"/>
                <w:color w:val="auto"/>
              </w:rPr>
            </w:pPr>
          </w:p>
        </w:tc>
        <w:tc>
          <w:tcPr>
            <w:tcW w:w="2140" w:type="dxa"/>
            <w:vAlign w:val="bottom"/>
            <w:gridSpan w:val="2"/>
          </w:tcPr>
          <w:p>
            <w:pPr>
              <w:jc w:val="center"/>
              <w:ind w:right="1180"/>
              <w:spacing w:after="0"/>
              <w:rPr>
                <w:sz w:val="20"/>
                <w:szCs w:val="20"/>
                <w:color w:val="auto"/>
              </w:rPr>
            </w:pPr>
            <w:r>
              <w:rPr>
                <w:rFonts w:ascii="Arial" w:cs="Arial" w:eastAsia="Arial" w:hAnsi="Arial"/>
                <w:sz w:val="14"/>
                <w:szCs w:val="14"/>
                <w:color w:val="auto"/>
              </w:rPr>
              <w:t>Initiatives</w:t>
            </w:r>
          </w:p>
        </w:tc>
        <w:tc>
          <w:tcPr>
            <w:tcW w:w="1020" w:type="dxa"/>
            <w:vAlign w:val="bottom"/>
          </w:tcPr>
          <w:p>
            <w:pPr>
              <w:jc w:val="center"/>
              <w:spacing w:after="0"/>
              <w:rPr>
                <w:sz w:val="20"/>
                <w:szCs w:val="20"/>
                <w:color w:val="auto"/>
              </w:rPr>
            </w:pPr>
            <w:r>
              <w:rPr>
                <w:rFonts w:ascii="Arial" w:cs="Arial" w:eastAsia="Arial" w:hAnsi="Arial"/>
                <w:sz w:val="14"/>
                <w:szCs w:val="14"/>
                <w:color w:val="auto"/>
              </w:rPr>
              <w:t>Initiatives 2,7,8</w:t>
            </w: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Target</w:t>
            </w: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tcPr>
          <w:p>
            <w:pPr>
              <w:jc w:val="center"/>
              <w:spacing w:after="0"/>
              <w:rPr>
                <w:sz w:val="20"/>
                <w:szCs w:val="20"/>
                <w:color w:val="auto"/>
              </w:rPr>
            </w:pPr>
            <w:r>
              <w:rPr>
                <w:rFonts w:ascii="Arial" w:cs="Arial" w:eastAsia="Arial" w:hAnsi="Arial"/>
                <w:sz w:val="14"/>
                <w:szCs w:val="14"/>
                <w:color w:val="auto"/>
              </w:rPr>
              <w:t>2,7,8</w:t>
            </w:r>
          </w:p>
        </w:tc>
        <w:tc>
          <w:tcPr>
            <w:tcW w:w="2160" w:type="dxa"/>
            <w:vAlign w:val="bottom"/>
            <w:gridSpan w:val="2"/>
          </w:tcPr>
          <w:p>
            <w:pPr>
              <w:jc w:val="center"/>
              <w:ind w:left="1128"/>
              <w:spacing w:after="0"/>
              <w:rPr>
                <w:sz w:val="20"/>
                <w:szCs w:val="20"/>
                <w:color w:val="auto"/>
              </w:rPr>
            </w:pPr>
            <w:r>
              <w:rPr>
                <w:rFonts w:ascii="Arial" w:cs="Arial" w:eastAsia="Arial" w:hAnsi="Arial"/>
                <w:sz w:val="14"/>
                <w:szCs w:val="14"/>
                <w:color w:val="auto"/>
              </w:rPr>
              <w:t>2,7,8</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7"/>
        </w:trPr>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Company</w:t>
            </w: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7"/>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Michelle D.</w:t>
            </w:r>
          </w:p>
        </w:tc>
        <w:tc>
          <w:tcPr>
            <w:tcW w:w="5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20%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$744.9 million</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$876.3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$1,007.7 million</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$940.9 million</w:t>
            </w:r>
          </w:p>
        </w:tc>
      </w:tr>
      <w:tr>
        <w:trPr>
          <w:trHeight w:val="16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Esterman</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Corporate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 Diluted</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$3.79</w:t>
            </w:r>
          </w:p>
        </w:tc>
        <w:tc>
          <w:tcPr>
            <w:tcW w:w="2160" w:type="dxa"/>
            <w:vAlign w:val="bottom"/>
            <w:gridSpan w:val="2"/>
            <w:shd w:val="clear" w:color="auto" w:fill="CCEEFF"/>
          </w:tcPr>
          <w:p>
            <w:pPr>
              <w:jc w:val="center"/>
              <w:ind w:left="1128"/>
              <w:spacing w:after="0"/>
              <w:rPr>
                <w:sz w:val="20"/>
                <w:szCs w:val="20"/>
                <w:color w:val="auto"/>
              </w:rPr>
            </w:pPr>
            <w:r>
              <w:rPr>
                <w:rFonts w:ascii="Arial" w:cs="Arial" w:eastAsia="Arial" w:hAnsi="Arial"/>
                <w:sz w:val="14"/>
                <w:szCs w:val="14"/>
                <w:color w:val="auto"/>
              </w:rPr>
              <w:t>$4.45</w:t>
            </w: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$5.12</w:t>
            </w:r>
          </w:p>
        </w:tc>
        <w:tc>
          <w:tcPr>
            <w:tcW w:w="2140" w:type="dxa"/>
            <w:vAlign w:val="bottom"/>
            <w:gridSpan w:val="2"/>
            <w:shd w:val="clear" w:color="auto" w:fill="CCEEFF"/>
          </w:tcPr>
          <w:p>
            <w:pPr>
              <w:jc w:val="center"/>
              <w:ind w:left="1108"/>
              <w:spacing w:after="0"/>
              <w:rPr>
                <w:sz w:val="20"/>
                <w:szCs w:val="20"/>
                <w:color w:val="auto"/>
              </w:rPr>
            </w:pPr>
            <w:r>
              <w:rPr>
                <w:rFonts w:ascii="Arial" w:cs="Arial" w:eastAsia="Arial" w:hAnsi="Arial"/>
                <w:sz w:val="14"/>
                <w:szCs w:val="14"/>
                <w:color w:val="auto"/>
                <w:w w:val="91"/>
              </w:rPr>
              <w:t>$5.44</w:t>
            </w:r>
            <w:r>
              <w:rPr>
                <w:rFonts w:ascii="Arial" w:cs="Arial" w:eastAsia="Arial" w:hAnsi="Arial"/>
                <w:sz w:val="21"/>
                <w:szCs w:val="21"/>
                <w:color w:val="auto"/>
                <w:w w:val="91"/>
                <w:vertAlign w:val="superscript"/>
              </w:rPr>
              <w:t>(1)</w:t>
            </w: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EPS Target</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120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See Strategic</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116.7% of</w:t>
            </w: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180"/>
              <w:spacing w:after="0"/>
              <w:rPr>
                <w:sz w:val="20"/>
                <w:szCs w:val="20"/>
                <w:color w:val="auto"/>
              </w:rPr>
            </w:pPr>
            <w:r>
              <w:rPr>
                <w:rFonts w:ascii="Arial" w:cs="Arial" w:eastAsia="Arial" w:hAnsi="Arial"/>
                <w:sz w:val="14"/>
                <w:szCs w:val="14"/>
                <w:color w:val="auto"/>
              </w:rPr>
              <w:t>Initiatives</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 1,7,8</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Target</w:t>
            </w: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1,7,8</w:t>
            </w:r>
          </w:p>
        </w:tc>
        <w:tc>
          <w:tcPr>
            <w:tcW w:w="2160" w:type="dxa"/>
            <w:vAlign w:val="bottom"/>
            <w:gridSpan w:val="2"/>
            <w:shd w:val="clear" w:color="auto" w:fill="CCEEFF"/>
          </w:tcPr>
          <w:p>
            <w:pPr>
              <w:jc w:val="center"/>
              <w:ind w:left="1128"/>
              <w:spacing w:after="0"/>
              <w:rPr>
                <w:sz w:val="20"/>
                <w:szCs w:val="20"/>
                <w:color w:val="auto"/>
              </w:rPr>
            </w:pPr>
            <w:r>
              <w:rPr>
                <w:rFonts w:ascii="Arial" w:cs="Arial" w:eastAsia="Arial" w:hAnsi="Arial"/>
                <w:sz w:val="14"/>
                <w:szCs w:val="14"/>
                <w:color w:val="auto"/>
              </w:rPr>
              <w:t>1,7,8</w:t>
            </w: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Company</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ind w:left="540" w:right="100" w:hanging="532"/>
        <w:spacing w:after="0" w:line="193" w:lineRule="auto"/>
        <w:tabs>
          <w:tab w:leader="none" w:pos="54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Actual achievement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00" w:type="dxa"/>
            <w:vAlign w:val="bottom"/>
            <w:gridSpan w:val="4"/>
            <w:shd w:val="clear" w:color="auto" w:fill="3C5567"/>
          </w:tcPr>
          <w:p>
            <w:pPr>
              <w:ind w:left="160"/>
              <w:spacing w:after="0"/>
              <w:rPr>
                <w:sz w:val="20"/>
                <w:szCs w:val="20"/>
                <w:color w:val="auto"/>
              </w:rPr>
            </w:pPr>
            <w:r>
              <w:rPr>
                <w:rFonts w:ascii="Arial" w:cs="Arial" w:eastAsia="Arial" w:hAnsi="Arial"/>
                <w:sz w:val="14"/>
                <w:szCs w:val="14"/>
                <w:color w:val="82C243"/>
              </w:rPr>
              <w:t>COMPENSATION DISCUSSION AND ANALYSIS</w:t>
            </w:r>
          </w:p>
        </w:tc>
        <w:tc>
          <w:tcPr>
            <w:tcW w:w="0" w:type="dxa"/>
            <w:vAlign w:val="bottom"/>
          </w:tcPr>
          <w:p>
            <w:pPr>
              <w:spacing w:after="0"/>
              <w:rPr>
                <w:sz w:val="1"/>
                <w:szCs w:val="1"/>
                <w:color w:val="auto"/>
              </w:rPr>
            </w:pPr>
          </w:p>
        </w:tc>
      </w:tr>
      <w:tr>
        <w:trPr>
          <w:trHeight w:val="66"/>
        </w:trPr>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2015 Scorecard</w:t>
            </w:r>
          </w:p>
        </w:tc>
        <w:tc>
          <w:tcPr>
            <w:tcW w:w="960" w:type="dxa"/>
            <w:vAlign w:val="bottom"/>
          </w:tcPr>
          <w:p>
            <w:pPr>
              <w:spacing w:after="0"/>
              <w:rPr>
                <w:sz w:val="5"/>
                <w:szCs w:val="5"/>
                <w:color w:val="auto"/>
              </w:rPr>
            </w:pPr>
          </w:p>
        </w:tc>
        <w:tc>
          <w:tcPr>
            <w:tcW w:w="300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Levels of Achievement</w:t>
            </w:r>
          </w:p>
        </w:tc>
        <w:tc>
          <w:tcPr>
            <w:tcW w:w="340" w:type="dxa"/>
            <w:vAlign w:val="bottom"/>
            <w:shd w:val="clear" w:color="auto" w:fill="3C5567"/>
          </w:tcPr>
          <w:p>
            <w:pPr>
              <w:spacing w:after="0"/>
              <w:rPr>
                <w:sz w:val="5"/>
                <w:szCs w:val="5"/>
                <w:color w:val="auto"/>
              </w:rPr>
            </w:pPr>
          </w:p>
        </w:tc>
        <w:tc>
          <w:tcPr>
            <w:tcW w:w="1020" w:type="dxa"/>
            <w:vAlign w:val="bottom"/>
            <w:shd w:val="clear" w:color="auto" w:fill="3C5567"/>
          </w:tcPr>
          <w:p>
            <w:pPr>
              <w:spacing w:after="0"/>
              <w:rPr>
                <w:sz w:val="5"/>
                <w:szCs w:val="5"/>
                <w:color w:val="auto"/>
              </w:rPr>
            </w:pPr>
          </w:p>
        </w:tc>
        <w:tc>
          <w:tcPr>
            <w:tcW w:w="1180" w:type="dxa"/>
            <w:vAlign w:val="bottom"/>
            <w:shd w:val="clear" w:color="auto" w:fill="3C5567"/>
          </w:tcPr>
          <w:p>
            <w:pPr>
              <w:spacing w:after="0"/>
              <w:rPr>
                <w:sz w:val="5"/>
                <w:szCs w:val="5"/>
                <w:color w:val="auto"/>
              </w:rPr>
            </w:pPr>
          </w:p>
        </w:tc>
        <w:tc>
          <w:tcPr>
            <w:tcW w:w="960" w:type="dxa"/>
            <w:vAlign w:val="bottom"/>
            <w:shd w:val="clear" w:color="auto" w:fill="3C5567"/>
          </w:tcPr>
          <w:p>
            <w:pPr>
              <w:spacing w:after="0"/>
              <w:rPr>
                <w:sz w:val="5"/>
                <w:szCs w:val="5"/>
                <w:color w:val="auto"/>
              </w:rPr>
            </w:pPr>
          </w:p>
        </w:tc>
        <w:tc>
          <w:tcPr>
            <w:tcW w:w="0" w:type="dxa"/>
            <w:vAlign w:val="bottom"/>
          </w:tcPr>
          <w:p>
            <w:pPr>
              <w:spacing w:after="0"/>
              <w:rPr>
                <w:sz w:val="1"/>
                <w:szCs w:val="1"/>
                <w:color w:val="auto"/>
              </w:rPr>
            </w:pPr>
          </w:p>
        </w:tc>
      </w:tr>
      <w:tr>
        <w:trPr>
          <w:trHeight w:val="527"/>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3"/>
                <w:szCs w:val="13"/>
                <w:color w:val="auto"/>
              </w:rPr>
            </w:pPr>
          </w:p>
        </w:tc>
        <w:tc>
          <w:tcPr>
            <w:tcW w:w="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08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Elements</w:t>
            </w:r>
          </w:p>
        </w:tc>
        <w:tc>
          <w:tcPr>
            <w:tcW w:w="116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Threshold</w:t>
            </w:r>
          </w:p>
        </w:tc>
        <w:tc>
          <w:tcPr>
            <w:tcW w:w="120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Target</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Outstanding</w:t>
            </w:r>
          </w:p>
        </w:tc>
        <w:tc>
          <w:tcPr>
            <w:tcW w:w="118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Achieved</w:t>
            </w:r>
          </w:p>
        </w:tc>
        <w:tc>
          <w:tcPr>
            <w:tcW w:w="0" w:type="dxa"/>
            <w:vAlign w:val="bottom"/>
          </w:tcPr>
          <w:p>
            <w:pPr>
              <w:spacing w:after="0"/>
              <w:rPr>
                <w:sz w:val="1"/>
                <w:szCs w:val="1"/>
                <w:color w:val="auto"/>
              </w:rPr>
            </w:pPr>
          </w:p>
        </w:tc>
      </w:tr>
      <w:tr>
        <w:trPr>
          <w:trHeight w:val="160"/>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Joseph A. Davila</w:t>
            </w:r>
          </w:p>
        </w:tc>
        <w:tc>
          <w:tcPr>
            <w:tcW w:w="5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20%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 Service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$545.2 million</w:t>
            </w:r>
          </w:p>
        </w:tc>
        <w:tc>
          <w:tcPr>
            <w:tcW w:w="12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860"/>
              <w:spacing w:after="0"/>
              <w:rPr>
                <w:sz w:val="20"/>
                <w:szCs w:val="20"/>
                <w:color w:val="auto"/>
              </w:rPr>
            </w:pPr>
            <w:r>
              <w:rPr>
                <w:rFonts w:ascii="Arial" w:cs="Arial" w:eastAsia="Arial" w:hAnsi="Arial"/>
                <w:sz w:val="14"/>
                <w:szCs w:val="14"/>
                <w:color w:val="auto"/>
              </w:rPr>
              <w:t>$641.4 million</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$737.6 million</w:t>
            </w: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$655.1 million</w:t>
            </w: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for Mortgage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excluding</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certain</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Origination</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Services</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 Pre-tax</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$190.9 million</w:t>
            </w:r>
          </w:p>
        </w:tc>
        <w:tc>
          <w:tcPr>
            <w:tcW w:w="12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center"/>
              <w:ind w:right="860"/>
              <w:spacing w:after="0"/>
              <w:rPr>
                <w:sz w:val="20"/>
                <w:szCs w:val="20"/>
                <w:color w:val="auto"/>
              </w:rPr>
            </w:pPr>
            <w:r>
              <w:rPr>
                <w:rFonts w:ascii="Arial" w:cs="Arial" w:eastAsia="Arial" w:hAnsi="Arial"/>
                <w:sz w:val="14"/>
                <w:szCs w:val="14"/>
                <w:color w:val="auto"/>
              </w:rPr>
              <w:t>$224.6 million</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$258.3 million</w:t>
            </w: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$210.0 million</w:t>
            </w: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Income Target</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attributable to</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Altisource for</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Mortgage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excluding</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certain</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Origination</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Services</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12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center"/>
              <w:ind w:right="860"/>
              <w:spacing w:after="0"/>
              <w:rPr>
                <w:sz w:val="20"/>
                <w:szCs w:val="20"/>
                <w:color w:val="auto"/>
              </w:rPr>
            </w:pPr>
            <w:r>
              <w:rPr>
                <w:rFonts w:ascii="Arial" w:cs="Arial" w:eastAsia="Arial" w:hAnsi="Arial"/>
                <w:sz w:val="14"/>
                <w:szCs w:val="14"/>
                <w:color w:val="auto"/>
              </w:rPr>
              <w:t>See Strategic</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70.0% of</w:t>
            </w: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2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center"/>
              <w:ind w:right="840"/>
              <w:spacing w:after="0"/>
              <w:rPr>
                <w:sz w:val="20"/>
                <w:szCs w:val="20"/>
                <w:color w:val="auto"/>
              </w:rPr>
            </w:pPr>
            <w:r>
              <w:rPr>
                <w:rFonts w:ascii="Arial" w:cs="Arial" w:eastAsia="Arial" w:hAnsi="Arial"/>
                <w:sz w:val="14"/>
                <w:szCs w:val="14"/>
                <w:color w:val="auto"/>
              </w:rPr>
              <w:t>Initiatives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2,3,4,6,7</w:t>
            </w:r>
          </w:p>
        </w:tc>
        <w:tc>
          <w:tcPr>
            <w:tcW w:w="2160" w:type="dxa"/>
            <w:vAlign w:val="bottom"/>
            <w:gridSpan w:val="2"/>
            <w:shd w:val="clear" w:color="auto" w:fill="CCEEFF"/>
          </w:tcPr>
          <w:p>
            <w:pPr>
              <w:jc w:val="center"/>
              <w:ind w:left="1128"/>
              <w:spacing w:after="0"/>
              <w:rPr>
                <w:sz w:val="20"/>
                <w:szCs w:val="20"/>
                <w:color w:val="auto"/>
              </w:rPr>
            </w:pPr>
            <w:r>
              <w:rPr>
                <w:rFonts w:ascii="Arial" w:cs="Arial" w:eastAsia="Arial" w:hAnsi="Arial"/>
                <w:sz w:val="14"/>
                <w:szCs w:val="14"/>
                <w:color w:val="auto"/>
              </w:rPr>
              <w:t>2,3,4,6,7</w:t>
            </w:r>
          </w:p>
        </w:tc>
        <w:tc>
          <w:tcPr>
            <w:tcW w:w="8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left="248"/>
              <w:spacing w:after="0"/>
              <w:rPr>
                <w:sz w:val="20"/>
                <w:szCs w:val="20"/>
                <w:color w:val="auto"/>
              </w:rPr>
            </w:pPr>
            <w:r>
              <w:rPr>
                <w:rFonts w:ascii="Arial" w:cs="Arial" w:eastAsia="Arial" w:hAnsi="Arial"/>
                <w:sz w:val="14"/>
                <w:szCs w:val="14"/>
                <w:color w:val="auto"/>
              </w:rPr>
              <w:t>2,3,4,6,7</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Company</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20"/>
                <w:szCs w:val="20"/>
                <w:color w:val="auto"/>
              </w:rPr>
            </w:pPr>
            <w:r>
              <w:rPr>
                <w:rFonts w:ascii="Arial" w:cs="Arial" w:eastAsia="Arial" w:hAnsi="Arial"/>
                <w:sz w:val="14"/>
                <w:szCs w:val="14"/>
                <w:color w:val="auto"/>
              </w:rPr>
              <w:t>Gregory J. Ritts</w:t>
            </w: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10%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tcPr>
          <w:p>
            <w:pPr>
              <w:jc w:val="center"/>
              <w:spacing w:after="0"/>
              <w:rPr>
                <w:sz w:val="20"/>
                <w:szCs w:val="20"/>
                <w:color w:val="auto"/>
              </w:rPr>
            </w:pPr>
            <w:r>
              <w:rPr>
                <w:rFonts w:ascii="Arial" w:cs="Arial" w:eastAsia="Arial" w:hAnsi="Arial"/>
                <w:sz w:val="14"/>
                <w:szCs w:val="14"/>
                <w:color w:val="auto"/>
              </w:rPr>
              <w:t>$786.3 million</w:t>
            </w:r>
          </w:p>
        </w:tc>
        <w:tc>
          <w:tcPr>
            <w:tcW w:w="1200" w:type="dxa"/>
            <w:vAlign w:val="bottom"/>
          </w:tcPr>
          <w:p>
            <w:pPr>
              <w:spacing w:after="0"/>
              <w:rPr>
                <w:sz w:val="14"/>
                <w:szCs w:val="14"/>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4"/>
                <w:szCs w:val="14"/>
                <w:color w:val="auto"/>
              </w:rPr>
              <w:t>$925.0 million</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$1,063.8 million</w:t>
            </w: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$940.9 million</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Support Group</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Service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Revenue Target</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120" w:type="dxa"/>
            <w:vAlign w:val="bottom"/>
          </w:tcPr>
          <w:p>
            <w:pPr>
              <w:spacing w:after="0"/>
              <w:rPr>
                <w:sz w:val="24"/>
                <w:szCs w:val="24"/>
                <w:color w:val="auto"/>
              </w:rPr>
            </w:pP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10%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tcPr>
          <w:p>
            <w:pPr>
              <w:jc w:val="center"/>
              <w:spacing w:after="0"/>
              <w:rPr>
                <w:sz w:val="20"/>
                <w:szCs w:val="20"/>
                <w:color w:val="auto"/>
              </w:rPr>
            </w:pPr>
            <w:r>
              <w:rPr>
                <w:rFonts w:ascii="Arial" w:cs="Arial" w:eastAsia="Arial" w:hAnsi="Arial"/>
                <w:sz w:val="14"/>
                <w:szCs w:val="14"/>
                <w:color w:val="auto"/>
              </w:rPr>
              <w:t>$105.3 million</w:t>
            </w:r>
          </w:p>
        </w:tc>
        <w:tc>
          <w:tcPr>
            <w:tcW w:w="1200" w:type="dxa"/>
            <w:vAlign w:val="bottom"/>
          </w:tcPr>
          <w:p>
            <w:pPr>
              <w:spacing w:after="0"/>
              <w:rPr>
                <w:sz w:val="24"/>
                <w:szCs w:val="24"/>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4"/>
                <w:szCs w:val="14"/>
                <w:color w:val="auto"/>
              </w:rPr>
              <w:t>$123.9 million</w:t>
            </w:r>
          </w:p>
        </w:tc>
        <w:tc>
          <w:tcPr>
            <w:tcW w:w="3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$142.5 million</w:t>
            </w:r>
          </w:p>
        </w:tc>
        <w:tc>
          <w:tcPr>
            <w:tcW w:w="2140" w:type="dxa"/>
            <w:vAlign w:val="bottom"/>
            <w:gridSpan w:val="2"/>
          </w:tcPr>
          <w:p>
            <w:pPr>
              <w:jc w:val="center"/>
              <w:ind w:left="1108"/>
              <w:spacing w:after="0"/>
              <w:rPr>
                <w:sz w:val="20"/>
                <w:szCs w:val="20"/>
                <w:color w:val="auto"/>
              </w:rPr>
            </w:pPr>
            <w:r>
              <w:rPr>
                <w:rFonts w:ascii="Arial" w:cs="Arial" w:eastAsia="Arial" w:hAnsi="Arial"/>
                <w:sz w:val="14"/>
                <w:szCs w:val="14"/>
                <w:color w:val="auto"/>
                <w:w w:val="93"/>
              </w:rPr>
              <w:t>$124.8</w:t>
            </w:r>
            <w:r>
              <w:rPr>
                <w:rFonts w:ascii="Arial" w:cs="Arial" w:eastAsia="Arial" w:hAnsi="Arial"/>
                <w:sz w:val="21"/>
                <w:szCs w:val="21"/>
                <w:color w:val="auto"/>
                <w:w w:val="93"/>
                <w:vertAlign w:val="superscript"/>
              </w:rPr>
              <w:t>(1)</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Support Group</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Pre-tax Income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Target</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120" w:type="dxa"/>
            <w:vAlign w:val="bottom"/>
          </w:tcPr>
          <w:p>
            <w:pPr>
              <w:spacing w:after="0"/>
              <w:rPr>
                <w:sz w:val="24"/>
                <w:szCs w:val="24"/>
                <w:color w:val="auto"/>
              </w:rPr>
            </w:pP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60%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1200" w:type="dxa"/>
            <w:vAlign w:val="bottom"/>
          </w:tcPr>
          <w:p>
            <w:pPr>
              <w:spacing w:after="0"/>
              <w:rPr>
                <w:sz w:val="24"/>
                <w:szCs w:val="24"/>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4"/>
                <w:szCs w:val="14"/>
                <w:color w:val="auto"/>
              </w:rPr>
              <w:t>See Strategic</w:t>
            </w:r>
          </w:p>
        </w:tc>
        <w:tc>
          <w:tcPr>
            <w:tcW w:w="3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1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145.8% of</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tcPr>
          <w:p>
            <w:pPr>
              <w:jc w:val="center"/>
              <w:spacing w:after="0"/>
              <w:rPr>
                <w:sz w:val="20"/>
                <w:szCs w:val="20"/>
                <w:color w:val="auto"/>
              </w:rPr>
            </w:pPr>
            <w:r>
              <w:rPr>
                <w:rFonts w:ascii="Arial" w:cs="Arial" w:eastAsia="Arial" w:hAnsi="Arial"/>
                <w:sz w:val="14"/>
                <w:szCs w:val="14"/>
                <w:color w:val="auto"/>
              </w:rPr>
              <w:t>Initiatives 7,8</w:t>
            </w:r>
          </w:p>
        </w:tc>
        <w:tc>
          <w:tcPr>
            <w:tcW w:w="1200" w:type="dxa"/>
            <w:vAlign w:val="bottom"/>
          </w:tcPr>
          <w:p>
            <w:pPr>
              <w:spacing w:after="0"/>
              <w:rPr>
                <w:sz w:val="14"/>
                <w:szCs w:val="14"/>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color w:val="auto"/>
              </w:rPr>
              <w:t>Initiatives 7,8</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Initiatives 7,8</w:t>
            </w: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Company</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00" w:hanging="532"/>
        <w:spacing w:after="0" w:line="193" w:lineRule="auto"/>
        <w:tabs>
          <w:tab w:leader="none" w:pos="54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Actual achievement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20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noted above, 20% of the incentive compensation for the Chief Executive Officer and other Named Executive Officers is determined by their performance appraisal for the service year. Each of our Named Executive Officers performs a self-assessment as to his or her performance against his or her goals for the applicable year. Our Chief Executive Officer utilizes these assessments, as well as his own observations, to deliver a written performance appraisal for each of the other executive officers. These performance appraisals rate performance based on objective criteria related to two key factors: (i) the executive's ability to improve and develop their organization throughout the year and (ii) the executive's strategic contributions to the Company.</w:t>
      </w:r>
    </w:p>
    <w:p>
      <w:pPr>
        <w:spacing w:after="0" w:line="21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Chief Executive Officer's scorecard performance and personal performance appraisal are determined by the Compensation Committee taking into consideration whether the Company's performance and corresponding incentive results present a fair representation of the Chief Executive Officer's performance.</w:t>
      </w:r>
    </w:p>
    <w:p>
      <w:pPr>
        <w:spacing w:after="0" w:line="20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For our Named Executive Officers other than the Chief Executive Officer, the Chief Executive Officer, in conjunction with the Chief Administration Officer, presents the personal scorecard performance and the performance appraisal scores to the Compensation Committee and makes recommendations as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incentive compensation for each executive officer (except for the Chief Administration Officer, whose performance is reviewed without the presence of such executive). The Compensation Committee evaluates the recommendations in light of the Company's overall performance and the executive's business unit or support unit's performance and makes the final compensation award determinations for each executive. In instances where the Compensation Committee believes an executive's scorecard performance does not result in an incentive compensation amount that is reflective of the executive's efforts and accomplishments, the Compensation Committee may award such executive a one-time cash award to properly align his or her incentive award with his efforts and accomplishments during the period. A one-time discretionary cash award of $72,000 was made to Mr. Davila, President, Mortgage Services to reflect his efforts and accomplishments leading our Mortgage Services business segment and diversifying our revenue.</w:t>
      </w:r>
    </w:p>
    <w:p>
      <w:pPr>
        <w:spacing w:after="0" w:line="2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Annual incentive compensation is paid to our executives and other incentive-eligible employees following such determinations. For 2015, incentive compensation was awarded accordingly.</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Incentive compensation is set in U.S. dollars and, at the executive's discretion, may be paid in U.S. dollars or in euros converted from U.S. dollars at the exchange rate in effect as of the date of payment. Please see the Summary Compensation Table under "Executive Compensation" for the actual amounts awarded for 2015.</w:t>
      </w:r>
    </w:p>
    <w:p>
      <w:pPr>
        <w:spacing w:after="0" w:line="188"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b w:val="1"/>
          <w:bCs w:val="1"/>
          <w:i w:val="1"/>
          <w:iCs w:val="1"/>
          <w:color w:val="auto"/>
        </w:rPr>
        <w:t xml:space="preserve">2016 Annual Incentive Compensation. </w:t>
      </w:r>
      <w:r>
        <w:rPr>
          <w:rFonts w:ascii="Arial" w:cs="Arial" w:eastAsia="Arial" w:hAnsi="Arial"/>
          <w:sz w:val="18"/>
          <w:szCs w:val="18"/>
          <w:color w:val="auto"/>
        </w:rPr>
        <w:t>The Company's 2016 key performance indicators have been developed and the corporate scorecard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approved by the Board of Directors at its meeting on November 6, 2015. On February 11, 2016, the Board of Directors approved certain amendments/exceptions to the corporate scorecard and the Compensation Committee approved the annual incentive components for the Chief Executive Officer and other executives for 2016.</w:t>
      </w:r>
    </w:p>
    <w:p>
      <w:pPr>
        <w:spacing w:after="0" w:line="20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corporate scorecard for 2016 includes achieving an overall service revenue target, achieving business segment specific service revenue and pre-tax income targets and achieving an adjusted earnings per share target. In addition, the corporate scorecard provides for successful completion of strategic initiatives established to enhance long-term corporate and shareholder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2016 corporate strategic initiatives relate to:</w:t>
      </w:r>
    </w:p>
    <w:p>
      <w:pPr>
        <w:spacing w:after="0" w:line="21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Supporting customer's operational objectives</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Growing our Servicer Solutions business</w:t>
      </w:r>
    </w:p>
    <w:p>
      <w:pPr>
        <w:ind w:left="1080" w:hanging="532"/>
        <w:spacing w:after="0" w:line="23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Growing our Origination Solutions business</w:t>
      </w: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Growing Owners.com, our consumer real estate offering</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Growing our Real Estate Investor Solutions business</w:t>
      </w:r>
    </w:p>
    <w:p>
      <w:pPr>
        <w:ind w:left="1080" w:hanging="532"/>
        <w:spacing w:after="0" w:line="23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Launching the REALAnalytics, REALDoc and marketplace products</w:t>
      </w: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Continuing to enhance our compliance management system</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Achieving operations and cost savings initiatives</w:t>
      </w:r>
    </w:p>
    <w:p>
      <w:pPr>
        <w:spacing w:after="0" w:line="19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i w:val="1"/>
          <w:iCs w:val="1"/>
          <w:color w:val="auto"/>
        </w:rPr>
        <w:t xml:space="preserve">Relocation and Foreign Living Allowances. </w:t>
      </w:r>
      <w:r>
        <w:rPr>
          <w:rFonts w:ascii="Arial" w:cs="Arial" w:eastAsia="Arial" w:hAnsi="Arial"/>
          <w:sz w:val="18"/>
          <w:szCs w:val="18"/>
          <w:color w:val="auto"/>
        </w:rPr>
        <w:t>Since we are a Luxembourg company, each of our Named Executive Officers is based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headquarters in Luxembourg. This is consistent with our view that daily interaction of our leadership team at our headquarters helps us to efficiently develop and execute our strategic initiatives. Often the executive talent we seek to attract to Luxembourg is based in the United States. To attract and appropriately incent our Named Executive Officers, we provide each with certain relocation and foreign living allowances that the Committee believes are reasonable and consistent with our overall compensation philosophy to attract and retain superior employees for key positions requiring relocation. Please see the Summary Compensation Table under the "Executive Compensation" section below for additional details.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believe our executive compensation programs are effectively designed, are working well in alignment with the interests of our shareholders and are instrumental to achieving our business strategy. In determining executive compensation for fiscal year 2015, our Compensation Committee considered the overwhelming shareholder support that the "Say-on-Pay" proposal received at our May 21, 2014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 The next "Say-on-Pay" vote will be held at our 2017 Annual Meeting of Shareholders.</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 In 2015, our Compensation Committee reviewed the compensation levels for the Chief Financial Officer. The Committee reviewed the analyses by the human resources function to help identify the competitive positioning of our pay practices. All information was obtained from publicly available proxy disclosures and included base salary, annual incentive compensation and long-term incentive compensation. Please see "Role of Compensation Consultant" for information on the peer group companies the Compensation Committee used in its analysis.</w:t>
      </w:r>
    </w:p>
    <w:p>
      <w:pPr>
        <w:spacing w:after="0" w:line="210"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Compensation Committee believes this peer group benchmarking methodology provides a fair representation of the competitive arena for executive talent and is an effective approach for setting compensation levels to ensure that the Company's pay practices allow it to attract and retain executive employees of the highest quality. The Committee also considered other relevant factors, such as the Named Executive Officers' performance, additional responsibility taken up by the Named Executive Officers, their retention and other relevant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Increases for Certain Named Executive Officers</w:t>
      </w:r>
    </w:p>
    <w:p>
      <w:pPr>
        <w:spacing w:after="0" w:line="23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Based on the benchmarking analyses, performance, retention and/or other relevant considerations, in 2015, the Compensation Committee reviewed recommendations and determined appropriate base salary and annual incentive compensation targets for certain of the Company's Named Executive Officers.</w:t>
      </w:r>
    </w:p>
    <w:p>
      <w:pPr>
        <w:spacing w:after="0" w:line="20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Effective March 1, 2015, the annual base salary for Ms. Esterman was increased from $395,000 to $420,000 based on benchmarking analyses and the value of her expected performance going forward. The Compensation Committee determined that the ratio of the incentive compensation to the total compensation should remain substantially the same. Her incentive compensation target was therefore increased from $255,000 to $280,000 effective March 1, 2015.</w:t>
      </w:r>
    </w:p>
    <w:p>
      <w:pPr>
        <w:spacing w:after="0" w:line="209"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As disclosed in the Company's proxy statement in connection with the Company's 2015 Annual Meeting of Shareholders, the annual base salary for Mr. Davila was increased from $375,000 to $395,863 effective February 1, 2015. His incentive compensation target remained unchanged.</w:t>
      </w:r>
    </w:p>
    <w:p>
      <w:pPr>
        <w:spacing w:after="0" w:line="16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Base salaries for our Named Executive Officers are set in U.S. dollars and paid in euros. Please see the Summary Compensation Table under "Executive Compensation"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Compensation Committee administers the 2009 Equity Incentive Plan, which was approved by our shareholders in 2009.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authorizes the award of restricted shares,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or nonqualified stock options, as determined by the Compensation Committee.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awards.</w:t>
      </w:r>
    </w:p>
    <w:p>
      <w:pPr>
        <w:spacing w:after="0" w:line="178"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In most cases, equity awards are provided in the form of stock option grants, with 75% of the granted stock options beginning to vest only if the stock price is double or triple the exercise price as further detailed below. Our Compensation Committee uses stock options as our primary long-term incentive vehicle because stock options align the interests of executives with those of our shareholders, foster employee share ownership, support a pay-for-performance culture and focus the executive team on increasing value for our shareholders. In addition, stock option grants generally vest over a three- to five-year period following the grant date or the achievement of performance criteria for retention purposes.</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Stock option grants are generally made to executive officers upon joining the Company and, from time to time thereafter, following a significant change in job responsibilities, following the accomplishment of vesting performance hurdles for prior grants, to meet other special retention objectives or for other reasons our Compensation Committee deems appropriate. The Compensation Committee reviews and approves stock option awards to executive officers based upon its assessment of the individual's position, scope of responsibility, ability to affect profits and shareholder value, individual performance, a review of the executive's existing long-term incentives, retention considerations and the value of stock options in relation to other elements of the individual executive's total compensation.</w:t>
      </w:r>
    </w:p>
    <w:p>
      <w:pPr>
        <w:spacing w:after="0" w:line="21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line with the objectives of our compensation philosophy, Ms. Esterman received 25,000 stock options on February 10, 2015.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18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Company's other share-based and similar types of awards consist of restricted shares, issued under our 2009 Equity Incentive Plan, and Equity Appreciation Rights ("EARs").</w:t>
      </w:r>
    </w:p>
    <w:p>
      <w:pPr>
        <w:spacing w:after="0" w:line="20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restricted shares are service-based awards that generally vest over three or four years after the grant of the award with either annual cliff vesting, vesting of all of the restricted shares at the end of the vesting period or vesting beginning after two years of service.</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Company's subsidiary, Altisource Solutions S.à r.l., has established EAR plans for three divisions: Consumer Analytics, Document Solutions and Marketplace Solutions. EARs provide participating employees of certain divisions of the Company with the potential to receive a percentage of the increase in the value of the applicable division during the term of the EARs. These EAR plans allow for the issuance of EARs representing up to 15% of these divisions. The EARs consist of service-based awards and performance-based awards. Service-based EARs generally vest in equal installments on the first, second, third and fourth anniversaries of the grant date. Performance-based EARs generally begin to vest on the date certain performance criteria are achieved by the applicable division of the Company. Generally, 25% of these EARs are service-based and 75% of these EARs are performance-based.</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participating employee will have the opportunity at certain times specified in the award agreement to exercise EARs that have vested and in exchange will receive share equivalency units, the number of which will be based on the increase in value of the division and the amount of EARs awarded to the participating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employee. At Altisource's option, the share equivalency units may be redeemed for cash, shares of the Company's common stock pursuant to our 2009 Equity Incentive Plan, a subordinated note payable or, under certain circumstances where the division has been converted into a company form, shares of that company.</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Award agreements applicable to restricted shares, stock option and EAR grants include a covenant to maintain our confidential information. In addition, the award recipient is generally bound by non-competition and non-solicitation covenants for a minimum period of two (2) years following the end of his or her employment with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and Long-term Incentive Awards</w:t>
      </w:r>
    </w:p>
    <w:p>
      <w:pPr>
        <w:spacing w:after="0" w:line="23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On April 15, 2015, the Compensation Committee approved retention and long-term incentive awards to provide for equity (restricted shares and stock options) and, in some instances, future cash awards to our Chief Executive Officer and other Named Executive Officers.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awards were intended to assist in the retention of these executives, while providing a long-term incentive for the implementation of the Company's strategic initiatives to grow and diversify the revenue base and create long-term shareholder value. Awards of service-based restricted share and cash awards were designed to address the Company's retention needs, while the stock options were designed to provide participants with greater long term incentive opportunity based on the appreciation in the value of the stock price.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Cash and equity awards were made to our Chief Executive Officer and other Named Executive Officers, as set forth below:</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Target Cash</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Restricted</w:t>
            </w:r>
          </w:p>
        </w:tc>
        <w:tc>
          <w:tcPr>
            <w:tcW w:w="2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Stock</w:t>
            </w:r>
          </w:p>
        </w:tc>
      </w:tr>
      <w:tr>
        <w:trPr>
          <w:trHeight w:val="243"/>
        </w:trPr>
        <w:tc>
          <w:tcPr>
            <w:tcW w:w="20" w:type="dxa"/>
            <w:vAlign w:val="bottom"/>
          </w:tcPr>
          <w:p>
            <w:pPr>
              <w:spacing w:after="0"/>
              <w:rPr>
                <w:sz w:val="21"/>
                <w:szCs w:val="21"/>
                <w:color w:val="auto"/>
              </w:rPr>
            </w:pPr>
          </w:p>
        </w:tc>
        <w:tc>
          <w:tcPr>
            <w:tcW w:w="5540" w:type="dxa"/>
            <w:vAlign w:val="bottom"/>
          </w:tcPr>
          <w:p>
            <w:pPr>
              <w:ind w:left="2480"/>
              <w:spacing w:after="0"/>
              <w:rPr>
                <w:sz w:val="20"/>
                <w:szCs w:val="20"/>
                <w:color w:val="auto"/>
              </w:rPr>
            </w:pPr>
            <w:r>
              <w:rPr>
                <w:rFonts w:ascii="Arial" w:cs="Arial" w:eastAsia="Arial" w:hAnsi="Arial"/>
                <w:sz w:val="18"/>
                <w:szCs w:val="18"/>
                <w:b w:val="1"/>
                <w:bCs w:val="1"/>
                <w:color w:val="auto"/>
              </w:rPr>
              <w:t>Officer</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Awards</w:t>
            </w:r>
          </w:p>
        </w:tc>
        <w:tc>
          <w:tcPr>
            <w:tcW w:w="2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Shares</w:t>
            </w:r>
          </w:p>
        </w:tc>
        <w:tc>
          <w:tcPr>
            <w:tcW w:w="1280" w:type="dxa"/>
            <w:vAlign w:val="bottom"/>
            <w:gridSpan w:val="3"/>
          </w:tcPr>
          <w:p>
            <w:pPr>
              <w:jc w:val="center"/>
              <w:spacing w:after="0" w:line="243" w:lineRule="exact"/>
              <w:rPr>
                <w:sz w:val="20"/>
                <w:szCs w:val="20"/>
                <w:color w:val="auto"/>
              </w:rPr>
            </w:pPr>
            <w:r>
              <w:rPr>
                <w:rFonts w:ascii="Arial" w:cs="Arial" w:eastAsia="Arial" w:hAnsi="Arial"/>
                <w:sz w:val="17"/>
                <w:szCs w:val="17"/>
                <w:b w:val="1"/>
                <w:bCs w:val="1"/>
                <w:color w:val="auto"/>
                <w:w w:val="96"/>
              </w:rPr>
              <w:t>Options</w:t>
            </w:r>
            <w:r>
              <w:rPr>
                <w:rFonts w:ascii="Arial" w:cs="Arial" w:eastAsia="Arial" w:hAnsi="Arial"/>
                <w:sz w:val="28"/>
                <w:szCs w:val="28"/>
                <w:b w:val="1"/>
                <w:bCs w:val="1"/>
                <w:color w:val="auto"/>
                <w:w w:val="96"/>
                <w:vertAlign w:val="superscript"/>
              </w:rPr>
              <w:t>(1)</w:t>
            </w:r>
          </w:p>
        </w:tc>
      </w:tr>
      <w:tr>
        <w:trPr>
          <w:trHeight w:val="199"/>
        </w:trPr>
        <w:tc>
          <w:tcPr>
            <w:tcW w:w="20" w:type="dxa"/>
            <w:vAlign w:val="bottom"/>
          </w:tcPr>
          <w:p>
            <w:pPr>
              <w:spacing w:after="0"/>
              <w:rPr>
                <w:sz w:val="17"/>
                <w:szCs w:val="17"/>
                <w:color w:val="auto"/>
              </w:rPr>
            </w:pPr>
          </w:p>
        </w:tc>
        <w:tc>
          <w:tcPr>
            <w:tcW w:w="554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William B. Shepro</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9"/>
              </w:rPr>
              <w:t>1,500,000</w:t>
            </w: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56,600</w:t>
            </w: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52,400</w:t>
            </w: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5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Chief Executive Officer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6"/>
        </w:trPr>
        <w:tc>
          <w:tcPr>
            <w:tcW w:w="5560" w:type="dxa"/>
            <w:vAlign w:val="bottom"/>
            <w:gridSpan w:val="2"/>
          </w:tcPr>
          <w:p>
            <w:pPr>
              <w:spacing w:after="0" w:line="206" w:lineRule="exact"/>
              <w:rPr>
                <w:sz w:val="20"/>
                <w:szCs w:val="20"/>
                <w:color w:val="auto"/>
              </w:rPr>
            </w:pPr>
            <w:r>
              <w:rPr>
                <w:rFonts w:ascii="Arial" w:cs="Arial" w:eastAsia="Arial" w:hAnsi="Arial"/>
                <w:sz w:val="18"/>
                <w:szCs w:val="18"/>
                <w:color w:val="auto"/>
              </w:rPr>
              <w:t>Kevin J. Wilcox,</w:t>
            </w:r>
          </w:p>
        </w:tc>
        <w:tc>
          <w:tcPr>
            <w:tcW w:w="3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750,000</w:t>
            </w:r>
          </w:p>
        </w:tc>
        <w:tc>
          <w:tcPr>
            <w:tcW w:w="108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20,500</w:t>
            </w:r>
          </w:p>
        </w:tc>
        <w:tc>
          <w:tcPr>
            <w:tcW w:w="106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19,000</w:t>
            </w:r>
          </w:p>
        </w:tc>
        <w:tc>
          <w:tcPr>
            <w:tcW w:w="220" w:type="dxa"/>
            <w:vAlign w:val="bottom"/>
          </w:tcPr>
          <w:p>
            <w:pPr>
              <w:spacing w:after="0"/>
              <w:rPr>
                <w:sz w:val="17"/>
                <w:szCs w:val="17"/>
                <w:color w:val="auto"/>
              </w:rPr>
            </w:pPr>
          </w:p>
        </w:tc>
      </w:tr>
      <w:tr>
        <w:trPr>
          <w:trHeight w:val="199"/>
        </w:trPr>
        <w:tc>
          <w:tcPr>
            <w:tcW w:w="5560" w:type="dxa"/>
            <w:vAlign w:val="bottom"/>
            <w:gridSpan w:val="2"/>
          </w:tcPr>
          <w:p>
            <w:pPr>
              <w:spacing w:after="0" w:line="200" w:lineRule="exact"/>
              <w:rPr>
                <w:sz w:val="20"/>
                <w:szCs w:val="20"/>
                <w:color w:val="auto"/>
              </w:rPr>
            </w:pPr>
            <w:r>
              <w:rPr>
                <w:rFonts w:ascii="Arial" w:cs="Arial" w:eastAsia="Arial" w:hAnsi="Arial"/>
                <w:sz w:val="18"/>
                <w:szCs w:val="18"/>
                <w:color w:val="auto"/>
              </w:rPr>
              <w:t>Chief Administration Officer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Michelle D. Esterman,</w:t>
            </w:r>
          </w:p>
        </w:tc>
        <w:tc>
          <w:tcPr>
            <w:tcW w:w="3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500,000</w:t>
            </w:r>
          </w:p>
        </w:tc>
        <w:tc>
          <w:tcPr>
            <w:tcW w:w="1080" w:type="dxa"/>
            <w:vAlign w:val="bottom"/>
            <w:gridSpan w:val="2"/>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14,500</w:t>
            </w:r>
          </w:p>
        </w:tc>
        <w:tc>
          <w:tcPr>
            <w:tcW w:w="1060" w:type="dxa"/>
            <w:vAlign w:val="bottom"/>
            <w:gridSpan w:val="2"/>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13,400</w:t>
            </w: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5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Chief Financial Officer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6"/>
        </w:trPr>
        <w:tc>
          <w:tcPr>
            <w:tcW w:w="5560" w:type="dxa"/>
            <w:vAlign w:val="bottom"/>
            <w:gridSpan w:val="2"/>
          </w:tcPr>
          <w:p>
            <w:pPr>
              <w:spacing w:after="0" w:line="206" w:lineRule="exact"/>
              <w:rPr>
                <w:sz w:val="20"/>
                <w:szCs w:val="20"/>
                <w:color w:val="auto"/>
              </w:rPr>
            </w:pPr>
            <w:r>
              <w:rPr>
                <w:rFonts w:ascii="Arial" w:cs="Arial" w:eastAsia="Arial" w:hAnsi="Arial"/>
                <w:sz w:val="18"/>
                <w:szCs w:val="18"/>
                <w:color w:val="auto"/>
              </w:rPr>
              <w:t>Joseph A. Davila,</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5,600</w:t>
            </w:r>
          </w:p>
        </w:tc>
        <w:tc>
          <w:tcPr>
            <w:tcW w:w="106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7,800</w:t>
            </w:r>
          </w:p>
        </w:tc>
        <w:tc>
          <w:tcPr>
            <w:tcW w:w="220" w:type="dxa"/>
            <w:vAlign w:val="bottom"/>
          </w:tcPr>
          <w:p>
            <w:pPr>
              <w:spacing w:after="0"/>
              <w:rPr>
                <w:sz w:val="17"/>
                <w:szCs w:val="17"/>
                <w:color w:val="auto"/>
              </w:rPr>
            </w:pPr>
          </w:p>
        </w:tc>
      </w:tr>
      <w:tr>
        <w:trPr>
          <w:trHeight w:val="199"/>
        </w:trPr>
        <w:tc>
          <w:tcPr>
            <w:tcW w:w="5560" w:type="dxa"/>
            <w:vAlign w:val="bottom"/>
            <w:gridSpan w:val="2"/>
          </w:tcPr>
          <w:p>
            <w:pPr>
              <w:spacing w:after="0" w:line="200" w:lineRule="exact"/>
              <w:rPr>
                <w:sz w:val="20"/>
                <w:szCs w:val="20"/>
                <w:color w:val="auto"/>
              </w:rPr>
            </w:pPr>
            <w:r>
              <w:rPr>
                <w:rFonts w:ascii="Arial" w:cs="Arial" w:eastAsia="Arial" w:hAnsi="Arial"/>
                <w:sz w:val="18"/>
                <w:szCs w:val="18"/>
                <w:color w:val="auto"/>
              </w:rPr>
              <w:t>President, Mortgage Services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Gregory J. Ritts,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5,600</w:t>
            </w:r>
          </w:p>
        </w:tc>
        <w:tc>
          <w:tcPr>
            <w:tcW w:w="1060" w:type="dxa"/>
            <w:vAlign w:val="bottom"/>
            <w:gridSpan w:val="2"/>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7,800</w:t>
            </w: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5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General Counsel</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bl>
    <w:p>
      <w:pPr>
        <w:spacing w:after="0" w:line="108" w:lineRule="exact"/>
        <w:rPr>
          <w:sz w:val="20"/>
          <w:szCs w:val="20"/>
          <w:color w:val="auto"/>
        </w:rPr>
      </w:pPr>
    </w:p>
    <w:p>
      <w:pPr>
        <w:ind w:left="1680" w:hanging="531"/>
        <w:spacing w:after="0"/>
        <w:tabs>
          <w:tab w:leader="none" w:pos="1680"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The exercise price for the stock options was $18.79, the closing price of our common stock on the April 15, 2015 grant date.</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target cash awards will be payable on March 31, 2017, subject to the executive officer's continued employment on that date. In the event that a corporate restructuring or a change of control transaction (a "Transaction") takes place, payment of the target cash awards will be accelerated to the six month anniversary of such Transaction. If the Transaction (i) had taken place on or before six months after April 15, 2015, the target cash award payout would have been at 50% of the target cash award amount and the remainder would have been forfeited, (ii) takes place between six and 18 months after April 15, 2015, the target cash award payout will equal 75% of the target cash award amount and the remainder will be forfeited and (iii) takes place more than 18 months after April 15, 2015, the target cash award payout will equal 100% of the target cash award amount.</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restricted share awards are scheduled to vest in three annual installments on the second, third and fourth anniversaries of the April 15, 2015 grant date (i.e., April 15, 2016, April 15, 2018 and April 15,</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2019). In the event of a Transaction (i) on or before six months after April 15, 2015, 50% of the restricted share award would have vested and the remainder would have been forfeited, (ii) between six and 18 months after April 15, 2015, 75% of the restricted share award will vest and the remainder will be forfeited and (iii) any time more than 18 months from April 15, 2015, 100% of the restricted share award will vest.</w:t>
      </w:r>
    </w:p>
    <w:p>
      <w:pPr>
        <w:spacing w:after="0" w:line="208"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The stock option awards are scheduled to vest in three annual installments on the first, second and third anniversaries of the grant date. In the event of a Transaction, a buyer will have the option to cancel the stock options in exchange for the stock option's intrinsic value or allow them to remain in place.</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On February 11, 2016, the Compensation Committee delegated authority to the Chief Executive Officer and the Chief Administration Officer to approve awards of up to 5,000 stock options for new hires (other than hires of executive officers) in 2016, with an exercise price of up to $50 per share, for an aggregate amount of options granted pursuant to such delegation of up to 75,000 stock options.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 is adequate to achieve this philosophy. We also maintain a management directive detailing our trading window period policy for Directors, executive officers and other employees and our insider trading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Compensation Committee's policy with respect to employee benefit plans is to provide benefits to our employees, including our Named Executive Officers, that are comparable to benefits offered by companies of a similar size and circumstance to ours. A competitive comprehensive benefit program is essential to achieving the goal of attracting and retaining highly qualified employees. Consistent with this policy, on February 10, 2015, our Compensation Committee approved a benefits program to provide life insurance and disability benefits to all Luxembourg employees, including our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Below is a description of the amounts payable to each Named Executive Officer assuming the executive's employment had terminated under various scenarios, or a change of control had occurred, on December 31, 2015. Due to the number of factors that affect the nature and amount of any benefits under the various scenarios, actual amounts paid or distributed may be different.</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noted above, our Chief Executive Officer and other Named Executive Officers have entered into employment agreements with the Company. Under these agreements, if employment is terminated by the executive officer's retirement or disability,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and, in some instances, where employment is terminated for "good reason" by the executive officer (as defined in the applicable employment agreement), the Company shall make a cash payment of between four (4) and twelve (12) months' base salary in addition to certain notice and redundancy payments required under articles L.124-1 and L.124-7 of the Luxembourg Labor Code. In the case of the Chief Executive Officer and Chief Administration Officer, the Company shall pay at least one (1) year's target incentive compensation in such instance. Additionally, in the event that the Company terminates the employment of such executive officers other than for "Cause" after October 1 of the service year and before incentives are paid for the prior service year, these executive officers will be entitled to receive incentive compensation for such service year. In these instances, the Company will also pay all standard relocation costs to relocate the executive officer to the United States. If an executive officer is terminated by the Company for "Cause," the Company may terminate without notice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and with no liability to make any further payment to the executive, other than amounts accrued and unpaid at the date of termination.</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part of the Company's grant of retention and long-term incentive awards on April 15, 2015, our Chief Executive Officer, Chief Administration Officer and Chief Financial Officer received cash awards that are payable on March 31, 2017, subject to the executive's continued employment on that date. Pursuant to the terms of the applicable cash award agreements, if the executive's employment is terminated by the Company without "Cause," as defined by the applicable award agreement, prior to March 31, 2017, the cash award shall be paid within thirty days of the date of such termination of employment. In addition, in the event that a Transaction takes place, payment of the target cash awards will be accelerated to the six month anniversary of such Transaction with the payout percentage depending on the date of the Transaction as outlined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previously noted, all Named Executive Officers have stock options and restricted shares granted pursuant to the 2009 Equity Incentive Plan.</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With respect to stock options, in most cases,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where the vesting hurdles have already been achieved. In addition, certain of the stock option agreements provide for accelerated vesting of service-based options as described below. In most cases,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As noted above, certain of the stock option agreements provide for accelerated vesting. Typically, upon a Named Executive Officer's death, disability, retirement or, in some instances, resignation for "Good Reason" (as defined in the applicable stock option agreement), all service-based options will immediately vest; provided however that, in most cases, the executive officer's right to the acceleration of options following termination of employment is subject to the requirement that he or she has been employed with the Company for a period of at least two (2) years. Additionally, pursuant to certain of these agreements, if there is a Transaction,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in its discretion, which could result in the immediate vesting of some or all of the options. Under the terms of the stock option awards granted on April 15, 2015, in the event of a Transaction, a buyer will have the option to cancel the stock options in exchange for the stock option's intrinsic value or allow them to remain in place.</w:t>
      </w:r>
    </w:p>
    <w:p>
      <w:pPr>
        <w:spacing w:after="0" w:line="20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Generally, for termination not due to death, disability or retirement, the executive officer has six (6) months within which to exercise vested stock options pursuant to our stock option agreements.</w:t>
      </w:r>
    </w:p>
    <w:p>
      <w:pPr>
        <w:spacing w:after="0" w:line="209"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Under the terms of the awards of restricted shares granted to our Named Executive Officers on April 15, 2015, if the Company terminates the executive officer's employment for reasons other than "Cause," as defined by the applicable award agreement, and no Transaction has occurred, any unvested restricted shares will vest within thirty (30) days of such termination. If the executive officer's employment is terminated due to death or disability, all unvested restricted shares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will be forfeited. In the event of a Transaction, a portion of the restricted shares will vest. The percentage of shares vesting in the event of a Transaction will depend on the date of the Transaction as outlined above.</w:t>
      </w:r>
    </w:p>
    <w:p>
      <w:pPr>
        <w:spacing w:after="0" w:line="185"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table estimates and summarizes the potential payments and benefits, other than the benefits ordinarily available to all employees (including any such benefits mandated by Luxembourg law), that each of our Named Executive Officers would have received if their employment had been terminated on December 31, 2015 under each of the circumstances described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William B.</w:t>
            </w: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Kevin J.</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Michelle D.</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Joseph A.</w:t>
            </w:r>
          </w:p>
        </w:tc>
        <w:tc>
          <w:tcPr>
            <w:tcW w:w="2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Gregory J.</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Shepro</w:t>
            </w: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Wilcox</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Esterman</w:t>
            </w:r>
          </w:p>
        </w:tc>
        <w:tc>
          <w:tcPr>
            <w:tcW w:w="22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Davila</w:t>
            </w:r>
          </w:p>
        </w:tc>
        <w:tc>
          <w:tcPr>
            <w:tcW w:w="2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Ritts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Death</w:t>
            </w: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tcPr>
          <w:p>
            <w:pPr>
              <w:ind w:left="320"/>
              <w:spacing w:after="0" w:line="206" w:lineRule="exact"/>
              <w:rPr>
                <w:sz w:val="20"/>
                <w:szCs w:val="20"/>
                <w:color w:val="auto"/>
              </w:rPr>
            </w:pPr>
            <w:r>
              <w:rPr>
                <w:rFonts w:ascii="Arial" w:cs="Arial" w:eastAsia="Arial" w:hAnsi="Arial"/>
                <w:sz w:val="18"/>
                <w:szCs w:val="18"/>
                <w:color w:val="auto"/>
              </w:rPr>
              <w:t>Accelerated vesting of options and</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$2,046,694</w:t>
            </w:r>
            <w:r>
              <w:rPr>
                <w:rFonts w:ascii="Arial" w:cs="Arial" w:eastAsia="Arial" w:hAnsi="Arial"/>
                <w:sz w:val="29"/>
                <w:szCs w:val="29"/>
                <w:color w:val="auto"/>
                <w:w w:val="91"/>
                <w:vertAlign w:val="superscript"/>
              </w:rPr>
              <w:t>(1)</w:t>
            </w:r>
          </w:p>
        </w:tc>
        <w:tc>
          <w:tcPr>
            <w:tcW w:w="96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$741,485</w:t>
            </w:r>
            <w:r>
              <w:rPr>
                <w:rFonts w:ascii="Arial" w:cs="Arial" w:eastAsia="Arial" w:hAnsi="Arial"/>
                <w:sz w:val="29"/>
                <w:szCs w:val="29"/>
                <w:color w:val="auto"/>
                <w:w w:val="93"/>
                <w:vertAlign w:val="superscript"/>
              </w:rPr>
              <w:t>(1)</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1"/>
              </w:rPr>
              <w:t>$561,113</w:t>
            </w:r>
            <w:r>
              <w:rPr>
                <w:rFonts w:ascii="Arial" w:cs="Arial" w:eastAsia="Arial" w:hAnsi="Arial"/>
                <w:sz w:val="29"/>
                <w:szCs w:val="29"/>
                <w:color w:val="auto"/>
                <w:w w:val="91"/>
                <w:vertAlign w:val="superscript"/>
              </w:rPr>
              <w:t>(2)</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$226,092</w:t>
            </w:r>
            <w:r>
              <w:rPr>
                <w:rFonts w:ascii="Arial" w:cs="Arial" w:eastAsia="Arial" w:hAnsi="Arial"/>
                <w:sz w:val="29"/>
                <w:szCs w:val="29"/>
                <w:color w:val="auto"/>
                <w:vertAlign w:val="superscript"/>
              </w:rPr>
              <w:t>(1)</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$226,092</w:t>
            </w:r>
            <w:r>
              <w:rPr>
                <w:rFonts w:ascii="Arial" w:cs="Arial" w:eastAsia="Arial" w:hAnsi="Arial"/>
                <w:sz w:val="29"/>
                <w:szCs w:val="29"/>
                <w:color w:val="auto"/>
                <w:vertAlign w:val="superscript"/>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40" w:type="dxa"/>
            <w:vAlign w:val="bottom"/>
          </w:tcPr>
          <w:p>
            <w:pPr>
              <w:ind w:left="480"/>
              <w:spacing w:after="0" w:line="200" w:lineRule="exact"/>
              <w:rPr>
                <w:sz w:val="20"/>
                <w:szCs w:val="20"/>
                <w:color w:val="auto"/>
              </w:rPr>
            </w:pPr>
            <w:r>
              <w:rPr>
                <w:rFonts w:ascii="Arial" w:cs="Arial" w:eastAsia="Arial" w:hAnsi="Arial"/>
                <w:sz w:val="18"/>
                <w:szCs w:val="18"/>
                <w:color w:val="auto"/>
              </w:rPr>
              <w:t>restricted shares</w:t>
            </w:r>
          </w:p>
        </w:tc>
        <w:tc>
          <w:tcPr>
            <w:tcW w:w="11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Disability</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tcPr>
          <w:p>
            <w:pPr>
              <w:ind w:left="320"/>
              <w:spacing w:after="0" w:line="206" w:lineRule="exact"/>
              <w:rPr>
                <w:sz w:val="20"/>
                <w:szCs w:val="20"/>
                <w:color w:val="auto"/>
              </w:rPr>
            </w:pPr>
            <w:r>
              <w:rPr>
                <w:rFonts w:ascii="Arial" w:cs="Arial" w:eastAsia="Arial" w:hAnsi="Arial"/>
                <w:sz w:val="18"/>
                <w:szCs w:val="18"/>
                <w:color w:val="auto"/>
              </w:rPr>
              <w:t>Accelerated vesting of options and</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$2,046,694</w:t>
            </w:r>
            <w:r>
              <w:rPr>
                <w:rFonts w:ascii="Arial" w:cs="Arial" w:eastAsia="Arial" w:hAnsi="Arial"/>
                <w:sz w:val="29"/>
                <w:szCs w:val="29"/>
                <w:color w:val="auto"/>
                <w:w w:val="91"/>
                <w:vertAlign w:val="superscript"/>
              </w:rPr>
              <w:t>(1)</w:t>
            </w:r>
          </w:p>
        </w:tc>
        <w:tc>
          <w:tcPr>
            <w:tcW w:w="96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$741,485</w:t>
            </w:r>
            <w:r>
              <w:rPr>
                <w:rFonts w:ascii="Arial" w:cs="Arial" w:eastAsia="Arial" w:hAnsi="Arial"/>
                <w:sz w:val="29"/>
                <w:szCs w:val="29"/>
                <w:color w:val="auto"/>
                <w:w w:val="93"/>
                <w:vertAlign w:val="superscript"/>
              </w:rPr>
              <w:t>(1)</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1"/>
              </w:rPr>
              <w:t>$561,113</w:t>
            </w:r>
            <w:r>
              <w:rPr>
                <w:rFonts w:ascii="Arial" w:cs="Arial" w:eastAsia="Arial" w:hAnsi="Arial"/>
                <w:sz w:val="29"/>
                <w:szCs w:val="29"/>
                <w:color w:val="auto"/>
                <w:w w:val="91"/>
                <w:vertAlign w:val="superscript"/>
              </w:rPr>
              <w:t>(2)</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$226,092</w:t>
            </w:r>
            <w:r>
              <w:rPr>
                <w:rFonts w:ascii="Arial" w:cs="Arial" w:eastAsia="Arial" w:hAnsi="Arial"/>
                <w:sz w:val="29"/>
                <w:szCs w:val="29"/>
                <w:color w:val="auto"/>
                <w:vertAlign w:val="superscript"/>
              </w:rPr>
              <w:t>(1)</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$226,092</w:t>
            </w:r>
            <w:r>
              <w:rPr>
                <w:rFonts w:ascii="Arial" w:cs="Arial" w:eastAsia="Arial" w:hAnsi="Arial"/>
                <w:sz w:val="29"/>
                <w:szCs w:val="29"/>
                <w:color w:val="auto"/>
                <w:vertAlign w:val="superscript"/>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40" w:type="dxa"/>
            <w:vAlign w:val="bottom"/>
          </w:tcPr>
          <w:p>
            <w:pPr>
              <w:ind w:left="480"/>
              <w:spacing w:after="0" w:line="200" w:lineRule="exact"/>
              <w:rPr>
                <w:sz w:val="20"/>
                <w:szCs w:val="20"/>
                <w:color w:val="auto"/>
              </w:rPr>
            </w:pPr>
            <w:r>
              <w:rPr>
                <w:rFonts w:ascii="Arial" w:cs="Arial" w:eastAsia="Arial" w:hAnsi="Arial"/>
                <w:sz w:val="18"/>
                <w:szCs w:val="18"/>
                <w:color w:val="auto"/>
              </w:rPr>
              <w:t>restricted shares</w:t>
            </w:r>
          </w:p>
        </w:tc>
        <w:tc>
          <w:tcPr>
            <w:tcW w:w="11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Retirement by the named executive</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officer</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line="202" w:lineRule="exact"/>
              <w:rPr>
                <w:sz w:val="20"/>
                <w:szCs w:val="20"/>
                <w:color w:val="auto"/>
              </w:rPr>
            </w:pPr>
            <w:r>
              <w:rPr>
                <w:rFonts w:ascii="Arial" w:cs="Arial" w:eastAsia="Arial" w:hAnsi="Arial"/>
                <w:sz w:val="18"/>
                <w:szCs w:val="18"/>
                <w:color w:val="auto"/>
              </w:rPr>
              <w:t>Accelerated vesting of options</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$472,648</w:t>
            </w:r>
            <w:r>
              <w:rPr>
                <w:rFonts w:ascii="Arial" w:cs="Arial" w:eastAsia="Arial" w:hAnsi="Arial"/>
                <w:sz w:val="23"/>
                <w:szCs w:val="23"/>
                <w:color w:val="auto"/>
                <w:vertAlign w:val="superscript"/>
              </w:rPr>
              <w:t>(1)</w:t>
            </w:r>
          </w:p>
        </w:tc>
        <w:tc>
          <w:tcPr>
            <w:tcW w:w="960" w:type="dxa"/>
            <w:vAlign w:val="bottom"/>
            <w:gridSpan w:val="2"/>
          </w:tcPr>
          <w:p>
            <w:pPr>
              <w:ind w:left="20"/>
              <w:spacing w:after="0" w:line="202" w:lineRule="exact"/>
              <w:rPr>
                <w:sz w:val="20"/>
                <w:szCs w:val="20"/>
                <w:color w:val="auto"/>
              </w:rPr>
            </w:pPr>
            <w:r>
              <w:rPr>
                <w:rFonts w:ascii="Arial" w:cs="Arial" w:eastAsia="Arial" w:hAnsi="Arial"/>
                <w:sz w:val="15"/>
                <w:szCs w:val="15"/>
                <w:color w:val="auto"/>
              </w:rPr>
              <w:t>$171,380</w:t>
            </w:r>
            <w:r>
              <w:rPr>
                <w:rFonts w:ascii="Arial" w:cs="Arial" w:eastAsia="Arial" w:hAnsi="Arial"/>
                <w:sz w:val="23"/>
                <w:szCs w:val="23"/>
                <w:color w:val="auto"/>
                <w:vertAlign w:val="superscript"/>
              </w:rPr>
              <w:t>(1)</w:t>
            </w:r>
          </w:p>
        </w:tc>
        <w:tc>
          <w:tcPr>
            <w:tcW w:w="940" w:type="dxa"/>
            <w:vAlign w:val="bottom"/>
          </w:tcPr>
          <w:p>
            <w:pPr>
              <w:jc w:val="right"/>
              <w:spacing w:after="0" w:line="202" w:lineRule="exact"/>
              <w:rPr>
                <w:sz w:val="20"/>
                <w:szCs w:val="20"/>
                <w:color w:val="auto"/>
              </w:rPr>
            </w:pPr>
            <w:r>
              <w:rPr>
                <w:rFonts w:ascii="Arial" w:cs="Arial" w:eastAsia="Arial" w:hAnsi="Arial"/>
                <w:sz w:val="15"/>
                <w:szCs w:val="15"/>
                <w:color w:val="auto"/>
              </w:rPr>
              <w:t>$157,868</w:t>
            </w:r>
            <w:r>
              <w:rPr>
                <w:rFonts w:ascii="Arial" w:cs="Arial" w:eastAsia="Arial" w:hAnsi="Arial"/>
                <w:sz w:val="23"/>
                <w:szCs w:val="23"/>
                <w:color w:val="auto"/>
                <w:vertAlign w:val="superscript"/>
              </w:rPr>
              <w:t>(2)</w:t>
            </w:r>
          </w:p>
        </w:tc>
        <w:tc>
          <w:tcPr>
            <w:tcW w:w="114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$70,356</w:t>
            </w:r>
            <w:r>
              <w:rPr>
                <w:rFonts w:ascii="Arial" w:cs="Arial" w:eastAsia="Arial" w:hAnsi="Arial"/>
                <w:sz w:val="23"/>
                <w:szCs w:val="23"/>
                <w:color w:val="auto"/>
                <w:vertAlign w:val="superscript"/>
              </w:rPr>
              <w:t>(1)</w:t>
            </w:r>
          </w:p>
        </w:tc>
        <w:tc>
          <w:tcPr>
            <w:tcW w:w="116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$70,356</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Termination by the Company other than</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for "Cause"</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line="202" w:lineRule="exact"/>
              <w:rPr>
                <w:sz w:val="20"/>
                <w:szCs w:val="20"/>
                <w:color w:val="auto"/>
              </w:rPr>
            </w:pPr>
            <w:r>
              <w:rPr>
                <w:rFonts w:ascii="Arial" w:cs="Arial" w:eastAsia="Arial" w:hAnsi="Arial"/>
                <w:sz w:val="18"/>
                <w:szCs w:val="18"/>
                <w:color w:val="auto"/>
              </w:rPr>
              <w:t>Severance payment</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$780,000</w:t>
            </w:r>
            <w:r>
              <w:rPr>
                <w:rFonts w:ascii="Arial" w:cs="Arial" w:eastAsia="Arial" w:hAnsi="Arial"/>
                <w:sz w:val="23"/>
                <w:szCs w:val="23"/>
                <w:color w:val="auto"/>
                <w:vertAlign w:val="superscript"/>
              </w:rPr>
              <w:t>(3)</w:t>
            </w:r>
          </w:p>
        </w:tc>
        <w:tc>
          <w:tcPr>
            <w:tcW w:w="960" w:type="dxa"/>
            <w:vAlign w:val="bottom"/>
            <w:gridSpan w:val="2"/>
          </w:tcPr>
          <w:p>
            <w:pPr>
              <w:ind w:left="20"/>
              <w:spacing w:after="0" w:line="202" w:lineRule="exact"/>
              <w:rPr>
                <w:sz w:val="20"/>
                <w:szCs w:val="20"/>
                <w:color w:val="auto"/>
              </w:rPr>
            </w:pPr>
            <w:r>
              <w:rPr>
                <w:rFonts w:ascii="Arial" w:cs="Arial" w:eastAsia="Arial" w:hAnsi="Arial"/>
                <w:sz w:val="15"/>
                <w:szCs w:val="15"/>
                <w:color w:val="auto"/>
              </w:rPr>
              <w:t>$450,000</w:t>
            </w:r>
            <w:r>
              <w:rPr>
                <w:rFonts w:ascii="Arial" w:cs="Arial" w:eastAsia="Arial" w:hAnsi="Arial"/>
                <w:sz w:val="23"/>
                <w:szCs w:val="23"/>
                <w:color w:val="auto"/>
                <w:vertAlign w:val="superscript"/>
              </w:rPr>
              <w:t>(3)</w:t>
            </w:r>
          </w:p>
        </w:tc>
        <w:tc>
          <w:tcPr>
            <w:tcW w:w="940" w:type="dxa"/>
            <w:vAlign w:val="bottom"/>
          </w:tcPr>
          <w:p>
            <w:pPr>
              <w:jc w:val="right"/>
              <w:spacing w:after="0" w:line="202" w:lineRule="exact"/>
              <w:rPr>
                <w:sz w:val="20"/>
                <w:szCs w:val="20"/>
                <w:color w:val="auto"/>
              </w:rPr>
            </w:pPr>
            <w:r>
              <w:rPr>
                <w:rFonts w:ascii="Arial" w:cs="Arial" w:eastAsia="Arial" w:hAnsi="Arial"/>
                <w:sz w:val="15"/>
                <w:szCs w:val="15"/>
                <w:color w:val="auto"/>
              </w:rPr>
              <w:t>$140,000</w:t>
            </w:r>
            <w:r>
              <w:rPr>
                <w:rFonts w:ascii="Arial" w:cs="Arial" w:eastAsia="Arial" w:hAnsi="Arial"/>
                <w:sz w:val="23"/>
                <w:szCs w:val="23"/>
                <w:color w:val="auto"/>
                <w:vertAlign w:val="superscript"/>
              </w:rPr>
              <w:t>(4)</w:t>
            </w:r>
          </w:p>
        </w:tc>
        <w:tc>
          <w:tcPr>
            <w:tcW w:w="114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$131,954</w:t>
            </w:r>
            <w:r>
              <w:rPr>
                <w:rFonts w:ascii="Arial" w:cs="Arial" w:eastAsia="Arial" w:hAnsi="Arial"/>
                <w:sz w:val="23"/>
                <w:szCs w:val="23"/>
                <w:color w:val="auto"/>
                <w:vertAlign w:val="superscript"/>
              </w:rPr>
              <w:t>(4)</w:t>
            </w:r>
          </w:p>
        </w:tc>
        <w:tc>
          <w:tcPr>
            <w:tcW w:w="116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$141,667</w:t>
            </w:r>
            <w:r>
              <w:rPr>
                <w:rFonts w:ascii="Arial" w:cs="Arial" w:eastAsia="Arial" w:hAnsi="Arial"/>
                <w:sz w:val="23"/>
                <w:szCs w:val="23"/>
                <w:color w:val="auto"/>
                <w:vertAlign w:val="superscript"/>
              </w:rPr>
              <w:t>(4)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ind w:left="320"/>
              <w:spacing w:after="0" w:line="243" w:lineRule="exact"/>
              <w:rPr>
                <w:sz w:val="20"/>
                <w:szCs w:val="20"/>
                <w:color w:val="auto"/>
              </w:rPr>
            </w:pPr>
            <w:r>
              <w:rPr>
                <w:rFonts w:ascii="Arial" w:cs="Arial" w:eastAsia="Arial" w:hAnsi="Arial"/>
                <w:sz w:val="17"/>
                <w:szCs w:val="17"/>
                <w:color w:val="auto"/>
              </w:rPr>
              <w:t>Accelerated payment of cash award</w:t>
            </w:r>
            <w:r>
              <w:rPr>
                <w:rFonts w:ascii="Arial" w:cs="Arial" w:eastAsia="Arial" w:hAnsi="Arial"/>
                <w:sz w:val="28"/>
                <w:szCs w:val="28"/>
                <w:color w:val="auto"/>
                <w:vertAlign w:val="superscript"/>
              </w:rPr>
              <w:t>(5)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$1,500,000</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$750,000</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$500,000</w:t>
            </w:r>
          </w:p>
        </w:tc>
        <w:tc>
          <w:tcPr>
            <w:tcW w:w="11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line="202" w:lineRule="exact"/>
              <w:rPr>
                <w:sz w:val="20"/>
                <w:szCs w:val="20"/>
                <w:color w:val="auto"/>
              </w:rPr>
            </w:pPr>
            <w:r>
              <w:rPr>
                <w:rFonts w:ascii="Arial" w:cs="Arial" w:eastAsia="Arial" w:hAnsi="Arial"/>
                <w:sz w:val="18"/>
                <w:szCs w:val="18"/>
                <w:color w:val="auto"/>
              </w:rPr>
              <w:t>Incentive compensation</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$2,328,300</w:t>
            </w:r>
            <w:r>
              <w:rPr>
                <w:rFonts w:ascii="Arial" w:cs="Arial" w:eastAsia="Arial" w:hAnsi="Arial"/>
                <w:sz w:val="23"/>
                <w:szCs w:val="23"/>
                <w:color w:val="auto"/>
                <w:vertAlign w:val="superscript"/>
              </w:rPr>
              <w:t>(6)</w:t>
            </w:r>
          </w:p>
        </w:tc>
        <w:tc>
          <w:tcPr>
            <w:tcW w:w="960" w:type="dxa"/>
            <w:vAlign w:val="bottom"/>
            <w:gridSpan w:val="2"/>
          </w:tcPr>
          <w:p>
            <w:pPr>
              <w:ind w:left="20"/>
              <w:spacing w:after="0" w:line="202" w:lineRule="exact"/>
              <w:rPr>
                <w:sz w:val="20"/>
                <w:szCs w:val="20"/>
                <w:color w:val="auto"/>
              </w:rPr>
            </w:pPr>
            <w:r>
              <w:rPr>
                <w:rFonts w:ascii="Arial" w:cs="Arial" w:eastAsia="Arial" w:hAnsi="Arial"/>
                <w:sz w:val="15"/>
                <w:szCs w:val="15"/>
                <w:color w:val="auto"/>
              </w:rPr>
              <w:t>$910,688</w:t>
            </w:r>
            <w:r>
              <w:rPr>
                <w:rFonts w:ascii="Arial" w:cs="Arial" w:eastAsia="Arial" w:hAnsi="Arial"/>
                <w:sz w:val="23"/>
                <w:szCs w:val="23"/>
                <w:color w:val="auto"/>
                <w:vertAlign w:val="superscript"/>
              </w:rPr>
              <w:t>(6)</w:t>
            </w:r>
          </w:p>
        </w:tc>
        <w:tc>
          <w:tcPr>
            <w:tcW w:w="9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Accelerated vesting of restricted shares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$1,574,046</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5"/>
              </w:rPr>
              <w:t>$570,105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w w:val="95"/>
              </w:rPr>
              <w:t>$403,245</w:t>
            </w:r>
          </w:p>
        </w:tc>
        <w:tc>
          <w:tcPr>
            <w:tcW w:w="114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$155,736</w:t>
            </w:r>
          </w:p>
        </w:tc>
        <w:tc>
          <w:tcPr>
            <w:tcW w:w="116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$155,736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Termination by the named executive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officer for "Good Reason" with ninety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(90) days' notice, and failure by the</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Company to correct such "Good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Reason" within ninety (90) days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Severance payment</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5"/>
                <w:szCs w:val="15"/>
                <w:color w:val="auto"/>
              </w:rPr>
              <w:t>$780,000</w:t>
            </w:r>
            <w:r>
              <w:rPr>
                <w:rFonts w:ascii="Arial" w:cs="Arial" w:eastAsia="Arial" w:hAnsi="Arial"/>
                <w:sz w:val="23"/>
                <w:szCs w:val="23"/>
                <w:color w:val="auto"/>
                <w:vertAlign w:val="superscript"/>
              </w:rPr>
              <w:t>(3)</w:t>
            </w:r>
          </w:p>
        </w:tc>
        <w:tc>
          <w:tcPr>
            <w:tcW w:w="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5"/>
                <w:szCs w:val="15"/>
                <w:color w:val="auto"/>
              </w:rPr>
              <w:t>$450,000</w:t>
            </w:r>
            <w:r>
              <w:rPr>
                <w:rFonts w:ascii="Arial" w:cs="Arial" w:eastAsia="Arial" w:hAnsi="Arial"/>
                <w:sz w:val="23"/>
                <w:szCs w:val="23"/>
                <w:color w:val="auto"/>
                <w:vertAlign w:val="superscript"/>
              </w:rPr>
              <w:t>(3)</w:t>
            </w:r>
          </w:p>
        </w:tc>
        <w:tc>
          <w:tcPr>
            <w:tcW w:w="94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line="202" w:lineRule="exact"/>
              <w:rPr>
                <w:sz w:val="20"/>
                <w:szCs w:val="20"/>
                <w:color w:val="auto"/>
              </w:rPr>
            </w:pPr>
            <w:r>
              <w:rPr>
                <w:rFonts w:ascii="Arial" w:cs="Arial" w:eastAsia="Arial" w:hAnsi="Arial"/>
                <w:sz w:val="18"/>
                <w:szCs w:val="18"/>
                <w:color w:val="auto"/>
              </w:rPr>
              <w:t>Incentive compensation</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$2,328,300</w:t>
            </w:r>
            <w:r>
              <w:rPr>
                <w:rFonts w:ascii="Arial" w:cs="Arial" w:eastAsia="Arial" w:hAnsi="Arial"/>
                <w:sz w:val="23"/>
                <w:szCs w:val="23"/>
                <w:color w:val="auto"/>
                <w:vertAlign w:val="superscript"/>
              </w:rPr>
              <w:t>(6)</w:t>
            </w:r>
          </w:p>
        </w:tc>
        <w:tc>
          <w:tcPr>
            <w:tcW w:w="960" w:type="dxa"/>
            <w:vAlign w:val="bottom"/>
            <w:gridSpan w:val="2"/>
          </w:tcPr>
          <w:p>
            <w:pPr>
              <w:ind w:left="20"/>
              <w:spacing w:after="0" w:line="202" w:lineRule="exact"/>
              <w:rPr>
                <w:sz w:val="20"/>
                <w:szCs w:val="20"/>
                <w:color w:val="auto"/>
              </w:rPr>
            </w:pPr>
            <w:r>
              <w:rPr>
                <w:rFonts w:ascii="Arial" w:cs="Arial" w:eastAsia="Arial" w:hAnsi="Arial"/>
                <w:sz w:val="15"/>
                <w:szCs w:val="15"/>
                <w:color w:val="auto"/>
              </w:rPr>
              <w:t>$910,688</w:t>
            </w:r>
            <w:r>
              <w:rPr>
                <w:rFonts w:ascii="Arial" w:cs="Arial" w:eastAsia="Arial" w:hAnsi="Arial"/>
                <w:sz w:val="23"/>
                <w:szCs w:val="23"/>
                <w:color w:val="auto"/>
                <w:vertAlign w:val="superscript"/>
              </w:rPr>
              <w:t>(6)</w:t>
            </w:r>
          </w:p>
        </w:tc>
        <w:tc>
          <w:tcPr>
            <w:tcW w:w="9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of Control</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320"/>
              <w:spacing w:after="0" w:line="243" w:lineRule="exact"/>
              <w:rPr>
                <w:sz w:val="20"/>
                <w:szCs w:val="20"/>
                <w:color w:val="auto"/>
              </w:rPr>
            </w:pPr>
            <w:r>
              <w:rPr>
                <w:rFonts w:ascii="Arial" w:cs="Arial" w:eastAsia="Arial" w:hAnsi="Arial"/>
                <w:sz w:val="17"/>
                <w:szCs w:val="17"/>
                <w:color w:val="auto"/>
              </w:rPr>
              <w:t>Accelerated payment of cash award</w:t>
            </w:r>
            <w:r>
              <w:rPr>
                <w:rFonts w:ascii="Arial" w:cs="Arial" w:eastAsia="Arial" w:hAnsi="Arial"/>
                <w:sz w:val="28"/>
                <w:szCs w:val="28"/>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$1,125,000</w:t>
            </w:r>
          </w:p>
        </w:tc>
        <w:tc>
          <w:tcPr>
            <w:tcW w:w="20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w w:val="95"/>
              </w:rPr>
              <w:t>$562,500</w:t>
            </w:r>
          </w:p>
        </w:tc>
        <w:tc>
          <w:tcPr>
            <w:tcW w:w="20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w w:val="95"/>
              </w:rPr>
              <w:t>$375,000</w:t>
            </w:r>
          </w:p>
        </w:tc>
        <w:tc>
          <w:tcPr>
            <w:tcW w:w="11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line="206" w:lineRule="exact"/>
              <w:rPr>
                <w:sz w:val="20"/>
                <w:szCs w:val="20"/>
                <w:color w:val="auto"/>
              </w:rPr>
            </w:pPr>
            <w:r>
              <w:rPr>
                <w:rFonts w:ascii="Arial" w:cs="Arial" w:eastAsia="Arial" w:hAnsi="Arial"/>
                <w:sz w:val="18"/>
                <w:szCs w:val="18"/>
                <w:color w:val="auto"/>
              </w:rPr>
              <w:t>Accelerated vesting of options and</w:t>
            </w: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1"/>
              </w:rPr>
              <w:t>$1,574,046</w:t>
            </w:r>
            <w:r>
              <w:rPr>
                <w:rFonts w:ascii="Arial" w:cs="Arial" w:eastAsia="Arial" w:hAnsi="Arial"/>
                <w:sz w:val="29"/>
                <w:szCs w:val="29"/>
                <w:color w:val="auto"/>
                <w:w w:val="91"/>
                <w:vertAlign w:val="superscript"/>
              </w:rPr>
              <w:t>(8)</w:t>
            </w:r>
          </w:p>
        </w:tc>
        <w:tc>
          <w:tcPr>
            <w:tcW w:w="9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3"/>
              </w:rPr>
              <w:t>$570,105</w:t>
            </w:r>
            <w:r>
              <w:rPr>
                <w:rFonts w:ascii="Arial" w:cs="Arial" w:eastAsia="Arial" w:hAnsi="Arial"/>
                <w:sz w:val="29"/>
                <w:szCs w:val="29"/>
                <w:color w:val="auto"/>
                <w:w w:val="93"/>
                <w:vertAlign w:val="superscript"/>
              </w:rPr>
              <w:t>(8)</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$551,245</w:t>
            </w:r>
            <w:r>
              <w:rPr>
                <w:rFonts w:ascii="Arial" w:cs="Arial" w:eastAsia="Arial" w:hAnsi="Arial"/>
                <w:sz w:val="29"/>
                <w:szCs w:val="29"/>
                <w:color w:val="auto"/>
                <w:w w:val="91"/>
                <w:vertAlign w:val="superscript"/>
              </w:rPr>
              <w:t>(9)</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$155,736</w:t>
            </w:r>
            <w:r>
              <w:rPr>
                <w:rFonts w:ascii="Arial" w:cs="Arial" w:eastAsia="Arial" w:hAnsi="Arial"/>
                <w:sz w:val="29"/>
                <w:szCs w:val="29"/>
                <w:color w:val="auto"/>
                <w:vertAlign w:val="superscript"/>
              </w:rPr>
              <w:t>(8)</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$155,736</w:t>
            </w:r>
            <w:r>
              <w:rPr>
                <w:rFonts w:ascii="Arial" w:cs="Arial" w:eastAsia="Arial" w:hAnsi="Arial"/>
                <w:sz w:val="29"/>
                <w:szCs w:val="29"/>
                <w:color w:val="auto"/>
                <w:vertAlign w:val="superscript"/>
              </w:rPr>
              <w:t>(8)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4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rPr>
              <w:t>restricted shares</w:t>
            </w:r>
          </w:p>
        </w:tc>
        <w:tc>
          <w:tcPr>
            <w:tcW w:w="11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680" w:hanging="531"/>
        <w:spacing w:after="0" w:line="205" w:lineRule="auto"/>
        <w:tabs>
          <w:tab w:leader="none" w:pos="16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in connection with the accelerated vesting of Altisource restricted shares and/or service-based options upon the occurrence of death, disability or retirement. For Mr. Ritts, the amount assumes the Compensation Committee authorizes accelerated vesting of stock options despite having less than two (2) years of service (for death or disability) or three (3) years of service (for retirement) as of December 31, 2015.</w:t>
      </w:r>
    </w:p>
    <w:p>
      <w:pPr>
        <w:spacing w:after="0" w:line="211" w:lineRule="exact"/>
        <w:rPr>
          <w:rFonts w:ascii="Arial" w:cs="Arial" w:eastAsia="Arial" w:hAnsi="Arial"/>
          <w:sz w:val="29"/>
          <w:szCs w:val="29"/>
          <w:color w:val="auto"/>
          <w:vertAlign w:val="superscript"/>
        </w:rPr>
      </w:pPr>
    </w:p>
    <w:p>
      <w:pPr>
        <w:ind w:left="1680" w:hanging="531"/>
        <w:spacing w:after="0" w:line="211" w:lineRule="auto"/>
        <w:tabs>
          <w:tab w:leader="none" w:pos="16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in connection with the accelerated vesting of Altisource restricted shares and/or service-based options upon the occurrence of death, disability or retirement. Additionally, upon the occurrence of such an event, Ms. Esterman would receive $11,450, based on the accelerated vesting of Altisource Asset Management Corporation ("AAMC") and Altisource Residential Corporation ("Residential") service-based options received in connection with the spin-off transactions completed on December 21, 2012.</w:t>
      </w:r>
    </w:p>
    <w:p>
      <w:pPr>
        <w:spacing w:after="0" w:line="71"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Represents one (1) year of base salary as provided under the executive's employment agreement.</w:t>
      </w:r>
    </w:p>
    <w:p>
      <w:pPr>
        <w:spacing w:after="0" w:line="194" w:lineRule="exact"/>
        <w:rPr>
          <w:rFonts w:ascii="Arial" w:cs="Arial" w:eastAsia="Arial" w:hAnsi="Arial"/>
          <w:sz w:val="29"/>
          <w:szCs w:val="29"/>
          <w:color w:val="auto"/>
          <w:vertAlign w:val="superscript"/>
        </w:rPr>
      </w:pPr>
    </w:p>
    <w:p>
      <w:pPr>
        <w:ind w:left="1680" w:right="260" w:hanging="531"/>
        <w:spacing w:after="0" w:line="183" w:lineRule="auto"/>
        <w:tabs>
          <w:tab w:leader="none" w:pos="16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Represents four (4) months' base salary as provided under the executive's employment agreement, the receipt of which is contingent upon the executive's execution of a Separation Agreement with the Company.</w:t>
      </w:r>
    </w:p>
    <w:p>
      <w:pPr>
        <w:spacing w:after="0" w:line="209" w:lineRule="exact"/>
        <w:rPr>
          <w:rFonts w:ascii="Arial" w:cs="Arial" w:eastAsia="Arial" w:hAnsi="Arial"/>
          <w:sz w:val="29"/>
          <w:szCs w:val="29"/>
          <w:color w:val="auto"/>
          <w:vertAlign w:val="superscript"/>
        </w:rPr>
      </w:pPr>
    </w:p>
    <w:p>
      <w:pPr>
        <w:ind w:left="1680" w:right="760" w:hanging="531"/>
        <w:spacing w:after="0" w:line="191" w:lineRule="auto"/>
        <w:tabs>
          <w:tab w:leader="none" w:pos="1680" w:val="left"/>
        </w:tabs>
        <w:numPr>
          <w:ilvl w:val="0"/>
          <w:numId w:val="37"/>
        </w:numPr>
        <w:rPr>
          <w:rFonts w:ascii="Arial" w:cs="Arial" w:eastAsia="Arial" w:hAnsi="Arial"/>
          <w:sz w:val="28"/>
          <w:szCs w:val="28"/>
          <w:color w:val="auto"/>
          <w:vertAlign w:val="superscript"/>
        </w:rPr>
      </w:pPr>
      <w:r>
        <w:rPr>
          <w:rFonts w:ascii="Arial" w:cs="Arial" w:eastAsia="Arial" w:hAnsi="Arial"/>
          <w:sz w:val="17"/>
          <w:szCs w:val="17"/>
          <w:color w:val="auto"/>
        </w:rPr>
        <w:t>Represents amounts that would have been received upon the termination by the Company of the executive officers' employment other than for "Cause" pursuant to the executive's Cash Award Agreement dated April 15, 2015.</w:t>
      </w:r>
    </w:p>
    <w:p>
      <w:pPr>
        <w:spacing w:after="0" w:line="195" w:lineRule="exact"/>
        <w:rPr>
          <w:rFonts w:ascii="Arial" w:cs="Arial" w:eastAsia="Arial" w:hAnsi="Arial"/>
          <w:sz w:val="28"/>
          <w:szCs w:val="28"/>
          <w:color w:val="auto"/>
          <w:vertAlign w:val="superscript"/>
        </w:rPr>
      </w:pPr>
    </w:p>
    <w:p>
      <w:pPr>
        <w:ind w:left="1680" w:right="100" w:hanging="531"/>
        <w:spacing w:after="0" w:line="183" w:lineRule="auto"/>
        <w:tabs>
          <w:tab w:leader="none" w:pos="16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Represents one (1) year of target incentive compensation, plus actual incentive compensation that would have been earned for the 2015 service year. Pursuant to their employment agreements, Messrs. Shepro and Wilcox are</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left="1680" w:right="200"/>
        <w:spacing w:after="0" w:line="239" w:lineRule="auto"/>
        <w:rPr>
          <w:sz w:val="20"/>
          <w:szCs w:val="20"/>
          <w:color w:val="auto"/>
        </w:rPr>
      </w:pPr>
      <w:r>
        <w:rPr>
          <w:rFonts w:ascii="Arial" w:cs="Arial" w:eastAsia="Arial" w:hAnsi="Arial"/>
          <w:sz w:val="18"/>
          <w:szCs w:val="18"/>
          <w:color w:val="auto"/>
        </w:rPr>
        <w:t>only entitled to receive actual incentive compensation earned in the event employment is terminated after October for the service year and before incentives are paid for such service year.</w:t>
      </w:r>
    </w:p>
    <w:p>
      <w:pPr>
        <w:spacing w:after="0" w:line="209" w:lineRule="exact"/>
        <w:rPr>
          <w:sz w:val="20"/>
          <w:szCs w:val="20"/>
          <w:color w:val="auto"/>
        </w:rPr>
      </w:pPr>
    </w:p>
    <w:p>
      <w:pPr>
        <w:ind w:left="1680" w:right="280" w:hanging="531"/>
        <w:spacing w:after="0" w:line="183" w:lineRule="auto"/>
        <w:tabs>
          <w:tab w:leader="none" w:pos="16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upon occurrence of a Transaction pursuant to the executive's Cash Award Agreement dated April 15, 2015.</w:t>
      </w:r>
    </w:p>
    <w:p>
      <w:pPr>
        <w:spacing w:after="0" w:line="209" w:lineRule="exact"/>
        <w:rPr>
          <w:rFonts w:ascii="Arial" w:cs="Arial" w:eastAsia="Arial" w:hAnsi="Arial"/>
          <w:sz w:val="29"/>
          <w:szCs w:val="29"/>
          <w:color w:val="auto"/>
          <w:vertAlign w:val="superscript"/>
        </w:rPr>
      </w:pPr>
    </w:p>
    <w:p>
      <w:pPr>
        <w:ind w:left="1680" w:right="140" w:hanging="531"/>
        <w:spacing w:after="0" w:line="197" w:lineRule="auto"/>
        <w:tabs>
          <w:tab w:leader="none" w:pos="16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96" w:lineRule="exact"/>
        <w:rPr>
          <w:rFonts w:ascii="Arial" w:cs="Arial" w:eastAsia="Arial" w:hAnsi="Arial"/>
          <w:sz w:val="29"/>
          <w:szCs w:val="29"/>
          <w:color w:val="auto"/>
          <w:vertAlign w:val="superscript"/>
        </w:rPr>
      </w:pPr>
    </w:p>
    <w:p>
      <w:pPr>
        <w:ind w:left="1680" w:right="140" w:hanging="531"/>
        <w:spacing w:after="0" w:line="211" w:lineRule="auto"/>
        <w:tabs>
          <w:tab w:leader="none" w:pos="16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 Additionally, in such event, Ms. Esterman would receive $18,216, based on the accelerated vesting of AAMC and Residential options received in connection with the spin-off transactions completed on December 21, 2012.</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82C243"/>
        </w:rPr>
        <w:t>COMPENSATION DISCUSSION AND ANALYSIS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3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26 through 43 of this proxy statement with management.</w:t>
      </w:r>
    </w:p>
    <w:p>
      <w:pPr>
        <w:spacing w:after="0" w:line="20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Based on this review and discussion, the Compensation Committee recommended to the Board of Directors that the Compensation Discussion and Analysis be included in this proxy statement.</w:t>
      </w:r>
    </w:p>
    <w:p>
      <w:pPr>
        <w:spacing w:after="0" w:line="18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Compensation Committee:</w:t>
      </w:r>
    </w:p>
    <w:p>
      <w:pPr>
        <w:spacing w:after="0" w:line="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Timo Vättö, Chairman</w:t>
      </w:r>
    </w:p>
    <w:p>
      <w:pPr>
        <w:ind w:left="5820"/>
        <w:spacing w:after="0" w:line="234" w:lineRule="auto"/>
        <w:rPr>
          <w:sz w:val="20"/>
          <w:szCs w:val="20"/>
          <w:color w:val="auto"/>
        </w:rPr>
      </w:pPr>
      <w:r>
        <w:rPr>
          <w:rFonts w:ascii="Arial" w:cs="Arial" w:eastAsia="Arial" w:hAnsi="Arial"/>
          <w:sz w:val="18"/>
          <w:szCs w:val="18"/>
          <w:color w:val="auto"/>
        </w:rPr>
        <w:t>W. Michael Linn, Director</w:t>
      </w:r>
    </w:p>
    <w:p>
      <w:pPr>
        <w:ind w:left="5820"/>
        <w:spacing w:after="0" w:line="235" w:lineRule="auto"/>
        <w:rPr>
          <w:sz w:val="20"/>
          <w:szCs w:val="20"/>
          <w:color w:val="auto"/>
        </w:rPr>
      </w:pPr>
      <w:r>
        <w:rPr>
          <w:rFonts w:ascii="Arial" w:cs="Arial" w:eastAsia="Arial" w:hAnsi="Arial"/>
          <w:sz w:val="18"/>
          <w:szCs w:val="18"/>
          <w:color w:val="auto"/>
        </w:rPr>
        <w:t>Roland Müller-Ineichen, Director</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2016</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compensation of our Named Executive Officers for fiscal years 2013, 2014 and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220" w:type="dxa"/>
            <w:vAlign w:val="bottom"/>
          </w:tcPr>
          <w:p>
            <w:pPr>
              <w:spacing w:after="0"/>
              <w:rPr>
                <w:sz w:val="15"/>
                <w:szCs w:val="15"/>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b w:val="1"/>
                <w:bCs w:val="1"/>
                <w:color w:val="auto"/>
              </w:rPr>
              <w:t>Salary</w:t>
            </w:r>
            <w:r>
              <w:rPr>
                <w:rFonts w:ascii="Arial" w:cs="Arial" w:eastAsia="Arial" w:hAnsi="Arial"/>
                <w:sz w:val="21"/>
                <w:szCs w:val="21"/>
                <w:b w:val="1"/>
                <w:bCs w:val="1"/>
                <w:color w:val="auto"/>
                <w:vertAlign w:val="superscript"/>
              </w:rPr>
              <w:t>(1)</w:t>
            </w:r>
          </w:p>
        </w:tc>
        <w:tc>
          <w:tcPr>
            <w:tcW w:w="2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6"/>
                <w:szCs w:val="16"/>
                <w:color w:val="auto"/>
              </w:rPr>
            </w:pPr>
          </w:p>
        </w:tc>
        <w:tc>
          <w:tcPr>
            <w:tcW w:w="880" w:type="dxa"/>
            <w:vAlign w:val="bottom"/>
            <w:tcBorders>
              <w:bottom w:val="single" w:sz="8" w:color="auto"/>
            </w:tcBorders>
          </w:tcPr>
          <w:p>
            <w:pPr>
              <w:jc w:val="right"/>
              <w:ind w:right="34"/>
              <w:spacing w:after="0" w:line="18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(2)</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(3)</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Compensation</w:t>
            </w:r>
            <w:r>
              <w:rPr>
                <w:rFonts w:ascii="Arial" w:cs="Arial" w:eastAsia="Arial" w:hAnsi="Arial"/>
                <w:sz w:val="21"/>
                <w:szCs w:val="21"/>
                <w:b w:val="1"/>
                <w:bCs w:val="1"/>
                <w:color w:val="auto"/>
                <w:w w:val="99"/>
                <w:vertAlign w:val="superscript"/>
              </w:rPr>
              <w:t>(4)</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right"/>
              <w:ind w:right="8"/>
              <w:spacing w:after="0" w:line="18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(5)</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William B. Shepro</w:t>
            </w:r>
          </w:p>
        </w:tc>
        <w:tc>
          <w:tcPr>
            <w:tcW w:w="720" w:type="dxa"/>
            <w:vAlign w:val="bottom"/>
            <w:gridSpan w:val="3"/>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2013</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$543,375</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rPr>
              <w:t>$1,018,828</w:t>
            </w:r>
          </w:p>
        </w:tc>
        <w:tc>
          <w:tcPr>
            <w:tcW w:w="1520" w:type="dxa"/>
            <w:vAlign w:val="bottom"/>
            <w:gridSpan w:val="2"/>
            <w:shd w:val="clear" w:color="auto" w:fill="CCEEFF"/>
          </w:tcPr>
          <w:p>
            <w:pPr>
              <w:jc w:val="right"/>
              <w:ind w:right="208"/>
              <w:spacing w:after="0" w:line="196" w:lineRule="exact"/>
              <w:rPr>
                <w:sz w:val="20"/>
                <w:szCs w:val="20"/>
                <w:color w:val="auto"/>
              </w:rPr>
            </w:pPr>
            <w:r>
              <w:rPr>
                <w:rFonts w:ascii="Arial" w:cs="Arial" w:eastAsia="Arial" w:hAnsi="Arial"/>
                <w:sz w:val="18"/>
                <w:szCs w:val="18"/>
                <w:color w:val="auto"/>
              </w:rPr>
              <w:t>$329,781</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$1,891,984</w:t>
            </w: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Executive</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4"/>
              </w:rPr>
              <w:t>2014</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$685,625</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$1,079,859</w:t>
            </w:r>
          </w:p>
        </w:tc>
        <w:tc>
          <w:tcPr>
            <w:tcW w:w="152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$477,103</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$2,242,587</w:t>
            </w: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Officer</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4"/>
              </w:rPr>
              <w:t>2015</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5"/>
                <w:szCs w:val="15"/>
                <w:color w:val="auto"/>
              </w:rPr>
              <w:t>$780,000</w:t>
            </w:r>
            <w:r>
              <w:rPr>
                <w:rFonts w:ascii="Arial" w:cs="Arial" w:eastAsia="Arial" w:hAnsi="Arial"/>
                <w:sz w:val="23"/>
                <w:szCs w:val="23"/>
                <w:color w:val="auto"/>
                <w:vertAlign w:val="superscript"/>
              </w:rPr>
              <w:t>(6)</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$1,044,270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$524,689</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5"/>
                <w:szCs w:val="15"/>
                <w:color w:val="auto"/>
              </w:rPr>
              <w:t>$1,158,300</w:t>
            </w:r>
            <w:r>
              <w:rPr>
                <w:rFonts w:ascii="Arial" w:cs="Arial" w:eastAsia="Arial" w:hAnsi="Arial"/>
                <w:sz w:val="23"/>
                <w:szCs w:val="23"/>
                <w:color w:val="auto"/>
                <w:vertAlign w:val="superscript"/>
              </w:rPr>
              <w:t>(7)(8)</w:t>
            </w:r>
          </w:p>
        </w:tc>
        <w:tc>
          <w:tcPr>
            <w:tcW w:w="15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5"/>
                <w:szCs w:val="15"/>
                <w:color w:val="auto"/>
              </w:rPr>
              <w:t>$1,253,780</w:t>
            </w:r>
            <w:r>
              <w:rPr>
                <w:rFonts w:ascii="Arial" w:cs="Arial" w:eastAsia="Arial" w:hAnsi="Arial"/>
                <w:sz w:val="23"/>
                <w:szCs w:val="23"/>
                <w:color w:val="auto"/>
                <w:vertAlign w:val="superscript"/>
              </w:rPr>
              <w:t>(9)</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$4,761,039</w:t>
            </w:r>
          </w:p>
        </w:tc>
        <w:tc>
          <w:tcPr>
            <w:tcW w:w="220" w:type="dxa"/>
            <w:vAlign w:val="bottom"/>
            <w:shd w:val="clear" w:color="auto" w:fill="CCEEFF"/>
          </w:tcPr>
          <w:p>
            <w:pPr>
              <w:spacing w:after="0"/>
              <w:rPr>
                <w:sz w:val="17"/>
                <w:szCs w:val="17"/>
                <w:color w:val="auto"/>
              </w:rPr>
            </w:pPr>
          </w:p>
        </w:tc>
      </w:tr>
      <w:tr>
        <w:trPr>
          <w:trHeight w:val="40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Kevin J. Wilcox</w:t>
            </w:r>
          </w:p>
        </w:tc>
        <w:tc>
          <w:tcPr>
            <w:tcW w:w="7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2013</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$427,656</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$545,262</w:t>
            </w:r>
          </w:p>
        </w:tc>
        <w:tc>
          <w:tcPr>
            <w:tcW w:w="1520" w:type="dxa"/>
            <w:vAlign w:val="bottom"/>
            <w:gridSpan w:val="2"/>
          </w:tcPr>
          <w:p>
            <w:pPr>
              <w:jc w:val="right"/>
              <w:ind w:right="208"/>
              <w:spacing w:after="0"/>
              <w:rPr>
                <w:sz w:val="20"/>
                <w:szCs w:val="20"/>
                <w:color w:val="auto"/>
              </w:rPr>
            </w:pPr>
            <w:r>
              <w:rPr>
                <w:rFonts w:ascii="Arial" w:cs="Arial" w:eastAsia="Arial" w:hAnsi="Arial"/>
                <w:sz w:val="18"/>
                <w:szCs w:val="18"/>
                <w:color w:val="auto"/>
              </w:rPr>
              <w:t>$171,729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$1,144,647</w:t>
            </w:r>
          </w:p>
        </w:tc>
        <w:tc>
          <w:tcPr>
            <w:tcW w:w="220" w:type="dxa"/>
            <w:vAlign w:val="bottom"/>
          </w:tcPr>
          <w:p>
            <w:pPr>
              <w:spacing w:after="0"/>
              <w:rPr>
                <w:sz w:val="24"/>
                <w:szCs w:val="24"/>
                <w:color w:val="auto"/>
              </w:rPr>
            </w:pPr>
          </w:p>
        </w:tc>
      </w:tr>
      <w:tr>
        <w:trPr>
          <w:trHeight w:val="202"/>
        </w:trPr>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Chief Administration</w:t>
            </w:r>
          </w:p>
        </w:tc>
        <w:tc>
          <w:tcPr>
            <w:tcW w:w="72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4"/>
              </w:rPr>
              <w:t>2014</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$444,010</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$489,521</w:t>
            </w:r>
          </w:p>
        </w:tc>
        <w:tc>
          <w:tcPr>
            <w:tcW w:w="152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$378,432</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$1,311,963</w:t>
            </w:r>
          </w:p>
        </w:tc>
        <w:tc>
          <w:tcPr>
            <w:tcW w:w="220" w:type="dxa"/>
            <w:vAlign w:val="bottom"/>
          </w:tcPr>
          <w:p>
            <w:pPr>
              <w:spacing w:after="0"/>
              <w:rPr>
                <w:sz w:val="17"/>
                <w:szCs w:val="17"/>
                <w:color w:val="auto"/>
              </w:rPr>
            </w:pPr>
          </w:p>
        </w:tc>
      </w:tr>
      <w:tr>
        <w:trPr>
          <w:trHeight w:val="200"/>
        </w:trPr>
        <w:tc>
          <w:tcPr>
            <w:tcW w:w="2600" w:type="dxa"/>
            <w:vAlign w:val="bottom"/>
            <w:gridSpan w:val="2"/>
          </w:tcPr>
          <w:p>
            <w:pPr>
              <w:spacing w:after="0" w:line="200" w:lineRule="exact"/>
              <w:rPr>
                <w:sz w:val="20"/>
                <w:szCs w:val="20"/>
                <w:color w:val="auto"/>
              </w:rPr>
            </w:pPr>
            <w:r>
              <w:rPr>
                <w:rFonts w:ascii="Arial" w:cs="Arial" w:eastAsia="Arial" w:hAnsi="Arial"/>
                <w:sz w:val="18"/>
                <w:szCs w:val="18"/>
                <w:color w:val="auto"/>
              </w:rPr>
              <w:t>Officer</w:t>
            </w:r>
          </w:p>
        </w:tc>
        <w:tc>
          <w:tcPr>
            <w:tcW w:w="720" w:type="dxa"/>
            <w:vAlign w:val="bottom"/>
            <w:gridSpan w:val="3"/>
          </w:tcPr>
          <w:p>
            <w:pPr>
              <w:jc w:val="center"/>
              <w:ind w:right="100"/>
              <w:spacing w:after="0" w:line="200" w:lineRule="exact"/>
              <w:rPr>
                <w:sz w:val="20"/>
                <w:szCs w:val="20"/>
                <w:color w:val="auto"/>
              </w:rPr>
            </w:pPr>
            <w:r>
              <w:rPr>
                <w:rFonts w:ascii="Arial" w:cs="Arial" w:eastAsia="Arial" w:hAnsi="Arial"/>
                <w:sz w:val="18"/>
                <w:szCs w:val="18"/>
                <w:color w:val="auto"/>
                <w:w w:val="94"/>
              </w:rPr>
              <w:t>2015</w:t>
            </w:r>
          </w:p>
        </w:tc>
        <w:tc>
          <w:tcPr>
            <w:tcW w:w="100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$450,000</w:t>
            </w:r>
            <w:r>
              <w:rPr>
                <w:rFonts w:ascii="Arial" w:cs="Arial" w:eastAsia="Arial" w:hAnsi="Arial"/>
                <w:sz w:val="23"/>
                <w:szCs w:val="23"/>
                <w:color w:val="auto"/>
                <w:vertAlign w:val="superscript"/>
              </w:rPr>
              <w:t>(10)</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$378,225</w:t>
            </w:r>
          </w:p>
        </w:tc>
        <w:tc>
          <w:tcPr>
            <w:tcW w:w="2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w w:val="95"/>
              </w:rPr>
              <w:t>$190,250</w:t>
            </w:r>
          </w:p>
        </w:tc>
        <w:tc>
          <w:tcPr>
            <w:tcW w:w="120" w:type="dxa"/>
            <w:vAlign w:val="bottom"/>
          </w:tcPr>
          <w:p>
            <w:pPr>
              <w:spacing w:after="0"/>
              <w:rPr>
                <w:sz w:val="17"/>
                <w:szCs w:val="17"/>
                <w:color w:val="auto"/>
              </w:rPr>
            </w:pPr>
          </w:p>
        </w:tc>
        <w:tc>
          <w:tcPr>
            <w:tcW w:w="1380" w:type="dxa"/>
            <w:vAlign w:val="bottom"/>
          </w:tcPr>
          <w:p>
            <w:pPr>
              <w:jc w:val="right"/>
              <w:ind w:right="98"/>
              <w:spacing w:after="0" w:line="200" w:lineRule="exact"/>
              <w:rPr>
                <w:sz w:val="20"/>
                <w:szCs w:val="20"/>
                <w:color w:val="auto"/>
              </w:rPr>
            </w:pPr>
            <w:r>
              <w:rPr>
                <w:rFonts w:ascii="Arial" w:cs="Arial" w:eastAsia="Arial" w:hAnsi="Arial"/>
                <w:sz w:val="15"/>
                <w:szCs w:val="15"/>
                <w:color w:val="auto"/>
              </w:rPr>
              <w:t>$460,688</w:t>
            </w:r>
            <w:r>
              <w:rPr>
                <w:rFonts w:ascii="Arial" w:cs="Arial" w:eastAsia="Arial" w:hAnsi="Arial"/>
                <w:sz w:val="23"/>
                <w:szCs w:val="23"/>
                <w:color w:val="auto"/>
                <w:vertAlign w:val="superscript"/>
              </w:rPr>
              <w:t>(8)</w:t>
            </w:r>
          </w:p>
        </w:tc>
        <w:tc>
          <w:tcPr>
            <w:tcW w:w="152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$294,894</w:t>
            </w:r>
            <w:r>
              <w:rPr>
                <w:rFonts w:ascii="Arial" w:cs="Arial" w:eastAsia="Arial" w:hAnsi="Arial"/>
                <w:sz w:val="23"/>
                <w:szCs w:val="23"/>
                <w:color w:val="auto"/>
                <w:vertAlign w:val="superscript"/>
              </w:rPr>
              <w:t>(11)</w:t>
            </w:r>
          </w:p>
        </w:tc>
        <w:tc>
          <w:tcPr>
            <w:tcW w:w="11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$1,774,057</w:t>
            </w:r>
          </w:p>
        </w:tc>
        <w:tc>
          <w:tcPr>
            <w:tcW w:w="220" w:type="dxa"/>
            <w:vAlign w:val="bottom"/>
          </w:tcPr>
          <w:p>
            <w:pPr>
              <w:spacing w:after="0"/>
              <w:rPr>
                <w:sz w:val="17"/>
                <w:szCs w:val="17"/>
                <w:color w:val="auto"/>
              </w:rPr>
            </w:pPr>
          </w:p>
        </w:tc>
      </w:tr>
      <w:tr>
        <w:trPr>
          <w:trHeight w:val="405"/>
        </w:trPr>
        <w:tc>
          <w:tcPr>
            <w:tcW w:w="20" w:type="dxa"/>
            <w:vAlign w:val="bottom"/>
          </w:tcPr>
          <w:p>
            <w:pPr>
              <w:spacing w:after="0"/>
              <w:rPr>
                <w:sz w:val="24"/>
                <w:szCs w:val="2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Michelle D. Esterman</w:t>
            </w:r>
          </w:p>
        </w:tc>
        <w:tc>
          <w:tcPr>
            <w:tcW w:w="7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2013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$311,619</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$269,938</w:t>
            </w:r>
          </w:p>
        </w:tc>
        <w:tc>
          <w:tcPr>
            <w:tcW w:w="1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$73,153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$654,710</w:t>
            </w:r>
          </w:p>
        </w:tc>
        <w:tc>
          <w:tcPr>
            <w:tcW w:w="22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Financial Officer</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4"/>
              </w:rPr>
              <w:t>2014</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$364,948</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$250,277</w:t>
            </w:r>
          </w:p>
        </w:tc>
        <w:tc>
          <w:tcPr>
            <w:tcW w:w="152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$51,234</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$666,459</w:t>
            </w: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2015</w:t>
            </w:r>
          </w:p>
        </w:tc>
        <w:tc>
          <w:tcPr>
            <w:tcW w:w="10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$415,833</w:t>
            </w:r>
            <w:r>
              <w:rPr>
                <w:rFonts w:ascii="Arial" w:cs="Arial" w:eastAsia="Arial" w:hAnsi="Arial"/>
                <w:sz w:val="25"/>
                <w:szCs w:val="25"/>
                <w:color w:val="auto"/>
                <w:vertAlign w:val="superscript"/>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$267,525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$423,141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8"/>
              <w:spacing w:after="0" w:line="216" w:lineRule="exact"/>
              <w:rPr>
                <w:sz w:val="20"/>
                <w:szCs w:val="20"/>
                <w:color w:val="auto"/>
              </w:rPr>
            </w:pPr>
            <w:r>
              <w:rPr>
                <w:rFonts w:ascii="Arial" w:cs="Arial" w:eastAsia="Arial" w:hAnsi="Arial"/>
                <w:sz w:val="16"/>
                <w:szCs w:val="16"/>
                <w:color w:val="auto"/>
              </w:rPr>
              <w:t>$322,725</w:t>
            </w:r>
            <w:r>
              <w:rPr>
                <w:rFonts w:ascii="Arial" w:cs="Arial" w:eastAsia="Arial" w:hAnsi="Arial"/>
                <w:sz w:val="25"/>
                <w:szCs w:val="25"/>
                <w:color w:val="auto"/>
                <w:vertAlign w:val="superscript"/>
              </w:rPr>
              <w:t>(8)</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$169,232</w:t>
            </w:r>
            <w:r>
              <w:rPr>
                <w:rFonts w:ascii="Arial" w:cs="Arial" w:eastAsia="Arial" w:hAnsi="Arial"/>
                <w:sz w:val="25"/>
                <w:szCs w:val="25"/>
                <w:color w:val="auto"/>
                <w:vertAlign w:val="superscript"/>
              </w:rPr>
              <w:t>(13)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$1,598,456</w:t>
            </w:r>
          </w:p>
        </w:tc>
        <w:tc>
          <w:tcPr>
            <w:tcW w:w="220" w:type="dxa"/>
            <w:vAlign w:val="bottom"/>
            <w:shd w:val="clear" w:color="auto" w:fill="CCEEFF"/>
          </w:tcPr>
          <w:p>
            <w:pPr>
              <w:spacing w:after="0"/>
              <w:rPr>
                <w:sz w:val="18"/>
                <w:szCs w:val="18"/>
                <w:color w:val="auto"/>
              </w:rPr>
            </w:pPr>
          </w:p>
        </w:tc>
      </w:tr>
      <w:tr>
        <w:trPr>
          <w:trHeight w:val="40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Joseph A. Davila</w:t>
            </w:r>
          </w:p>
        </w:tc>
        <w:tc>
          <w:tcPr>
            <w:tcW w:w="7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2013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202"/>
        </w:trPr>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President, Mortgage</w:t>
            </w:r>
          </w:p>
        </w:tc>
        <w:tc>
          <w:tcPr>
            <w:tcW w:w="72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4"/>
              </w:rPr>
              <w:t>2014</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$365,521</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$730,306</w:t>
            </w:r>
          </w:p>
        </w:tc>
        <w:tc>
          <w:tcPr>
            <w:tcW w:w="120" w:type="dxa"/>
            <w:vAlign w:val="bottom"/>
          </w:tcPr>
          <w:p>
            <w:pPr>
              <w:spacing w:after="0"/>
              <w:rPr>
                <w:sz w:val="17"/>
                <w:szCs w:val="17"/>
                <w:color w:val="auto"/>
              </w:rPr>
            </w:pPr>
          </w:p>
        </w:tc>
        <w:tc>
          <w:tcPr>
            <w:tcW w:w="138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$287,676</w:t>
            </w:r>
          </w:p>
        </w:tc>
        <w:tc>
          <w:tcPr>
            <w:tcW w:w="152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$66,266</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$1,449,769</w:t>
            </w:r>
          </w:p>
        </w:tc>
        <w:tc>
          <w:tcPr>
            <w:tcW w:w="220" w:type="dxa"/>
            <w:vAlign w:val="bottom"/>
          </w:tcPr>
          <w:p>
            <w:pPr>
              <w:spacing w:after="0"/>
              <w:rPr>
                <w:sz w:val="17"/>
                <w:szCs w:val="17"/>
                <w:color w:val="auto"/>
              </w:rPr>
            </w:pPr>
          </w:p>
        </w:tc>
      </w:tr>
      <w:tr>
        <w:trPr>
          <w:trHeight w:val="240"/>
        </w:trPr>
        <w:tc>
          <w:tcPr>
            <w:tcW w:w="2600" w:type="dxa"/>
            <w:vAlign w:val="bottom"/>
            <w:gridSpan w:val="2"/>
          </w:tcPr>
          <w:p>
            <w:pPr>
              <w:spacing w:after="0" w:line="240" w:lineRule="exact"/>
              <w:rPr>
                <w:sz w:val="20"/>
                <w:szCs w:val="20"/>
                <w:color w:val="auto"/>
              </w:rPr>
            </w:pPr>
            <w:r>
              <w:rPr>
                <w:rFonts w:ascii="Arial" w:cs="Arial" w:eastAsia="Arial" w:hAnsi="Arial"/>
                <w:sz w:val="17"/>
                <w:szCs w:val="17"/>
                <w:color w:val="auto"/>
              </w:rPr>
              <w:t>Services</w:t>
            </w:r>
            <w:r>
              <w:rPr>
                <w:rFonts w:ascii="Arial" w:cs="Arial" w:eastAsia="Arial" w:hAnsi="Arial"/>
                <w:sz w:val="27"/>
                <w:szCs w:val="27"/>
                <w:color w:val="auto"/>
                <w:vertAlign w:val="superscript"/>
              </w:rPr>
              <w:t>(14)</w:t>
            </w:r>
          </w:p>
        </w:tc>
        <w:tc>
          <w:tcPr>
            <w:tcW w:w="7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2015</w:t>
            </w:r>
          </w:p>
        </w:tc>
        <w:tc>
          <w:tcPr>
            <w:tcW w:w="1000" w:type="dxa"/>
            <w:vAlign w:val="bottom"/>
            <w:gridSpan w:val="2"/>
          </w:tcPr>
          <w:p>
            <w:pPr>
              <w:jc w:val="right"/>
              <w:spacing w:after="0" w:line="240" w:lineRule="exact"/>
              <w:rPr>
                <w:sz w:val="20"/>
                <w:szCs w:val="20"/>
                <w:color w:val="auto"/>
              </w:rPr>
            </w:pPr>
            <w:r>
              <w:rPr>
                <w:rFonts w:ascii="Arial" w:cs="Arial" w:eastAsia="Arial" w:hAnsi="Arial"/>
                <w:sz w:val="17"/>
                <w:szCs w:val="17"/>
                <w:color w:val="auto"/>
                <w:w w:val="95"/>
              </w:rPr>
              <w:t>$394,124</w:t>
            </w:r>
            <w:r>
              <w:rPr>
                <w:rFonts w:ascii="Arial" w:cs="Arial" w:eastAsia="Arial" w:hAnsi="Arial"/>
                <w:sz w:val="27"/>
                <w:szCs w:val="27"/>
                <w:color w:val="auto"/>
                <w:w w:val="95"/>
                <w:vertAlign w:val="superscript"/>
              </w:rPr>
              <w:t>(15)</w:t>
            </w:r>
          </w:p>
        </w:tc>
        <w:tc>
          <w:tcPr>
            <w:tcW w:w="920" w:type="dxa"/>
            <w:vAlign w:val="bottom"/>
            <w:gridSpan w:val="2"/>
          </w:tcPr>
          <w:p>
            <w:pPr>
              <w:jc w:val="right"/>
              <w:ind w:right="20"/>
              <w:spacing w:after="0" w:line="240" w:lineRule="exact"/>
              <w:rPr>
                <w:sz w:val="20"/>
                <w:szCs w:val="20"/>
                <w:color w:val="auto"/>
              </w:rPr>
            </w:pPr>
            <w:r>
              <w:rPr>
                <w:rFonts w:ascii="Arial" w:cs="Arial" w:eastAsia="Arial" w:hAnsi="Arial"/>
                <w:sz w:val="17"/>
                <w:szCs w:val="17"/>
                <w:color w:val="auto"/>
                <w:w w:val="94"/>
              </w:rPr>
              <w:t>$72,000</w:t>
            </w:r>
            <w:r>
              <w:rPr>
                <w:rFonts w:ascii="Arial" w:cs="Arial" w:eastAsia="Arial" w:hAnsi="Arial"/>
                <w:sz w:val="27"/>
                <w:szCs w:val="27"/>
                <w:color w:val="auto"/>
                <w:w w:val="94"/>
                <w:vertAlign w:val="superscript"/>
              </w:rPr>
              <w:t>(16)</w:t>
            </w:r>
          </w:p>
        </w:tc>
        <w:tc>
          <w:tcPr>
            <w:tcW w:w="880" w:type="dxa"/>
            <w:vAlign w:val="bottom"/>
          </w:tcPr>
          <w:p>
            <w:pPr>
              <w:jc w:val="right"/>
              <w:spacing w:after="0"/>
              <w:rPr>
                <w:sz w:val="20"/>
                <w:szCs w:val="20"/>
                <w:color w:val="auto"/>
              </w:rPr>
            </w:pPr>
            <w:r>
              <w:rPr>
                <w:rFonts w:ascii="Arial" w:cs="Arial" w:eastAsia="Arial" w:hAnsi="Arial"/>
                <w:sz w:val="18"/>
                <w:szCs w:val="18"/>
                <w:color w:val="auto"/>
              </w:rPr>
              <w:t>$103,320</w:t>
            </w: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$78,103</w:t>
            </w: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$243,000</w:t>
            </w:r>
          </w:p>
        </w:tc>
        <w:tc>
          <w:tcPr>
            <w:tcW w:w="1520" w:type="dxa"/>
            <w:vAlign w:val="bottom"/>
            <w:gridSpan w:val="2"/>
          </w:tcPr>
          <w:p>
            <w:pPr>
              <w:jc w:val="right"/>
              <w:spacing w:after="0" w:line="240" w:lineRule="exact"/>
              <w:rPr>
                <w:sz w:val="20"/>
                <w:szCs w:val="20"/>
                <w:color w:val="auto"/>
              </w:rPr>
            </w:pPr>
            <w:r>
              <w:rPr>
                <w:rFonts w:ascii="Arial" w:cs="Arial" w:eastAsia="Arial" w:hAnsi="Arial"/>
                <w:sz w:val="17"/>
                <w:szCs w:val="17"/>
                <w:color w:val="auto"/>
              </w:rPr>
              <w:t>$134,345</w:t>
            </w:r>
            <w:r>
              <w:rPr>
                <w:rFonts w:ascii="Arial" w:cs="Arial" w:eastAsia="Arial" w:hAnsi="Arial"/>
                <w:sz w:val="27"/>
                <w:szCs w:val="27"/>
                <w:color w:val="auto"/>
                <w:vertAlign w:val="superscript"/>
              </w:rPr>
              <w:t>(17)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$1,024,892</w:t>
            </w:r>
          </w:p>
        </w:tc>
        <w:tc>
          <w:tcPr>
            <w:tcW w:w="22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Gregory J. Ritts</w:t>
            </w:r>
          </w:p>
        </w:tc>
        <w:tc>
          <w:tcPr>
            <w:tcW w:w="7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2013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5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General Counsel</w:t>
            </w:r>
            <w:r>
              <w:rPr>
                <w:rFonts w:ascii="Arial" w:cs="Arial" w:eastAsia="Arial" w:hAnsi="Arial"/>
                <w:sz w:val="28"/>
                <w:szCs w:val="28"/>
                <w:color w:val="auto"/>
                <w:vertAlign w:val="superscript"/>
              </w:rPr>
              <w:t>(18)</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2014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2015</w:t>
            </w:r>
          </w:p>
        </w:tc>
        <w:tc>
          <w:tcPr>
            <w:tcW w:w="10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$425,000</w:t>
            </w:r>
            <w:r>
              <w:rPr>
                <w:rFonts w:ascii="Arial" w:cs="Arial" w:eastAsia="Arial" w:hAnsi="Arial"/>
                <w:sz w:val="25"/>
                <w:szCs w:val="25"/>
                <w:color w:val="auto"/>
                <w:vertAlign w:val="superscript"/>
              </w:rPr>
              <w:t>(19)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$78,103</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$309,375</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$135,673</w:t>
            </w:r>
            <w:r>
              <w:rPr>
                <w:rFonts w:ascii="Arial" w:cs="Arial" w:eastAsia="Arial" w:hAnsi="Arial"/>
                <w:sz w:val="25"/>
                <w:szCs w:val="25"/>
                <w:color w:val="auto"/>
                <w:vertAlign w:val="superscript"/>
              </w:rPr>
              <w:t>(20)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$1,051,471</w:t>
            </w:r>
          </w:p>
        </w:tc>
        <w:tc>
          <w:tcPr>
            <w:tcW w:w="220" w:type="dxa"/>
            <w:vAlign w:val="bottom"/>
            <w:shd w:val="clear" w:color="auto" w:fill="CCEEFF"/>
          </w:tcPr>
          <w:p>
            <w:pPr>
              <w:spacing w:after="0"/>
              <w:rPr>
                <w:sz w:val="18"/>
                <w:szCs w:val="18"/>
                <w:color w:val="auto"/>
              </w:rPr>
            </w:pPr>
          </w:p>
        </w:tc>
      </w:tr>
    </w:tbl>
    <w:p>
      <w:pPr>
        <w:spacing w:after="0" w:line="97"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Represents amounts earned in corresponding year.</w:t>
      </w:r>
    </w:p>
    <w:p>
      <w:pPr>
        <w:spacing w:after="0" w:line="207" w:lineRule="exact"/>
        <w:rPr>
          <w:rFonts w:ascii="Arial" w:cs="Arial" w:eastAsia="Arial" w:hAnsi="Arial"/>
          <w:sz w:val="29"/>
          <w:szCs w:val="29"/>
          <w:color w:val="auto"/>
          <w:vertAlign w:val="superscript"/>
        </w:rPr>
      </w:pPr>
    </w:p>
    <w:p>
      <w:pPr>
        <w:ind w:left="540" w:hanging="532"/>
        <w:spacing w:after="0" w:line="197" w:lineRule="auto"/>
        <w:tabs>
          <w:tab w:leader="none" w:pos="5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Represents the grant date fair value in accordance with Financial Accounting Standards Board Accounting Standards Codification Topic 718 of the restricted share awards granted on April 15, 2015. The value was determined by using the weighted average expense per award multiplied by the shares granted, as per the grant date.</w:t>
      </w:r>
    </w:p>
    <w:p>
      <w:pPr>
        <w:spacing w:after="0" w:line="196" w:lineRule="exact"/>
        <w:rPr>
          <w:rFonts w:ascii="Arial" w:cs="Arial" w:eastAsia="Arial" w:hAnsi="Arial"/>
          <w:sz w:val="29"/>
          <w:szCs w:val="29"/>
          <w:color w:val="auto"/>
          <w:vertAlign w:val="superscript"/>
        </w:rPr>
      </w:pPr>
    </w:p>
    <w:p>
      <w:pPr>
        <w:ind w:left="540" w:right="60" w:hanging="532"/>
        <w:spacing w:after="0" w:line="187" w:lineRule="auto"/>
        <w:tabs>
          <w:tab w:leader="none" w:pos="540"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w:t>
      </w:r>
    </w:p>
    <w:p>
      <w:pPr>
        <w:spacing w:after="0" w:line="1" w:lineRule="exact"/>
        <w:rPr>
          <w:rFonts w:ascii="Arial" w:cs="Arial" w:eastAsia="Arial" w:hAnsi="Arial"/>
          <w:sz w:val="28"/>
          <w:szCs w:val="28"/>
          <w:color w:val="auto"/>
          <w:vertAlign w:val="superscript"/>
        </w:rPr>
      </w:pPr>
    </w:p>
    <w:p>
      <w:pPr>
        <w:ind w:left="540"/>
        <w:spacing w:after="0"/>
        <w:rPr>
          <w:rFonts w:ascii="Arial" w:cs="Arial" w:eastAsia="Arial" w:hAnsi="Arial"/>
          <w:sz w:val="28"/>
          <w:szCs w:val="28"/>
          <w:color w:val="auto"/>
          <w:vertAlign w:val="superscript"/>
        </w:rPr>
      </w:pPr>
      <w:r>
        <w:rPr>
          <w:rFonts w:ascii="Arial" w:cs="Arial" w:eastAsia="Arial" w:hAnsi="Arial"/>
          <w:sz w:val="18"/>
          <w:szCs w:val="18"/>
          <w:color w:val="auto"/>
        </w:rPr>
        <w:t>2015 using a Black-Scholes option-pricing model and a binomial option pricing model utilizing the following assumptions: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Service-Based Awards - Black-Scholes Option Pricing Model</w:t>
      </w:r>
    </w:p>
    <w:p>
      <w:pPr>
        <w:spacing w:after="0" w:line="14" w:lineRule="exact"/>
        <w:rPr>
          <w:sz w:val="20"/>
          <w:szCs w:val="20"/>
          <w:color w:val="auto"/>
        </w:rPr>
      </w:pPr>
    </w:p>
    <w:tbl>
      <w:tblPr>
        <w:tblLayout w:type="fixed"/>
        <w:tblInd w:w="1720" w:type="dxa"/>
        <w:tblCellMar>
          <w:top w:w="0" w:type="dxa"/>
          <w:left w:w="0" w:type="dxa"/>
          <w:bottom w:w="0" w:type="dxa"/>
          <w:right w:w="0" w:type="dxa"/>
        </w:tblCellMar>
      </w:tblPr>
      <w:tr>
        <w:trPr>
          <w:trHeight w:val="142"/>
        </w:trPr>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Risk-Free</w:t>
            </w: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r>
      <w:tr>
        <w:trPr>
          <w:trHeight w:val="162"/>
        </w:trPr>
        <w:tc>
          <w:tcPr>
            <w:tcW w:w="40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Volatility</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Dividend</w:t>
            </w:r>
          </w:p>
        </w:tc>
        <w:tc>
          <w:tcPr>
            <w:tcW w:w="1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Term in</w:t>
            </w:r>
          </w:p>
        </w:tc>
      </w:tr>
      <w:tr>
        <w:trPr>
          <w:trHeight w:val="175"/>
        </w:trPr>
        <w:tc>
          <w:tcPr>
            <w:tcW w:w="4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 (%)</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 (%)</w:t>
            </w: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196"/>
        </w:trPr>
        <w:tc>
          <w:tcPr>
            <w:tcW w:w="1200" w:type="dxa"/>
            <w:vAlign w:val="bottom"/>
            <w:gridSpan w:val="2"/>
            <w:shd w:val="clear" w:color="auto" w:fill="CCEEFF"/>
          </w:tcPr>
          <w:p>
            <w:pPr>
              <w:jc w:val="center"/>
              <w:ind w:left="312"/>
              <w:spacing w:after="0" w:line="196" w:lineRule="exact"/>
              <w:rPr>
                <w:sz w:val="20"/>
                <w:szCs w:val="20"/>
                <w:color w:val="auto"/>
              </w:rPr>
            </w:pPr>
            <w:r>
              <w:rPr>
                <w:rFonts w:ascii="Arial" w:cs="Arial" w:eastAsia="Arial" w:hAnsi="Arial"/>
                <w:sz w:val="18"/>
                <w:szCs w:val="18"/>
                <w:color w:val="auto"/>
                <w:w w:val="99"/>
              </w:rPr>
              <w:t>2013</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left="72"/>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72"/>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center"/>
              <w:ind w:left="72"/>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9"/>
              </w:rPr>
              <w:t>-</w:t>
            </w:r>
          </w:p>
        </w:tc>
      </w:tr>
      <w:tr>
        <w:trPr>
          <w:trHeight w:val="206"/>
        </w:trPr>
        <w:tc>
          <w:tcPr>
            <w:tcW w:w="1200" w:type="dxa"/>
            <w:vAlign w:val="bottom"/>
            <w:gridSpan w:val="2"/>
          </w:tcPr>
          <w:p>
            <w:pPr>
              <w:jc w:val="center"/>
              <w:ind w:left="312"/>
              <w:spacing w:after="0" w:line="206" w:lineRule="exact"/>
              <w:rPr>
                <w:sz w:val="20"/>
                <w:szCs w:val="20"/>
                <w:color w:val="auto"/>
              </w:rPr>
            </w:pPr>
            <w:r>
              <w:rPr>
                <w:rFonts w:ascii="Arial" w:cs="Arial" w:eastAsia="Arial" w:hAnsi="Arial"/>
                <w:sz w:val="18"/>
                <w:szCs w:val="18"/>
                <w:color w:val="auto"/>
                <w:w w:val="99"/>
              </w:rPr>
              <w:t>2014</w:t>
            </w:r>
          </w:p>
        </w:tc>
        <w:tc>
          <w:tcPr>
            <w:tcW w:w="540" w:type="dxa"/>
            <w:vAlign w:val="bottom"/>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99"/>
              </w:rPr>
              <w:t>38%</w:t>
            </w:r>
          </w:p>
        </w:tc>
        <w:tc>
          <w:tcPr>
            <w:tcW w:w="1460" w:type="dxa"/>
            <w:vAlign w:val="bottom"/>
            <w:gridSpan w:val="2"/>
          </w:tcPr>
          <w:p>
            <w:pPr>
              <w:jc w:val="center"/>
              <w:ind w:left="72"/>
              <w:spacing w:after="0" w:line="20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left="52"/>
              <w:spacing w:after="0" w:line="206" w:lineRule="exact"/>
              <w:rPr>
                <w:sz w:val="20"/>
                <w:szCs w:val="20"/>
                <w:color w:val="auto"/>
              </w:rPr>
            </w:pPr>
            <w:r>
              <w:rPr>
                <w:rFonts w:ascii="Arial" w:cs="Arial" w:eastAsia="Arial" w:hAnsi="Arial"/>
                <w:sz w:val="18"/>
                <w:szCs w:val="18"/>
                <w:color w:val="auto"/>
                <w:w w:val="98"/>
              </w:rPr>
              <w:t>$105.11</w:t>
            </w:r>
          </w:p>
        </w:tc>
        <w:tc>
          <w:tcPr>
            <w:tcW w:w="1500" w:type="dxa"/>
            <w:vAlign w:val="bottom"/>
            <w:gridSpan w:val="2"/>
          </w:tcPr>
          <w:p>
            <w:pPr>
              <w:jc w:val="center"/>
              <w:ind w:left="72"/>
              <w:spacing w:after="0" w:line="206" w:lineRule="exact"/>
              <w:rPr>
                <w:sz w:val="20"/>
                <w:szCs w:val="20"/>
                <w:color w:val="auto"/>
              </w:rPr>
            </w:pPr>
            <w:r>
              <w:rPr>
                <w:rFonts w:ascii="Arial" w:cs="Arial" w:eastAsia="Arial" w:hAnsi="Arial"/>
                <w:sz w:val="18"/>
                <w:szCs w:val="18"/>
                <w:color w:val="auto"/>
                <w:w w:val="97"/>
              </w:rPr>
              <w:t>1.80%</w:t>
            </w:r>
          </w:p>
        </w:tc>
        <w:tc>
          <w:tcPr>
            <w:tcW w:w="1480" w:type="dxa"/>
            <w:vAlign w:val="bottom"/>
            <w:gridSpan w:val="2"/>
          </w:tcPr>
          <w:p>
            <w:pPr>
              <w:jc w:val="center"/>
              <w:ind w:left="52"/>
              <w:spacing w:after="0" w:line="206" w:lineRule="exact"/>
              <w:rPr>
                <w:sz w:val="20"/>
                <w:szCs w:val="20"/>
                <w:color w:val="auto"/>
              </w:rPr>
            </w:pPr>
            <w:r>
              <w:rPr>
                <w:rFonts w:ascii="Arial" w:cs="Arial" w:eastAsia="Arial" w:hAnsi="Arial"/>
                <w:sz w:val="18"/>
                <w:szCs w:val="18"/>
                <w:color w:val="auto"/>
                <w:w w:val="96"/>
              </w:rPr>
              <w:t>6.25</w:t>
            </w:r>
          </w:p>
        </w:tc>
      </w:tr>
      <w:tr>
        <w:trPr>
          <w:trHeight w:val="199"/>
        </w:trPr>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jc w:val="center"/>
              <w:spacing w:after="0" w:line="200" w:lineRule="exact"/>
              <w:rPr>
                <w:sz w:val="20"/>
                <w:szCs w:val="20"/>
                <w:color w:val="auto"/>
              </w:rPr>
            </w:pPr>
            <w:r>
              <w:rPr>
                <w:rFonts w:ascii="Arial" w:cs="Arial" w:eastAsia="Arial" w:hAnsi="Arial"/>
                <w:sz w:val="18"/>
                <w:szCs w:val="18"/>
                <w:color w:val="auto"/>
                <w:w w:val="99"/>
              </w:rPr>
              <w:t>40%</w:t>
            </w:r>
          </w:p>
        </w:tc>
        <w:tc>
          <w:tcPr>
            <w:tcW w:w="1460" w:type="dxa"/>
            <w:vAlign w:val="bottom"/>
            <w:gridSpan w:val="2"/>
          </w:tcPr>
          <w:p>
            <w:pPr>
              <w:jc w:val="center"/>
              <w:ind w:left="72"/>
              <w:spacing w:after="0" w:line="200"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left="72"/>
              <w:spacing w:after="0" w:line="200" w:lineRule="exact"/>
              <w:rPr>
                <w:sz w:val="20"/>
                <w:szCs w:val="20"/>
                <w:color w:val="auto"/>
              </w:rPr>
            </w:pPr>
            <w:r>
              <w:rPr>
                <w:rFonts w:ascii="Arial" w:cs="Arial" w:eastAsia="Arial" w:hAnsi="Arial"/>
                <w:sz w:val="18"/>
                <w:szCs w:val="18"/>
                <w:color w:val="auto"/>
                <w:w w:val="98"/>
              </w:rPr>
              <w:t>$72.78</w:t>
            </w:r>
          </w:p>
        </w:tc>
        <w:tc>
          <w:tcPr>
            <w:tcW w:w="1500" w:type="dxa"/>
            <w:vAlign w:val="bottom"/>
            <w:gridSpan w:val="2"/>
          </w:tcPr>
          <w:p>
            <w:pPr>
              <w:jc w:val="center"/>
              <w:ind w:left="72"/>
              <w:spacing w:after="0" w:line="200" w:lineRule="exact"/>
              <w:rPr>
                <w:sz w:val="20"/>
                <w:szCs w:val="20"/>
                <w:color w:val="auto"/>
              </w:rPr>
            </w:pPr>
            <w:r>
              <w:rPr>
                <w:rFonts w:ascii="Arial" w:cs="Arial" w:eastAsia="Arial" w:hAnsi="Arial"/>
                <w:sz w:val="18"/>
                <w:szCs w:val="18"/>
                <w:color w:val="auto"/>
                <w:w w:val="97"/>
              </w:rPr>
              <w:t>1.86%</w:t>
            </w:r>
          </w:p>
        </w:tc>
        <w:tc>
          <w:tcPr>
            <w:tcW w:w="1480" w:type="dxa"/>
            <w:vAlign w:val="bottom"/>
            <w:gridSpan w:val="2"/>
          </w:tcPr>
          <w:p>
            <w:pPr>
              <w:jc w:val="center"/>
              <w:ind w:left="52"/>
              <w:spacing w:after="0" w:line="200" w:lineRule="exact"/>
              <w:rPr>
                <w:sz w:val="20"/>
                <w:szCs w:val="20"/>
                <w:color w:val="auto"/>
              </w:rPr>
            </w:pPr>
            <w:r>
              <w:rPr>
                <w:rFonts w:ascii="Arial" w:cs="Arial" w:eastAsia="Arial" w:hAnsi="Arial"/>
                <w:sz w:val="18"/>
                <w:szCs w:val="18"/>
                <w:color w:val="auto"/>
                <w:w w:val="96"/>
              </w:rPr>
              <w:t>6.25</w:t>
            </w:r>
          </w:p>
        </w:tc>
      </w:tr>
      <w:tr>
        <w:trPr>
          <w:trHeight w:val="206"/>
        </w:trPr>
        <w:tc>
          <w:tcPr>
            <w:tcW w:w="1200" w:type="dxa"/>
            <w:vAlign w:val="bottom"/>
            <w:gridSpan w:val="2"/>
            <w:shd w:val="clear" w:color="auto" w:fill="CCEEFF"/>
          </w:tcPr>
          <w:p>
            <w:pPr>
              <w:jc w:val="center"/>
              <w:ind w:left="312"/>
              <w:spacing w:after="0" w:line="206" w:lineRule="exact"/>
              <w:rPr>
                <w:sz w:val="20"/>
                <w:szCs w:val="20"/>
                <w:color w:val="auto"/>
              </w:rPr>
            </w:pPr>
            <w:r>
              <w:rPr>
                <w:rFonts w:ascii="Arial" w:cs="Arial" w:eastAsia="Arial" w:hAnsi="Arial"/>
                <w:sz w:val="18"/>
                <w:szCs w:val="18"/>
                <w:color w:val="auto"/>
                <w:w w:val="99"/>
              </w:rPr>
              <w:t>2015</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55%</w:t>
            </w:r>
          </w:p>
        </w:tc>
        <w:tc>
          <w:tcPr>
            <w:tcW w:w="1460" w:type="dxa"/>
            <w:vAlign w:val="bottom"/>
            <w:gridSpan w:val="2"/>
            <w:shd w:val="clear" w:color="auto" w:fill="CCEEFF"/>
          </w:tcPr>
          <w:p>
            <w:pPr>
              <w:jc w:val="center"/>
              <w:ind w:left="72"/>
              <w:spacing w:after="0" w:line="20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72"/>
              <w:spacing w:after="0" w:line="206" w:lineRule="exact"/>
              <w:rPr>
                <w:sz w:val="20"/>
                <w:szCs w:val="20"/>
                <w:color w:val="auto"/>
              </w:rPr>
            </w:pPr>
            <w:r>
              <w:rPr>
                <w:rFonts w:ascii="Arial" w:cs="Arial" w:eastAsia="Arial" w:hAnsi="Arial"/>
                <w:sz w:val="18"/>
                <w:szCs w:val="18"/>
                <w:color w:val="auto"/>
                <w:w w:val="98"/>
              </w:rPr>
              <w:t>$21.89</w:t>
            </w:r>
          </w:p>
        </w:tc>
        <w:tc>
          <w:tcPr>
            <w:tcW w:w="1500" w:type="dxa"/>
            <w:vAlign w:val="bottom"/>
            <w:gridSpan w:val="2"/>
            <w:shd w:val="clear" w:color="auto" w:fill="CCEEFF"/>
          </w:tcPr>
          <w:p>
            <w:pPr>
              <w:jc w:val="center"/>
              <w:ind w:left="72"/>
              <w:spacing w:after="0" w:line="206" w:lineRule="exact"/>
              <w:rPr>
                <w:sz w:val="20"/>
                <w:szCs w:val="20"/>
                <w:color w:val="auto"/>
              </w:rPr>
            </w:pPr>
            <w:r>
              <w:rPr>
                <w:rFonts w:ascii="Arial" w:cs="Arial" w:eastAsia="Arial" w:hAnsi="Arial"/>
                <w:sz w:val="18"/>
                <w:szCs w:val="18"/>
                <w:color w:val="auto"/>
                <w:w w:val="97"/>
              </w:rPr>
              <w:t>1.67%</w:t>
            </w:r>
          </w:p>
        </w:tc>
        <w:tc>
          <w:tcPr>
            <w:tcW w:w="1480" w:type="dxa"/>
            <w:vAlign w:val="bottom"/>
            <w:gridSpan w:val="2"/>
            <w:shd w:val="clear" w:color="auto" w:fill="CCEEFF"/>
          </w:tcPr>
          <w:p>
            <w:pPr>
              <w:jc w:val="center"/>
              <w:ind w:left="52"/>
              <w:spacing w:after="0" w:line="206" w:lineRule="exact"/>
              <w:rPr>
                <w:sz w:val="20"/>
                <w:szCs w:val="20"/>
                <w:color w:val="auto"/>
              </w:rPr>
            </w:pPr>
            <w:r>
              <w:rPr>
                <w:rFonts w:ascii="Arial" w:cs="Arial" w:eastAsia="Arial" w:hAnsi="Arial"/>
                <w:sz w:val="18"/>
                <w:szCs w:val="18"/>
                <w:color w:val="auto"/>
                <w:w w:val="96"/>
              </w:rPr>
              <w:t>6.25</w:t>
            </w:r>
          </w:p>
        </w:tc>
      </w:tr>
      <w:tr>
        <w:trPr>
          <w:trHeight w:val="199"/>
        </w:trPr>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9"/>
              </w:rPr>
              <w:t>57%</w:t>
            </w:r>
          </w:p>
        </w:tc>
        <w:tc>
          <w:tcPr>
            <w:tcW w:w="1460" w:type="dxa"/>
            <w:vAlign w:val="bottom"/>
            <w:gridSpan w:val="2"/>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8"/>
              </w:rPr>
              <w:t>$18.79</w:t>
            </w:r>
          </w:p>
        </w:tc>
        <w:tc>
          <w:tcPr>
            <w:tcW w:w="1500" w:type="dxa"/>
            <w:vAlign w:val="bottom"/>
            <w:gridSpan w:val="2"/>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7"/>
              </w:rPr>
              <w:t>1.50%</w:t>
            </w:r>
          </w:p>
        </w:tc>
        <w:tc>
          <w:tcPr>
            <w:tcW w:w="1480" w:type="dxa"/>
            <w:vAlign w:val="bottom"/>
            <w:gridSpan w:val="2"/>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6"/>
              </w:rPr>
              <w:t>6.00</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Market-Based Awards - Binomial Option Pricing Model</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Risk-Free</w:t>
            </w: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720" w:type="dxa"/>
            <w:vAlign w:val="bottom"/>
          </w:tcPr>
          <w:p>
            <w:pPr>
              <w:spacing w:after="0"/>
              <w:rPr>
                <w:sz w:val="12"/>
                <w:szCs w:val="12"/>
                <w:color w:val="auto"/>
              </w:rPr>
            </w:pPr>
          </w:p>
        </w:tc>
      </w:tr>
      <w:tr>
        <w:trPr>
          <w:trHeight w:val="162"/>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Volatility</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Dividend</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310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8"/>
              </w:rPr>
              <w:t>Term in</w:t>
            </w:r>
          </w:p>
        </w:tc>
      </w:tr>
      <w:tr>
        <w:trPr>
          <w:trHeight w:val="175"/>
        </w:trPr>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 (%)</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Rate (%)</w:t>
            </w:r>
          </w:p>
        </w:tc>
        <w:tc>
          <w:tcPr>
            <w:tcW w:w="16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Years</w:t>
            </w:r>
          </w:p>
        </w:tc>
        <w:tc>
          <w:tcPr>
            <w:tcW w:w="172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1020" w:type="dxa"/>
            <w:vAlign w:val="bottom"/>
            <w:gridSpan w:val="2"/>
            <w:shd w:val="clear" w:color="auto" w:fill="CCEEFF"/>
          </w:tcPr>
          <w:p>
            <w:pPr>
              <w:jc w:val="center"/>
              <w:ind w:left="172"/>
              <w:spacing w:after="0" w:line="196" w:lineRule="exact"/>
              <w:rPr>
                <w:sz w:val="20"/>
                <w:szCs w:val="20"/>
                <w:color w:val="auto"/>
              </w:rPr>
            </w:pPr>
            <w:r>
              <w:rPr>
                <w:rFonts w:ascii="Arial" w:cs="Arial" w:eastAsia="Arial" w:hAnsi="Arial"/>
                <w:sz w:val="18"/>
                <w:szCs w:val="18"/>
                <w:color w:val="auto"/>
                <w:w w:val="99"/>
              </w:rPr>
              <w:t>2013</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spacing w:after="0"/>
              <w:rPr>
                <w:sz w:val="17"/>
                <w:szCs w:val="17"/>
                <w:color w:val="auto"/>
              </w:rPr>
            </w:pPr>
          </w:p>
        </w:tc>
      </w:tr>
      <w:tr>
        <w:trPr>
          <w:trHeight w:val="203"/>
        </w:trPr>
        <w:tc>
          <w:tcPr>
            <w:tcW w:w="2740" w:type="dxa"/>
            <w:vAlign w:val="bottom"/>
            <w:gridSpan w:val="3"/>
          </w:tcPr>
          <w:p>
            <w:pPr>
              <w:jc w:val="center"/>
              <w:ind w:left="1892"/>
              <w:spacing w:after="0" w:line="202" w:lineRule="exact"/>
              <w:rPr>
                <w:sz w:val="20"/>
                <w:szCs w:val="20"/>
                <w:color w:val="auto"/>
              </w:rPr>
            </w:pPr>
            <w:r>
              <w:rPr>
                <w:rFonts w:ascii="Arial" w:cs="Arial" w:eastAsia="Arial" w:hAnsi="Arial"/>
                <w:sz w:val="18"/>
                <w:szCs w:val="18"/>
                <w:color w:val="auto"/>
                <w:w w:val="99"/>
              </w:rPr>
              <w:t>2014</w:t>
            </w:r>
          </w:p>
        </w:tc>
        <w:tc>
          <w:tcPr>
            <w:tcW w:w="400" w:type="dxa"/>
            <w:vAlign w:val="bottom"/>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4"/>
              </w:rPr>
              <w:t>40%</w:t>
            </w:r>
          </w:p>
        </w:tc>
        <w:tc>
          <w:tcPr>
            <w:tcW w:w="1200" w:type="dxa"/>
            <w:vAlign w:val="bottom"/>
            <w:gridSpan w:val="2"/>
          </w:tcPr>
          <w:p>
            <w:pPr>
              <w:jc w:val="center"/>
              <w:ind w:left="52"/>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center"/>
              <w:ind w:left="52"/>
              <w:spacing w:after="0" w:line="202" w:lineRule="exact"/>
              <w:rPr>
                <w:sz w:val="20"/>
                <w:szCs w:val="20"/>
                <w:color w:val="auto"/>
              </w:rPr>
            </w:pPr>
            <w:r>
              <w:rPr>
                <w:rFonts w:ascii="Arial" w:cs="Arial" w:eastAsia="Arial" w:hAnsi="Arial"/>
                <w:sz w:val="18"/>
                <w:szCs w:val="18"/>
                <w:color w:val="auto"/>
                <w:w w:val="98"/>
              </w:rPr>
              <w:t>$72.78</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0.04%</w:t>
            </w:r>
          </w:p>
        </w:tc>
        <w:tc>
          <w:tcPr>
            <w:tcW w:w="1000" w:type="dxa"/>
            <w:vAlign w:val="bottom"/>
          </w:tcPr>
          <w:p>
            <w:pPr>
              <w:ind w:left="40"/>
              <w:spacing w:after="0" w:line="202" w:lineRule="exact"/>
              <w:rPr>
                <w:sz w:val="20"/>
                <w:szCs w:val="20"/>
                <w:color w:val="auto"/>
              </w:rPr>
            </w:pPr>
            <w:r>
              <w:rPr>
                <w:rFonts w:ascii="Arial" w:cs="Arial" w:eastAsia="Arial" w:hAnsi="Arial"/>
                <w:sz w:val="18"/>
                <w:szCs w:val="18"/>
                <w:color w:val="auto"/>
              </w:rPr>
              <w:t>- 2.38%</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4.36</w:t>
            </w:r>
          </w:p>
        </w:tc>
        <w:tc>
          <w:tcPr>
            <w:tcW w:w="740" w:type="dxa"/>
            <w:vAlign w:val="bottom"/>
          </w:tcPr>
          <w:p>
            <w:pPr>
              <w:ind w:left="20"/>
              <w:spacing w:after="0" w:line="202" w:lineRule="exact"/>
              <w:rPr>
                <w:sz w:val="20"/>
                <w:szCs w:val="20"/>
                <w:color w:val="auto"/>
              </w:rPr>
            </w:pPr>
            <w:r>
              <w:rPr>
                <w:rFonts w:ascii="Arial" w:cs="Arial" w:eastAsia="Arial" w:hAnsi="Arial"/>
                <w:sz w:val="18"/>
                <w:szCs w:val="18"/>
                <w:color w:val="auto"/>
              </w:rPr>
              <w:t>- 5.51</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020" w:type="dxa"/>
            <w:vAlign w:val="bottom"/>
            <w:gridSpan w:val="2"/>
            <w:shd w:val="clear" w:color="auto" w:fill="CCEEFF"/>
          </w:tcPr>
          <w:p>
            <w:pPr>
              <w:jc w:val="center"/>
              <w:ind w:left="172"/>
              <w:spacing w:after="0" w:line="206" w:lineRule="exact"/>
              <w:rPr>
                <w:sz w:val="20"/>
                <w:szCs w:val="20"/>
                <w:color w:val="auto"/>
              </w:rPr>
            </w:pPr>
            <w:r>
              <w:rPr>
                <w:rFonts w:ascii="Arial" w:cs="Arial" w:eastAsia="Arial" w:hAnsi="Arial"/>
                <w:sz w:val="18"/>
                <w:szCs w:val="18"/>
                <w:color w:val="auto"/>
                <w:w w:val="99"/>
              </w:rPr>
              <w:t>2015</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4"/>
              </w:rPr>
              <w:t>55%</w:t>
            </w:r>
          </w:p>
        </w:tc>
        <w:tc>
          <w:tcPr>
            <w:tcW w:w="1200" w:type="dxa"/>
            <w:vAlign w:val="bottom"/>
            <w:gridSpan w:val="2"/>
            <w:shd w:val="clear" w:color="auto" w:fill="CCEEFF"/>
          </w:tcPr>
          <w:p>
            <w:pPr>
              <w:jc w:val="center"/>
              <w:ind w:left="52"/>
              <w:spacing w:after="0" w:line="206"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center"/>
              <w:ind w:left="52"/>
              <w:spacing w:after="0" w:line="206" w:lineRule="exact"/>
              <w:rPr>
                <w:sz w:val="20"/>
                <w:szCs w:val="20"/>
                <w:color w:val="auto"/>
              </w:rPr>
            </w:pPr>
            <w:r>
              <w:rPr>
                <w:rFonts w:ascii="Arial" w:cs="Arial" w:eastAsia="Arial" w:hAnsi="Arial"/>
                <w:sz w:val="18"/>
                <w:szCs w:val="18"/>
                <w:color w:val="auto"/>
                <w:w w:val="98"/>
              </w:rPr>
              <w:t>$21.89</w:t>
            </w:r>
          </w:p>
        </w:tc>
        <w:tc>
          <w:tcPr>
            <w:tcW w:w="10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0.02%</w:t>
            </w:r>
          </w:p>
        </w:tc>
        <w:tc>
          <w:tcPr>
            <w:tcW w:w="1000" w:type="dxa"/>
            <w:vAlign w:val="bottom"/>
            <w:shd w:val="clear" w:color="auto" w:fill="CCEEFF"/>
          </w:tcPr>
          <w:p>
            <w:pPr>
              <w:ind w:left="40"/>
              <w:spacing w:after="0" w:line="206" w:lineRule="exact"/>
              <w:rPr>
                <w:sz w:val="20"/>
                <w:szCs w:val="20"/>
                <w:color w:val="auto"/>
              </w:rPr>
            </w:pPr>
            <w:r>
              <w:rPr>
                <w:rFonts w:ascii="Arial" w:cs="Arial" w:eastAsia="Arial" w:hAnsi="Arial"/>
                <w:sz w:val="18"/>
                <w:szCs w:val="18"/>
                <w:color w:val="auto"/>
              </w:rPr>
              <w:t>- 2.01%</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4.45</w:t>
            </w:r>
          </w:p>
        </w:tc>
        <w:tc>
          <w:tcPr>
            <w:tcW w:w="7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- 4.92</w:t>
            </w:r>
          </w:p>
        </w:tc>
        <w:tc>
          <w:tcPr>
            <w:tcW w:w="1720" w:type="dxa"/>
            <w:vAlign w:val="bottom"/>
          </w:tcPr>
          <w:p>
            <w:pPr>
              <w:spacing w:after="0"/>
              <w:rPr>
                <w:sz w:val="17"/>
                <w:szCs w:val="17"/>
                <w:color w:val="auto"/>
              </w:rPr>
            </w:pPr>
          </w:p>
        </w:tc>
      </w:tr>
      <w:tr>
        <w:trPr>
          <w:trHeight w:val="199"/>
        </w:trPr>
        <w:tc>
          <w:tcPr>
            <w:tcW w:w="17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4"/>
              </w:rPr>
              <w:t>57%</w:t>
            </w:r>
          </w:p>
        </w:tc>
        <w:tc>
          <w:tcPr>
            <w:tcW w:w="1200" w:type="dxa"/>
            <w:vAlign w:val="bottom"/>
            <w:gridSpan w:val="2"/>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8"/>
              </w:rPr>
              <w:t>$18.79</w:t>
            </w:r>
          </w:p>
        </w:tc>
        <w:tc>
          <w:tcPr>
            <w:tcW w:w="10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0.02%</w:t>
            </w:r>
          </w:p>
        </w:tc>
        <w:tc>
          <w:tcPr>
            <w:tcW w:w="100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- 1.91%</w:t>
            </w:r>
          </w:p>
        </w:tc>
        <w:tc>
          <w:tcPr>
            <w:tcW w:w="8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4.10</w:t>
            </w:r>
          </w:p>
        </w:tc>
        <w:tc>
          <w:tcPr>
            <w:tcW w:w="74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- 4.41</w:t>
            </w:r>
          </w:p>
        </w:tc>
        <w:tc>
          <w:tcPr>
            <w:tcW w:w="1720" w:type="dxa"/>
            <w:vAlign w:val="bottom"/>
          </w:tcPr>
          <w:p>
            <w:pPr>
              <w:spacing w:after="0"/>
              <w:rPr>
                <w:sz w:val="17"/>
                <w:szCs w:val="17"/>
                <w:color w:val="auto"/>
              </w:rPr>
            </w:pPr>
          </w:p>
        </w:tc>
      </w:tr>
      <w:tr>
        <w:trPr>
          <w:trHeight w:val="430"/>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97" w:lineRule="exact"/>
        <w:rPr>
          <w:sz w:val="20"/>
          <w:szCs w:val="20"/>
          <w:color w:val="auto"/>
        </w:rPr>
      </w:pPr>
    </w:p>
    <w:p>
      <w:pPr>
        <w:ind w:left="540" w:right="40" w:hanging="532"/>
        <w:spacing w:after="0" w:line="183"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Consists of the cash portion of annual incentive compensation related to performance measures satisfied in the year indicated and awarded in the first quarter of the following year.</w:t>
      </w:r>
    </w:p>
    <w:p>
      <w:pPr>
        <w:spacing w:after="0" w:line="209" w:lineRule="exact"/>
        <w:rPr>
          <w:rFonts w:ascii="Arial" w:cs="Arial" w:eastAsia="Arial" w:hAnsi="Arial"/>
          <w:sz w:val="29"/>
          <w:szCs w:val="29"/>
          <w:color w:val="auto"/>
          <w:vertAlign w:val="superscript"/>
        </w:rPr>
      </w:pPr>
    </w:p>
    <w:p>
      <w:pPr>
        <w:ind w:left="540" w:right="480" w:hanging="532"/>
        <w:spacing w:after="0" w:line="197"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Consists of contributions paid by Altisource to each Named Executive Officer for housing allowances, personal use of company car(s), settling-in allowances, education allowances, goods and services allowances, travel allowances, medical benefits and tax-related allowances as detailed below.</w:t>
      </w:r>
    </w:p>
    <w:p>
      <w:pPr>
        <w:spacing w:after="0" w:line="196" w:lineRule="exact"/>
        <w:rPr>
          <w:rFonts w:ascii="Arial" w:cs="Arial" w:eastAsia="Arial" w:hAnsi="Arial"/>
          <w:sz w:val="29"/>
          <w:szCs w:val="29"/>
          <w:color w:val="auto"/>
          <w:vertAlign w:val="superscript"/>
        </w:rPr>
      </w:pPr>
    </w:p>
    <w:p>
      <w:pPr>
        <w:ind w:left="540" w:right="120" w:hanging="532"/>
        <w:spacing w:after="0" w:line="214"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Mr. Shepro's base salary is set in U.S. dollars and paid in euros. From January 1, 2015 through April 30, 2015, his base salary was converted to euros using an exchange rate of 0.74139 euros to the U.S. dollar, the agreed upon exchange rate at the time of his relocation to Luxembourg. From May 1, 2015 through December 31, 2015, his base salary was paid in euros using an exchange rate of 0.83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97" w:lineRule="exact"/>
        <w:rPr>
          <w:rFonts w:ascii="Arial" w:cs="Arial" w:eastAsia="Arial" w:hAnsi="Arial"/>
          <w:sz w:val="29"/>
          <w:szCs w:val="29"/>
          <w:color w:val="auto"/>
          <w:vertAlign w:val="superscript"/>
        </w:rPr>
      </w:pPr>
    </w:p>
    <w:p>
      <w:pPr>
        <w:ind w:left="540" w:right="260" w:hanging="532"/>
        <w:spacing w:after="0" w:line="183"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Mr. Shepro's incentive compensation for 2015 was paid in euros. For purposes of the table, his incentive compensation was converted to U.S. dollars at an exchange rate of 0.9093 euros to the U.S. dollar, the exchange rate on the date of payment.</w:t>
      </w:r>
    </w:p>
    <w:p>
      <w:pPr>
        <w:spacing w:after="0" w:line="209" w:lineRule="exact"/>
        <w:rPr>
          <w:rFonts w:ascii="Arial" w:cs="Arial" w:eastAsia="Arial" w:hAnsi="Arial"/>
          <w:sz w:val="29"/>
          <w:szCs w:val="29"/>
          <w:color w:val="auto"/>
          <w:vertAlign w:val="superscript"/>
        </w:rPr>
      </w:pPr>
    </w:p>
    <w:p>
      <w:pPr>
        <w:jc w:val="both"/>
        <w:ind w:left="540" w:right="440" w:hanging="532"/>
        <w:spacing w:after="0" w:line="197"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Payout reflects a ten percent (10%) reduction in connection with the non-cash impairment losses in our Technology Services segment. Please see the "2015 Annual Incentive Compensation" section of the Compensation Discussion and Analysis for additional information regarding this reduction.</w:t>
      </w:r>
    </w:p>
    <w:p>
      <w:pPr>
        <w:spacing w:after="0" w:line="196" w:lineRule="exact"/>
        <w:rPr>
          <w:rFonts w:ascii="Arial" w:cs="Arial" w:eastAsia="Arial" w:hAnsi="Arial"/>
          <w:sz w:val="29"/>
          <w:szCs w:val="29"/>
          <w:color w:val="auto"/>
          <w:vertAlign w:val="superscript"/>
        </w:rPr>
      </w:pPr>
    </w:p>
    <w:p>
      <w:pPr>
        <w:ind w:left="540" w:hanging="532"/>
        <w:spacing w:after="0" w:line="211"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Includes $118,232 for housing allowance, $11,968 for personal use of two company cars, $72,710 for education allowance, $19,751 for goods and services allowance, $12,674 for travel allowance, $28,162 for medical benefits, $981,233 for tax normalization allowances for 2013 and 2014 earnings, and $9,050 for tax preparation services. Mr. Shepro's other compensation is paid in euros. For purposes of the table, his other compensation is converted into U.S. dollars based on the OANDA one-year average exchange rate ending on December 31, 2015, 0.901 euros to the U.S. dollar.</w:t>
      </w:r>
    </w:p>
    <w:p>
      <w:pPr>
        <w:spacing w:after="0" w:line="194" w:lineRule="exact"/>
        <w:rPr>
          <w:rFonts w:ascii="Arial" w:cs="Arial" w:eastAsia="Arial" w:hAnsi="Arial"/>
          <w:sz w:val="29"/>
          <w:szCs w:val="29"/>
          <w:color w:val="auto"/>
          <w:vertAlign w:val="superscript"/>
        </w:rPr>
      </w:pPr>
    </w:p>
    <w:p>
      <w:pPr>
        <w:ind w:left="540" w:right="120" w:hanging="532"/>
        <w:spacing w:after="0" w:line="214"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Mr. Wilcox's base salary is set in U.S. dollars and paid in euros. From January 1, 2015 through April 30, 2015, his base salary was converted to euros using an exchange rate of 0.74139 euros to the U.S. dollar, the agreed upon exchange rate at the time of his relocation to Luxembourg. From May 1, 2015 through December 31, 2015, his base salary was paid in euros using an exchange rate of 0.83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211" w:lineRule="exact"/>
        <w:rPr>
          <w:rFonts w:ascii="Arial" w:cs="Arial" w:eastAsia="Arial" w:hAnsi="Arial"/>
          <w:sz w:val="29"/>
          <w:szCs w:val="29"/>
          <w:color w:val="auto"/>
          <w:vertAlign w:val="superscript"/>
        </w:rPr>
      </w:pPr>
    </w:p>
    <w:p>
      <w:pPr>
        <w:ind w:left="540" w:right="60" w:hanging="532"/>
        <w:spacing w:after="0" w:line="216" w:lineRule="auto"/>
        <w:tabs>
          <w:tab w:leader="none" w:pos="540"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Includes $117,899 for housing allowance, $2,851 for personal use of a company car, $19,751 for goods and services allowance, $15,111 for travel allowance, $9,134 for medical benefits, $121,098 for tax normalization allowances for 2013 and 2014 earnings, and $9,050 for tax preparation services. Mr. Wilcox's other compensation is paid in euros. For purposes of the table, his other compensation is converted into U.S. dollars based on the OANDA one-year average exchange rate ending on December 31, 2015, 0.901 euros to the U.S. dollar.</w:t>
      </w:r>
    </w:p>
    <w:p>
      <w:pPr>
        <w:spacing w:after="0" w:line="195" w:lineRule="exact"/>
        <w:rPr>
          <w:rFonts w:ascii="Arial" w:cs="Arial" w:eastAsia="Arial" w:hAnsi="Arial"/>
          <w:sz w:val="28"/>
          <w:szCs w:val="28"/>
          <w:color w:val="auto"/>
          <w:vertAlign w:val="superscript"/>
        </w:rPr>
      </w:pPr>
    </w:p>
    <w:p>
      <w:pPr>
        <w:ind w:left="540" w:right="20" w:hanging="532"/>
        <w:spacing w:after="0" w:line="217"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Ms. Esterman's annual base salary was $395,000 from January 1, 2015 through February 28, 2015 and $420,000 from March 1, 2015 through December 31, 2015. Ms. Esterman's base salary is set in U.S. dollars and paid in euros. From January 1, 2015 through April 30, 2015, her base salary was converted to euros using an exchange rate of 0.748 euros to the U.S. dollar, the agreed upon exchange rate at the time of her relocation to Luxembourg. From May 1, 2015 through December 31, 2015, her base salary was paid in euros using an exchange rate of 0.83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96" w:lineRule="exact"/>
        <w:rPr>
          <w:rFonts w:ascii="Arial" w:cs="Arial" w:eastAsia="Arial" w:hAnsi="Arial"/>
          <w:sz w:val="29"/>
          <w:szCs w:val="29"/>
          <w:color w:val="auto"/>
          <w:vertAlign w:val="superscript"/>
        </w:rPr>
      </w:pPr>
    </w:p>
    <w:p>
      <w:pPr>
        <w:ind w:left="540" w:right="140" w:hanging="532"/>
        <w:spacing w:after="0" w:line="205"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Includes $26,640 for housing allowance, $4,888 for personal use of a company car, $10,989 for education allowance, $17,529 for travel allowance, $99,386 for tax equalization allowance for 2013 earnings, and $9,800 for tax preparation services. Ms. Esterman's other compensation is paid in euros. For purposes of the table, her other compensation is converted into U.S. dollars based on the OANDA one-year average exchange rate ending on December 31, 2015, 0.901 euros to the U.S. dollar.</w:t>
      </w:r>
    </w:p>
    <w:p>
      <w:pPr>
        <w:spacing w:after="0" w:line="211" w:lineRule="exact"/>
        <w:rPr>
          <w:rFonts w:ascii="Arial" w:cs="Arial" w:eastAsia="Arial" w:hAnsi="Arial"/>
          <w:sz w:val="29"/>
          <w:szCs w:val="29"/>
          <w:color w:val="auto"/>
          <w:vertAlign w:val="superscript"/>
        </w:rPr>
      </w:pPr>
    </w:p>
    <w:p>
      <w:pPr>
        <w:ind w:left="540" w:right="40" w:hanging="532"/>
        <w:spacing w:after="0" w:line="183"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Information for 2013 is not provided for Mr. Davila because he was not determined to satisfy the definition of "executive officer" for purposes of Rule 16a-1(f) under the Exchange Act until May 21, 2014.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97" w:lineRule="exact"/>
        <w:rPr>
          <w:sz w:val="20"/>
          <w:szCs w:val="20"/>
          <w:color w:val="auto"/>
        </w:rPr>
      </w:pPr>
    </w:p>
    <w:p>
      <w:pPr>
        <w:ind w:left="540" w:right="40" w:hanging="532"/>
        <w:spacing w:after="0" w:line="217"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Mr. Davila's annual base salary was $375,000 from January 1, 2015 through January 30, 2015 and $395,863 from February 1, 2015 through December 31, 2015. Mr. Davila's base salary is set in U.S. dollars and paid in euros. From January 1, 2015 through April 30, 2015, his base salary was converted to euros using an exchange rate of 0.701 euros to the U.S. dollar, the agreed upon exchange rate at the time of his relocation to Luxembourg. From May 1, 2015 through December 31, 2015, his base salary was paid in euros using an exchange rate of 0.786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209" w:lineRule="exact"/>
        <w:rPr>
          <w:rFonts w:ascii="Arial" w:cs="Arial" w:eastAsia="Arial" w:hAnsi="Arial"/>
          <w:sz w:val="29"/>
          <w:szCs w:val="29"/>
          <w:color w:val="auto"/>
          <w:vertAlign w:val="superscript"/>
        </w:rPr>
      </w:pPr>
    </w:p>
    <w:p>
      <w:pPr>
        <w:ind w:left="540" w:right="220" w:hanging="532"/>
        <w:spacing w:after="0" w:line="183"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Represents a one-time discretionary award to reflect Mr. Davila's efforts and accomplishments in leading our Mortgage Services business segment and diversifying our revenue.</w:t>
      </w:r>
    </w:p>
    <w:p>
      <w:pPr>
        <w:spacing w:after="0" w:line="195" w:lineRule="exact"/>
        <w:rPr>
          <w:rFonts w:ascii="Arial" w:cs="Arial" w:eastAsia="Arial" w:hAnsi="Arial"/>
          <w:sz w:val="29"/>
          <w:szCs w:val="29"/>
          <w:color w:val="auto"/>
          <w:vertAlign w:val="superscript"/>
        </w:rPr>
      </w:pPr>
    </w:p>
    <w:p>
      <w:pPr>
        <w:ind w:left="540" w:hanging="532"/>
        <w:spacing w:after="0" w:line="205"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Includes $24,420 for housing allowance, $40,164 for education allowance, $8,231 for travel allowance, $56,087 for tax equalization allowance for 2013 earnings, and $5,443 for tax preparation services. Mr. Davila's other compensation is paid in euros. For purposes of the table, his other compensation is converted into U.S. dollars based on the OANDA one-year average exchange rate ending on December 31, 2015, 0.901 euros to the U.S. dollar.</w:t>
      </w:r>
    </w:p>
    <w:p>
      <w:pPr>
        <w:spacing w:after="0" w:line="197" w:lineRule="exact"/>
        <w:rPr>
          <w:rFonts w:ascii="Arial" w:cs="Arial" w:eastAsia="Arial" w:hAnsi="Arial"/>
          <w:sz w:val="29"/>
          <w:szCs w:val="29"/>
          <w:color w:val="auto"/>
          <w:vertAlign w:val="superscript"/>
        </w:rPr>
      </w:pPr>
    </w:p>
    <w:p>
      <w:pPr>
        <w:ind w:left="540" w:right="520" w:hanging="532"/>
        <w:spacing w:after="0" w:line="183"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Information for 2013 and 2014 is not provided for Mr. Ritts because he joined the Company on October 1, 2014 and was therefore not determined to be an "executive officer" for purposes of Rule 16a-1(f) under the Exchange Act until that date.</w:t>
      </w:r>
    </w:p>
    <w:p>
      <w:pPr>
        <w:spacing w:after="0" w:line="209" w:lineRule="exact"/>
        <w:rPr>
          <w:rFonts w:ascii="Arial" w:cs="Arial" w:eastAsia="Arial" w:hAnsi="Arial"/>
          <w:sz w:val="29"/>
          <w:szCs w:val="29"/>
          <w:color w:val="auto"/>
          <w:vertAlign w:val="superscript"/>
        </w:rPr>
      </w:pPr>
    </w:p>
    <w:p>
      <w:pPr>
        <w:ind w:left="540" w:right="20" w:hanging="532"/>
        <w:spacing w:after="0" w:line="214"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Mr. Ritts' base salary is set in U.S. dollars and paid in euros. From January 1, 2015 through April 30, 2015, his base salary was converted to euros using an exchange rate of 0.73 euros to the U.S. dollar, the agreed upon exchange rate at the time of his relocation to Luxembourg. From May 1, 2015 through December 31, 2015, his base salary was paid in euros using an exchange rate of 0.80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97" w:lineRule="exact"/>
        <w:rPr>
          <w:rFonts w:ascii="Arial" w:cs="Arial" w:eastAsia="Arial" w:hAnsi="Arial"/>
          <w:sz w:val="29"/>
          <w:szCs w:val="29"/>
          <w:color w:val="auto"/>
          <w:vertAlign w:val="superscript"/>
        </w:rPr>
      </w:pPr>
    </w:p>
    <w:p>
      <w:pPr>
        <w:ind w:left="540" w:right="160" w:hanging="532"/>
        <w:spacing w:after="0" w:line="197"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Includes $72,594 for housing allowance, $58,608 for education allowance and $4,471 for tax preparation services. Mr. Ritts' other compensation is paid in euros. For purposes of the table, his other compensation is converted into U.S. dollars based on the OANDA one-year average exchange rate ending on December 31, 2015, 0.901 euros to the U.S. dollar.</w:t>
      </w:r>
    </w:p>
    <w:p>
      <w:pPr>
        <w:spacing w:after="0" w:line="210" w:lineRule="exact"/>
        <w:rPr>
          <w:sz w:val="20"/>
          <w:szCs w:val="20"/>
          <w:color w:val="auto"/>
        </w:rPr>
      </w:pPr>
    </w:p>
    <w:p>
      <w:pPr>
        <w:ind w:left="540" w:right="540"/>
        <w:spacing w:after="0" w:line="239" w:lineRule="auto"/>
        <w:rPr>
          <w:sz w:val="20"/>
          <w:szCs w:val="20"/>
          <w:color w:val="auto"/>
        </w:rPr>
      </w:pPr>
      <w:r>
        <w:rPr>
          <w:rFonts w:ascii="Arial" w:cs="Arial" w:eastAsia="Arial" w:hAnsi="Arial"/>
          <w:sz w:val="18"/>
          <w:szCs w:val="18"/>
          <w:color w:val="auto"/>
        </w:rPr>
        <w:t>For more information about the elements of compensation paid to our Named Executive Officers, see "Compensation Discussion and Analysis" above.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 for 2015</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provides information related to non-equity incentive plan compensation and equity incentive plan awards pursuant to our annual incentive compensation and our 2009 Equity Incentive Plan by the individuals named in the Summary Compensation Table.</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Estimated Future Payouts Under</w:t>
      </w:r>
    </w:p>
    <w:p>
      <w:pPr>
        <w:spacing w:after="0" w:line="11"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Non-Equity Incentive Plan Awards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-30480</wp:posOffset>
            </wp:positionV>
            <wp:extent cx="17411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20" w:lineRule="exact"/>
        <w:rPr>
          <w:sz w:val="20"/>
          <w:szCs w:val="20"/>
          <w:color w:val="auto"/>
        </w:rPr>
      </w:pPr>
    </w:p>
    <w:p>
      <w:pPr>
        <w:ind w:left="1640"/>
        <w:spacing w:after="0"/>
        <w:tabs>
          <w:tab w:leader="none" w:pos="3820" w:val="left"/>
          <w:tab w:leader="none" w:pos="4840" w:val="left"/>
          <w:tab w:leader="none" w:pos="5900" w:val="left"/>
          <w:tab w:leader="none" w:pos="67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Threshold</w:t>
      </w:r>
      <w:r>
        <w:rPr>
          <w:sz w:val="20"/>
          <w:szCs w:val="20"/>
          <w:color w:val="auto"/>
        </w:rPr>
        <w:tab/>
      </w:r>
      <w:r>
        <w:rPr>
          <w:rFonts w:ascii="Arial" w:cs="Arial" w:eastAsia="Arial" w:hAnsi="Arial"/>
          <w:sz w:val="14"/>
          <w:szCs w:val="14"/>
          <w:b w:val="1"/>
          <w:bCs w:val="1"/>
          <w:color w:val="auto"/>
        </w:rPr>
        <w:t>Target</w:t>
      </w:r>
      <w:r>
        <w:rPr>
          <w:sz w:val="20"/>
          <w:szCs w:val="20"/>
          <w:color w:val="auto"/>
        </w:rPr>
        <w:tab/>
      </w:r>
      <w:r>
        <w:rPr>
          <w:rFonts w:ascii="Arial" w:cs="Arial" w:eastAsia="Arial" w:hAnsi="Arial"/>
          <w:sz w:val="14"/>
          <w:szCs w:val="14"/>
          <w:b w:val="1"/>
          <w:bCs w:val="1"/>
          <w:color w:val="auto"/>
        </w:rPr>
        <w:t>Maximum</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Awards: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20" w:type="dxa"/>
            <w:vAlign w:val="bottom"/>
          </w:tcPr>
          <w:p>
            <w:pPr>
              <w:spacing w:after="0"/>
              <w:rPr>
                <w:sz w:val="14"/>
                <w:szCs w:val="14"/>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Exercise or</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Base Price</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Stock 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of Option</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and Option</w:t>
            </w:r>
          </w:p>
        </w:tc>
      </w:tr>
      <w:tr>
        <w:trPr>
          <w:trHeight w:val="175"/>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Awards</w:t>
            </w:r>
          </w:p>
        </w:tc>
      </w:tr>
    </w:tbl>
    <w:p>
      <w:pPr>
        <w:spacing w:after="0" w:line="1" w:lineRule="exact"/>
        <w:rPr>
          <w:sz w:val="20"/>
          <w:szCs w:val="20"/>
          <w:color w:val="auto"/>
        </w:rPr>
      </w:pPr>
    </w:p>
    <w:p>
      <w:pPr>
        <w:sectPr>
          <w:pgSz w:w="11900" w:h="16838" w:orient="portrait"/>
          <w:cols w:equalWidth="0" w:num="2">
            <w:col w:w="7480" w:space="240"/>
            <w:col w:w="3700"/>
          </w:cols>
          <w:pgMar w:left="240" w:top="14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$585,000</w:t>
            </w: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$1,170,000</w:t>
            </w: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$1,755,000</w:t>
            </w:r>
          </w:p>
        </w:tc>
        <w:tc>
          <w:tcPr>
            <w:tcW w:w="1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$1,044,270</w:t>
            </w:r>
          </w:p>
        </w:tc>
        <w:tc>
          <w:tcPr>
            <w:tcW w:w="22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52,400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$524,689</w:t>
            </w:r>
          </w:p>
        </w:tc>
        <w:tc>
          <w:tcPr>
            <w:tcW w:w="220" w:type="dxa"/>
            <w:vAlign w:val="bottom"/>
            <w:shd w:val="clear" w:color="auto" w:fill="CCEEFF"/>
          </w:tcPr>
          <w:p>
            <w:pPr>
              <w:spacing w:after="0"/>
              <w:rPr>
                <w:sz w:val="18"/>
                <w:szCs w:val="18"/>
                <w:color w:val="auto"/>
              </w:rPr>
            </w:pPr>
          </w:p>
        </w:tc>
      </w:tr>
      <w:tr>
        <w:trPr>
          <w:trHeight w:val="417"/>
        </w:trPr>
        <w:tc>
          <w:tcPr>
            <w:tcW w:w="3660" w:type="dxa"/>
            <w:vAlign w:val="bottom"/>
          </w:tcPr>
          <w:p>
            <w:pPr>
              <w:spacing w:after="0"/>
              <w:rPr>
                <w:sz w:val="20"/>
                <w:szCs w:val="20"/>
                <w:color w:val="auto"/>
              </w:rPr>
            </w:pPr>
            <w:r>
              <w:rPr>
                <w:rFonts w:ascii="Arial" w:cs="Arial" w:eastAsia="Arial" w:hAnsi="Arial"/>
                <w:sz w:val="18"/>
                <w:szCs w:val="18"/>
                <w:color w:val="auto"/>
              </w:rPr>
              <w:t>Kevin J. Wilcox</w:t>
            </w: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$675,000</w:t>
            </w:r>
          </w:p>
        </w:tc>
        <w:tc>
          <w:tcPr>
            <w:tcW w:w="1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221"/>
        </w:trPr>
        <w:tc>
          <w:tcPr>
            <w:tcW w:w="3660" w:type="dxa"/>
            <w:vAlign w:val="bottom"/>
          </w:tcPr>
          <w:p>
            <w:pPr>
              <w:spacing w:after="0"/>
              <w:rPr>
                <w:sz w:val="19"/>
                <w:szCs w:val="19"/>
                <w:color w:val="auto"/>
              </w:rPr>
            </w:pPr>
          </w:p>
        </w:tc>
        <w:tc>
          <w:tcPr>
            <w:tcW w:w="960" w:type="dxa"/>
            <w:vAlign w:val="bottom"/>
            <w:gridSpan w:val="2"/>
          </w:tcPr>
          <w:p>
            <w:pPr>
              <w:jc w:val="right"/>
              <w:spacing w:after="0" w:line="221"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20,500</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$378,225</w:t>
            </w:r>
          </w:p>
        </w:tc>
        <w:tc>
          <w:tcPr>
            <w:tcW w:w="220" w:type="dxa"/>
            <w:vAlign w:val="bottom"/>
          </w:tcPr>
          <w:p>
            <w:pPr>
              <w:spacing w:after="0"/>
              <w:rPr>
                <w:sz w:val="19"/>
                <w:szCs w:val="19"/>
                <w:color w:val="auto"/>
              </w:rPr>
            </w:pPr>
          </w:p>
        </w:tc>
      </w:tr>
      <w:tr>
        <w:trPr>
          <w:trHeight w:val="200"/>
        </w:trPr>
        <w:tc>
          <w:tcPr>
            <w:tcW w:w="3660" w:type="dxa"/>
            <w:vAlign w:val="bottom"/>
          </w:tcPr>
          <w:p>
            <w:pPr>
              <w:spacing w:after="0"/>
              <w:rPr>
                <w:sz w:val="17"/>
                <w:szCs w:val="17"/>
                <w:color w:val="auto"/>
              </w:rPr>
            </w:pPr>
          </w:p>
        </w:tc>
        <w:tc>
          <w:tcPr>
            <w:tcW w:w="96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4/15/15</w:t>
            </w:r>
            <w:r>
              <w:rPr>
                <w:rFonts w:ascii="Arial" w:cs="Arial" w:eastAsia="Arial" w:hAnsi="Arial"/>
                <w:sz w:val="23"/>
                <w:szCs w:val="23"/>
                <w:color w:val="auto"/>
                <w:vertAlign w:val="superscript"/>
              </w:rPr>
              <w:t>(3)</w:t>
            </w:r>
          </w:p>
        </w:tc>
        <w:tc>
          <w:tcPr>
            <w:tcW w:w="108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19,000</w:t>
            </w:r>
          </w:p>
        </w:tc>
        <w:tc>
          <w:tcPr>
            <w:tcW w:w="88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$18.79</w:t>
            </w: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$190,250</w:t>
            </w:r>
          </w:p>
        </w:tc>
        <w:tc>
          <w:tcPr>
            <w:tcW w:w="220" w:type="dxa"/>
            <w:vAlign w:val="bottom"/>
          </w:tcPr>
          <w:p>
            <w:pPr>
              <w:spacing w:after="0"/>
              <w:rPr>
                <w:sz w:val="17"/>
                <w:szCs w:val="17"/>
                <w:color w:val="auto"/>
              </w:rPr>
            </w:pPr>
          </w:p>
        </w:tc>
      </w:tr>
      <w:tr>
        <w:trPr>
          <w:trHeight w:val="40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Michelle D. Esterman</w:t>
            </w: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2/10/15</w:t>
            </w:r>
            <w:r>
              <w:rPr>
                <w:rFonts w:ascii="Arial" w:cs="Arial" w:eastAsia="Arial" w:hAnsi="Arial"/>
                <w:sz w:val="25"/>
                <w:szCs w:val="25"/>
                <w:color w:val="auto"/>
                <w:vertAlign w:val="superscript"/>
              </w:rPr>
              <w:t>(4)</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25,000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$288,965</w:t>
            </w:r>
          </w:p>
        </w:tc>
        <w:tc>
          <w:tcPr>
            <w:tcW w:w="22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$267,525</w:t>
            </w:r>
          </w:p>
        </w:tc>
        <w:tc>
          <w:tcPr>
            <w:tcW w:w="22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13,400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$134,176</w:t>
            </w:r>
          </w:p>
        </w:tc>
        <w:tc>
          <w:tcPr>
            <w:tcW w:w="220" w:type="dxa"/>
            <w:vAlign w:val="bottom"/>
            <w:shd w:val="clear" w:color="auto" w:fill="CCEEFF"/>
          </w:tcPr>
          <w:p>
            <w:pPr>
              <w:spacing w:after="0"/>
              <w:rPr>
                <w:sz w:val="18"/>
                <w:szCs w:val="18"/>
                <w:color w:val="auto"/>
              </w:rPr>
            </w:pPr>
          </w:p>
        </w:tc>
      </w:tr>
      <w:tr>
        <w:trPr>
          <w:trHeight w:val="417"/>
        </w:trPr>
        <w:tc>
          <w:tcPr>
            <w:tcW w:w="3660" w:type="dxa"/>
            <w:vAlign w:val="bottom"/>
          </w:tcPr>
          <w:p>
            <w:pPr>
              <w:spacing w:after="0"/>
              <w:rPr>
                <w:sz w:val="20"/>
                <w:szCs w:val="20"/>
                <w:color w:val="auto"/>
              </w:rPr>
            </w:pPr>
            <w:r>
              <w:rPr>
                <w:rFonts w:ascii="Arial" w:cs="Arial" w:eastAsia="Arial" w:hAnsi="Arial"/>
                <w:sz w:val="18"/>
                <w:szCs w:val="18"/>
                <w:color w:val="auto"/>
              </w:rPr>
              <w:t>Joseph A. Davila</w:t>
            </w: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221"/>
        </w:trPr>
        <w:tc>
          <w:tcPr>
            <w:tcW w:w="3660" w:type="dxa"/>
            <w:vAlign w:val="bottom"/>
          </w:tcPr>
          <w:p>
            <w:pPr>
              <w:spacing w:after="0"/>
              <w:rPr>
                <w:sz w:val="19"/>
                <w:szCs w:val="19"/>
                <w:color w:val="auto"/>
              </w:rPr>
            </w:pPr>
          </w:p>
        </w:tc>
        <w:tc>
          <w:tcPr>
            <w:tcW w:w="960" w:type="dxa"/>
            <w:vAlign w:val="bottom"/>
            <w:gridSpan w:val="2"/>
          </w:tcPr>
          <w:p>
            <w:pPr>
              <w:jc w:val="right"/>
              <w:spacing w:after="0" w:line="221"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5,600</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$103,320</w:t>
            </w:r>
          </w:p>
        </w:tc>
        <w:tc>
          <w:tcPr>
            <w:tcW w:w="220" w:type="dxa"/>
            <w:vAlign w:val="bottom"/>
          </w:tcPr>
          <w:p>
            <w:pPr>
              <w:spacing w:after="0"/>
              <w:rPr>
                <w:sz w:val="19"/>
                <w:szCs w:val="19"/>
                <w:color w:val="auto"/>
              </w:rPr>
            </w:pPr>
          </w:p>
        </w:tc>
      </w:tr>
      <w:tr>
        <w:trPr>
          <w:trHeight w:val="200"/>
        </w:trPr>
        <w:tc>
          <w:tcPr>
            <w:tcW w:w="3660" w:type="dxa"/>
            <w:vAlign w:val="bottom"/>
          </w:tcPr>
          <w:p>
            <w:pPr>
              <w:spacing w:after="0"/>
              <w:rPr>
                <w:sz w:val="17"/>
                <w:szCs w:val="17"/>
                <w:color w:val="auto"/>
              </w:rPr>
            </w:pPr>
          </w:p>
        </w:tc>
        <w:tc>
          <w:tcPr>
            <w:tcW w:w="96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4/15/15</w:t>
            </w:r>
            <w:r>
              <w:rPr>
                <w:rFonts w:ascii="Arial" w:cs="Arial" w:eastAsia="Arial" w:hAnsi="Arial"/>
                <w:sz w:val="23"/>
                <w:szCs w:val="23"/>
                <w:color w:val="auto"/>
                <w:vertAlign w:val="superscript"/>
              </w:rPr>
              <w:t>(3)</w:t>
            </w:r>
          </w:p>
        </w:tc>
        <w:tc>
          <w:tcPr>
            <w:tcW w:w="108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7,800</w:t>
            </w:r>
          </w:p>
        </w:tc>
        <w:tc>
          <w:tcPr>
            <w:tcW w:w="88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$18.79</w:t>
            </w: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$78,103</w:t>
            </w:r>
          </w:p>
        </w:tc>
        <w:tc>
          <w:tcPr>
            <w:tcW w:w="220" w:type="dxa"/>
            <w:vAlign w:val="bottom"/>
          </w:tcPr>
          <w:p>
            <w:pPr>
              <w:spacing w:after="0"/>
              <w:rPr>
                <w:sz w:val="17"/>
                <w:szCs w:val="17"/>
                <w:color w:val="auto"/>
              </w:rPr>
            </w:pPr>
          </w:p>
        </w:tc>
      </w:tr>
      <w:tr>
        <w:trPr>
          <w:trHeight w:val="40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Gregory J. Ritts</w:t>
            </w: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7,800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$78,103</w:t>
            </w:r>
          </w:p>
        </w:tc>
        <w:tc>
          <w:tcPr>
            <w:tcW w:w="220" w:type="dxa"/>
            <w:vAlign w:val="bottom"/>
            <w:shd w:val="clear" w:color="auto" w:fill="CCEEFF"/>
          </w:tcPr>
          <w:p>
            <w:pPr>
              <w:spacing w:after="0"/>
              <w:rPr>
                <w:sz w:val="18"/>
                <w:szCs w:val="18"/>
                <w:color w:val="auto"/>
              </w:rPr>
            </w:pPr>
          </w:p>
        </w:tc>
      </w:tr>
    </w:tbl>
    <w:p>
      <w:pPr>
        <w:spacing w:after="0" w:line="219" w:lineRule="exact"/>
        <w:rPr>
          <w:sz w:val="20"/>
          <w:szCs w:val="20"/>
          <w:color w:val="auto"/>
        </w:rPr>
      </w:pPr>
    </w:p>
    <w:p>
      <w:pPr>
        <w:ind w:left="540" w:right="240" w:hanging="532"/>
        <w:spacing w:after="0" w:line="197"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These amounts represent the possible non-equity compensation that may have been earned by each respective executive officer in 2015 under the different achievement levels presented on their personal scorecards which are more fully discussed in our Compensation Discussion and Analysis.</w:t>
      </w:r>
    </w:p>
    <w:p>
      <w:pPr>
        <w:spacing w:after="0" w:line="210" w:lineRule="exact"/>
        <w:rPr>
          <w:rFonts w:ascii="Arial" w:cs="Arial" w:eastAsia="Arial" w:hAnsi="Arial"/>
          <w:sz w:val="29"/>
          <w:szCs w:val="29"/>
          <w:color w:val="auto"/>
          <w:vertAlign w:val="superscript"/>
        </w:rPr>
      </w:pPr>
    </w:p>
    <w:p>
      <w:pPr>
        <w:ind w:left="540" w:right="80" w:hanging="532"/>
        <w:spacing w:after="0" w:line="211"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Granted pursuant to our 2009 Equity Incentive Plan. The restricted share awards are scheduled to vest in three annual installments on the second, third and fourth anniversaries of the grant date. In the event that a Transaction (i) had taken place on or before six months after April 15, 2015, 50% of the restricted share award would have vested and the remainder would have been forfeited, (ii) takes place between six and 18 months after April 15, 2015, 75% of the restricted share award will vest and the remainder will be forfeited and (iii) takes place any time more than 18 months from April 15, 2015, 100% of the restricted share award will vest.</w:t>
      </w:r>
    </w:p>
    <w:p>
      <w:pPr>
        <w:spacing w:after="0" w:line="194" w:lineRule="exact"/>
        <w:rPr>
          <w:rFonts w:ascii="Arial" w:cs="Arial" w:eastAsia="Arial" w:hAnsi="Arial"/>
          <w:sz w:val="29"/>
          <w:szCs w:val="29"/>
          <w:color w:val="auto"/>
          <w:vertAlign w:val="superscript"/>
        </w:rPr>
      </w:pPr>
    </w:p>
    <w:p>
      <w:pPr>
        <w:ind w:left="540" w:right="300" w:hanging="532"/>
        <w:spacing w:after="0" w:line="197"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Granted pursuant to our 2009 Equity Incentive Plan. The options are scheduled to vest in three equal annual installments on the first, second and third anniversaries of the grant date. In the event of a Transaction, a buyer will have the option to cancel the stock options in exchange for the stock option's intrinsic value or allow them remain in place.</w:t>
      </w:r>
    </w:p>
    <w:p>
      <w:pPr>
        <w:spacing w:after="0" w:line="196" w:lineRule="exact"/>
        <w:rPr>
          <w:rFonts w:ascii="Arial" w:cs="Arial" w:eastAsia="Arial" w:hAnsi="Arial"/>
          <w:sz w:val="29"/>
          <w:szCs w:val="29"/>
          <w:color w:val="auto"/>
          <w:vertAlign w:val="superscript"/>
        </w:rPr>
      </w:pPr>
    </w:p>
    <w:p>
      <w:pPr>
        <w:ind w:left="540" w:right="100" w:hanging="532"/>
        <w:spacing w:after="0" w:line="217"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Granted pursuant to our 2009 Equity Incentive Plan.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provides information regarding outstanding equity awards as of December 31, 2015 for the individuals named in the Summary Compensation Table.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left="129"/>
              <w:spacing w:after="0"/>
              <w:rPr>
                <w:sz w:val="20"/>
                <w:szCs w:val="20"/>
                <w:color w:val="auto"/>
              </w:rPr>
            </w:pPr>
            <w:r>
              <w:rPr>
                <w:rFonts w:ascii="Arial" w:cs="Arial" w:eastAsia="Arial" w:hAnsi="Arial"/>
                <w:sz w:val="14"/>
                <w:szCs w:val="14"/>
                <w:b w:val="1"/>
                <w:bCs w:val="1"/>
                <w:color w:val="auto"/>
              </w:rPr>
              <w:t>Plan Awards: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rPr>
              <w:t>Unexercised</w:t>
            </w: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80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6"/>
                <w:szCs w:val="16"/>
                <w:color w:val="auto"/>
              </w:rPr>
            </w:pPr>
          </w:p>
        </w:tc>
        <w:tc>
          <w:tcPr>
            <w:tcW w:w="112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9"/>
              </w:rPr>
              <w:t>Unexercisable</w:t>
            </w:r>
            <w:r>
              <w:rPr>
                <w:rFonts w:ascii="Arial" w:cs="Arial" w:eastAsia="Arial" w:hAnsi="Arial"/>
                <w:sz w:val="21"/>
                <w:szCs w:val="21"/>
                <w:b w:val="1"/>
                <w:bCs w:val="1"/>
                <w:color w:val="auto"/>
                <w:w w:val="99"/>
                <w:vertAlign w:val="superscript"/>
              </w:rPr>
              <w:t>(1)</w:t>
            </w:r>
          </w:p>
        </w:tc>
        <w:tc>
          <w:tcPr>
            <w:tcW w:w="22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Options</w:t>
            </w:r>
            <w:r>
              <w:rPr>
                <w:rFonts w:ascii="Arial" w:cs="Arial" w:eastAsia="Arial" w:hAnsi="Arial"/>
                <w:sz w:val="21"/>
                <w:szCs w:val="21"/>
                <w:b w:val="1"/>
                <w:bCs w:val="1"/>
                <w:color w:val="auto"/>
                <w:w w:val="97"/>
                <w:vertAlign w:val="superscript"/>
              </w:rPr>
              <w:t>(2)</w:t>
            </w:r>
          </w:p>
        </w:tc>
        <w:tc>
          <w:tcPr>
            <w:tcW w:w="220" w:type="dxa"/>
            <w:vAlign w:val="bottom"/>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3"/>
              </w:rPr>
              <w:t>Price</w:t>
            </w:r>
            <w:r>
              <w:rPr>
                <w:rFonts w:ascii="Arial" w:cs="Arial" w:eastAsia="Arial" w:hAnsi="Arial"/>
                <w:sz w:val="21"/>
                <w:szCs w:val="21"/>
                <w:b w:val="1"/>
                <w:bCs w:val="1"/>
                <w:color w:val="auto"/>
                <w:w w:val="93"/>
                <w:vertAlign w:val="superscript"/>
              </w:rPr>
              <w:t>(3)</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5"/>
              </w:rPr>
              <w:t>Not Vested</w:t>
            </w:r>
            <w:r>
              <w:rPr>
                <w:rFonts w:ascii="Arial" w:cs="Arial" w:eastAsia="Arial" w:hAnsi="Arial"/>
                <w:sz w:val="21"/>
                <w:szCs w:val="21"/>
                <w:b w:val="1"/>
                <w:bCs w:val="1"/>
                <w:color w:val="auto"/>
                <w:w w:val="95"/>
                <w:vertAlign w:val="superscript"/>
              </w:rPr>
              <w:t>(4)</w:t>
            </w:r>
          </w:p>
        </w:tc>
        <w:tc>
          <w:tcPr>
            <w:tcW w:w="9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Not Vested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4"/>
                <w:szCs w:val="14"/>
                <w:color w:val="auto"/>
              </w:rPr>
              <w:t>William B. Shepro</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68,751</w:t>
            </w:r>
          </w:p>
        </w:tc>
        <w:tc>
          <w:tcPr>
            <w:tcW w:w="22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22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7/14/2018</w:t>
            </w:r>
          </w:p>
        </w:tc>
        <w:tc>
          <w:tcPr>
            <w:tcW w:w="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68,750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60,000</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40"/>
              <w:spacing w:after="0"/>
              <w:rPr>
                <w:sz w:val="20"/>
                <w:szCs w:val="20"/>
                <w:color w:val="auto"/>
              </w:rPr>
            </w:pPr>
            <w:r>
              <w:rPr>
                <w:rFonts w:ascii="Arial" w:cs="Arial" w:eastAsia="Arial" w:hAnsi="Arial"/>
                <w:sz w:val="11"/>
                <w:szCs w:val="11"/>
                <w:color w:val="auto"/>
                <w:w w:val="74"/>
              </w:rPr>
              <w:t>(6)</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52,400</w:t>
            </w:r>
          </w:p>
        </w:tc>
        <w:tc>
          <w:tcPr>
            <w:tcW w:w="220" w:type="dxa"/>
            <w:vAlign w:val="bottom"/>
            <w:vMerge w:val="continue"/>
            <w:shd w:val="clear" w:color="auto" w:fill="CCEEFF"/>
          </w:tcPr>
          <w:p>
            <w:pPr>
              <w:spacing w:after="0"/>
              <w:rPr>
                <w:sz w:val="11"/>
                <w:szCs w:val="11"/>
                <w:color w:val="auto"/>
              </w:rPr>
            </w:pPr>
          </w:p>
        </w:tc>
        <w:tc>
          <w:tcPr>
            <w:tcW w:w="1140" w:type="dxa"/>
            <w:vAlign w:val="bottom"/>
            <w:gridSpan w:val="2"/>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$18.79</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4/15/2025</w:t>
            </w:r>
          </w:p>
        </w:tc>
        <w:tc>
          <w:tcPr>
            <w:tcW w:w="110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56,600</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$1,574,046</w:t>
            </w:r>
          </w:p>
        </w:tc>
        <w:tc>
          <w:tcPr>
            <w:tcW w:w="0" w:type="dxa"/>
            <w:vAlign w:val="bottom"/>
          </w:tcPr>
          <w:p>
            <w:pPr>
              <w:spacing w:after="0"/>
              <w:rPr>
                <w:sz w:val="1"/>
                <w:szCs w:val="1"/>
                <w:color w:val="auto"/>
              </w:rPr>
            </w:pPr>
          </w:p>
        </w:tc>
      </w:tr>
      <w:tr>
        <w:trPr>
          <w:trHeight w:val="437"/>
        </w:trPr>
        <w:tc>
          <w:tcPr>
            <w:tcW w:w="1860" w:type="dxa"/>
            <w:vAlign w:val="bottom"/>
            <w:gridSpan w:val="2"/>
          </w:tcPr>
          <w:p>
            <w:pPr>
              <w:spacing w:after="0"/>
              <w:rPr>
                <w:sz w:val="20"/>
                <w:szCs w:val="20"/>
                <w:color w:val="auto"/>
              </w:rPr>
            </w:pPr>
            <w:r>
              <w:rPr>
                <w:rFonts w:ascii="Arial" w:cs="Arial" w:eastAsia="Arial" w:hAnsi="Arial"/>
                <w:sz w:val="14"/>
                <w:szCs w:val="14"/>
                <w:color w:val="auto"/>
              </w:rPr>
              <w:t>Kevin J. Wilcox</w:t>
            </w:r>
            <w:r>
              <w:rPr>
                <w:rFonts w:ascii="Arial" w:cs="Arial" w:eastAsia="Arial" w:hAnsi="Arial"/>
                <w:sz w:val="21"/>
                <w:szCs w:val="21"/>
                <w:color w:val="auto"/>
                <w:vertAlign w:val="superscript"/>
              </w:rPr>
              <w:t>(5)</w:t>
            </w: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8,130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$13.58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5/10/2017</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51,667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103,334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51,667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60,000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80" w:type="dxa"/>
            <w:vAlign w:val="bottom"/>
            <w:gridSpan w:val="2"/>
          </w:tcPr>
          <w:p>
            <w:pPr>
              <w:jc w:val="right"/>
              <w:ind w:right="88"/>
              <w:spacing w:after="0" w:line="131" w:lineRule="exact"/>
              <w:rPr>
                <w:sz w:val="20"/>
                <w:szCs w:val="20"/>
                <w:color w:val="auto"/>
              </w:rPr>
            </w:pPr>
            <w:r>
              <w:rPr>
                <w:rFonts w:ascii="Arial" w:cs="Arial" w:eastAsia="Arial" w:hAnsi="Arial"/>
                <w:sz w:val="14"/>
                <w:szCs w:val="14"/>
                <w:color w:val="auto"/>
              </w:rPr>
              <w:t>30,000</w:t>
            </w:r>
          </w:p>
        </w:tc>
        <w:tc>
          <w:tcPr>
            <w:tcW w:w="11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40" w:type="dxa"/>
            <w:vAlign w:val="bottom"/>
            <w:gridSpan w:val="2"/>
          </w:tcPr>
          <w:p>
            <w:pPr>
              <w:jc w:val="right"/>
              <w:ind w:right="188"/>
              <w:spacing w:after="0" w:line="13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$23.80</w:t>
            </w:r>
          </w:p>
        </w:tc>
        <w:tc>
          <w:tcPr>
            <w:tcW w:w="9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5/19/2020</w:t>
            </w:r>
          </w:p>
        </w:tc>
        <w:tc>
          <w:tcPr>
            <w:tcW w:w="1100" w:type="dxa"/>
            <w:vAlign w:val="bottom"/>
            <w:gridSpan w:val="2"/>
          </w:tcPr>
          <w:p>
            <w:pPr>
              <w:jc w:val="right"/>
              <w:ind w:right="68"/>
              <w:spacing w:after="0" w:line="13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0"/>
              <w:spacing w:after="0" w:line="162" w:lineRule="exact"/>
              <w:rPr>
                <w:sz w:val="20"/>
                <w:szCs w:val="20"/>
                <w:color w:val="auto"/>
              </w:rPr>
            </w:pPr>
            <w:r>
              <w:rPr>
                <w:rFonts w:ascii="Arial" w:cs="Arial" w:eastAsia="Arial" w:hAnsi="Arial"/>
                <w:sz w:val="13"/>
                <w:szCs w:val="13"/>
                <w:color w:val="auto"/>
              </w:rPr>
              <w:t>19,000</w:t>
            </w:r>
            <w:r>
              <w:rPr>
                <w:rFonts w:ascii="Arial" w:cs="Arial" w:eastAsia="Arial" w:hAnsi="Arial"/>
                <w:sz w:val="18"/>
                <w:szCs w:val="18"/>
                <w:color w:val="auto"/>
                <w:vertAlign w:val="superscript"/>
              </w:rPr>
              <w:t>(6)</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$18.79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4/15/2025</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20,500</w:t>
            </w:r>
            <w:r>
              <w:rPr>
                <w:rFonts w:ascii="Arial" w:cs="Arial" w:eastAsia="Arial" w:hAnsi="Arial"/>
                <w:sz w:val="21"/>
                <w:szCs w:val="21"/>
                <w:color w:val="auto"/>
                <w:vertAlign w:val="superscript"/>
              </w:rPr>
              <w:t>(7)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$570,105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Michelle D. Esterman</w:t>
            </w:r>
            <w:r>
              <w:rPr>
                <w:rFonts w:ascii="Arial" w:cs="Arial" w:eastAsia="Arial" w:hAnsi="Arial"/>
                <w:sz w:val="21"/>
                <w:szCs w:val="21"/>
                <w:color w:val="auto"/>
                <w:vertAlign w:val="superscript"/>
              </w:rPr>
              <w:t>(5)</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10,969</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3,656</w:t>
            </w:r>
            <w:r>
              <w:rPr>
                <w:rFonts w:ascii="Arial" w:cs="Arial" w:eastAsia="Arial" w:hAnsi="Arial"/>
                <w:sz w:val="21"/>
                <w:szCs w:val="21"/>
                <w:color w:val="auto"/>
                <w:vertAlign w:val="superscript"/>
              </w:rPr>
              <w:t>(8)</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3/12/2022</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29,250</w:t>
            </w:r>
          </w:p>
        </w:tc>
        <w:tc>
          <w:tcPr>
            <w:tcW w:w="1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$60.76</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3/12/2022</w:t>
            </w:r>
          </w:p>
        </w:tc>
        <w:tc>
          <w:tcPr>
            <w:tcW w:w="110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8"/>
              <w:spacing w:after="0" w:line="162" w:lineRule="exact"/>
              <w:rPr>
                <w:sz w:val="20"/>
                <w:szCs w:val="20"/>
                <w:color w:val="auto"/>
              </w:rPr>
            </w:pPr>
            <w:r>
              <w:rPr>
                <w:rFonts w:ascii="Arial" w:cs="Arial" w:eastAsia="Arial" w:hAnsi="Arial"/>
                <w:sz w:val="13"/>
                <w:szCs w:val="13"/>
                <w:color w:val="auto"/>
              </w:rPr>
              <w:t>14,625</w:t>
            </w:r>
            <w:r>
              <w:rPr>
                <w:rFonts w:ascii="Arial" w:cs="Arial" w:eastAsia="Arial" w:hAnsi="Arial"/>
                <w:sz w:val="18"/>
                <w:szCs w:val="18"/>
                <w:color w:val="auto"/>
                <w:vertAlign w:val="superscript"/>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3/12/2022</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
              <w:spacing w:after="0" w:line="162"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2/10/2025</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
              <w:spacing w:after="0" w:line="189" w:lineRule="exact"/>
              <w:rPr>
                <w:sz w:val="20"/>
                <w:szCs w:val="20"/>
                <w:color w:val="auto"/>
              </w:rPr>
            </w:pPr>
            <w:r>
              <w:rPr>
                <w:rFonts w:ascii="Arial" w:cs="Arial" w:eastAsia="Arial" w:hAnsi="Arial"/>
                <w:sz w:val="14"/>
                <w:szCs w:val="14"/>
                <w:color w:val="auto"/>
              </w:rPr>
              <w:t>12,500</w:t>
            </w:r>
            <w:r>
              <w:rPr>
                <w:rFonts w:ascii="Arial" w:cs="Arial" w:eastAsia="Arial" w:hAnsi="Arial"/>
                <w:sz w:val="21"/>
                <w:szCs w:val="21"/>
                <w:color w:val="auto"/>
                <w:vertAlign w:val="superscript"/>
              </w:rPr>
              <w:t>(11)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2/10/2025</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(12)</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2/10/2025</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13,400</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1"/>
                <w:szCs w:val="11"/>
                <w:color w:val="auto"/>
                <w:w w:val="74"/>
              </w:rPr>
              <w:t>(6)</w:t>
            </w:r>
          </w:p>
        </w:tc>
        <w:tc>
          <w:tcPr>
            <w:tcW w:w="1140" w:type="dxa"/>
            <w:vAlign w:val="bottom"/>
            <w:gridSpan w:val="2"/>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$18.79</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4/15/2025</w:t>
            </w:r>
          </w:p>
        </w:tc>
        <w:tc>
          <w:tcPr>
            <w:tcW w:w="110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14,500</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$403,245</w:t>
            </w:r>
          </w:p>
        </w:tc>
        <w:tc>
          <w:tcPr>
            <w:tcW w:w="0" w:type="dxa"/>
            <w:vAlign w:val="bottom"/>
          </w:tcPr>
          <w:p>
            <w:pPr>
              <w:spacing w:after="0"/>
              <w:rPr>
                <w:sz w:val="1"/>
                <w:szCs w:val="1"/>
                <w:color w:val="auto"/>
              </w:rPr>
            </w:pPr>
          </w:p>
        </w:tc>
      </w:tr>
      <w:tr>
        <w:trPr>
          <w:trHeight w:val="410"/>
        </w:trPr>
        <w:tc>
          <w:tcPr>
            <w:tcW w:w="1860" w:type="dxa"/>
            <w:vAlign w:val="bottom"/>
            <w:gridSpan w:val="2"/>
          </w:tcPr>
          <w:p>
            <w:pPr>
              <w:spacing w:after="0"/>
              <w:rPr>
                <w:sz w:val="20"/>
                <w:szCs w:val="20"/>
                <w:color w:val="auto"/>
              </w:rPr>
            </w:pPr>
            <w:r>
              <w:rPr>
                <w:rFonts w:ascii="Arial" w:cs="Arial" w:eastAsia="Arial" w:hAnsi="Arial"/>
                <w:sz w:val="14"/>
                <w:szCs w:val="14"/>
                <w:color w:val="auto"/>
              </w:rPr>
              <w:t>Joseph A. Davila</w:t>
            </w: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6,250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$32.55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7/28/2021</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12,500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$32.55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7/28/2021</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80" w:type="dxa"/>
            <w:vAlign w:val="bottom"/>
            <w:gridSpan w:val="2"/>
          </w:tcPr>
          <w:p>
            <w:pPr>
              <w:jc w:val="right"/>
              <w:ind w:right="88"/>
              <w:spacing w:after="0" w:line="131" w:lineRule="exact"/>
              <w:rPr>
                <w:sz w:val="20"/>
                <w:szCs w:val="20"/>
                <w:color w:val="auto"/>
              </w:rPr>
            </w:pPr>
            <w:r>
              <w:rPr>
                <w:rFonts w:ascii="Arial" w:cs="Arial" w:eastAsia="Arial" w:hAnsi="Arial"/>
                <w:sz w:val="14"/>
                <w:szCs w:val="14"/>
                <w:color w:val="auto"/>
              </w:rPr>
              <w:t>6,250</w:t>
            </w:r>
          </w:p>
        </w:tc>
        <w:tc>
          <w:tcPr>
            <w:tcW w:w="11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40" w:type="dxa"/>
            <w:vAlign w:val="bottom"/>
            <w:gridSpan w:val="2"/>
          </w:tcPr>
          <w:p>
            <w:pPr>
              <w:jc w:val="right"/>
              <w:ind w:right="188"/>
              <w:spacing w:after="0" w:line="13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$32.55</w:t>
            </w:r>
          </w:p>
        </w:tc>
        <w:tc>
          <w:tcPr>
            <w:tcW w:w="9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7/28/2021</w:t>
            </w:r>
          </w:p>
        </w:tc>
        <w:tc>
          <w:tcPr>
            <w:tcW w:w="1100" w:type="dxa"/>
            <w:vAlign w:val="bottom"/>
            <w:gridSpan w:val="2"/>
          </w:tcPr>
          <w:p>
            <w:pPr>
              <w:jc w:val="right"/>
              <w:ind w:right="68"/>
              <w:spacing w:after="0" w:line="13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938</w:t>
            </w:r>
          </w:p>
        </w:tc>
        <w:tc>
          <w:tcPr>
            <w:tcW w:w="1340" w:type="dxa"/>
            <w:vAlign w:val="bottom"/>
            <w:gridSpan w:val="3"/>
          </w:tcPr>
          <w:p>
            <w:pPr>
              <w:jc w:val="right"/>
              <w:spacing w:after="0" w:line="162" w:lineRule="exact"/>
              <w:rPr>
                <w:sz w:val="20"/>
                <w:szCs w:val="20"/>
                <w:color w:val="auto"/>
              </w:rPr>
            </w:pPr>
            <w:r>
              <w:rPr>
                <w:rFonts w:ascii="Arial" w:cs="Arial" w:eastAsia="Arial" w:hAnsi="Arial"/>
                <w:sz w:val="18"/>
                <w:szCs w:val="18"/>
                <w:color w:val="auto"/>
                <w:vertAlign w:val="subscript"/>
              </w:rPr>
              <w:t>937</w:t>
            </w:r>
            <w:r>
              <w:rPr>
                <w:rFonts w:ascii="Arial" w:cs="Arial" w:eastAsia="Arial" w:hAnsi="Arial"/>
                <w:sz w:val="9"/>
                <w:szCs w:val="9"/>
                <w:color w:val="auto"/>
              </w:rPr>
              <w:t>(13)</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$95.12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5/15/2023</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469</w:t>
            </w:r>
          </w:p>
        </w:tc>
        <w:tc>
          <w:tcPr>
            <w:tcW w:w="1340" w:type="dxa"/>
            <w:vAlign w:val="bottom"/>
            <w:gridSpan w:val="3"/>
          </w:tcPr>
          <w:p>
            <w:pPr>
              <w:jc w:val="right"/>
              <w:spacing w:after="0" w:line="162" w:lineRule="exact"/>
              <w:rPr>
                <w:sz w:val="20"/>
                <w:szCs w:val="20"/>
                <w:color w:val="auto"/>
              </w:rPr>
            </w:pPr>
            <w:r>
              <w:rPr>
                <w:rFonts w:ascii="Arial" w:cs="Arial" w:eastAsia="Arial" w:hAnsi="Arial"/>
                <w:sz w:val="13"/>
                <w:szCs w:val="13"/>
                <w:color w:val="auto"/>
              </w:rPr>
              <w:t>1,406</w:t>
            </w:r>
            <w:r>
              <w:rPr>
                <w:rFonts w:ascii="Arial" w:cs="Arial" w:eastAsia="Arial" w:hAnsi="Arial"/>
                <w:sz w:val="18"/>
                <w:szCs w:val="18"/>
                <w:color w:val="auto"/>
                <w:vertAlign w:val="superscript"/>
              </w:rPr>
              <w:t>(14)</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$105.11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5/15/2024</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1,563</w:t>
            </w:r>
          </w:p>
        </w:tc>
        <w:tc>
          <w:tcPr>
            <w:tcW w:w="1340" w:type="dxa"/>
            <w:vAlign w:val="bottom"/>
            <w:gridSpan w:val="3"/>
          </w:tcPr>
          <w:p>
            <w:pPr>
              <w:jc w:val="right"/>
              <w:spacing w:after="0" w:line="162" w:lineRule="exact"/>
              <w:rPr>
                <w:sz w:val="20"/>
                <w:szCs w:val="20"/>
                <w:color w:val="auto"/>
              </w:rPr>
            </w:pPr>
            <w:r>
              <w:rPr>
                <w:rFonts w:ascii="Arial" w:cs="Arial" w:eastAsia="Arial" w:hAnsi="Arial"/>
                <w:sz w:val="13"/>
                <w:szCs w:val="13"/>
                <w:color w:val="auto"/>
              </w:rPr>
              <w:t>4,687</w:t>
            </w:r>
            <w:r>
              <w:rPr>
                <w:rFonts w:ascii="Arial" w:cs="Arial" w:eastAsia="Arial" w:hAnsi="Arial"/>
                <w:sz w:val="18"/>
                <w:szCs w:val="18"/>
                <w:color w:val="auto"/>
                <w:vertAlign w:val="superscript"/>
              </w:rPr>
              <w:t>(15)</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$72.78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11/11/2024</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
              <w:spacing w:after="0" w:line="162" w:lineRule="exact"/>
              <w:rPr>
                <w:sz w:val="20"/>
                <w:szCs w:val="20"/>
                <w:color w:val="auto"/>
              </w:rPr>
            </w:pPr>
            <w:r>
              <w:rPr>
                <w:rFonts w:ascii="Arial" w:cs="Arial" w:eastAsia="Arial" w:hAnsi="Arial"/>
                <w:sz w:val="13"/>
                <w:szCs w:val="13"/>
                <w:color w:val="auto"/>
              </w:rPr>
              <w:t>12,500</w:t>
            </w:r>
            <w:r>
              <w:rPr>
                <w:rFonts w:ascii="Arial" w:cs="Arial" w:eastAsia="Arial" w:hAnsi="Arial"/>
                <w:sz w:val="18"/>
                <w:szCs w:val="18"/>
                <w:color w:val="auto"/>
                <w:vertAlign w:val="superscript"/>
              </w:rPr>
              <w:t>(16)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$72.78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11/11/2024</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
              <w:spacing w:after="0" w:line="162"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(17)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$72.78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11/11/2024</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0"/>
              <w:spacing w:after="0" w:line="162" w:lineRule="exact"/>
              <w:rPr>
                <w:sz w:val="20"/>
                <w:szCs w:val="20"/>
                <w:color w:val="auto"/>
              </w:rPr>
            </w:pPr>
            <w:r>
              <w:rPr>
                <w:rFonts w:ascii="Arial" w:cs="Arial" w:eastAsia="Arial" w:hAnsi="Arial"/>
                <w:sz w:val="13"/>
                <w:szCs w:val="13"/>
                <w:color w:val="auto"/>
              </w:rPr>
              <w:t>7,800</w:t>
            </w:r>
            <w:r>
              <w:rPr>
                <w:rFonts w:ascii="Arial" w:cs="Arial" w:eastAsia="Arial" w:hAnsi="Arial"/>
                <w:sz w:val="18"/>
                <w:szCs w:val="18"/>
                <w:color w:val="auto"/>
                <w:vertAlign w:val="superscript"/>
              </w:rPr>
              <w:t>(6)</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$18.79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4/15/2025</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5,600</w:t>
            </w:r>
            <w:r>
              <w:rPr>
                <w:rFonts w:ascii="Arial" w:cs="Arial" w:eastAsia="Arial" w:hAnsi="Arial"/>
                <w:sz w:val="21"/>
                <w:szCs w:val="21"/>
                <w:color w:val="auto"/>
                <w:vertAlign w:val="superscript"/>
              </w:rPr>
              <w:t>(7)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$155,736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Gregory J. Ritts</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1,875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5,625</w:t>
            </w:r>
            <w:r>
              <w:rPr>
                <w:rFonts w:ascii="Arial" w:cs="Arial" w:eastAsia="Arial" w:hAnsi="Arial"/>
                <w:sz w:val="21"/>
                <w:szCs w:val="21"/>
                <w:color w:val="auto"/>
                <w:vertAlign w:val="superscript"/>
              </w:rPr>
              <w:t>(18)</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
              <w:spacing w:after="0" w:line="162" w:lineRule="exact"/>
              <w:rPr>
                <w:sz w:val="20"/>
                <w:szCs w:val="20"/>
                <w:color w:val="auto"/>
              </w:rPr>
            </w:pPr>
            <w:r>
              <w:rPr>
                <w:rFonts w:ascii="Arial" w:cs="Arial" w:eastAsia="Arial" w:hAnsi="Arial"/>
                <w:sz w:val="13"/>
                <w:szCs w:val="13"/>
                <w:color w:val="auto"/>
              </w:rPr>
              <w:t>7,500</w:t>
            </w:r>
            <w:r>
              <w:rPr>
                <w:rFonts w:ascii="Arial" w:cs="Arial" w:eastAsia="Arial" w:hAnsi="Arial"/>
                <w:sz w:val="18"/>
                <w:szCs w:val="18"/>
                <w:color w:val="auto"/>
                <w:vertAlign w:val="superscript"/>
              </w:rPr>
              <w:t>(19)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
              <w:spacing w:after="0" w:line="162" w:lineRule="exact"/>
              <w:rPr>
                <w:sz w:val="20"/>
                <w:szCs w:val="20"/>
                <w:color w:val="auto"/>
              </w:rPr>
            </w:pPr>
            <w:r>
              <w:rPr>
                <w:rFonts w:ascii="Arial" w:cs="Arial" w:eastAsia="Arial" w:hAnsi="Arial"/>
                <w:sz w:val="13"/>
                <w:szCs w:val="13"/>
                <w:color w:val="auto"/>
              </w:rPr>
              <w:t>15,000</w:t>
            </w:r>
            <w:r>
              <w:rPr>
                <w:rFonts w:ascii="Arial" w:cs="Arial" w:eastAsia="Arial" w:hAnsi="Arial"/>
                <w:sz w:val="18"/>
                <w:szCs w:val="18"/>
                <w:color w:val="auto"/>
                <w:vertAlign w:val="superscript"/>
              </w:rPr>
              <w:t>(20)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3"/>
                <w:szCs w:val="13"/>
                <w:color w:val="auto"/>
              </w:rPr>
              <w:t>7,800</w:t>
            </w:r>
            <w:r>
              <w:rPr>
                <w:rFonts w:ascii="Arial" w:cs="Arial" w:eastAsia="Arial" w:hAnsi="Arial"/>
                <w:sz w:val="18"/>
                <w:szCs w:val="18"/>
                <w:color w:val="auto"/>
                <w:vertAlign w:val="superscript"/>
              </w:rPr>
              <w:t>(6)</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4/15/2025</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5,600</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$155,736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80" w:hanging="531"/>
        <w:spacing w:after="0"/>
        <w:tabs>
          <w:tab w:leader="none" w:pos="168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Options awarded where the performance hurdles have been achieved but remain subject to additional service-based criteria.</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Options awarded where the performance hurdles have not been achieved.</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98" w:lineRule="exact"/>
        <w:rPr>
          <w:sz w:val="20"/>
          <w:szCs w:val="20"/>
          <w:color w:val="auto"/>
        </w:rPr>
      </w:pPr>
    </w:p>
    <w:p>
      <w:pPr>
        <w:ind w:left="1680" w:right="20" w:hanging="531"/>
        <w:spacing w:after="0" w:line="219" w:lineRule="auto"/>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The exercise price of each outstanding stock option of Altisource was adjusted to reflect the value of AAMC and Residential common stock distributed to Altisource shareholders in connection with the spin-off transactions completed on December 21, 2012. Additionally, in connection with the spin-off transactions, each of our Named Executive Officers (other than Mr. Ritts who had not joined the Company) received new AAMC stock options and new Residential stock options in amounts proportional to the number of Altisource stock options held on the date of the spin-off transactions, as further described in footnote 4 to our Summary Compensation Table.</w:t>
      </w:r>
    </w:p>
    <w:p>
      <w:pPr>
        <w:spacing w:after="0" w:line="73"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Restricted shares awarded but remain subject to additional service-based criteria.</w:t>
      </w:r>
    </w:p>
    <w:p>
      <w:pPr>
        <w:spacing w:after="0" w:line="15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A one-time AAMC Restricted Stock award was granted to our Chief Executive Officer, Chief Administration Officer and Chief Financial Officer pursuant to the Altisource Asset Management Corporation 2012 Equity Incentive Plan on December 11, 2012. Mr. Shepro received 29,216 shares of AAMC Restricted Stock, of which 14,608 had not vested as of December 31, 2015, with a market value as of December 31, 2015 of $250,673. Mr. Wilcox received 14,608 shares of AAMC Restricted Stock, of which 7,304 had not vested as of December 31, 2015, with a market value as of December 31, 2015 of $125,337. Ms. Esterman received 8,765 shares of AAMC Restricted Stock, of which 4,381 had not vested as of December 31, 2015, with a market value as of December 31, 2015 of $75,178. Awards vest in accordance with a vesting schedule (over a four-year period) if the market value of AAMC's stock meets the established market value and other criteria, which were met on January 11, 2013 (first 25%), April 26, 2013 (next 50%) and May 21, 2013 (remaining 25%).</w:t>
      </w:r>
    </w:p>
    <w:p>
      <w:pPr>
        <w:spacing w:after="0" w:line="158"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April 15, 2016, April 15, 2017 and April 15, 2018.</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Restricted shares vest in three (3) equal installments on April 15, 2017, April 15, 2018 and April 15, 2019.</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Options vested on March 12, 2016.</w:t>
      </w:r>
    </w:p>
    <w:p>
      <w:pPr>
        <w:spacing w:after="0" w:line="151"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$182.28 and an annual rate of return of 25%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420" w:hanging="531"/>
        <w:spacing w:after="0" w:line="193" w:lineRule="auto"/>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$65.67 and an annual rate of return of 25%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420" w:hanging="531"/>
        <w:spacing w:after="0" w:line="193" w:lineRule="auto"/>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$43.78 and an annual rate of return of 20% over the exercise price with the balance vesting 25% each subsequent anniversary thereof.</w:t>
      </w:r>
    </w:p>
    <w:p>
      <w:pPr>
        <w:spacing w:after="0" w:line="72"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Options vest in four (4) equal installments on February 10, 2016, February 10, 2017, February 10, 2018 and February 10, 2019.</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Options vest in two (2) equal installments on May 15, 2016 and May 15, 2017.</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May 15, 2016, May 15, 2017 and May 15, 2018.</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November 11, 2016, November 11, 2017 and November 11, 2018.</w:t>
      </w:r>
    </w:p>
    <w:p>
      <w:pPr>
        <w:spacing w:after="0" w:line="151"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$145.56 and an annual rate of return of 20%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$218.34 and an annual rate of return of 25% over the exercise price with the balance vesting 25% each subsequent anniversary thereof.</w:t>
      </w:r>
    </w:p>
    <w:p>
      <w:pPr>
        <w:spacing w:after="0" w:line="72"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October 1, 2016, October 1, 2017 and October 1, 2018.</w:t>
      </w:r>
    </w:p>
    <w:p>
      <w:pPr>
        <w:spacing w:after="0" w:line="151"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$290.61 and an annual rate of return of 25%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$193.74 and an annual rate of return of 20% over the exercise price with the balance vesting 25% each subsequent anniversary thereof.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following table provides information regarding the exercise of stock options during the fiscal year ended December 31, 2015 for our Named Executive Officers: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b w:val="1"/>
                <w:bCs w:val="1"/>
                <w:color w:val="auto"/>
              </w:rPr>
              <w:t>Number of Shares</w:t>
            </w:r>
          </w:p>
        </w:tc>
        <w:tc>
          <w:tcPr>
            <w:tcW w:w="1660" w:type="dxa"/>
            <w:vAlign w:val="bottom"/>
            <w:gridSpan w:val="3"/>
          </w:tcPr>
          <w:p>
            <w:pPr>
              <w:ind w:left="220"/>
              <w:spacing w:after="0"/>
              <w:rPr>
                <w:sz w:val="20"/>
                <w:szCs w:val="20"/>
                <w:color w:val="auto"/>
              </w:rPr>
            </w:pPr>
            <w:r>
              <w:rPr>
                <w:rFonts w:ascii="Arial" w:cs="Arial" w:eastAsia="Arial" w:hAnsi="Arial"/>
                <w:sz w:val="18"/>
                <w:szCs w:val="18"/>
                <w:b w:val="1"/>
                <w:bCs w:val="1"/>
                <w:color w:val="auto"/>
              </w:rPr>
              <w:t>Value Realized</w:t>
            </w:r>
          </w:p>
        </w:tc>
      </w:tr>
      <w:tr>
        <w:trPr>
          <w:trHeight w:val="243"/>
        </w:trPr>
        <w:tc>
          <w:tcPr>
            <w:tcW w:w="20" w:type="dxa"/>
            <w:vAlign w:val="bottom"/>
          </w:tcPr>
          <w:p>
            <w:pPr>
              <w:spacing w:after="0"/>
              <w:rPr>
                <w:sz w:val="21"/>
                <w:szCs w:val="21"/>
                <w:color w:val="auto"/>
              </w:rPr>
            </w:pPr>
          </w:p>
        </w:tc>
        <w:tc>
          <w:tcPr>
            <w:tcW w:w="546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Acquired on Exercise</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7"/>
                <w:szCs w:val="17"/>
                <w:b w:val="1"/>
                <w:bCs w:val="1"/>
                <w:color w:val="auto"/>
                <w:w w:val="99"/>
              </w:rPr>
              <w:t>on Exercise</w:t>
            </w:r>
            <w:r>
              <w:rPr>
                <w:rFonts w:ascii="Arial" w:cs="Arial" w:eastAsia="Arial" w:hAnsi="Arial"/>
                <w:sz w:val="28"/>
                <w:szCs w:val="28"/>
                <w:b w:val="1"/>
                <w:bCs w:val="1"/>
                <w:color w:val="auto"/>
                <w:w w:val="99"/>
                <w:vertAlign w:val="superscript"/>
              </w:rPr>
              <w:t>(1)</w:t>
            </w:r>
          </w:p>
        </w:tc>
        <w:tc>
          <w:tcPr>
            <w:tcW w:w="2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2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6,026</w:t>
            </w:r>
          </w:p>
        </w:tc>
        <w:tc>
          <w:tcPr>
            <w:tcW w:w="1440" w:type="dxa"/>
            <w:vAlign w:val="bottom"/>
            <w:gridSpan w:val="2"/>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$48,148</w:t>
            </w:r>
          </w:p>
        </w:tc>
        <w:tc>
          <w:tcPr>
            <w:tcW w:w="220" w:type="dxa"/>
            <w:vAlign w:val="bottom"/>
            <w:shd w:val="clear" w:color="auto" w:fill="CCEEFF"/>
          </w:tcPr>
          <w:p>
            <w:pPr>
              <w:spacing w:after="0"/>
              <w:rPr>
                <w:sz w:val="17"/>
                <w:szCs w:val="17"/>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William B. Shepro</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13,230</w:t>
            </w:r>
          </w:p>
        </w:tc>
        <w:tc>
          <w:tcPr>
            <w:tcW w:w="1440" w:type="dxa"/>
            <w:vAlign w:val="bottom"/>
            <w:gridSpan w:val="2"/>
          </w:tcPr>
          <w:p>
            <w:pPr>
              <w:jc w:val="right"/>
              <w:ind w:right="135"/>
              <w:spacing w:after="0" w:line="202" w:lineRule="exact"/>
              <w:rPr>
                <w:sz w:val="20"/>
                <w:szCs w:val="20"/>
                <w:color w:val="auto"/>
              </w:rPr>
            </w:pPr>
            <w:r>
              <w:rPr>
                <w:rFonts w:ascii="Arial" w:cs="Arial" w:eastAsia="Arial" w:hAnsi="Arial"/>
                <w:sz w:val="18"/>
                <w:szCs w:val="18"/>
                <w:color w:val="auto"/>
              </w:rPr>
              <w:t>$228,218</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William B. Shepro</w:t>
            </w:r>
          </w:p>
        </w:tc>
        <w:tc>
          <w:tcPr>
            <w:tcW w:w="2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9,459</w:t>
            </w:r>
          </w:p>
        </w:tc>
        <w:tc>
          <w:tcPr>
            <w:tcW w:w="1440" w:type="dxa"/>
            <w:vAlign w:val="bottom"/>
            <w:gridSpan w:val="2"/>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$96,907</w:t>
            </w:r>
          </w:p>
        </w:tc>
        <w:tc>
          <w:tcPr>
            <w:tcW w:w="220" w:type="dxa"/>
            <w:vAlign w:val="bottom"/>
            <w:shd w:val="clear" w:color="auto" w:fill="CCEEFF"/>
          </w:tcPr>
          <w:p>
            <w:pPr>
              <w:spacing w:after="0"/>
              <w:rPr>
                <w:sz w:val="17"/>
                <w:szCs w:val="17"/>
                <w:color w:val="auto"/>
              </w:rPr>
            </w:pPr>
          </w:p>
        </w:tc>
      </w:tr>
      <w:tr>
        <w:trPr>
          <w:trHeight w:val="214"/>
        </w:trPr>
        <w:tc>
          <w:tcPr>
            <w:tcW w:w="548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5,948</w:t>
            </w:r>
          </w:p>
        </w:tc>
        <w:tc>
          <w:tcPr>
            <w:tcW w:w="1440" w:type="dxa"/>
            <w:vAlign w:val="bottom"/>
            <w:gridSpan w:val="2"/>
          </w:tcPr>
          <w:p>
            <w:pPr>
              <w:jc w:val="right"/>
              <w:ind w:right="135"/>
              <w:spacing w:after="0"/>
              <w:rPr>
                <w:sz w:val="20"/>
                <w:szCs w:val="20"/>
                <w:color w:val="auto"/>
              </w:rPr>
            </w:pPr>
            <w:r>
              <w:rPr>
                <w:rFonts w:ascii="Arial" w:cs="Arial" w:eastAsia="Arial" w:hAnsi="Arial"/>
                <w:sz w:val="18"/>
                <w:szCs w:val="18"/>
                <w:color w:val="auto"/>
              </w:rPr>
              <w:t>$111,198</w:t>
            </w:r>
          </w:p>
        </w:tc>
        <w:tc>
          <w:tcPr>
            <w:tcW w:w="220" w:type="dxa"/>
            <w:vAlign w:val="bottom"/>
          </w:tcPr>
          <w:p>
            <w:pPr>
              <w:spacing w:after="0"/>
              <w:rPr>
                <w:sz w:val="18"/>
                <w:szCs w:val="18"/>
                <w:color w:val="auto"/>
              </w:rPr>
            </w:pPr>
          </w:p>
        </w:tc>
      </w:tr>
    </w:tbl>
    <w:p>
      <w:pPr>
        <w:spacing w:after="0" w:line="209" w:lineRule="exact"/>
        <w:rPr>
          <w:sz w:val="20"/>
          <w:szCs w:val="20"/>
          <w:color w:val="auto"/>
        </w:rPr>
      </w:pPr>
    </w:p>
    <w:p>
      <w:pPr>
        <w:ind w:left="1680" w:hanging="531"/>
        <w:spacing w:after="0" w:line="193" w:lineRule="auto"/>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Based on the actual market price of the Company's common stock at the time the stock options were exercised. The shares of the Company's common stock received in connection with the stock option exercises were acquired and held.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 stock awards applicable to our Named Executive Officers vested during the 2015 fiscal year.</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CERTIFIED PUBLIC ACCOUNTING FIRM</w:t>
      </w:r>
    </w:p>
    <w:p>
      <w:pPr>
        <w:jc w:val="center"/>
        <w:ind w:right="40"/>
        <w:spacing w:after="0"/>
        <w:rPr>
          <w:sz w:val="20"/>
          <w:szCs w:val="20"/>
          <w:color w:val="auto"/>
        </w:rPr>
      </w:pPr>
      <w:r>
        <w:rPr>
          <w:rFonts w:ascii="Arial" w:cs="Arial" w:eastAsia="Arial" w:hAnsi="Arial"/>
          <w:sz w:val="18"/>
          <w:szCs w:val="18"/>
          <w:color w:val="auto"/>
        </w:rPr>
        <w:t>(Proposal Two)</w:t>
      </w:r>
    </w:p>
    <w:p>
      <w:pPr>
        <w:spacing w:after="0" w:line="21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Management and the Audit Committee of our Board of Directors have completed a competitive process to review the appointment of the Company's independent registered public accounting firm for the year ending December 31, 2016. The Audit Committee invited several firms to participate in this process, including Deloitte &amp; Touche LLP, the Company's independent registered public accounting firm since September 22, 2009.</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of this process and following careful deliberation, on March 24, 2016, the Audit Committee approved the engagement of Mayer Hoffman McCann P.C. ("MHM") as the Company's independent registered public accounting firm, conditioned and effective upon completion of their client acceptance process, subject to approval by our shareholders. On March 25, 2016, MHM advised the Company that it had successfully completed its client acceptance procedures and the Company dismissed Deloitte &amp; Touche LLP from its role as the Company's independent registered public accounting firm.</w:t>
      </w:r>
    </w:p>
    <w:p>
      <w:pPr>
        <w:spacing w:after="0" w:line="211"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The Audit Committee also approved the engagement of Atwell S.à r.l. to be our certified auditor for all statutory accounts as required by Luxembourg law for the year ending December 31, 2016, subject to approval by our shareholders.</w:t>
      </w:r>
    </w:p>
    <w:p>
      <w:pPr>
        <w:spacing w:after="0" w:line="20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Deloitte &amp; Touche LLP's audit reports on the Company's consolidated financial statements as of and for the years ended December 31, 2015 and 2014 did not contain an adverse opinion or a disclaimer of opinion and were not qualified or modified as to audit scope or accounting principles. Such reports included an explanatory paragraph related to the concentration of revenue with Ocwen and an emphasis of a matter paragraph related to uncertainties faced by Ocwen.</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During the years ended December 31, 2015 and 2014, and the subsequent interim period through March 24, 2016, there were (i) no disagreements with Deloitte &amp; Touche LLP on any matter of accounting principles or practices, financial statement disclosure, or auditing scope or procedure, which disagreements, if not resolved to the satisfaction of Deloitte &amp; Touche LLP, would have caused Deloitte &amp; Touche LLP to make reference to the subject matter of the disagreements in its reports on the financial statements for such years, and (ii) no "reportable events" as defined in Item 304(a)(1)(v) of Regulation S-K except that the Company's internal control over financial reporting was not effective as of December 31, 2015 due to the existence of a material weakness in the Company's internal control over financial reporting related to the review of impairment indicators of long-lived assets, including premises and equipment and intangible assets, and the impairment analysis of indefinite-lived assets, primarily goodwill. Deloitte &amp; Touche LLP discussed this matter with the Audit Committee. As a result of the material weakness, Deloitte &amp; Touche LLP's audit report dated March 15, 2016 on the effectiveness of the Company's internal control over financial reporting as of December 31, 2015 expressed an adverse opinion. The Company has authorized Deloitte &amp; Touche LLP to fully respond to the inquiries of MHM, the successor independent registered public accounting firm, concerning this matter.</w:t>
      </w:r>
    </w:p>
    <w:p>
      <w:pPr>
        <w:spacing w:after="0" w:line="21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provided Deloitte &amp; Touche LLP with a copy of its Current Report on Form 8-K prior to its filing with the SEC. The Company requested that Deloitte &amp; Touche LLP furnish the Company with a letter addressed to the SEC stating whether or not Deloitte &amp; Touche LLP agrees with the above statements that are related to Deloitte &amp; Touche LLP. A copy of Deloitte &amp; Touche LLP's letter, dated March 28, 2016, is attached as Exhibit 16.1 to the Company's Current Report on Form 8-K filed on March 28, 2016.</w:t>
      </w:r>
    </w:p>
    <w:p>
      <w:pPr>
        <w:spacing w:after="0" w:line="209"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During the years ended December 31, 2015 and 2014 and through March 24, 2016, neither the Company nor anyone on its behalf consulted with MHM with respect to either (i) the application of accounting principles to a specified transaction, either completed or proposed, or the type of audit opinion that might be rendered on the Company's consolidated financial statements, and no written report or oral advice was provided by MHM to the Company that MHM concluded was an important factor considered by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Company in reaching a decision as to the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20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Audit Committee has further approved that the appointment of Mayer Hoffman McCann P.C. for the year ending December 31, 2016 and the appointment of Atwell S.à r.l. for the same period be submitted for approval by our shareholders at the Annual Meeting.</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Representatives of Deloitte &amp; Touche LLP, Mayer Hoffman McCann P.C. and Atwell S.à r.l. will be present at the Annual Meeting, will be given the opportunity to make a statement, if they so desire, and will be available to respond to appropriate questions from you.</w:t>
      </w:r>
    </w:p>
    <w:p>
      <w:pPr>
        <w:spacing w:after="0" w:line="187" w:lineRule="exact"/>
        <w:rPr>
          <w:sz w:val="20"/>
          <w:szCs w:val="20"/>
          <w:color w:val="auto"/>
        </w:rPr>
      </w:pPr>
    </w:p>
    <w:p>
      <w:pPr>
        <w:jc w:val="center"/>
        <w:ind w:left="380" w:right="1000"/>
        <w:spacing w:after="0" w:line="244"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MAYER HOFFMAN MCCANN P.C. AS THE INDEPENDENT REGISTERED CERTIFIED PUBLIC ACCOUNTING FIRM FOR 2016 AND ATWELL S.À R.L. AS THE CERTIFIED AUDITOR FOR ALL STATUTORY ACCOUNTS AS REQUIRED BY LUXEMBOURG LAW FOR THE SAME PERIOD</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public accounting firm is responsible for performing an independent audit of the Company's consolidated financial statements and of the effectiveness of its internal control over financial reporting in accordance with the Standards of the Public Company Accounting Oversight Board ("PCAOB").</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these responsibilities, the Audit Committee met with management and the independent registered public accounting firm to review and discuss the December 31, 2015 audited consolidated financial statements and the effectiveness of the internal control over financial reporting. The Audit Committee has discussed with the independent registered public accounting firm the matters required to be discussed by the PCAOB Auditing Standards No. 61, as amended (AICPA, Professional Standards, Vol. 1, AU Section 380). The Audit Committee has also received written disclosures from the Company's independent registered public accounting firm, as required by the applicable requirements of the PCAOB, and discussed with the independent registered public accounting firm that firm's independence.</w:t>
      </w:r>
    </w:p>
    <w:p>
      <w:pPr>
        <w:spacing w:after="0" w:line="21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Based upon the Audit Committee's discussions with management and the independent registered public accounting firm referred to above, and the Audit Committee's review of the representations of management, the Audit Committee recommended that the Board of Directors include the December 31, 2015 audited consolidated financial statements in Altisource's Annual Report on Form 10-K for the year ended December 31, 2015.</w:t>
      </w:r>
    </w:p>
    <w:p>
      <w:pPr>
        <w:spacing w:after="0" w:line="156"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Audit Committee:</w:t>
      </w:r>
    </w:p>
    <w:p>
      <w:pPr>
        <w:spacing w:after="0" w:line="1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Roland Müller-Ineichen, Chairman</w:t>
      </w:r>
    </w:p>
    <w:p>
      <w:pPr>
        <w:ind w:left="6940"/>
        <w:spacing w:after="0" w:line="234" w:lineRule="auto"/>
        <w:rPr>
          <w:sz w:val="20"/>
          <w:szCs w:val="20"/>
          <w:color w:val="auto"/>
        </w:rPr>
      </w:pPr>
      <w:r>
        <w:rPr>
          <w:rFonts w:ascii="Arial" w:cs="Arial" w:eastAsia="Arial" w:hAnsi="Arial"/>
          <w:sz w:val="18"/>
          <w:szCs w:val="18"/>
          <w:color w:val="auto"/>
        </w:rPr>
        <w:t>W. Michael Linn, Director</w:t>
      </w:r>
    </w:p>
    <w:p>
      <w:pPr>
        <w:spacing w:after="0" w:line="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Timo Vättö, Director</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2016</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shows the aggregate fees billed to Altisource for professional services by Deloitte &amp; Touche LLP, the member firms of Deloitte Touche Tohmatsu and their respective affiliates in fiscal years 2014 and 2015:</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21"/>
        </w:trPr>
        <w:tc>
          <w:tcPr>
            <w:tcW w:w="55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Category</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$1,536,428</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$1,851,789</w:t>
            </w:r>
          </w:p>
        </w:tc>
        <w:tc>
          <w:tcPr>
            <w:tcW w:w="2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$212,216</w:t>
            </w:r>
          </w:p>
        </w:tc>
        <w:tc>
          <w:tcPr>
            <w:tcW w:w="13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$2,945</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$342,135</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$469,096</w:t>
            </w:r>
          </w:p>
        </w:tc>
        <w:tc>
          <w:tcPr>
            <w:tcW w:w="2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$2,090,779</w:t>
            </w: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$2,323,830</w:t>
            </w:r>
          </w:p>
        </w:tc>
        <w:tc>
          <w:tcPr>
            <w:tcW w:w="220" w:type="dxa"/>
            <w:vAlign w:val="bottom"/>
            <w:shd w:val="clear" w:color="auto" w:fill="CCEEFF"/>
          </w:tcPr>
          <w:p>
            <w:pPr>
              <w:spacing w:after="0"/>
              <w:rPr>
                <w:sz w:val="17"/>
                <w:szCs w:val="17"/>
                <w:color w:val="auto"/>
              </w:rPr>
            </w:pPr>
          </w:p>
        </w:tc>
      </w:tr>
    </w:tbl>
    <w:p>
      <w:pPr>
        <w:spacing w:after="0" w:line="19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and expenses billed for professional services rendered for the audits of Altisource's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for fiscal years 2014 and 2015, for the reviews of the financial statements included in Altisource's quarterly reports on Form 10-Q during fiscal years 2014 and 2015 and for services that are normally provided by the independent registered certified public accounting firm and affiliates in connection with statutory and regulatory filings or engagements for the relevant fiscal year.</w:t>
      </w:r>
    </w:p>
    <w:p>
      <w:pPr>
        <w:spacing w:after="0" w:line="18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for fiscal years 2014 and 2015 for audit-related services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8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for fiscal years 2014 and 2015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certified public accounting firm for tax compliance, tax planning and tax advice.</w:t>
      </w:r>
    </w:p>
    <w:p>
      <w:pPr>
        <w:spacing w:after="0" w:line="169" w:lineRule="exact"/>
        <w:rPr>
          <w:sz w:val="20"/>
          <w:szCs w:val="20"/>
          <w:color w:val="auto"/>
        </w:rPr>
      </w:pPr>
    </w:p>
    <w:p>
      <w:pPr>
        <w:ind w:right="560"/>
        <w:spacing w:after="0" w:line="325" w:lineRule="auto"/>
        <w:rPr>
          <w:sz w:val="20"/>
          <w:szCs w:val="20"/>
          <w:color w:val="auto"/>
        </w:rPr>
      </w:pPr>
      <w:r>
        <w:rPr>
          <w:rFonts w:ascii="Arial" w:cs="Arial" w:eastAsia="Arial" w:hAnsi="Arial"/>
          <w:sz w:val="16"/>
          <w:szCs w:val="16"/>
          <w:b w:val="1"/>
          <w:bCs w:val="1"/>
          <w:i w:val="1"/>
          <w:iCs w:val="1"/>
          <w:color w:val="auto"/>
        </w:rPr>
        <w:t xml:space="preserve">All Other Fees. </w:t>
      </w:r>
      <w:r>
        <w:rPr>
          <w:rFonts w:ascii="Arial" w:cs="Arial" w:eastAsia="Arial" w:hAnsi="Arial"/>
          <w:sz w:val="16"/>
          <w:szCs w:val="16"/>
          <w:color w:val="auto"/>
        </w:rPr>
        <w:t>This category includes the aggregate fees billed for fiscal years 2014 and 2015 for products and services provided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registered certified public accounting firm that are not reported above under "Audit Fees," "Audit-Related Fees" or "Tax Fees."</w:t>
      </w:r>
    </w:p>
    <w:p>
      <w:pPr>
        <w:spacing w:after="0" w:line="143"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Deloitte &amp; Touche LLP in fiscal years 2014 and 2015 and determined that such services and fees are compatible with the independence of Deloitte &amp; Touche LLP.</w:t>
      </w:r>
    </w:p>
    <w:p>
      <w:pPr>
        <w:spacing w:after="0" w:line="20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2014 and 2015, all fees associated with the independent registered certified public accounting firm's services were pre-approved by the Audit Committee or by the Chairman of the Audit Committee pursuant to authority delegated to him as described in the following section.</w:t>
      </w:r>
    </w:p>
    <w:p>
      <w:pPr>
        <w:spacing w:after="0" w:line="2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Representatives from Deloitte &amp; Touche LLP will be present at the Annual Meeting, will be given the opportunity to make a statement, if they desire to do so, and will be available to respond to questions from shareholders.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Pursuant to its charter, the Audit Committee has delegated authority to the Chairman of the Audit Committee to pre-approve all audit and permitted non-audit services to be performed by the independent auditors. The Chairman shall report any pre-approval decisions to the Audit Committee at its next scheduled meeting for ratification. The Audit Committee does not delegate its responsibilities to pre-approve services performed by the independent auditor to management.</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132715</wp:posOffset>
            </wp:positionV>
            <wp:extent cx="104648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46480" cy="222885"/>
                    </a:xfrm>
                    <a:prstGeom prst="rect">
                      <a:avLst/>
                    </a:prstGeom>
                    <a:noFill/>
                  </pic:spPr>
                </pic:pic>
              </a:graphicData>
            </a:graphic>
          </wp:anchor>
        </w:drawing>
      </w:r>
    </w:p>
    <w:p>
      <w:pPr>
        <w:spacing w:after="0" w:line="301" w:lineRule="exact"/>
        <w:rPr>
          <w:sz w:val="20"/>
          <w:szCs w:val="20"/>
          <w:color w:val="auto"/>
        </w:rPr>
      </w:pPr>
    </w:p>
    <w:p>
      <w:pPr>
        <w:ind w:left="9940"/>
        <w:spacing w:after="0"/>
        <w:rPr>
          <w:sz w:val="20"/>
          <w:szCs w:val="20"/>
          <w:color w:val="auto"/>
        </w:rPr>
      </w:pPr>
      <w:r>
        <w:rPr>
          <w:rFonts w:ascii="Arial" w:cs="Arial" w:eastAsia="Arial" w:hAnsi="Arial"/>
          <w:sz w:val="14"/>
          <w:szCs w:val="14"/>
          <w:color w:val="82C243"/>
        </w:rPr>
        <w:t>PROPOSAL THREE</w:t>
      </w:r>
    </w:p>
    <w:p>
      <w:pPr>
        <w:spacing w:after="0" w:line="275" w:lineRule="exact"/>
        <w:rPr>
          <w:sz w:val="20"/>
          <w:szCs w:val="20"/>
          <w:color w:val="auto"/>
        </w:rPr>
      </w:pPr>
    </w:p>
    <w:p>
      <w:pPr>
        <w:jc w:val="center"/>
        <w:ind w:left="260" w:right="2600"/>
        <w:spacing w:after="0" w:line="239" w:lineRule="auto"/>
        <w:rPr>
          <w:sz w:val="20"/>
          <w:szCs w:val="20"/>
          <w:color w:val="auto"/>
        </w:rPr>
      </w:pPr>
      <w:r>
        <w:rPr>
          <w:rFonts w:ascii="Arial" w:cs="Arial" w:eastAsia="Arial" w:hAnsi="Arial"/>
          <w:sz w:val="18"/>
          <w:szCs w:val="18"/>
          <w:b w:val="1"/>
          <w:bCs w:val="1"/>
          <w:color w:val="auto"/>
        </w:rPr>
        <w:t>APPROVAL OF THE COMPANY'S ANNUAL ACCOUNTS PREPARED IN ACCORDANCE WITH LUXEMBOURG GAAP FOR THE YEAR ENDED DECEMBER 31, 2015 AND ITS CONSOLIDATED FINANCIAL STATEMENTS PREPARED IN ACCORDANCE WITH U.S. GAAP INCLUDING A FOOTNOTE RECONCILIATION OF EQUITY AND NET INCOME TO IFRS</w:t>
      </w:r>
    </w:p>
    <w:p>
      <w:pPr>
        <w:jc w:val="center"/>
        <w:ind w:right="-39"/>
        <w:spacing w:after="0" w:line="235" w:lineRule="auto"/>
        <w:rPr>
          <w:sz w:val="20"/>
          <w:szCs w:val="20"/>
          <w:color w:val="auto"/>
        </w:rPr>
      </w:pPr>
      <w:r>
        <w:rPr>
          <w:rFonts w:ascii="Arial" w:cs="Arial" w:eastAsia="Arial" w:hAnsi="Arial"/>
          <w:sz w:val="18"/>
          <w:szCs w:val="18"/>
          <w:b w:val="1"/>
          <w:bCs w:val="1"/>
          <w:color w:val="auto"/>
        </w:rPr>
        <w:t>AS OF AND FOR THE YEAR ENDED DECEMBER 31, 2015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(Proposal Three)</w:t>
      </w:r>
    </w:p>
    <w:p>
      <w:pPr>
        <w:spacing w:after="0" w:line="212"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Pursuant to Luxembourg law, the Luxembourg Statutory Accounts must be submitted each year to shareholders for approval at the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Luxembourg Annual Accounts are prepared in accordance with Luxembourg GAAP and consist of a balance sheet, a profit and loss account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the notes for the unconsolidated Altisource Portfolio Solutions S.A. entity. There is no statement of movements in equity or statement of cash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flows included in the Luxembourg Annual Accounts under Luxembourg GAAP. Profits earned by the subsidiaries of Altisource Portfolio</w:t>
      </w:r>
    </w:p>
    <w:p>
      <w:pPr>
        <w:spacing w:after="0"/>
        <w:rPr>
          <w:sz w:val="20"/>
          <w:szCs w:val="20"/>
          <w:color w:val="auto"/>
        </w:rPr>
      </w:pPr>
      <w:r>
        <w:rPr>
          <w:rFonts w:ascii="Arial" w:cs="Arial" w:eastAsia="Arial" w:hAnsi="Arial"/>
          <w:sz w:val="16"/>
          <w:szCs w:val="16"/>
          <w:color w:val="auto"/>
        </w:rPr>
        <w:t>Solutions S.A. are not included in the Luxembourg Annual Accounts unless such amounts are distributed to Altisource Portfolio Solutions S.A.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Luxembourg Annual Accounts as of and for the year ended December 31, 2015 reflect total assets of $2,418.9 million and a loss for the year then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ended of $18.7 million.</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2015, the Consolidated Accounts reflect IFRS total equity of $51.3 million and IFRS net income of $37.7 million for the year then ended.</w:t>
      </w:r>
    </w:p>
    <w:p>
      <w:pPr>
        <w:spacing w:after="0" w:line="21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20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Altisource's Luxembourg Statutory Accounts will be available to shareholders from April 17, 2016 until the conclusion of the Annual Meeting at Altisource's registered office.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THAT YOU VOTE "FOR" THE APPROVAL OF THE LUXEMBOURG STATUTORY ACCOUNTS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132715</wp:posOffset>
            </wp:positionV>
            <wp:extent cx="995045"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95045" cy="222885"/>
                    </a:xfrm>
                    <a:prstGeom prst="rect">
                      <a:avLst/>
                    </a:prstGeom>
                    <a:noFill/>
                  </pic:spPr>
                </pic:pic>
              </a:graphicData>
            </a:graphic>
          </wp:anchor>
        </w:drawing>
      </w:r>
    </w:p>
    <w:p>
      <w:pPr>
        <w:spacing w:after="0" w:line="301" w:lineRule="exact"/>
        <w:rPr>
          <w:sz w:val="20"/>
          <w:szCs w:val="20"/>
          <w:color w:val="auto"/>
        </w:rPr>
      </w:pPr>
    </w:p>
    <w:p>
      <w:pPr>
        <w:ind w:left="10020"/>
        <w:spacing w:after="0"/>
        <w:rPr>
          <w:sz w:val="20"/>
          <w:szCs w:val="20"/>
          <w:color w:val="auto"/>
        </w:rPr>
      </w:pPr>
      <w:r>
        <w:rPr>
          <w:rFonts w:ascii="Arial" w:cs="Arial" w:eastAsia="Arial" w:hAnsi="Arial"/>
          <w:sz w:val="14"/>
          <w:szCs w:val="14"/>
          <w:color w:val="82C243"/>
        </w:rPr>
        <w:t>PROPOSAL FOUR</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RECEIPT AND APPROVAL OF THE DIRECTORS' REPORTS FOR</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LUXEMBOURG STATUTORY ACCOUNTS</w:t>
      </w:r>
    </w:p>
    <w:p>
      <w:pPr>
        <w:jc w:val="center"/>
        <w:ind w:right="-59"/>
        <w:spacing w:after="0"/>
        <w:rPr>
          <w:sz w:val="20"/>
          <w:szCs w:val="20"/>
          <w:color w:val="auto"/>
        </w:rPr>
      </w:pPr>
      <w:r>
        <w:rPr>
          <w:rFonts w:ascii="Arial" w:cs="Arial" w:eastAsia="Arial" w:hAnsi="Arial"/>
          <w:sz w:val="18"/>
          <w:szCs w:val="18"/>
          <w:color w:val="auto"/>
        </w:rPr>
        <w:t>(Proposal Four)</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Directors' Reports for the Luxembourg Statutory Accounts will be available to shareholders from April 17, 2016 until the conclusion of the Annual Meeting at Altisource's registered office. Following shareholder approval of the Luxembourg Statutory Accounts, the Directors' Reports will be filed with the Luxembourg trade registry as public documents.</w:t>
      </w:r>
    </w:p>
    <w:p>
      <w:pPr>
        <w:spacing w:after="0" w:line="186" w:lineRule="exact"/>
        <w:rPr>
          <w:sz w:val="20"/>
          <w:szCs w:val="20"/>
          <w:color w:val="auto"/>
        </w:rPr>
      </w:pPr>
    </w:p>
    <w:p>
      <w:pPr>
        <w:jc w:val="center"/>
        <w:ind w:left="360" w:right="2180"/>
        <w:spacing w:after="0" w:line="249" w:lineRule="auto"/>
        <w:rPr>
          <w:sz w:val="20"/>
          <w:szCs w:val="20"/>
          <w:color w:val="auto"/>
        </w:rPr>
      </w:pPr>
      <w:r>
        <w:rPr>
          <w:rFonts w:ascii="Arial" w:cs="Arial" w:eastAsia="Arial" w:hAnsi="Arial"/>
          <w:sz w:val="18"/>
          <w:szCs w:val="18"/>
          <w:b w:val="1"/>
          <w:bCs w:val="1"/>
          <w:color w:val="auto"/>
        </w:rPr>
        <w:t>OUR BOARD OF DIRECTORS UNANIMOUSLY RECOMMENDS THAT YOU VOTE "FOR" THE RECEIPT AND APPROVAL OF THE DIRECTORS' REPORTS FOR THE LUXEMBOURG STATUTORY ACCOUNTS</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132715</wp:posOffset>
            </wp:positionV>
            <wp:extent cx="94361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3610"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FIVE</w:t>
      </w:r>
    </w:p>
    <w:p>
      <w:pPr>
        <w:spacing w:after="0" w:line="275"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 xml:space="preserve">ALLOCATION OF THE RESULTS IN THE LUXEMBOURG ANNUAL ACCOUNTS FOR THE YEAR ENDED DECEMBER 31, 2015 </w:t>
      </w:r>
      <w:r>
        <w:rPr>
          <w:rFonts w:ascii="Arial" w:cs="Arial" w:eastAsia="Arial" w:hAnsi="Arial"/>
          <w:sz w:val="18"/>
          <w:szCs w:val="18"/>
          <w:color w:val="auto"/>
        </w:rPr>
        <w:t>(Proposal Five)</w:t>
      </w:r>
    </w:p>
    <w:p>
      <w:pPr>
        <w:spacing w:after="0" w:line="200" w:lineRule="exact"/>
        <w:rPr>
          <w:sz w:val="20"/>
          <w:szCs w:val="20"/>
          <w:color w:val="auto"/>
        </w:rPr>
      </w:pPr>
    </w:p>
    <w:p>
      <w:pPr>
        <w:spacing w:after="0" w:line="209"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20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made a net loss pursuant to its Luxembourg Annual Accounts for the year ended December 31, 2015, there is no requirement to make such allocation.</w:t>
      </w:r>
    </w:p>
    <w:p>
      <w:pPr>
        <w:spacing w:after="0" w:line="209"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As of December 31, 2015, the Luxembourg Annual Accounts for Altisource reflect total assets of $2,418.9 million and a loss for the year then ended of $18.7 million. As noted in Proposal Three above, profits earned by subsidiaries of Altisource are not included in the calculation of net profits for Altisource's Luxembourg Annual Accounts unless such profits have been distributed to Altisource.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Board of Directors proposes to allocate the loss of $18.7 million reflected in the Luxembourg Annual Accounts to reduce profit brought forward.</w:t>
      </w:r>
    </w:p>
    <w:p>
      <w:pPr>
        <w:spacing w:after="0" w:line="213" w:lineRule="exact"/>
        <w:rPr>
          <w:sz w:val="20"/>
          <w:szCs w:val="20"/>
          <w:color w:val="auto"/>
        </w:rPr>
      </w:pPr>
    </w:p>
    <w:p>
      <w:pPr>
        <w:jc w:val="center"/>
        <w:ind w:left="260" w:right="2160"/>
        <w:spacing w:after="0" w:line="249" w:lineRule="auto"/>
        <w:rPr>
          <w:sz w:val="20"/>
          <w:szCs w:val="20"/>
          <w:color w:val="auto"/>
        </w:rPr>
      </w:pPr>
      <w:r>
        <w:rPr>
          <w:rFonts w:ascii="Arial" w:cs="Arial" w:eastAsia="Arial" w:hAnsi="Arial"/>
          <w:sz w:val="18"/>
          <w:szCs w:val="18"/>
          <w:b w:val="1"/>
          <w:bCs w:val="1"/>
          <w:color w:val="auto"/>
        </w:rPr>
        <w:t>OUR BOARD OF DIRECTORS UNANIMOUSLY RECOMMENDS THAT YOU VOTE "FOR" THE ALLOCATION OF THE RESULTS IN THE LUXEMBOURG ANNUAL ACCOUNTS FOR THE YEAR ENDED DECEMBER 31, 2015</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132715</wp:posOffset>
            </wp:positionV>
            <wp:extent cx="883285"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3285" cy="222885"/>
                    </a:xfrm>
                    <a:prstGeom prst="rect">
                      <a:avLst/>
                    </a:prstGeom>
                    <a:noFill/>
                  </pic:spPr>
                </pic:pic>
              </a:graphicData>
            </a:graphic>
          </wp:anchor>
        </w:drawing>
      </w:r>
    </w:p>
    <w:p>
      <w:pPr>
        <w:spacing w:after="0" w:line="301" w:lineRule="exact"/>
        <w:rPr>
          <w:sz w:val="20"/>
          <w:szCs w:val="20"/>
          <w:color w:val="auto"/>
        </w:rPr>
      </w:pPr>
    </w:p>
    <w:p>
      <w:pPr>
        <w:ind w:left="10200"/>
        <w:spacing w:after="0"/>
        <w:rPr>
          <w:sz w:val="20"/>
          <w:szCs w:val="20"/>
          <w:color w:val="auto"/>
        </w:rPr>
      </w:pPr>
      <w:r>
        <w:rPr>
          <w:rFonts w:ascii="Arial" w:cs="Arial" w:eastAsia="Arial" w:hAnsi="Arial"/>
          <w:sz w:val="14"/>
          <w:szCs w:val="14"/>
          <w:color w:val="82C243"/>
        </w:rPr>
        <w:t>PROPOSAL SIX</w:t>
      </w:r>
    </w:p>
    <w:p>
      <w:pPr>
        <w:spacing w:after="0" w:line="275" w:lineRule="exact"/>
        <w:rPr>
          <w:sz w:val="20"/>
          <w:szCs w:val="20"/>
          <w:color w:val="auto"/>
        </w:rPr>
      </w:pPr>
    </w:p>
    <w:p>
      <w:pPr>
        <w:jc w:val="center"/>
        <w:ind w:left="360" w:right="2700"/>
        <w:spacing w:after="0" w:line="242" w:lineRule="auto"/>
        <w:rPr>
          <w:sz w:val="20"/>
          <w:szCs w:val="20"/>
          <w:color w:val="auto"/>
        </w:rPr>
      </w:pPr>
      <w:r>
        <w:rPr>
          <w:rFonts w:ascii="Arial" w:cs="Arial" w:eastAsia="Arial" w:hAnsi="Arial"/>
          <w:sz w:val="18"/>
          <w:szCs w:val="18"/>
          <w:b w:val="1"/>
          <w:bCs w:val="1"/>
          <w:color w:val="auto"/>
        </w:rPr>
        <w:t xml:space="preserve">DISCHARGE OF EACH OF THE CURRENT AND PAST DIRECTORS OF ALTISOURCE PORTFOLIO SOLUTIONS S.A. FOR THE PERFORMANCE OF THEIR MANDATE DURING THE YEAR ENDED DECEMBER 31, 2015 </w:t>
      </w:r>
      <w:r>
        <w:rPr>
          <w:rFonts w:ascii="Arial" w:cs="Arial" w:eastAsia="Arial" w:hAnsi="Arial"/>
          <w:sz w:val="18"/>
          <w:szCs w:val="18"/>
          <w:color w:val="auto"/>
        </w:rPr>
        <w:t>(Proposal Six)</w:t>
      </w:r>
    </w:p>
    <w:p>
      <w:pPr>
        <w:spacing w:after="0" w:line="200" w:lineRule="exact"/>
        <w:rPr>
          <w:sz w:val="20"/>
          <w:szCs w:val="20"/>
          <w:color w:val="auto"/>
        </w:rPr>
      </w:pPr>
    </w:p>
    <w:p>
      <w:pPr>
        <w:spacing w:after="0" w:line="2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Luxembourg law, after the approval of the Luxembourg Statutory Accounts (as discussed in Proposal Three above), the shareholders of Altisource are required to vote on whether to discharge Altisource's Directors for the performance of their mandate during the relevant fiscal year. If the shareholders grant the discharge of Directors for the relevant fiscal year, shareholders will not be able to initiate a liability claim against such Directors in connection with the performance of their mandate for the relevant fiscal year. However, such discharge will not be valid in certain instances as specified in Article 74 of the Luxembourg Law of 10 August 1915 on commercial companies, as amended. For fiscal year 2015, Altisource believes no such instances have occurred.</w:t>
      </w:r>
    </w:p>
    <w:p>
      <w:pPr>
        <w:spacing w:after="0" w:line="188" w:lineRule="exact"/>
        <w:rPr>
          <w:sz w:val="20"/>
          <w:szCs w:val="20"/>
          <w:color w:val="auto"/>
        </w:rPr>
      </w:pPr>
    </w:p>
    <w:p>
      <w:pPr>
        <w:jc w:val="center"/>
        <w:ind w:left="360" w:right="1580"/>
        <w:spacing w:after="0" w:line="244" w:lineRule="auto"/>
        <w:rPr>
          <w:sz w:val="20"/>
          <w:szCs w:val="20"/>
          <w:color w:val="auto"/>
        </w:rPr>
      </w:pPr>
      <w:r>
        <w:rPr>
          <w:rFonts w:ascii="Arial" w:cs="Arial" w:eastAsia="Arial" w:hAnsi="Arial"/>
          <w:sz w:val="18"/>
          <w:szCs w:val="18"/>
          <w:b w:val="1"/>
          <w:bCs w:val="1"/>
          <w:color w:val="auto"/>
        </w:rPr>
        <w:t>OUR BOARD OF DIRECTORS UNANIMOUSLY RECOMMENDS THAT YOU VOTE "FOR" THE DISCHARGE OF EACH OF THE CURRENT AND PAST DIRECTORS OF ALTISOURCE PORTFOLIO SOLUTIONS S.A. FOR THE PERFORMANCE OF THEIR MANDATE DURING THE YEAR ENDED DECEMBER 31, 2015</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132715</wp:posOffset>
            </wp:positionV>
            <wp:extent cx="104648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46480" cy="222885"/>
                    </a:xfrm>
                    <a:prstGeom prst="rect">
                      <a:avLst/>
                    </a:prstGeom>
                    <a:noFill/>
                  </pic:spPr>
                </pic:pic>
              </a:graphicData>
            </a:graphic>
          </wp:anchor>
        </w:drawing>
      </w:r>
    </w:p>
    <w:p>
      <w:pPr>
        <w:spacing w:after="0" w:line="301" w:lineRule="exact"/>
        <w:rPr>
          <w:sz w:val="20"/>
          <w:szCs w:val="20"/>
          <w:color w:val="auto"/>
        </w:rPr>
      </w:pPr>
    </w:p>
    <w:p>
      <w:pPr>
        <w:ind w:left="9940"/>
        <w:spacing w:after="0"/>
        <w:rPr>
          <w:sz w:val="20"/>
          <w:szCs w:val="20"/>
          <w:color w:val="auto"/>
        </w:rPr>
      </w:pPr>
      <w:r>
        <w:rPr>
          <w:rFonts w:ascii="Arial" w:cs="Arial" w:eastAsia="Arial" w:hAnsi="Arial"/>
          <w:sz w:val="14"/>
          <w:szCs w:val="14"/>
          <w:color w:val="82C243"/>
        </w:rPr>
        <w:t>PROPOSAL SEVEN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CHANGES TO NON-MANAGEMENT DIRECTORS' COMPENSATION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(Proposal Seven)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Luxembourg law requires the Company to submit changes in Directors' compensation to our shareholders for approval.</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discussed in the "Board of Directors Compensation" section of this proxy statement, the Compensation Committee wishes to establish Director pay levels that are consistent with those of our peer group companies to ensure we can attract and retain the best possible candidates for our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Beginning in the 2016 to 2017 service year, the Compensation Committee recommends that the:</w:t>
      </w:r>
    </w:p>
    <w:p>
      <w:pPr>
        <w:spacing w:after="0" w:line="212" w:lineRule="exact"/>
        <w:rPr>
          <w:sz w:val="20"/>
          <w:szCs w:val="20"/>
          <w:color w:val="auto"/>
        </w:rPr>
      </w:pPr>
    </w:p>
    <w:p>
      <w:pPr>
        <w:ind w:left="1080" w:right="660" w:hanging="532"/>
        <w:spacing w:after="0" w:line="299"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annual cash retainer to the non-executive Chairman of the Board of Directors be increased from $85,000 to $100,000, with a corresponding reduction of annual cash compensation to the Executive Committee chairperson from $15,000 to $0;</w:t>
      </w:r>
    </w:p>
    <w:p>
      <w:pPr>
        <w:spacing w:after="0" w:line="162" w:lineRule="exact"/>
        <w:rPr>
          <w:rFonts w:ascii="Arial" w:cs="Arial" w:eastAsia="Arial" w:hAnsi="Arial"/>
          <w:sz w:val="16"/>
          <w:szCs w:val="16"/>
          <w:color w:val="auto"/>
        </w:rPr>
      </w:pPr>
    </w:p>
    <w:p>
      <w:pPr>
        <w:ind w:left="1080" w:right="100" w:hanging="532"/>
        <w:spacing w:after="0" w:line="23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cash compensation to Audit Committee members (other than the Audit Committee chairperson) be increased from $7,500 to $10,000;</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cash compensation to the Audit Committee chairperson be increased from $20,000 to $25,000;</w:t>
      </w:r>
    </w:p>
    <w:p>
      <w:pPr>
        <w:spacing w:after="0" w:line="198" w:lineRule="exact"/>
        <w:rPr>
          <w:rFonts w:ascii="Arial" w:cs="Arial" w:eastAsia="Arial" w:hAnsi="Arial"/>
          <w:sz w:val="18"/>
          <w:szCs w:val="18"/>
          <w:color w:val="auto"/>
        </w:rPr>
      </w:pPr>
    </w:p>
    <w:p>
      <w:pPr>
        <w:ind w:left="1080" w:right="240" w:hanging="532"/>
        <w:spacing w:after="0" w:line="23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cash compensation to Compliance Committee members (other than the Compliance Committee chairperson) be increased from $5,000 to $10,000;</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cash compensation to the Compliance Committee chairperson be increased from $12,500 to $17,500;</w:t>
      </w:r>
    </w:p>
    <w:p>
      <w:pPr>
        <w:spacing w:after="0" w:line="198" w:lineRule="exact"/>
        <w:rPr>
          <w:rFonts w:ascii="Arial" w:cs="Arial" w:eastAsia="Arial" w:hAnsi="Arial"/>
          <w:sz w:val="18"/>
          <w:szCs w:val="18"/>
          <w:color w:val="auto"/>
        </w:rPr>
      </w:pPr>
    </w:p>
    <w:p>
      <w:pPr>
        <w:ind w:left="1080" w:right="160" w:hanging="532"/>
        <w:spacing w:after="0" w:line="23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cash compensation to Compensation Committee members (other than the Compensation Committee chairperson) be set at $7,500;</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cash compensation to the Compensation Committee chairperson be increased from $7,500 to $15,000;</w:t>
      </w:r>
    </w:p>
    <w:p>
      <w:pPr>
        <w:spacing w:after="0" w:line="211"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cash compensation to Nomination/Governance Committee members (other than the Nomination/Governance Committee chairperson) be set at $5,000; and</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cash compensation to the Nomination/Governance Committee chairperson be increased from $7,500 to $12,500.</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Compensation Committee also recommends that the value of the annual award of shares of common stock to non-management Directors who attend an aggregate of at least 75% of all meetings of the Board of Directors and committees on which they serve be increased from $75,000 to $110,000. Consistent with prior years, the number of shares of common stock will be determined by dividing this value by the average of the high and low prices of the common stock to be reported on the NASDAQ Global Select Market on the first day of the service year.</w:t>
      </w:r>
    </w:p>
    <w:p>
      <w:pPr>
        <w:spacing w:after="0" w:line="18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proposed changes to the pay structure align our non-management Director compensation with the median structure of our peer group companies. In addition, the proposed changes align the pay levels for each chairperson and member of each committee to be consistent with the peer median for each of these roles.</w:t>
      </w:r>
    </w:p>
    <w:p>
      <w:pPr>
        <w:spacing w:after="0" w:line="186" w:lineRule="exact"/>
        <w:rPr>
          <w:sz w:val="20"/>
          <w:szCs w:val="20"/>
          <w:color w:val="auto"/>
        </w:rPr>
      </w:pPr>
    </w:p>
    <w:p>
      <w:pPr>
        <w:jc w:val="center"/>
        <w:ind w:left="260" w:right="1780"/>
        <w:spacing w:after="0" w:line="253"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CHANGES TO NON-MANAGEMENT DIRECTORS' COMPENSATION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132715</wp:posOffset>
            </wp:positionV>
            <wp:extent cx="1020445"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0445" cy="222885"/>
                    </a:xfrm>
                    <a:prstGeom prst="rect">
                      <a:avLst/>
                    </a:prstGeom>
                    <a:noFill/>
                  </pic:spPr>
                </pic:pic>
              </a:graphicData>
            </a:graphic>
          </wp:anchor>
        </w:drawing>
      </w:r>
    </w:p>
    <w:p>
      <w:pPr>
        <w:spacing w:after="0" w:line="301" w:lineRule="exact"/>
        <w:rPr>
          <w:sz w:val="20"/>
          <w:szCs w:val="20"/>
          <w:color w:val="auto"/>
        </w:rPr>
      </w:pPr>
    </w:p>
    <w:p>
      <w:pPr>
        <w:ind w:left="9980"/>
        <w:spacing w:after="0"/>
        <w:rPr>
          <w:sz w:val="20"/>
          <w:szCs w:val="20"/>
          <w:color w:val="auto"/>
        </w:rPr>
      </w:pPr>
      <w:r>
        <w:rPr>
          <w:rFonts w:ascii="Arial" w:cs="Arial" w:eastAsia="Arial" w:hAnsi="Arial"/>
          <w:sz w:val="14"/>
          <w:szCs w:val="14"/>
          <w:color w:val="82C243"/>
        </w:rPr>
        <w:t>PROPOSAL EIGHT</w:t>
      </w:r>
    </w:p>
    <w:p>
      <w:pPr>
        <w:spacing w:after="0" w:line="275" w:lineRule="exact"/>
        <w:rPr>
          <w:sz w:val="20"/>
          <w:szCs w:val="20"/>
          <w:color w:val="auto"/>
        </w:rPr>
      </w:pPr>
    </w:p>
    <w:p>
      <w:pPr>
        <w:jc w:val="center"/>
        <w:ind w:left="260" w:right="1740"/>
        <w:spacing w:after="0" w:line="245" w:lineRule="auto"/>
        <w:rPr>
          <w:sz w:val="20"/>
          <w:szCs w:val="20"/>
          <w:color w:val="auto"/>
        </w:rPr>
      </w:pPr>
      <w:r>
        <w:rPr>
          <w:rFonts w:ascii="Arial" w:cs="Arial" w:eastAsia="Arial" w:hAnsi="Arial"/>
          <w:sz w:val="18"/>
          <w:szCs w:val="18"/>
          <w:b w:val="1"/>
          <w:bCs w:val="1"/>
          <w:color w:val="auto"/>
        </w:rPr>
        <w:t xml:space="preserve">APPROVAL OF A SHARE REPURCHASE PROGRAM WHEREBY ALTISOURCE IS AUTHORIZED, FOR A PERIOD OF FIVE YEARS, TO REPURCHASE UP TO TWENTY-FIVE PERCENT (25%) OF THE OUTSTANDING SHARES OF ITS COMMON STOCK </w:t>
      </w:r>
      <w:r>
        <w:rPr>
          <w:rFonts w:ascii="Arial" w:cs="Arial" w:eastAsia="Arial" w:hAnsi="Arial"/>
          <w:sz w:val="18"/>
          <w:szCs w:val="18"/>
          <w:color w:val="auto"/>
        </w:rPr>
        <w:t>(Proposal Eight)</w:t>
      </w:r>
    </w:p>
    <w:p>
      <w:pPr>
        <w:spacing w:after="0" w:line="200" w:lineRule="exact"/>
        <w:rPr>
          <w:sz w:val="20"/>
          <w:szCs w:val="20"/>
          <w:color w:val="auto"/>
        </w:rPr>
      </w:pP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our Annual Meeting of Shareholders on May 20, 2015, our shareholders approved a share repurchase program authorizing the repurchase of up to fifteen percent (15%) of the outstanding shares of the Company's stock as of the close of business on the date of shareholder approval. Under that program, shares are eligible for repurchase at a minimum price of one dollar ($1.00) per share and a maximum price of five hundred dollars ($500.00) per share. As of March 21, 2016, the total number of shares repurchased under the program amounted to 9.3% of Altisource's 18,802,623 outstanding shares. Therefore, the Board of Directors of Altisource has approved presenting a new share repurchase program (the "Share Repurchase Program") to the shareholders, whereby the Board of Directors is empowered to purchase outstanding shares of the Company's stock within the following limits.</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Share Repurchase Program will continue to be subject to Luxembourg law and provides for the equal treatment of shareholders. The term of authorization for repurchases will be five (5) years from the date of shareholder approval. The maximum number of shares authorized to be repurchased will be up to twenty-five percent (25%) of shares outstanding as of the close of business on the date of shareholder approval. Shares will be eligible for purchase at a minimum price of one dollar ($1.00) per share and a maximum price of five hundred dollars ($500.00) per share. The purchase volumes will be subject to daily volume restrictions per SEC regulations. The Board of Directors shall be empowered to give authority to the Company's Chief Executive Officer, with power of substitution, to decide within the limits of the authorization set out above, the timing and conditions of the Share Repurchase Program.</w:t>
      </w:r>
    </w:p>
    <w:p>
      <w:pPr>
        <w:spacing w:after="0" w:line="20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Altisource has historically demonstrated strong cash earnings capabilities. The Board of Directors believes the Share Repurchase Program could be an effective use of Altisource's cash earnings and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THE APPROVAL OF THE SHARE REPURCHASE PROGRAM</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RELATIONSHIPS AND RELATED PERSON TRANSACTIONS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Any situation that potentially qualifies as a conflict of interest is to be immediately disclosed to the head of the internal audit function and/or the General Counsel to assess the nature and extent of any concern as well as the appropriate next steps. The head of the internal audit function or the General Counsel will notify the Chairman of the Board of Directors or the Chairman of the Audit Committee, as appropriate, if any such situation requires Board of Directors or Audit Committee approval.</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The Audit Committee of the Board of Directors has adopted written policies and procedures to govern the review and approval of transactions involving Altisource and a Related Person. A "Related Person," as defined by SEC Regulation S-K, includes any directors and executive officers of the Company, shareholders beneficially owning 5% or greater of the Company's outstanding stock, an immediate family member of any of the foregoing persons or an entity in which any of the foregoing persons has a direct or indirect material interest. Pursuant to these policies, transactions with a Related Person that meet the threshold for disclosure under the relevant SEC rules ("Related Person Transactions") must be approved by the Audit Committee. In considering a Related Person Transaction, the Audit Committee will consider relevant factors which may include (i) whether the transaction is in the best interests of Altisource; (ii) alternatives to the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Audit Committee may also follow these procedures for transactions with Related Persons that do not meet the threshold for disclosure under the relevant SEC rules or for transactions with related parties as defined by Financial Accounting Standards Board's Accounting Standards Codification Topic 850, </w:t>
      </w:r>
      <w:r>
        <w:rPr>
          <w:rFonts w:ascii="Arial" w:cs="Arial" w:eastAsia="Arial" w:hAnsi="Arial"/>
          <w:sz w:val="16"/>
          <w:szCs w:val="16"/>
          <w:i w:val="1"/>
          <w:iCs w:val="1"/>
          <w:color w:val="auto"/>
        </w:rPr>
        <w:t>Related Party Disclosure</w:t>
      </w:r>
      <w:r>
        <w:rPr>
          <w:rFonts w:ascii="Arial" w:cs="Arial" w:eastAsia="Arial" w:hAnsi="Arial"/>
          <w:sz w:val="16"/>
          <w:szCs w:val="16"/>
          <w:color w:val="auto"/>
        </w:rPr>
        <w:t>, where such transactions may present actual or potential conflicts of interests.</w:t>
      </w:r>
    </w:p>
    <w:p>
      <w:pPr>
        <w:spacing w:after="0" w:line="396"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have significant business relationships with and provide services to Ocwen and Residential. We also provide certain services to AAMC. Our largest shareholder William C. Erbey, owns or controls common stock in each of these companies. As of December 31, 2015, Mr. Erbey owned or controlled approximately 31% of the common stock of Altisource, approximately 14% of the common stock of Ocwen, approximately 31% of the common stock of AAMC and approximately 4% of the common stock of Residential. As a result of his ownership interests in Ocwen and AAMC, Related Person Transactions with these entities are required to be disclosed. Because AAMC is Residential's external manager, and AAMC consolidates the financial statements of Residential, we currently also disclose Altisource's transactions with Residential.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For the year ended December 31, 2015, the Company generated segment revenue from Ocwen of $497.4 million for Mortgage Services, $18.2 million for Financial Services and $116.0 million for Technology Services. Services provided to Ocwen during such period included residential property valuation, real estate asset management and sales, trustee management services, property inspection and preservation, insurance services, charge-off mortgage collections, information technology infrastructure management and software applications including our software platforms. We record revenue we earn from Ocwen under the service agreements at rates we believe to be comparable market rates as we believe they are consistent with the fees we charge to other customers and/or fees charged by our competitors for comparable services. Altisource derived 60% of its revenues in 2015 directly from Ocwen and revenue earned from loans serviced by Ocwen when Ocwen designates us as the service provider.</w:t>
      </w:r>
    </w:p>
    <w:p>
      <w:pPr>
        <w:spacing w:after="0" w:line="208" w:lineRule="exact"/>
        <w:rPr>
          <w:sz w:val="20"/>
          <w:szCs w:val="20"/>
          <w:color w:val="auto"/>
        </w:rPr>
      </w:pPr>
    </w:p>
    <w:p>
      <w:pPr>
        <w:ind w:right="440"/>
        <w:spacing w:after="0" w:line="299" w:lineRule="auto"/>
        <w:rPr>
          <w:sz w:val="20"/>
          <w:szCs w:val="20"/>
          <w:color w:val="auto"/>
        </w:rPr>
      </w:pPr>
      <w:r>
        <w:rPr>
          <w:rFonts w:ascii="Arial" w:cs="Arial" w:eastAsia="Arial" w:hAnsi="Arial"/>
          <w:sz w:val="16"/>
          <w:szCs w:val="16"/>
          <w:color w:val="auto"/>
        </w:rPr>
        <w:t>The Company earns additional revenue on the portfolios serviced by Ocwen when a party other than Ocwen selects Altisource as the service provider. For the year ended December 31, 2015, the Company recognized revenue of $216.9 million on the portfolios serviced by Ocwen.</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132715</wp:posOffset>
            </wp:positionV>
            <wp:extent cx="3232785" cy="2228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2785" cy="222885"/>
                    </a:xfrm>
                    <a:prstGeom prst="rect">
                      <a:avLst/>
                    </a:prstGeom>
                    <a:noFill/>
                  </pic:spPr>
                </pic:pic>
              </a:graphicData>
            </a:graphic>
          </wp:anchor>
        </w:drawing>
      </w:r>
    </w:p>
    <w:p>
      <w:pPr>
        <w:spacing w:after="0" w:line="301" w:lineRule="exact"/>
        <w:rPr>
          <w:sz w:val="20"/>
          <w:szCs w:val="20"/>
          <w:color w:val="auto"/>
        </w:rPr>
      </w:pPr>
    </w:p>
    <w:p>
      <w:pPr>
        <w:ind w:left="6500"/>
        <w:spacing w:after="0"/>
        <w:rPr>
          <w:sz w:val="20"/>
          <w:szCs w:val="20"/>
          <w:color w:val="auto"/>
        </w:rPr>
      </w:pPr>
      <w:r>
        <w:rPr>
          <w:rFonts w:ascii="Arial" w:cs="Arial" w:eastAsia="Arial" w:hAnsi="Arial"/>
          <w:sz w:val="14"/>
          <w:szCs w:val="14"/>
          <w:color w:val="82C243"/>
        </w:rPr>
        <w:t>BUSINESS RELATIONSHIPS AND RELATED PERSON TRANSACTIONS</w:t>
      </w:r>
    </w:p>
    <w:p>
      <w:pPr>
        <w:spacing w:after="0" w:line="2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times, we have used Ocwen's contractors and/or employees to support Altisource-related services. Ocwen generally bills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year ended December 31, 2015, Ocwen billed us $11.4 million for these items.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2015, we provided certain other services to Ocwen and Ocwen provided certain other services to us in connection with support services agreements. These services primarily included facilities related services and corporate services. Billings for these services were generally based on the fully-allocated cost of providing the service based on an estimate of the time and expense of providing the service or estimates thereof. For the year ended December 31, 2015, we billed Ocwen $2.9 million for these items and Ocwen billed us $2.8 million for these items.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AAMC</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AAMC's primary business is to provide portfolio management and corporate governance services to investment vehicles that own real estate assets. Currently, AAMC's primary client is Residential. We have an agreement with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20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For the year ended December 31, 2015, we billed AAMC $1.3 million under the services agreements, of which $0.1 million is reflected in revenue in the consolidated statements of operations and $1.2 million is reflected as a component of SG&amp;A in the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We have service agreements, which extend through 2027, to provide Residential with renovation management, lease management, property management and real estate owned asset management services.</w:t>
      </w:r>
    </w:p>
    <w:p>
      <w:pPr>
        <w:spacing w:after="0" w:line="20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For the year ended December 31, 2015, we generated revenue from Residential of $39.0 million for services provided under these services agreements.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132715</wp:posOffset>
            </wp:positionV>
            <wp:extent cx="2444115"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44115" cy="222885"/>
                    </a:xfrm>
                    <a:prstGeom prst="rect">
                      <a:avLst/>
                    </a:prstGeom>
                    <a:noFill/>
                  </pic:spPr>
                </pic:pic>
              </a:graphicData>
            </a:graphic>
          </wp:anchor>
        </w:drawing>
      </w:r>
    </w:p>
    <w:p>
      <w:pPr>
        <w:spacing w:after="0" w:line="301" w:lineRule="exact"/>
        <w:rPr>
          <w:sz w:val="20"/>
          <w:szCs w:val="20"/>
          <w:color w:val="auto"/>
        </w:rPr>
      </w:pPr>
    </w:p>
    <w:p>
      <w:pPr>
        <w:ind w:left="7740"/>
        <w:spacing w:after="0"/>
        <w:rPr>
          <w:sz w:val="20"/>
          <w:szCs w:val="20"/>
          <w:color w:val="auto"/>
        </w:rPr>
      </w:pPr>
      <w:r>
        <w:rPr>
          <w:rFonts w:ascii="Arial" w:cs="Arial" w:eastAsia="Arial" w:hAnsi="Arial"/>
          <w:sz w:val="14"/>
          <w:szCs w:val="14"/>
          <w:color w:val="82C243"/>
        </w:rPr>
        <w:t>SHAREHOLDER PROPOSALS &amp; ANNUAL REPORTS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Pursuant to SEC rules, any proposal which a shareholder desires to have included in our proxy materials relating to our 2017 Annual Meeting of Shareholders, which is scheduled to be held on May 17, 2017, must be received at our registered office no later than December [ ], 2016. In addition to any shareholders' rights under the Luxembourg law on commercial companies of August 10, 1915, as amended, and the Company's Articles of Incorporation, for any proposal that is not submitted for inclusion in the proxy statement for the 2017 Annual Meeting of Shareholders, but is instead sought to be presented directly at the 2017 Annual Meeting of Shareholders, SEC rules permit the persons appointed as proxies to vote shares represented by valid proxies in their discretion if we (i) receive notice of the proposal before the close of business on February [ ], 2017 and advise shareholders in the 2017 proxy statement about the nature of the matter and how the persons appointed as proxies intend to vote on such matter or (ii) do not receive notice of the proposal prior to the close of business on February [ ], 2017.</w:t>
      </w:r>
    </w:p>
    <w:p>
      <w:pPr>
        <w:spacing w:after="0" w:line="18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Notice of intent to present a proposal at the 2017 Annual Meeting of Shareholders should be directed to our Corporate Secretary at Altisource Portfolio Solutions S.A., 40, avenue Monterey, L-2163 Luxembourg City, Grand Duchy of Luxembourg. We recommend that you send any shareholder proposal by certified mail, return-receipt requested.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3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A copy of our annual report to shareholders on Form 10-K for the year ended December 31, 2015 was made available to shareholders on March 15, 2016. The annual report can be found on our website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We will furnish without charge to each person whose proxy is solicited and to any beneficial owner entitled to vote at the meeting, on written request, a copy of our annual report on Form 10-K for the year ended December 31, 2015, required to be filed by us with the SEC under the Exchange Act. Such requests should be directed to Investor Relations, Altisource Portfolio Solutions S.A., 40, avenue Monterey, L-2163 Luxembourg City, Grand Duchy of Luxembourg.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132715</wp:posOffset>
            </wp:positionV>
            <wp:extent cx="986155"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86155" cy="222885"/>
                    </a:xfrm>
                    <a:prstGeom prst="rect">
                      <a:avLst/>
                    </a:prstGeom>
                    <a:noFill/>
                  </pic:spPr>
                </pic:pic>
              </a:graphicData>
            </a:graphic>
          </wp:anchor>
        </w:drawing>
      </w:r>
    </w:p>
    <w:p>
      <w:pPr>
        <w:spacing w:after="0" w:line="301" w:lineRule="exact"/>
        <w:rPr>
          <w:sz w:val="20"/>
          <w:szCs w:val="20"/>
          <w:color w:val="auto"/>
        </w:rPr>
      </w:pPr>
    </w:p>
    <w:p>
      <w:pPr>
        <w:ind w:left="10040"/>
        <w:spacing w:after="0"/>
        <w:rPr>
          <w:sz w:val="20"/>
          <w:szCs w:val="20"/>
          <w:color w:val="auto"/>
        </w:rPr>
      </w:pPr>
      <w:r>
        <w:rPr>
          <w:rFonts w:ascii="Arial" w:cs="Arial" w:eastAsia="Arial" w:hAnsi="Arial"/>
          <w:sz w:val="14"/>
          <w:szCs w:val="14"/>
          <w:color w:val="82C243"/>
        </w:rPr>
        <w:t>OTHER MATTERS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2015 and this proxy statement will be made available to banks, brokerage firms or other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20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shares represented by all valid proxies received by phone, Internet or mail will be voted in the manner specified. Where specific choices are not indicated, except with respect to broker "non-votes," the shares represented by all valid proxies received will be voted: for the nominees for Director named earlier in this proxy statement; for the approval of the appointment of the independent auditor; for the approval of Altisource Portfolio Solutions S.A.'s Luxembourg Statutory Accounts; for the proposal to allocate the results in the Luxembourg Annual Accounts for the year ended December 31, 2015; for the approval of the discharge of each of the current and past Directors of Altisource Portfolio Solutions S.A. for the performance of their mandate during the year ended December 31, 2015; for the proposal to approve changes to non-management Directors' compensation; and for the proposal to approve a share repurchase program as described in this proxy statement. Should any matter not described above be properly presented at the meeting, the persons appointed as proxies will vote according to their discretion.</w:t>
      </w:r>
    </w:p>
    <w:p>
      <w:pPr>
        <w:spacing w:after="0" w:line="18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you are the beneficial owner, but not the record holder of shares of our common stock and have requested a copy of this proxy statement, your bank, brokerage firm or other nominee may only deliver one (1) copy of this proxy statement and our 2015 annual report to multiple shareholders who share an address unless that nominee has received contrary instructions from one (1) or more of the shareholders. Shareholders at an address to which a single copy of this proxy statement and our 2015 annual report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bank, brokerage firm or other nominee to request that only a single copy of each document be mailed to all shareholders at the shared address.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This proxy statement and our 2015 annual report may be viewed online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addition, this proxy statement and our 2015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annual reports and proxy statements electronically by following the instructions provided if you vote by phone or by Internet, as instructed on your proxy card. If you choose this option, you will receive a notice by mail listing the website locations, and your choice will remain in effect until you notify us by mail that you wish to resume mail delivery of these documents. If you hold your common stock through a bank, brokerage firm or other nominee, please refer to the information provided by that entity for instructions on how to elect this option.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0"/>
        </w:trPr>
        <w:tc>
          <w:tcPr>
            <w:tcW w:w="5380" w:type="dxa"/>
            <w:vAlign w:val="bottom"/>
            <w:gridSpan w:val="2"/>
            <w:vMerge w:val="restart"/>
          </w:tcPr>
          <w:p>
            <w:pPr>
              <w:ind w:left="200"/>
              <w:spacing w:after="0"/>
              <w:rPr>
                <w:sz w:val="20"/>
                <w:szCs w:val="20"/>
                <w:color w:val="auto"/>
              </w:rPr>
            </w:pPr>
            <w:r>
              <w:rPr>
                <w:rFonts w:ascii="Arial" w:cs="Arial" w:eastAsia="Arial" w:hAnsi="Arial"/>
                <w:sz w:val="14"/>
                <w:szCs w:val="14"/>
                <w:b w:val="1"/>
                <w:bCs w:val="1"/>
                <w:i w:val="1"/>
                <w:iCs w:val="1"/>
                <w:color w:val="auto"/>
              </w:rPr>
              <w:t>ALTISOURCE PORTFOLIO SOLUTIONS S.A.</w:t>
            </w:r>
          </w:p>
        </w:tc>
        <w:tc>
          <w:tcPr>
            <w:tcW w:w="6040" w:type="dxa"/>
            <w:vAlign w:val="bottom"/>
            <w:gridSpan w:val="3"/>
          </w:tcPr>
          <w:p>
            <w:pPr>
              <w:ind w:left="38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46"/>
        </w:trPr>
        <w:tc>
          <w:tcPr>
            <w:tcW w:w="5380" w:type="dxa"/>
            <w:vAlign w:val="bottom"/>
            <w:gridSpan w:val="2"/>
            <w:vMerge w:val="continue"/>
          </w:tcPr>
          <w:p>
            <w:pPr>
              <w:spacing w:after="0"/>
              <w:rPr>
                <w:sz w:val="12"/>
                <w:szCs w:val="12"/>
                <w:color w:val="auto"/>
              </w:rPr>
            </w:pPr>
          </w:p>
        </w:tc>
        <w:tc>
          <w:tcPr>
            <w:tcW w:w="6040" w:type="dxa"/>
            <w:vAlign w:val="bottom"/>
            <w:gridSpan w:val="3"/>
          </w:tcPr>
          <w:p>
            <w:pPr>
              <w:ind w:left="380"/>
              <w:spacing w:after="0" w:line="146" w:lineRule="exact"/>
              <w:rPr>
                <w:sz w:val="20"/>
                <w:szCs w:val="20"/>
                <w:color w:val="auto"/>
              </w:rPr>
            </w:pPr>
            <w:r>
              <w:rPr>
                <w:rFonts w:ascii="Arial" w:cs="Arial" w:eastAsia="Arial" w:hAnsi="Arial"/>
                <w:sz w:val="14"/>
                <w:szCs w:val="14"/>
                <w:color w:val="auto"/>
              </w:rPr>
              <w:t>Use the lnternet to transmit your voting instructions and for electronic delivery of</w:t>
            </w:r>
          </w:p>
        </w:tc>
        <w:tc>
          <w:tcPr>
            <w:tcW w:w="0" w:type="dxa"/>
            <w:vAlign w:val="bottom"/>
          </w:tcPr>
          <w:p>
            <w:pPr>
              <w:spacing w:after="0"/>
              <w:rPr>
                <w:sz w:val="1"/>
                <w:szCs w:val="1"/>
                <w:color w:val="auto"/>
              </w:rPr>
            </w:pPr>
          </w:p>
        </w:tc>
      </w:tr>
      <w:tr>
        <w:trPr>
          <w:trHeight w:val="162"/>
        </w:trPr>
        <w:tc>
          <w:tcPr>
            <w:tcW w:w="5380" w:type="dxa"/>
            <w:vAlign w:val="bottom"/>
            <w:gridSpan w:val="2"/>
          </w:tcPr>
          <w:p>
            <w:pPr>
              <w:ind w:left="200"/>
              <w:spacing w:after="0"/>
              <w:rPr>
                <w:sz w:val="20"/>
                <w:szCs w:val="20"/>
                <w:color w:val="auto"/>
              </w:rPr>
            </w:pPr>
            <w:r>
              <w:rPr>
                <w:rFonts w:ascii="Arial" w:cs="Arial" w:eastAsia="Arial" w:hAnsi="Arial"/>
                <w:sz w:val="14"/>
                <w:szCs w:val="14"/>
                <w:b w:val="1"/>
                <w:bCs w:val="1"/>
                <w:i w:val="1"/>
                <w:iCs w:val="1"/>
                <w:color w:val="auto"/>
              </w:rPr>
              <w:t>C/O PROXY SERVICES</w:t>
            </w: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information up until 11:59 P.M. Eastern Time the day before the cut-off date or meeting</w:t>
            </w:r>
          </w:p>
        </w:tc>
        <w:tc>
          <w:tcPr>
            <w:tcW w:w="0" w:type="dxa"/>
            <w:vAlign w:val="bottom"/>
          </w:tcPr>
          <w:p>
            <w:pPr>
              <w:spacing w:after="0"/>
              <w:rPr>
                <w:sz w:val="1"/>
                <w:szCs w:val="1"/>
                <w:color w:val="auto"/>
              </w:rPr>
            </w:pPr>
          </w:p>
        </w:tc>
      </w:tr>
      <w:tr>
        <w:trPr>
          <w:trHeight w:val="162"/>
        </w:trPr>
        <w:tc>
          <w:tcPr>
            <w:tcW w:w="5380" w:type="dxa"/>
            <w:vAlign w:val="bottom"/>
            <w:gridSpan w:val="2"/>
          </w:tcPr>
          <w:p>
            <w:pPr>
              <w:ind w:left="200"/>
              <w:spacing w:after="0"/>
              <w:rPr>
                <w:sz w:val="20"/>
                <w:szCs w:val="20"/>
                <w:color w:val="auto"/>
              </w:rPr>
            </w:pPr>
            <w:r>
              <w:rPr>
                <w:rFonts w:ascii="Arial" w:cs="Arial" w:eastAsia="Arial" w:hAnsi="Arial"/>
                <w:sz w:val="14"/>
                <w:szCs w:val="14"/>
                <w:b w:val="1"/>
                <w:bCs w:val="1"/>
                <w:i w:val="1"/>
                <w:iCs w:val="1"/>
                <w:color w:val="auto"/>
              </w:rPr>
              <w:t>P.O. BOX 9142</w:t>
            </w: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date. Have your proxy card in hand when you access the web site and follow the</w:t>
            </w:r>
          </w:p>
        </w:tc>
        <w:tc>
          <w:tcPr>
            <w:tcW w:w="0" w:type="dxa"/>
            <w:vAlign w:val="bottom"/>
          </w:tcPr>
          <w:p>
            <w:pPr>
              <w:spacing w:after="0"/>
              <w:rPr>
                <w:sz w:val="1"/>
                <w:szCs w:val="1"/>
                <w:color w:val="auto"/>
              </w:rPr>
            </w:pPr>
          </w:p>
        </w:tc>
      </w:tr>
      <w:tr>
        <w:trPr>
          <w:trHeight w:val="188"/>
        </w:trPr>
        <w:tc>
          <w:tcPr>
            <w:tcW w:w="5380" w:type="dxa"/>
            <w:vAlign w:val="bottom"/>
            <w:gridSpan w:val="2"/>
          </w:tcPr>
          <w:p>
            <w:pPr>
              <w:ind w:left="200"/>
              <w:spacing w:after="0"/>
              <w:rPr>
                <w:sz w:val="20"/>
                <w:szCs w:val="20"/>
                <w:color w:val="auto"/>
              </w:rPr>
            </w:pPr>
            <w:r>
              <w:rPr>
                <w:rFonts w:ascii="Arial" w:cs="Arial" w:eastAsia="Arial" w:hAnsi="Arial"/>
                <w:sz w:val="14"/>
                <w:szCs w:val="14"/>
                <w:b w:val="1"/>
                <w:bCs w:val="1"/>
                <w:i w:val="1"/>
                <w:iCs w:val="1"/>
                <w:color w:val="auto"/>
              </w:rPr>
              <w:t>FARMINGDALE, NY 11735</w:t>
            </w: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instructions to obtain your records and to create an electronic voting instruction form.</w:t>
            </w:r>
          </w:p>
        </w:tc>
        <w:tc>
          <w:tcPr>
            <w:tcW w:w="0" w:type="dxa"/>
            <w:vAlign w:val="bottom"/>
          </w:tcPr>
          <w:p>
            <w:pPr>
              <w:spacing w:after="0"/>
              <w:rPr>
                <w:sz w:val="1"/>
                <w:szCs w:val="1"/>
                <w:color w:val="auto"/>
              </w:rPr>
            </w:pPr>
          </w:p>
        </w:tc>
      </w:tr>
      <w:tr>
        <w:trPr>
          <w:trHeight w:val="314"/>
        </w:trPr>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If you would like to reduce the costs incurred by Altisource Portfolio Solutions S.A. in</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mailing proxy materials, you can consent to receiving all future proxy statements, proxy</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cards and annual reports electronically via e-mail or the Internet. To sign up for</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electronic delivery, please follow the instructions above to vote using the Internet and,</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when prompted, indicate that you agree to receive or access proxy materials</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electronically in future years.</w:t>
            </w:r>
          </w:p>
        </w:tc>
        <w:tc>
          <w:tcPr>
            <w:tcW w:w="0" w:type="dxa"/>
            <w:vAlign w:val="bottom"/>
          </w:tcPr>
          <w:p>
            <w:pPr>
              <w:spacing w:after="0"/>
              <w:rPr>
                <w:sz w:val="1"/>
                <w:szCs w:val="1"/>
                <w:color w:val="auto"/>
              </w:rPr>
            </w:pPr>
          </w:p>
        </w:tc>
      </w:tr>
      <w:tr>
        <w:trPr>
          <w:trHeight w:val="314"/>
        </w:trPr>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Use any touch-tone telephone to transmit your voting instructions up until 11:59</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P.M. Eastern Time the day before the cut-off date or meeting date. Have your proxy card</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in hand when you call and then follow the instructions.</w:t>
            </w:r>
          </w:p>
        </w:tc>
        <w:tc>
          <w:tcPr>
            <w:tcW w:w="0" w:type="dxa"/>
            <w:vAlign w:val="bottom"/>
          </w:tcPr>
          <w:p>
            <w:pPr>
              <w:spacing w:after="0"/>
              <w:rPr>
                <w:sz w:val="1"/>
                <w:szCs w:val="1"/>
                <w:color w:val="auto"/>
              </w:rPr>
            </w:pPr>
          </w:p>
        </w:tc>
      </w:tr>
      <w:tr>
        <w:trPr>
          <w:trHeight w:val="314"/>
        </w:trPr>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96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 BY MAIL</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40" w:type="dxa"/>
            <w:vAlign w:val="bottom"/>
            <w:gridSpan w:val="3"/>
          </w:tcPr>
          <w:p>
            <w:pPr>
              <w:ind w:left="380"/>
              <w:spacing w:after="0"/>
              <w:rPr>
                <w:sz w:val="20"/>
                <w:szCs w:val="20"/>
                <w:color w:val="auto"/>
              </w:rPr>
            </w:pPr>
            <w:r>
              <w:rPr>
                <w:rFonts w:ascii="Arial" w:cs="Arial" w:eastAsia="Arial" w:hAnsi="Arial"/>
                <w:sz w:val="14"/>
                <w:szCs w:val="14"/>
                <w:color w:val="auto"/>
              </w:rPr>
              <w:t>provided or return it to Vote Processing, c/o Broadridge, 51 Mercedes Way, Edgewood,</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60" w:type="dxa"/>
            <w:vAlign w:val="bottom"/>
          </w:tcPr>
          <w:p>
            <w:pPr>
              <w:ind w:left="380"/>
              <w:spacing w:after="0"/>
              <w:rPr>
                <w:sz w:val="20"/>
                <w:szCs w:val="20"/>
                <w:color w:val="auto"/>
              </w:rPr>
            </w:pPr>
            <w:r>
              <w:rPr>
                <w:rFonts w:ascii="Arial" w:cs="Arial" w:eastAsia="Arial" w:hAnsi="Arial"/>
                <w:sz w:val="14"/>
                <w:szCs w:val="14"/>
                <w:color w:val="auto"/>
              </w:rPr>
              <w:t>NY 11717.</w:t>
            </w:r>
          </w:p>
        </w:tc>
        <w:tc>
          <w:tcPr>
            <w:tcW w:w="8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8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6720" w:type="dxa"/>
            <w:vAlign w:val="bottom"/>
            <w:gridSpan w:val="3"/>
          </w:tcPr>
          <w:p>
            <w:pPr>
              <w:ind w:left="16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408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ALTISOURCE PORTFOLIO SOLUTIONS S.A.</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11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For</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Against</w:t>
            </w:r>
          </w:p>
        </w:tc>
        <w:tc>
          <w:tcPr>
            <w:tcW w:w="4080" w:type="dxa"/>
            <w:vAlign w:val="bottom"/>
            <w:vMerge w:val="restart"/>
          </w:tcPr>
          <w:p>
            <w:pPr>
              <w:jc w:val="center"/>
              <w:ind w:right="3168"/>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62"/>
        </w:trPr>
        <w:tc>
          <w:tcPr>
            <w:tcW w:w="5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Nominees:</w:t>
            </w:r>
          </w:p>
        </w:tc>
        <w:tc>
          <w:tcPr>
            <w:tcW w:w="1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380" w:type="dxa"/>
            <w:vAlign w:val="bottom"/>
            <w:gridSpan w:val="2"/>
            <w:vMerge w:val="continue"/>
          </w:tcPr>
          <w:p>
            <w:pPr>
              <w:spacing w:after="0"/>
              <w:rPr>
                <w:sz w:val="13"/>
                <w:szCs w:val="13"/>
                <w:color w:val="auto"/>
              </w:rPr>
            </w:pPr>
          </w:p>
        </w:tc>
        <w:tc>
          <w:tcPr>
            <w:tcW w:w="1160" w:type="dxa"/>
            <w:vAlign w:val="bottom"/>
            <w:vMerge w:val="restart"/>
          </w:tcPr>
          <w:p>
            <w:pPr>
              <w:ind w:left="740"/>
              <w:spacing w:after="0"/>
              <w:rPr>
                <w:sz w:val="20"/>
                <w:szCs w:val="20"/>
                <w:color w:val="auto"/>
              </w:rPr>
            </w:pPr>
            <w:r>
              <w:rPr>
                <w:rFonts w:ascii="Arial" w:cs="Arial" w:eastAsia="Arial" w:hAnsi="Arial"/>
                <w:sz w:val="14"/>
                <w:szCs w:val="14"/>
                <w:color w:val="auto"/>
              </w:rPr>
              <w:t>o</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76"/>
              </w:rPr>
              <w:t>o</w:t>
            </w:r>
          </w:p>
        </w:tc>
        <w:tc>
          <w:tcPr>
            <w:tcW w:w="4080" w:type="dxa"/>
            <w:vAlign w:val="bottom"/>
            <w:vMerge w:val="restart"/>
          </w:tcPr>
          <w:p>
            <w:pPr>
              <w:jc w:val="center"/>
              <w:ind w:right="3168"/>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52"/>
        </w:trPr>
        <w:tc>
          <w:tcPr>
            <w:tcW w:w="620" w:type="dxa"/>
            <w:vAlign w:val="bottom"/>
          </w:tcPr>
          <w:p>
            <w:pPr>
              <w:ind w:left="380"/>
              <w:spacing w:after="0" w:line="152" w:lineRule="exact"/>
              <w:rPr>
                <w:sz w:val="20"/>
                <w:szCs w:val="20"/>
                <w:color w:val="auto"/>
              </w:rPr>
            </w:pPr>
            <w:r>
              <w:rPr>
                <w:rFonts w:ascii="Arial" w:cs="Arial" w:eastAsia="Arial" w:hAnsi="Arial"/>
                <w:sz w:val="14"/>
                <w:szCs w:val="14"/>
                <w:color w:val="auto"/>
              </w:rPr>
              <w:t>01)</w:t>
            </w:r>
          </w:p>
        </w:tc>
        <w:tc>
          <w:tcPr>
            <w:tcW w:w="4760" w:type="dxa"/>
            <w:vAlign w:val="bottom"/>
          </w:tcPr>
          <w:p>
            <w:pPr>
              <w:ind w:left="40"/>
              <w:spacing w:after="0" w:line="152" w:lineRule="exact"/>
              <w:rPr>
                <w:sz w:val="20"/>
                <w:szCs w:val="20"/>
                <w:color w:val="auto"/>
              </w:rPr>
            </w:pPr>
            <w:r>
              <w:rPr>
                <w:rFonts w:ascii="Arial" w:cs="Arial" w:eastAsia="Arial" w:hAnsi="Arial"/>
                <w:sz w:val="14"/>
                <w:szCs w:val="14"/>
                <w:color w:val="auto"/>
              </w:rPr>
              <w:t>William B. Shepro</w:t>
            </w:r>
          </w:p>
        </w:tc>
        <w:tc>
          <w:tcPr>
            <w:tcW w:w="11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 w:type="dxa"/>
            <w:vAlign w:val="bottom"/>
          </w:tcPr>
          <w:p>
            <w:pPr>
              <w:ind w:left="380"/>
              <w:spacing w:after="0"/>
              <w:rPr>
                <w:sz w:val="20"/>
                <w:szCs w:val="20"/>
                <w:color w:val="auto"/>
              </w:rPr>
            </w:pPr>
            <w:r>
              <w:rPr>
                <w:rFonts w:ascii="Arial" w:cs="Arial" w:eastAsia="Arial" w:hAnsi="Arial"/>
                <w:sz w:val="14"/>
                <w:szCs w:val="14"/>
                <w:color w:val="auto"/>
              </w:rPr>
              <w:t>02)</w:t>
            </w:r>
          </w:p>
        </w:tc>
        <w:tc>
          <w:tcPr>
            <w:tcW w:w="4760" w:type="dxa"/>
            <w:vAlign w:val="bottom"/>
          </w:tcPr>
          <w:p>
            <w:pPr>
              <w:ind w:left="40"/>
              <w:spacing w:after="0"/>
              <w:rPr>
                <w:sz w:val="20"/>
                <w:szCs w:val="20"/>
                <w:color w:val="auto"/>
              </w:rPr>
            </w:pPr>
            <w:r>
              <w:rPr>
                <w:rFonts w:ascii="Arial" w:cs="Arial" w:eastAsia="Arial" w:hAnsi="Arial"/>
                <w:sz w:val="14"/>
                <w:szCs w:val="14"/>
                <w:color w:val="auto"/>
              </w:rPr>
              <w:t>W. Michael Linn</w:t>
            </w:r>
          </w:p>
        </w:tc>
        <w:tc>
          <w:tcPr>
            <w:tcW w:w="1160" w:type="dxa"/>
            <w:vAlign w:val="bottom"/>
          </w:tcPr>
          <w:p>
            <w:pPr>
              <w:ind w:left="740"/>
              <w:spacing w:after="0"/>
              <w:rPr>
                <w:sz w:val="20"/>
                <w:szCs w:val="20"/>
                <w:color w:val="auto"/>
              </w:rPr>
            </w:pPr>
            <w:r>
              <w:rPr>
                <w:rFonts w:ascii="Arial" w:cs="Arial" w:eastAsia="Arial" w:hAnsi="Arial"/>
                <w:sz w:val="14"/>
                <w:szCs w:val="14"/>
                <w:color w:val="auto"/>
              </w:rPr>
              <w:t>o</w:t>
            </w: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4080" w:type="dxa"/>
            <w:vAlign w:val="bottom"/>
          </w:tcPr>
          <w:p>
            <w:pPr>
              <w:jc w:val="center"/>
              <w:ind w:right="3168"/>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62"/>
        </w:trPr>
        <w:tc>
          <w:tcPr>
            <w:tcW w:w="620" w:type="dxa"/>
            <w:vAlign w:val="bottom"/>
          </w:tcPr>
          <w:p>
            <w:pPr>
              <w:ind w:left="380"/>
              <w:spacing w:after="0"/>
              <w:rPr>
                <w:sz w:val="20"/>
                <w:szCs w:val="20"/>
                <w:color w:val="auto"/>
              </w:rPr>
            </w:pPr>
            <w:r>
              <w:rPr>
                <w:rFonts w:ascii="Arial" w:cs="Arial" w:eastAsia="Arial" w:hAnsi="Arial"/>
                <w:sz w:val="14"/>
                <w:szCs w:val="14"/>
                <w:color w:val="auto"/>
              </w:rPr>
              <w:t>03)</w:t>
            </w:r>
          </w:p>
        </w:tc>
        <w:tc>
          <w:tcPr>
            <w:tcW w:w="4760" w:type="dxa"/>
            <w:vAlign w:val="bottom"/>
          </w:tcPr>
          <w:p>
            <w:pPr>
              <w:ind w:left="40"/>
              <w:spacing w:after="0"/>
              <w:rPr>
                <w:sz w:val="20"/>
                <w:szCs w:val="20"/>
                <w:color w:val="auto"/>
              </w:rPr>
            </w:pPr>
            <w:r>
              <w:rPr>
                <w:rFonts w:ascii="Arial" w:cs="Arial" w:eastAsia="Arial" w:hAnsi="Arial"/>
                <w:sz w:val="14"/>
                <w:szCs w:val="14"/>
                <w:color w:val="auto"/>
              </w:rPr>
              <w:t>Roland Müller-Ineichen</w:t>
            </w:r>
          </w:p>
        </w:tc>
        <w:tc>
          <w:tcPr>
            <w:tcW w:w="1160" w:type="dxa"/>
            <w:vAlign w:val="bottom"/>
          </w:tcPr>
          <w:p>
            <w:pPr>
              <w:ind w:left="740"/>
              <w:spacing w:after="0"/>
              <w:rPr>
                <w:sz w:val="20"/>
                <w:szCs w:val="20"/>
                <w:color w:val="auto"/>
              </w:rPr>
            </w:pPr>
            <w:r>
              <w:rPr>
                <w:rFonts w:ascii="Arial" w:cs="Arial" w:eastAsia="Arial" w:hAnsi="Arial"/>
                <w:sz w:val="14"/>
                <w:szCs w:val="14"/>
                <w:color w:val="auto"/>
              </w:rPr>
              <w:t>o</w:t>
            </w: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4080" w:type="dxa"/>
            <w:vAlign w:val="bottom"/>
          </w:tcPr>
          <w:p>
            <w:pPr>
              <w:jc w:val="center"/>
              <w:ind w:right="3168"/>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2"/>
        </w:trPr>
        <w:tc>
          <w:tcPr>
            <w:tcW w:w="620" w:type="dxa"/>
            <w:vAlign w:val="bottom"/>
          </w:tcPr>
          <w:p>
            <w:pPr>
              <w:ind w:left="380"/>
              <w:spacing w:after="0"/>
              <w:rPr>
                <w:sz w:val="20"/>
                <w:szCs w:val="20"/>
                <w:color w:val="auto"/>
              </w:rPr>
            </w:pPr>
            <w:r>
              <w:rPr>
                <w:rFonts w:ascii="Arial" w:cs="Arial" w:eastAsia="Arial" w:hAnsi="Arial"/>
                <w:sz w:val="14"/>
                <w:szCs w:val="14"/>
                <w:color w:val="auto"/>
              </w:rPr>
              <w:t>04)</w:t>
            </w:r>
          </w:p>
        </w:tc>
        <w:tc>
          <w:tcPr>
            <w:tcW w:w="4760" w:type="dxa"/>
            <w:vAlign w:val="bottom"/>
          </w:tcPr>
          <w:p>
            <w:pPr>
              <w:ind w:left="40"/>
              <w:spacing w:after="0"/>
              <w:rPr>
                <w:sz w:val="20"/>
                <w:szCs w:val="20"/>
                <w:color w:val="auto"/>
              </w:rPr>
            </w:pPr>
            <w:r>
              <w:rPr>
                <w:rFonts w:ascii="Arial" w:cs="Arial" w:eastAsia="Arial" w:hAnsi="Arial"/>
                <w:sz w:val="14"/>
                <w:szCs w:val="14"/>
                <w:color w:val="auto"/>
              </w:rPr>
              <w:t>Timo Vättö</w:t>
            </w:r>
          </w:p>
        </w:tc>
        <w:tc>
          <w:tcPr>
            <w:tcW w:w="1160" w:type="dxa"/>
            <w:vAlign w:val="bottom"/>
          </w:tcPr>
          <w:p>
            <w:pPr>
              <w:ind w:left="740"/>
              <w:spacing w:after="0"/>
              <w:rPr>
                <w:sz w:val="20"/>
                <w:szCs w:val="20"/>
                <w:color w:val="auto"/>
              </w:rPr>
            </w:pPr>
            <w:r>
              <w:rPr>
                <w:rFonts w:ascii="Arial" w:cs="Arial" w:eastAsia="Arial" w:hAnsi="Arial"/>
                <w:sz w:val="14"/>
                <w:szCs w:val="14"/>
                <w:color w:val="auto"/>
              </w:rPr>
              <w:t>o</w:t>
            </w: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4080" w:type="dxa"/>
            <w:vAlign w:val="bottom"/>
          </w:tcPr>
          <w:p>
            <w:pPr>
              <w:jc w:val="center"/>
              <w:ind w:right="3168"/>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640" w:type="dxa"/>
            <w:vAlign w:val="bottom"/>
          </w:tcPr>
          <w:p>
            <w:pPr>
              <w:jc w:val="center"/>
              <w:ind w:left="8"/>
              <w:spacing w:after="0"/>
              <w:rPr>
                <w:sz w:val="20"/>
                <w:szCs w:val="20"/>
                <w:color w:val="auto"/>
              </w:rPr>
            </w:pPr>
            <w:r>
              <w:rPr>
                <w:rFonts w:ascii="Arial" w:cs="Arial" w:eastAsia="Arial" w:hAnsi="Arial"/>
                <w:sz w:val="14"/>
                <w:szCs w:val="14"/>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40" w:type="dxa"/>
            <w:vAlign w:val="bottom"/>
          </w:tcPr>
          <w:p>
            <w:pPr>
              <w:jc w:val="center"/>
              <w:ind w:left="48"/>
              <w:spacing w:after="0"/>
              <w:rPr>
                <w:sz w:val="20"/>
                <w:szCs w:val="20"/>
                <w:color w:val="auto"/>
              </w:rPr>
            </w:pPr>
            <w:r>
              <w:rPr>
                <w:rFonts w:ascii="Arial" w:cs="Arial" w:eastAsia="Arial" w:hAnsi="Arial"/>
                <w:sz w:val="14"/>
                <w:szCs w:val="14"/>
                <w:b w:val="1"/>
                <w:bCs w:val="1"/>
                <w:color w:val="auto"/>
              </w:rPr>
              <w:t>Abstain</w:t>
            </w:r>
          </w:p>
        </w:tc>
      </w:tr>
      <w:tr>
        <w:trPr>
          <w:trHeight w:val="314"/>
        </w:trPr>
        <w:tc>
          <w:tcPr>
            <w:tcW w:w="160" w:type="dxa"/>
            <w:vAlign w:val="bottom"/>
          </w:tcPr>
          <w:p>
            <w:pPr>
              <w:spacing w:after="0"/>
              <w:rPr>
                <w:sz w:val="20"/>
                <w:szCs w:val="20"/>
                <w:color w:val="auto"/>
              </w:rPr>
            </w:pPr>
            <w:r>
              <w:rPr>
                <w:rFonts w:ascii="Arial" w:cs="Arial" w:eastAsia="Arial" w:hAnsi="Arial"/>
                <w:sz w:val="14"/>
                <w:szCs w:val="14"/>
                <w:color w:val="auto"/>
              </w:rPr>
              <w:t>2.</w:t>
            </w:r>
          </w:p>
        </w:tc>
        <w:tc>
          <w:tcPr>
            <w:tcW w:w="9000" w:type="dxa"/>
            <w:vAlign w:val="bottom"/>
          </w:tcPr>
          <w:p>
            <w:pPr>
              <w:ind w:left="40"/>
              <w:spacing w:after="0"/>
              <w:rPr>
                <w:sz w:val="20"/>
                <w:szCs w:val="20"/>
                <w:color w:val="auto"/>
              </w:rPr>
            </w:pPr>
            <w:r>
              <w:rPr>
                <w:rFonts w:ascii="Arial" w:cs="Arial" w:eastAsia="Arial" w:hAnsi="Arial"/>
                <w:sz w:val="14"/>
                <w:szCs w:val="14"/>
                <w:color w:val="auto"/>
              </w:rPr>
              <w:t>Proposal to approve the appointment of Mayer Hoffman McCann P.C. to be our independent registered certified public accounting firm for</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rPr>
              <w:t>o</w:t>
            </w:r>
          </w:p>
        </w:tc>
        <w:tc>
          <w:tcPr>
            <w:tcW w:w="840" w:type="dxa"/>
            <w:vAlign w:val="bottom"/>
          </w:tcPr>
          <w:p>
            <w:pPr>
              <w:jc w:val="center"/>
              <w:spacing w:after="0"/>
              <w:rPr>
                <w:sz w:val="20"/>
                <w:szCs w:val="20"/>
                <w:color w:val="auto"/>
              </w:rPr>
            </w:pPr>
            <w:r>
              <w:rPr>
                <w:rFonts w:ascii="Arial" w:cs="Arial" w:eastAsia="Arial" w:hAnsi="Arial"/>
                <w:sz w:val="14"/>
                <w:szCs w:val="14"/>
                <w:color w:val="auto"/>
              </w:rPr>
              <w:t>o</w:t>
            </w:r>
          </w:p>
        </w:tc>
        <w:tc>
          <w:tcPr>
            <w:tcW w:w="640" w:type="dxa"/>
            <w:vAlign w:val="bottom"/>
          </w:tcPr>
          <w:p>
            <w:pPr>
              <w:jc w:val="center"/>
              <w:ind w:left="48"/>
              <w:spacing w:after="0"/>
              <w:rPr>
                <w:sz w:val="20"/>
                <w:szCs w:val="20"/>
                <w:color w:val="auto"/>
              </w:rPr>
            </w:pPr>
            <w:r>
              <w:rPr>
                <w:rFonts w:ascii="Arial" w:cs="Arial" w:eastAsia="Arial" w:hAnsi="Arial"/>
                <w:sz w:val="14"/>
                <w:szCs w:val="14"/>
                <w:color w:val="auto"/>
              </w:rPr>
              <w:t>o</w:t>
            </w:r>
          </w:p>
        </w:tc>
      </w:tr>
      <w:tr>
        <w:trPr>
          <w:trHeight w:val="162"/>
        </w:trPr>
        <w:tc>
          <w:tcPr>
            <w:tcW w:w="16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4"/>
                <w:szCs w:val="14"/>
                <w:color w:val="auto"/>
              </w:rPr>
              <w:t>the year ending December 31, 2016 and Atwell S.à r.l. to be our certified auditor for all statutory accounts as required by Luxembourg law</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4"/>
                <w:szCs w:val="14"/>
                <w:color w:val="auto"/>
              </w:rPr>
              <w:t>for the same period</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14"/>
        </w:trPr>
        <w:tc>
          <w:tcPr>
            <w:tcW w:w="160" w:type="dxa"/>
            <w:vAlign w:val="bottom"/>
          </w:tcPr>
          <w:p>
            <w:pPr>
              <w:spacing w:after="0"/>
              <w:rPr>
                <w:sz w:val="20"/>
                <w:szCs w:val="20"/>
                <w:color w:val="auto"/>
              </w:rPr>
            </w:pPr>
            <w:r>
              <w:rPr>
                <w:rFonts w:ascii="Arial" w:cs="Arial" w:eastAsia="Arial" w:hAnsi="Arial"/>
                <w:sz w:val="14"/>
                <w:szCs w:val="14"/>
                <w:color w:val="auto"/>
              </w:rPr>
              <w:t>3.</w:t>
            </w:r>
          </w:p>
        </w:tc>
        <w:tc>
          <w:tcPr>
            <w:tcW w:w="9000" w:type="dxa"/>
            <w:vAlign w:val="bottom"/>
          </w:tcPr>
          <w:p>
            <w:pPr>
              <w:ind w:left="40"/>
              <w:spacing w:after="0"/>
              <w:rPr>
                <w:sz w:val="20"/>
                <w:szCs w:val="20"/>
                <w:color w:val="auto"/>
              </w:rPr>
            </w:pPr>
            <w:r>
              <w:rPr>
                <w:rFonts w:ascii="Arial" w:cs="Arial" w:eastAsia="Arial" w:hAnsi="Arial"/>
                <w:sz w:val="14"/>
                <w:szCs w:val="14"/>
                <w:color w:val="auto"/>
              </w:rPr>
              <w:t>Proposal to approve Altisource Portfolio Solutions S.A.’s annual accounts prepared in accordance with accounting principles generally</w:t>
            </w:r>
          </w:p>
        </w:tc>
        <w:tc>
          <w:tcPr>
            <w:tcW w:w="640" w:type="dxa"/>
            <w:vAlign w:val="bottom"/>
          </w:tcPr>
          <w:p>
            <w:pPr>
              <w:jc w:val="center"/>
              <w:ind w:left="8"/>
              <w:spacing w:after="0"/>
              <w:rPr>
                <w:sz w:val="20"/>
                <w:szCs w:val="20"/>
                <w:color w:val="auto"/>
              </w:rPr>
            </w:pPr>
            <w:r>
              <w:rPr>
                <w:rFonts w:ascii="Arial" w:cs="Arial" w:eastAsia="Arial" w:hAnsi="Arial"/>
                <w:sz w:val="14"/>
                <w:szCs w:val="14"/>
                <w:color w:val="auto"/>
              </w:rPr>
              <w:t>o</w:t>
            </w:r>
          </w:p>
        </w:tc>
        <w:tc>
          <w:tcPr>
            <w:tcW w:w="840" w:type="dxa"/>
            <w:vAlign w:val="bottom"/>
          </w:tcPr>
          <w:p>
            <w:pPr>
              <w:jc w:val="center"/>
              <w:spacing w:after="0"/>
              <w:rPr>
                <w:sz w:val="20"/>
                <w:szCs w:val="20"/>
                <w:color w:val="auto"/>
              </w:rPr>
            </w:pPr>
            <w:r>
              <w:rPr>
                <w:rFonts w:ascii="Arial" w:cs="Arial" w:eastAsia="Arial" w:hAnsi="Arial"/>
                <w:sz w:val="14"/>
                <w:szCs w:val="14"/>
                <w:color w:val="auto"/>
              </w:rPr>
              <w:t>o</w:t>
            </w:r>
          </w:p>
        </w:tc>
        <w:tc>
          <w:tcPr>
            <w:tcW w:w="640" w:type="dxa"/>
            <w:vAlign w:val="bottom"/>
          </w:tcPr>
          <w:p>
            <w:pPr>
              <w:jc w:val="center"/>
              <w:ind w:left="48"/>
              <w:spacing w:after="0"/>
              <w:rPr>
                <w:sz w:val="20"/>
                <w:szCs w:val="20"/>
                <w:color w:val="auto"/>
              </w:rPr>
            </w:pPr>
            <w:r>
              <w:rPr>
                <w:rFonts w:ascii="Arial" w:cs="Arial" w:eastAsia="Arial" w:hAnsi="Arial"/>
                <w:sz w:val="14"/>
                <w:szCs w:val="14"/>
                <w:color w:val="auto"/>
              </w:rPr>
              <w:t>o</w:t>
            </w:r>
          </w:p>
        </w:tc>
      </w:tr>
      <w:tr>
        <w:trPr>
          <w:trHeight w:val="162"/>
        </w:trPr>
        <w:tc>
          <w:tcPr>
            <w:tcW w:w="16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4"/>
                <w:szCs w:val="14"/>
                <w:color w:val="auto"/>
              </w:rPr>
              <w:t>accepted in Luxembourg for the year ended December 31, 2015 (the “Luxembourg Annual Accounts”), and its consolidated financial</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4"/>
                <w:szCs w:val="14"/>
                <w:color w:val="auto"/>
              </w:rPr>
              <w:t>statements prepared in accordance with accounting principles generally accepted in the United States including a footnote reconciliation</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4"/>
                <w:szCs w:val="14"/>
                <w:color w:val="auto"/>
              </w:rPr>
              <w:t>of equity and net income to International Financial Reporting Standards for the year ended December 31, 2015 (the “Consolidated</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9000" w:type="dxa"/>
            <w:vAlign w:val="bottom"/>
          </w:tcPr>
          <w:p>
            <w:pPr>
              <w:ind w:left="40"/>
              <w:spacing w:after="0"/>
              <w:rPr>
                <w:sz w:val="20"/>
                <w:szCs w:val="20"/>
                <w:color w:val="auto"/>
              </w:rPr>
            </w:pPr>
            <w:r>
              <w:rPr>
                <w:rFonts w:ascii="Arial" w:cs="Arial" w:eastAsia="Arial" w:hAnsi="Arial"/>
                <w:sz w:val="14"/>
                <w:szCs w:val="14"/>
                <w:color w:val="auto"/>
              </w:rPr>
              <w:t>Accounts”) (together, the “Luxembourg Statutory Accounts”)</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28" w:lineRule="exact"/>
        <w:rPr>
          <w:sz w:val="20"/>
          <w:szCs w:val="20"/>
          <w:color w:val="auto"/>
        </w:rPr>
      </w:pPr>
    </w:p>
    <w:p>
      <w:pPr>
        <w:sectPr>
          <w:pgSz w:w="11900" w:h="16838" w:orient="portrait"/>
          <w:cols w:equalWidth="0" w:num="1">
            <w:col w:w="11460"/>
          </w:cols>
          <w:pgMar w:left="240" w:top="288" w:right="199" w:bottom="0" w:gutter="0" w:footer="0" w:header="0"/>
        </w:sectPr>
      </w:pPr>
    </w:p>
    <w:p>
      <w:pPr>
        <w:spacing w:after="0" w:line="24"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Proposal to receive and approve the Directors’ reports for the Luxembourg Statutory Accounts</w:t>
      </w:r>
    </w:p>
    <w:p>
      <w:pPr>
        <w:spacing w:after="0" w:line="163" w:lineRule="exact"/>
        <w:rPr>
          <w:rFonts w:ascii="Arial" w:cs="Arial" w:eastAsia="Arial" w:hAnsi="Arial"/>
          <w:sz w:val="14"/>
          <w:szCs w:val="14"/>
          <w:color w:val="auto"/>
        </w:rPr>
      </w:pPr>
    </w:p>
    <w:p>
      <w:pPr>
        <w:ind w:left="200" w:hanging="192"/>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Proposal to allocate the results in the Luxembourg Annual Accounts for the year ended December 31, 2015</w:t>
      </w:r>
    </w:p>
    <w:p>
      <w:pPr>
        <w:spacing w:after="0" w:line="163" w:lineRule="exact"/>
        <w:rPr>
          <w:rFonts w:ascii="Arial" w:cs="Arial" w:eastAsia="Arial" w:hAnsi="Arial"/>
          <w:sz w:val="14"/>
          <w:szCs w:val="14"/>
          <w:color w:val="auto"/>
        </w:rPr>
      </w:pPr>
    </w:p>
    <w:p>
      <w:pPr>
        <w:ind w:left="200" w:right="160" w:hanging="192"/>
        <w:spacing w:after="0" w:line="258" w:lineRule="auto"/>
        <w:tabs>
          <w:tab w:leader="none" w:pos="206"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Proposal to discharge each of the current and past Directors of Altisource Portfolio Solutions S.A. for the performance of their mandate during the year ended December 31, 2015</w:t>
      </w:r>
    </w:p>
    <w:p>
      <w:pPr>
        <w:spacing w:after="0" w:line="140" w:lineRule="exact"/>
        <w:rPr>
          <w:rFonts w:ascii="Arial" w:cs="Arial" w:eastAsia="Arial" w:hAnsi="Arial"/>
          <w:sz w:val="14"/>
          <w:szCs w:val="14"/>
          <w:color w:val="auto"/>
        </w:rPr>
      </w:pPr>
    </w:p>
    <w:p>
      <w:pPr>
        <w:ind w:left="200" w:hanging="192"/>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Proposal to approve changes to non-management Directors’ compensation</w:t>
      </w:r>
    </w:p>
    <w:p>
      <w:pPr>
        <w:spacing w:after="0" w:line="163" w:lineRule="exact"/>
        <w:rPr>
          <w:rFonts w:ascii="Arial" w:cs="Arial" w:eastAsia="Arial" w:hAnsi="Arial"/>
          <w:sz w:val="14"/>
          <w:szCs w:val="14"/>
          <w:color w:val="auto"/>
        </w:rPr>
      </w:pPr>
    </w:p>
    <w:p>
      <w:pPr>
        <w:ind w:left="200" w:right="120" w:hanging="192"/>
        <w:spacing w:after="0" w:line="248" w:lineRule="auto"/>
        <w:tabs>
          <w:tab w:leader="none" w:pos="206"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Proposal to approve a share repurchase program whereby Altisource Portfolio Solutions S.A. is authorized, for a period of five years, to repurchase up to twenty-five percent (25%) of the outstanding shares of its common stock (as of the close of business on the date of shareholder approval) at a minimum price of one dollar ($1.00) per share and a maximum price of five hundred dollars ($500.00) per share</w:t>
      </w:r>
    </w:p>
    <w:p>
      <w:pPr>
        <w:spacing w:after="0" w:line="311" w:lineRule="exact"/>
        <w:rPr>
          <w:sz w:val="20"/>
          <w:szCs w:val="20"/>
          <w:color w:val="auto"/>
        </w:rPr>
      </w:pPr>
    </w:p>
    <w:p>
      <w:pPr>
        <w:ind w:left="580" w:hanging="570"/>
        <w:spacing w:after="0" w:line="258" w:lineRule="auto"/>
        <w:tabs>
          <w:tab w:leader="none" w:pos="560" w:val="left"/>
        </w:tabs>
        <w:rPr>
          <w:sz w:val="20"/>
          <w:szCs w:val="20"/>
          <w:color w:val="auto"/>
        </w:rPr>
      </w:pPr>
      <w:r>
        <w:rPr>
          <w:rFonts w:ascii="Arial" w:cs="Arial" w:eastAsia="Arial" w:hAnsi="Arial"/>
          <w:sz w:val="14"/>
          <w:szCs w:val="14"/>
          <w:color w:val="auto"/>
        </w:rPr>
        <w:t>NOTE:</w:t>
        <w:tab/>
        <w:t>Proxies will vote in their discretion upon such other matters that may properly come before the Annual Meeting or any adjournment or postponement thereof.</w:t>
      </w:r>
    </w:p>
    <w:p>
      <w:pPr>
        <w:spacing w:after="0" w:line="20" w:lineRule="exact"/>
        <w:rPr>
          <w:sz w:val="20"/>
          <w:szCs w:val="20"/>
          <w:color w:val="auto"/>
        </w:rPr>
      </w:pPr>
      <w:r>
        <w:rPr>
          <w:sz w:val="20"/>
          <w:szCs w:val="20"/>
          <w:color w:val="auto"/>
        </w:rPr>
        <w:br w:type="column"/>
      </w:r>
    </w:p>
    <w:p>
      <w:pPr>
        <w:spacing w:after="0"/>
        <w:tabs>
          <w:tab w:leader="none" w:pos="700" w:val="left"/>
          <w:tab w:leader="none" w:pos="148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163" w:lineRule="exact"/>
        <w:rPr>
          <w:sz w:val="20"/>
          <w:szCs w:val="20"/>
          <w:color w:val="auto"/>
        </w:rPr>
      </w:pPr>
    </w:p>
    <w:p>
      <w:pPr>
        <w:spacing w:after="0"/>
        <w:tabs>
          <w:tab w:leader="none" w:pos="700" w:val="left"/>
          <w:tab w:leader="none" w:pos="148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163" w:lineRule="exact"/>
        <w:rPr>
          <w:sz w:val="20"/>
          <w:szCs w:val="20"/>
          <w:color w:val="auto"/>
        </w:rPr>
      </w:pPr>
    </w:p>
    <w:p>
      <w:pPr>
        <w:spacing w:after="0"/>
        <w:tabs>
          <w:tab w:leader="none" w:pos="700" w:val="left"/>
          <w:tab w:leader="none" w:pos="148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325" w:lineRule="exact"/>
        <w:rPr>
          <w:sz w:val="20"/>
          <w:szCs w:val="20"/>
          <w:color w:val="auto"/>
        </w:rPr>
      </w:pPr>
    </w:p>
    <w:p>
      <w:pPr>
        <w:spacing w:after="0"/>
        <w:tabs>
          <w:tab w:leader="none" w:pos="700" w:val="left"/>
          <w:tab w:leader="none" w:pos="148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163" w:lineRule="exact"/>
        <w:rPr>
          <w:sz w:val="20"/>
          <w:szCs w:val="20"/>
          <w:color w:val="auto"/>
        </w:rPr>
      </w:pPr>
    </w:p>
    <w:p>
      <w:pPr>
        <w:spacing w:after="0"/>
        <w:tabs>
          <w:tab w:leader="none" w:pos="700" w:val="left"/>
          <w:tab w:leader="none" w:pos="148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1135" w:lineRule="exact"/>
        <w:rPr>
          <w:sz w:val="20"/>
          <w:szCs w:val="20"/>
          <w:color w:val="auto"/>
        </w:rPr>
      </w:pPr>
    </w:p>
    <w:p>
      <w:pPr>
        <w:sectPr>
          <w:pgSz w:w="11900" w:h="16838" w:orient="portrait"/>
          <w:cols w:equalWidth="0" w:num="2">
            <w:col w:w="8920" w:space="560"/>
            <w:col w:w="1980"/>
          </w:cols>
          <w:pgMar w:left="240" w:top="288" w:right="199" w:bottom="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5100" w:type="dxa"/>
            <w:vAlign w:val="bottom"/>
            <w:gridSpan w:val="5"/>
          </w:tcPr>
          <w:p>
            <w:pPr>
              <w:ind w:left="200"/>
              <w:spacing w:after="0"/>
              <w:rPr>
                <w:sz w:val="20"/>
                <w:szCs w:val="20"/>
                <w:color w:val="auto"/>
              </w:rPr>
            </w:pPr>
            <w:r>
              <w:rPr>
                <w:rFonts w:ascii="Arial" w:cs="Arial" w:eastAsia="Arial" w:hAnsi="Arial"/>
                <w:sz w:val="14"/>
                <w:szCs w:val="14"/>
                <w:color w:val="auto"/>
              </w:rPr>
              <w:t>For address changes and/or comments, please check this box and write</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o</w:t>
            </w:r>
          </w:p>
        </w:tc>
        <w:tc>
          <w:tcPr>
            <w:tcW w:w="5640" w:type="dxa"/>
            <w:vAlign w:val="bottom"/>
            <w:gridSpan w:val="3"/>
          </w:tcPr>
          <w:p>
            <w:pPr>
              <w:spacing w:after="0"/>
              <w:rPr>
                <w:sz w:val="20"/>
                <w:szCs w:val="20"/>
                <w:color w:val="auto"/>
              </w:rPr>
            </w:pPr>
            <w:r>
              <w:rPr>
                <w:rFonts w:ascii="Arial" w:cs="Arial" w:eastAsia="Arial" w:hAnsi="Arial"/>
                <w:sz w:val="14"/>
                <w:szCs w:val="14"/>
                <w:color w:val="auto"/>
              </w:rPr>
              <w:t>Please sign exactly as your name(s) appear(s) hereon. When signing as attorney,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200"/>
              <w:spacing w:after="0"/>
              <w:rPr>
                <w:sz w:val="20"/>
                <w:szCs w:val="20"/>
                <w:color w:val="auto"/>
              </w:rPr>
            </w:pPr>
            <w:r>
              <w:rPr>
                <w:rFonts w:ascii="Arial" w:cs="Arial" w:eastAsia="Arial" w:hAnsi="Arial"/>
                <w:sz w:val="14"/>
                <w:szCs w:val="14"/>
                <w:color w:val="auto"/>
              </w:rPr>
              <w:t>them on the back where indicated.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3"/>
          </w:tcPr>
          <w:p>
            <w:pPr>
              <w:spacing w:after="0"/>
              <w:rPr>
                <w:sz w:val="20"/>
                <w:szCs w:val="20"/>
                <w:color w:val="auto"/>
              </w:rPr>
            </w:pPr>
            <w:r>
              <w:rPr>
                <w:rFonts w:ascii="Arial" w:cs="Arial" w:eastAsia="Arial" w:hAnsi="Arial"/>
                <w:sz w:val="14"/>
                <w:szCs w:val="14"/>
                <w:color w:val="auto"/>
              </w:rPr>
              <w:t>executor, administrator or other fiduciary, please give full title as such. Joint owners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3"/>
          </w:tcPr>
          <w:p>
            <w:pPr>
              <w:spacing w:after="0"/>
              <w:rPr>
                <w:sz w:val="20"/>
                <w:szCs w:val="20"/>
                <w:color w:val="auto"/>
              </w:rPr>
            </w:pPr>
            <w:r>
              <w:rPr>
                <w:rFonts w:ascii="Arial" w:cs="Arial" w:eastAsia="Arial" w:hAnsi="Arial"/>
                <w:sz w:val="14"/>
                <w:szCs w:val="14"/>
                <w:color w:val="auto"/>
              </w:rPr>
              <w:t>should each sign personally. All holders must sign. If a corporation or partnership,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vMerge w:val="restart"/>
          </w:tcPr>
          <w:p>
            <w:pPr>
              <w:ind w:left="240"/>
              <w:spacing w:after="0"/>
              <w:rPr>
                <w:sz w:val="20"/>
                <w:szCs w:val="20"/>
                <w:color w:val="auto"/>
              </w:rPr>
            </w:pPr>
            <w:r>
              <w:rPr>
                <w:rFonts w:ascii="Arial" w:cs="Arial" w:eastAsia="Arial" w:hAnsi="Arial"/>
                <w:sz w:val="14"/>
                <w:szCs w:val="14"/>
                <w:color w:val="auto"/>
              </w:rPr>
              <w:t>Please indicate if you plan to attend this meeting.</w:t>
            </w:r>
          </w:p>
        </w:tc>
        <w:tc>
          <w:tcPr>
            <w:tcW w:w="500" w:type="dxa"/>
            <w:vAlign w:val="bottom"/>
            <w:gridSpan w:val="2"/>
            <w:vMerge w:val="restart"/>
          </w:tcPr>
          <w:p>
            <w:pPr>
              <w:jc w:val="center"/>
              <w:spacing w:after="0"/>
              <w:rPr>
                <w:sz w:val="20"/>
                <w:szCs w:val="20"/>
                <w:color w:val="auto"/>
              </w:rPr>
            </w:pPr>
            <w:r>
              <w:rPr>
                <w:rFonts w:ascii="Arial" w:cs="Arial" w:eastAsia="Arial" w:hAnsi="Arial"/>
                <w:sz w:val="14"/>
                <w:szCs w:val="14"/>
                <w:color w:val="auto"/>
                <w:w w:val="76"/>
              </w:rPr>
              <w:t>o</w:t>
            </w:r>
          </w:p>
        </w:tc>
        <w:tc>
          <w:tcPr>
            <w:tcW w:w="1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76"/>
              </w:rPr>
              <w:t>o</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3"/>
          </w:tcPr>
          <w:p>
            <w:pPr>
              <w:spacing w:after="0"/>
              <w:rPr>
                <w:sz w:val="20"/>
                <w:szCs w:val="20"/>
                <w:color w:val="auto"/>
              </w:rPr>
            </w:pPr>
            <w:r>
              <w:rPr>
                <w:rFonts w:ascii="Arial" w:cs="Arial" w:eastAsia="Arial" w:hAnsi="Arial"/>
                <w:sz w:val="14"/>
                <w:szCs w:val="14"/>
                <w:color w:val="auto"/>
              </w:rPr>
              <w:t>please sign in full corporate or partnership name, by authorized officer.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52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0"/>
              </w:rPr>
              <w:t>Yes</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No</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20" w:type="dxa"/>
            <w:vAlign w:val="bottom"/>
          </w:tcPr>
          <w:p>
            <w:pPr>
              <w:ind w:left="140"/>
              <w:spacing w:after="0"/>
              <w:rPr>
                <w:sz w:val="20"/>
                <w:szCs w:val="20"/>
                <w:color w:val="auto"/>
              </w:rPr>
            </w:pPr>
            <w:r>
              <w:rPr>
                <w:rFonts w:ascii="Arial" w:cs="Arial" w:eastAsia="Arial" w:hAnsi="Arial"/>
                <w:sz w:val="14"/>
                <w:szCs w:val="14"/>
                <w:color w:val="auto"/>
              </w:rPr>
              <w:t>Signature [PLEASE SIGN WITHIN BOX]</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Signature (Joint Owners)</w:t>
            </w:r>
          </w:p>
        </w:tc>
        <w:tc>
          <w:tcPr>
            <w:tcW w:w="1800" w:type="dxa"/>
            <w:vAlign w:val="bottom"/>
            <w:gridSpan w:val="2"/>
          </w:tcPr>
          <w:p>
            <w:pPr>
              <w:ind w:left="280"/>
              <w:spacing w:after="0"/>
              <w:rPr>
                <w:sz w:val="20"/>
                <w:szCs w:val="20"/>
                <w:color w:val="auto"/>
              </w:rPr>
            </w:pPr>
            <w:r>
              <w:rPr>
                <w:rFonts w:ascii="Arial" w:cs="Arial" w:eastAsia="Arial" w:hAnsi="Arial"/>
                <w:sz w:val="14"/>
                <w:szCs w:val="14"/>
                <w:color w:val="auto"/>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Preliminary — Subject to change</w:t>
      </w: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Meeting of Shareholders: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Notice and Proxy Statement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ALTISOURCE PORTFOLIO SOLUTIONS S.A.</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40, avenue Monterey, L-2163 Luxembourg City, Grand Duchy of Luxembourg</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REVOCABLE PROXY</w:t>
      </w:r>
    </w:p>
    <w:p>
      <w:pPr>
        <w:sectPr>
          <w:pgSz w:w="11900" w:h="16838" w:orient="portrait"/>
          <w:cols w:equalWidth="0" w:num="1">
            <w:col w:w="11460"/>
          </w:cols>
          <w:pgMar w:left="240" w:top="288" w:right="199" w:bottom="0" w:gutter="0" w:footer="0" w:header="0"/>
          <w:type w:val="continuous"/>
        </w:sectPr>
      </w:pPr>
    </w:p>
    <w:bookmarkStart w:id="68" w:name="page69"/>
    <w:bookmarkEnd w:id="68"/>
    <w:p>
      <w:pPr>
        <w:ind w:right="120"/>
        <w:spacing w:after="0" w:line="285" w:lineRule="auto"/>
        <w:rPr>
          <w:sz w:val="20"/>
          <w:szCs w:val="20"/>
          <w:color w:val="auto"/>
        </w:rPr>
      </w:pPr>
      <w:r>
        <w:rPr>
          <w:rFonts w:ascii="Arial" w:cs="Arial" w:eastAsia="Arial" w:hAnsi="Arial"/>
          <w:sz w:val="14"/>
          <w:szCs w:val="14"/>
          <w:b w:val="1"/>
          <w:bCs w:val="1"/>
          <w:color w:val="auto"/>
        </w:rPr>
        <w:t>THIS PROXY IS SOLICITED ON BEHALF OF THE BOARD OF DIRECTORS OF ALTISOURCE PORTFOLIO SOLUTIONS S.A. FOR USE ONLY AT THE ANNUAL MEETING OF SHAREHOLDERS TO BE HELD ON MAY 18, 2016, AND AT ANY ADJOURNMENT OR POSTPONEMENT THEREOF.</w:t>
      </w:r>
    </w:p>
    <w:p>
      <w:pPr>
        <w:spacing w:after="0" w:line="122"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The undersigned shareholder(s) hereby appoint(s) William B. Shepro and Kevin J. Wilcox, or either of them (the “Proxies”), as proxy, with full powers of substitution, and hereby authorizes them to represent and vote, as designated on the reverse side of this ballot, all of the shares of common stock (“Common Stock”) of Altisource Portfolio Solutions S.A. (the “Company”) that the shareholder(s) is/are entitled to vote at the Annual Meeting of Shareholders (the “Annual Meeting”) to be held at the offices of the Company located at 40, avenue Monterey L-2163 Luxembourg City, Grand Duchy of Luxembourg on Wednesday, May 18, 2016, at 9:00 a.m., Central European Time and at any adjournment or postponement thereof.</w:t>
      </w:r>
    </w:p>
    <w:p>
      <w:pPr>
        <w:spacing w:after="0" w:line="151"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This proxy, when properly executed, will be voted in the manner directed herein. If no such direction is made, this proxy will be voted FOR the election of each of the Board of Directors’ nominees to the Board of Directors; FOR the approval of the appointment of Mayer Hoffman McCann P.C. to be our independent registered certified public accounting firm for the year ending December 31, 2016 and Atwell S.à r.l. to be our certified auditor for all statutory accounts as required by Luxembourg law for the same period; FOR the approval of Altisource Portfolio Solutions S.A.’s annual accounts prepared in accordance with accounting principles generally accepted in Luxembourg for the year ended December 31, 2015 (the “Luxembourg Annual Accounts”) and its consolidated financial statements prepared in accordance with accounting principles generally accepted in the United States including a footnote reconciliation of equity and net income to International Financial Reporting Standards for the year ended December 31, 2015 (the “Consolidated Accounts”) (together, the “Luxembourg Statutory Accounts”); FOR the receipt and approval of the Directors’ reports for the Luxembourg Statutory Accounts; FOR the allocation of the results in the Luxembourg Annual Accounts for the year ended December 31, 2015; FOR the approval of the discharge of each of the current and past Directors of Altisource Portfolio Solutions S.A. for the performance of their mandate during the year ended December 31, 2015; FOR the approval of changes to non-management Directors’ compensation; FOR the approval of a share repurchase program whereby Altisource Portfolio Solutions S.A. is authorized, for a period of five years, to repurchase up to twenty-five percent (25%) of the outstanding shares of its common stock (as of the close of business on the date of shareholder approval) at a minimum price of one dollar ($1.00) per share and a maximum price of five hundred dollars ($500.00) per share; and in the discretion of the Proxies on any other matter that may properly come before the Annual Meeting or any adjournment or postponement thereof. This proxy may be revoked at any time prior to the time it is voted at the Annual Meeting.</w:t>
      </w:r>
    </w:p>
    <w:p>
      <w:pPr>
        <w:spacing w:after="0" w:line="15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The undersigned shareholder(s) hereby acknowledge(s) receipt of the Notice of Annual Meeting of Shareholders of Altisource Portfolio Solutions S.A. to be held on May 18, 2016, or any adjournment or postponement thereof and a Proxy Statement for the Annual Meeting prior to the signing of this proxy.</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Address Changes/Comments: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223520</wp:posOffset>
            </wp:positionV>
            <wp:extent cx="62604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111760</wp:posOffset>
            </wp:positionV>
            <wp:extent cx="62604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8890</wp:posOffset>
            </wp:positionV>
            <wp:extent cx="45192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(If any Address Changes/Comments are noted above, please mark the corresponding box on the reverse side.)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Continued and to be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o"/>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5"/>
    </w:lvl>
  </w:abstractNum>
  <w:abstractNum w:abstractNumId="6">
    <w:nsid w:val="54E49EB4"/>
    <w:multiLevelType w:val="hybridMultilevel"/>
    <w:lvl w:ilvl="0">
      <w:lvlJc w:val="left"/>
      <w:lvlText w:val="%1)"/>
      <w:numFmt w:val="decimal"/>
    </w:lvl>
    <w:lvl w:ilvl="1">
      <w:lvlJc w:val="left"/>
      <w:lvlText w:val="o"/>
      <w:numFmt w:val="bullet"/>
      <w:start w:val="1"/>
    </w:lvl>
  </w:abstractNum>
  <w:abstractNum w:abstractNumId="7">
    <w:nsid w:val="71F32454"/>
    <w:multiLevelType w:val="hybridMultilevel"/>
    <w:lvl w:ilvl="0">
      <w:lvlJc w:val="left"/>
      <w:lvlText w:val="%1)"/>
      <w:numFmt w:val="decimal"/>
      <w:start w:val="2"/>
    </w:lvl>
  </w:abstractNum>
  <w:abstractNum w:abstractNumId="8">
    <w:nsid w:val="2CA88611"/>
    <w:multiLevelType w:val="hybridMultilevel"/>
    <w:lvl w:ilvl="0">
      <w:lvlJc w:val="left"/>
      <w:lvlText w:val="%1)"/>
      <w:numFmt w:val="decimal"/>
      <w:start w:val="4"/>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3"/>
    </w:lvl>
  </w:abstractNum>
  <w:abstractNum w:abstractNumId="23">
    <w:nsid w:val="440BADFC"/>
    <w:multiLevelType w:val="hybridMultilevel"/>
    <w:lvl w:ilvl="0">
      <w:lvlJc w:val="left"/>
      <w:lvlText w:val="(%1)"/>
      <w:numFmt w:val="decimal"/>
      <w:start w:val="6"/>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lowerRoman"/>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7"/>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4"/>
    </w:lvl>
  </w:abstractNum>
  <w:abstractNum w:abstractNumId="40">
    <w:nsid w:val="725A06FB"/>
    <w:multiLevelType w:val="hybridMultilevel"/>
    <w:lvl w:ilvl="0">
      <w:lvlJc w:val="left"/>
      <w:lvlText w:val="(%1)"/>
      <w:numFmt w:val="decimal"/>
      <w:start w:val="15"/>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3"/>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2019-12-08T19:21:56Z</dcterms:created>
  <dcterms:modified xsi:type="dcterms:W3CDTF">2019-12-08T19:21:56Z</dcterms:modified>
</cp:coreProperties>
</file>